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left"/>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14"/>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t xml:space="preserve">招　标　文　件</w:t>
      </w:r>
      <w:r>
        <w:rPr>
          <w:rFonts w:hint="eastAsia" w:ascii="宋体" w:hAnsi="宋体" w:cs="宋体"/>
          <w:b/>
          <w:bCs/>
          <w:color w:val="auto"/>
          <w:sz w:val="84"/>
          <w:szCs w:val="24"/>
          <w:highlight w:val="none"/>
        </w:rPr>
      </w:r>
      <w:r>
        <w:rPr>
          <w:color w:val="auto"/>
          <w:highlight w:val="none"/>
        </w:rPr>
      </w:r>
    </w:p>
    <w:p>
      <w:pPr>
        <w:pStyle w:val="914"/>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14"/>
        <w:ind w:firstLine="482"/>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项目名称：江苏省苏北人民医院彩色多普勒超声采购项目</w:t>
      </w:r>
      <w:r>
        <w:rPr>
          <w:rFonts w:hint="eastAsia" w:ascii="宋体" w:hAnsi="宋体" w:cs="宋体"/>
          <w:b/>
          <w:bCs/>
          <w:color w:val="auto"/>
          <w:sz w:val="32"/>
          <w:szCs w:val="24"/>
          <w:highlight w:val="none"/>
        </w:rPr>
      </w:r>
      <w:r>
        <w:rPr>
          <w:color w:val="auto"/>
          <w:highlight w:val="none"/>
        </w:rPr>
      </w:r>
    </w:p>
    <w:p>
      <w:pPr>
        <w:pStyle w:val="914"/>
        <w:ind w:firstLine="482"/>
        <w:spacing w:before="120" w:after="120" w:line="360" w:lineRule="auto"/>
        <w:rPr>
          <w:rFonts w:hint="eastAsia" w:ascii="宋体" w:hAnsi="宋体" w:eastAsia="宋体" w:cs="宋体"/>
          <w:b/>
          <w:bCs/>
          <w:color w:val="auto"/>
          <w:sz w:val="32"/>
          <w:szCs w:val="24"/>
          <w:highlight w:val="none"/>
        </w:rPr>
      </w:pPr>
      <w:r>
        <w:rPr>
          <w:rFonts w:hint="eastAsia" w:ascii="宋体" w:hAnsi="宋体" w:cs="宋体"/>
          <w:b/>
          <w:bCs/>
          <w:color w:val="auto"/>
          <w:sz w:val="32"/>
          <w:szCs w:val="24"/>
          <w:highlight w:val="none"/>
        </w:rPr>
        <w:t xml:space="preserve">项目编号：</w:t>
      </w:r>
      <w:r>
        <w:rPr>
          <w:rFonts w:hint="eastAsia" w:ascii="宋体" w:hAnsi="宋体" w:cs="宋体"/>
          <w:b/>
          <w:bCs/>
          <w:color w:val="auto"/>
          <w:sz w:val="32"/>
          <w:szCs w:val="24"/>
          <w:highlight w:val="none"/>
          <w:lang w:eastAsia="zh-CN"/>
        </w:rPr>
        <w:t xml:space="preserve">JSZC-321000-SHGK-G2026-0029</w:t>
      </w:r>
      <w:r>
        <w:rPr>
          <w:rFonts w:hint="eastAsia" w:ascii="宋体" w:hAnsi="宋体" w:eastAsia="宋体" w:cs="宋体"/>
          <w:b/>
          <w:bCs/>
          <w:color w:val="auto"/>
          <w:sz w:val="32"/>
          <w:szCs w:val="24"/>
          <w:highlight w:val="none"/>
          <w:lang w:eastAsia="zh-CN"/>
        </w:rPr>
      </w:r>
      <w:r>
        <w:rPr>
          <w:color w:val="auto"/>
          <w:highlight w:val="none"/>
        </w:rPr>
      </w:r>
    </w:p>
    <w:p>
      <w:pPr>
        <w:pStyle w:val="914"/>
        <w:ind w:firstLine="482"/>
        <w:spacing w:before="120" w:after="120" w:line="360" w:lineRule="auto"/>
        <w:rPr>
          <w:rFonts w:hint="eastAsia" w:ascii="宋体" w:hAnsi="宋体" w:eastAsia="宋体" w:cs="宋体"/>
          <w:b/>
          <w:bCs/>
          <w:color w:val="auto"/>
          <w:sz w:val="32"/>
          <w:szCs w:val="24"/>
          <w:highlight w:val="none"/>
        </w:rPr>
      </w:pPr>
      <w:r>
        <w:rPr>
          <w:rFonts w:hint="eastAsia" w:ascii="宋体" w:hAnsi="宋体" w:cs="宋体"/>
          <w:b/>
          <w:bCs/>
          <w:color w:val="auto"/>
          <w:sz w:val="32"/>
          <w:szCs w:val="24"/>
          <w:highlight w:val="none"/>
        </w:rPr>
        <w:t xml:space="preserve">代理机构编号：</w:t>
      </w:r>
      <w:r>
        <w:rPr>
          <w:rFonts w:hint="eastAsia" w:ascii="宋体" w:hAnsi="宋体" w:cs="宋体"/>
          <w:b/>
          <w:bCs/>
          <w:color w:val="auto"/>
          <w:sz w:val="32"/>
          <w:szCs w:val="24"/>
          <w:highlight w:val="none"/>
          <w:lang w:eastAsia="zh-CN"/>
        </w:rPr>
        <w:t xml:space="preserve">1214-264103073WDX</w:t>
      </w:r>
      <w:r>
        <w:rPr>
          <w:rFonts w:hint="eastAsia" w:ascii="宋体" w:hAnsi="宋体" w:eastAsia="宋体" w:cs="宋体"/>
          <w:b/>
          <w:bCs/>
          <w:color w:val="auto"/>
          <w:sz w:val="32"/>
          <w:szCs w:val="24"/>
          <w:highlight w:val="none"/>
          <w:lang w:eastAsia="zh-CN"/>
        </w:rPr>
      </w:r>
      <w:r>
        <w:rPr>
          <w:color w:val="auto"/>
          <w:highlight w:val="none"/>
        </w:rPr>
      </w:r>
    </w:p>
    <w:p>
      <w:pPr>
        <w:pStyle w:val="914"/>
        <w:ind w:firstLine="2249"/>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江苏苏豪创新科技集团高科有限公司</w:t>
      </w:r>
      <w:r>
        <w:rPr>
          <w:rFonts w:hint="eastAsia" w:ascii="宋体" w:hAnsi="宋体" w:cs="宋体"/>
          <w:b/>
          <w:bCs/>
          <w:color w:val="auto"/>
          <w:sz w:val="32"/>
          <w:szCs w:val="24"/>
          <w:highlight w:val="none"/>
        </w:rPr>
      </w:r>
      <w:r>
        <w:rPr>
          <w:color w:val="auto"/>
          <w:highlight w:val="none"/>
        </w:rPr>
      </w:r>
    </w:p>
    <w:p>
      <w:pPr>
        <w:pStyle w:val="914"/>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2026年1月</w:t>
      </w:r>
      <w:r>
        <w:rPr>
          <w:rFonts w:hint="eastAsia" w:ascii="宋体" w:hAnsi="宋体" w:cs="宋体"/>
          <w:b/>
          <w:bCs/>
          <w:color w:val="auto"/>
          <w:sz w:val="32"/>
          <w:szCs w:val="24"/>
          <w:highlight w:val="none"/>
        </w:rPr>
      </w:r>
      <w:r>
        <w:rPr>
          <w:color w:val="auto"/>
          <w:highlight w:val="none"/>
        </w:rPr>
      </w:r>
    </w:p>
    <w:p>
      <w:pPr>
        <w:pStyle w:val="914"/>
        <w:jc w:val="left"/>
        <w:spacing w:before="120" w:after="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rPr>
          <w:color w:val="auto"/>
          <w:highlight w:val="none"/>
        </w:rPr>
      </w:r>
    </w:p>
    <w:p>
      <w:pPr>
        <w:pStyle w:val="914"/>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center"/>
        <w:spacing w:line="480" w:lineRule="auto"/>
        <w:rPr>
          <w:rFonts w:hint="eastAsia" w:ascii="宋体" w:hAnsi="宋体" w:cs="宋体"/>
          <w:b/>
          <w:color w:val="auto"/>
          <w:sz w:val="44"/>
          <w:szCs w:val="21"/>
          <w:highlight w:val="none"/>
        </w:rPr>
        <w:outlineLvl w:val="0"/>
      </w:pPr>
      <w:r>
        <w:rPr>
          <w:color w:val="auto"/>
          <w:highlight w:val="none"/>
        </w:rPr>
      </w:r>
      <w:bookmarkStart w:id="0" w:name="_Toc120614210"/>
      <w:r>
        <w:rPr>
          <w:color w:val="auto"/>
          <w:highlight w:val="none"/>
        </w:rPr>
      </w:r>
      <w:bookmarkStart w:id="1" w:name="_Toc20823272"/>
      <w:r>
        <w:rPr>
          <w:color w:val="auto"/>
          <w:highlight w:val="none"/>
        </w:rPr>
      </w:r>
      <w:bookmarkStart w:id="2" w:name="_Toc16938516"/>
      <w:r>
        <w:rPr>
          <w:color w:val="auto"/>
          <w:highlight w:val="none"/>
        </w:rPr>
      </w:r>
      <w:bookmarkStart w:id="3" w:name="_Toc513029200"/>
      <w:r>
        <w:rPr>
          <w:color w:val="auto"/>
          <w:highlight w:val="none"/>
        </w:rPr>
      </w:r>
      <w:bookmarkStart w:id="4" w:name="_Toc479757206"/>
      <w:r>
        <w:rPr>
          <w:color w:val="auto"/>
          <w:highlight w:val="none"/>
        </w:rPr>
      </w:r>
      <w:bookmarkStart w:id="5" w:name="_Toc523127445"/>
      <w:r>
        <w:rPr>
          <w:rFonts w:hint="eastAsia" w:ascii="宋体" w:hAnsi="宋体" w:cs="宋体"/>
          <w:b/>
          <w:color w:val="auto"/>
          <w:sz w:val="44"/>
          <w:szCs w:val="21"/>
          <w:highlight w:val="none"/>
        </w:rPr>
        <w:br w:type="page" w:clear="all"/>
      </w:r>
      <w:bookmarkStart w:id="6" w:name="_Toc20411"/>
      <w:r>
        <w:rPr>
          <w:rFonts w:hint="eastAsia" w:ascii="宋体" w:hAnsi="宋体" w:cs="宋体"/>
          <w:b/>
          <w:color w:val="auto"/>
          <w:sz w:val="44"/>
          <w:szCs w:val="21"/>
          <w:highlight w:val="none"/>
        </w:rPr>
        <w:t xml:space="preserve">总  目  录</w:t>
      </w:r>
      <w:bookmarkEnd w:id="6"/>
      <w:r>
        <w:rPr>
          <w:rFonts w:hint="eastAsia" w:ascii="宋体" w:hAnsi="宋体" w:cs="宋体"/>
          <w:b/>
          <w:color w:val="auto"/>
          <w:sz w:val="44"/>
          <w:szCs w:val="21"/>
          <w:highlight w:val="none"/>
        </w:rPr>
      </w:r>
      <w:r>
        <w:rPr>
          <w:color w:val="auto"/>
          <w:highlight w:val="none"/>
        </w:rPr>
      </w:r>
    </w:p>
    <w:p>
      <w:pPr>
        <w:pStyle w:val="914"/>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rPr>
          <w:color w:val="auto"/>
          <w:highlight w:val="none"/>
        </w:rPr>
      </w:r>
    </w:p>
    <w:p>
      <w:pPr>
        <w:pStyle w:val="914"/>
        <w:jc w:val="center"/>
        <w:rPr>
          <w:rFonts w:hint="eastAsia" w:ascii="宋体" w:hAnsi="宋体" w:cs="宋体"/>
          <w:color w:val="auto"/>
          <w:highlight w:val="none"/>
        </w:rPr>
      </w:pPr>
      <w:r>
        <w:rPr>
          <w:rFonts w:hint="eastAsia" w:ascii="宋体" w:hAnsi="宋体" w:cs="宋体"/>
          <w:color w:val="auto"/>
          <w:highlight w:val="none"/>
        </w:rPr>
        <w:t xml:space="preserve">目录</w:t>
      </w:r>
      <w:r>
        <w:rPr>
          <w:rFonts w:hint="eastAsia" w:ascii="宋体" w:hAnsi="宋体"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TOC \o "1-1" \h \u </w:instrText>
      </w:r>
      <w:r>
        <w:rPr>
          <w:rFonts w:hint="eastAsia" w:cs="宋体"/>
          <w:color w:val="auto"/>
          <w:szCs w:val="21"/>
          <w:highlight w:val="none"/>
        </w:rPr>
        <w:fldChar w:fldCharType="separate"/>
      </w:r>
      <w:r>
        <w:rPr>
          <w:rFonts w:hint="eastAsia" w:cs="宋体"/>
          <w:color w:val="auto"/>
          <w:szCs w:val="21"/>
          <w:highlight w:val="none"/>
        </w:rPr>
        <w:fldChar w:fldCharType="begin"/>
      </w:r>
      <w:r>
        <w:rPr>
          <w:rFonts w:hint="eastAsia" w:cs="宋体"/>
          <w:color w:val="auto"/>
          <w:szCs w:val="21"/>
          <w:highlight w:val="none"/>
        </w:rPr>
        <w:instrText xml:space="preserve"> HYPERLINK \l _Toc20411 </w:instrText>
      </w:r>
      <w:r>
        <w:rPr>
          <w:rFonts w:hint="eastAsia" w:cs="宋体"/>
          <w:color w:val="auto"/>
          <w:szCs w:val="21"/>
          <w:highlight w:val="none"/>
        </w:rPr>
        <w:fldChar w:fldCharType="separate"/>
      </w:r>
      <w:r>
        <w:rPr>
          <w:rFonts w:hint="eastAsia" w:cs="宋体"/>
          <w:color w:val="auto"/>
          <w:szCs w:val="21"/>
          <w:highlight w:val="none"/>
        </w:rPr>
        <w:t xml:space="preserve">总  目  录</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_Toc20411 \h </w:instrText>
      </w:r>
      <w:r>
        <w:rPr>
          <w:rFonts w:hint="eastAsia" w:cs="宋体"/>
          <w:color w:val="auto"/>
          <w:highlight w:val="none"/>
        </w:rPr>
        <w:fldChar w:fldCharType="separate"/>
      </w:r>
      <w:r>
        <w:rPr>
          <w:rFonts w:hint="eastAsia" w:cs="宋体"/>
          <w:color w:val="auto"/>
          <w:highlight w:val="none"/>
        </w:rPr>
        <w:t xml:space="preserve">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_Toc24738 </w:instrText>
      </w:r>
      <w:r>
        <w:rPr>
          <w:rFonts w:hint="eastAsia" w:cs="宋体"/>
          <w:color w:val="auto"/>
          <w:szCs w:val="21"/>
          <w:highlight w:val="none"/>
        </w:rPr>
        <w:fldChar w:fldCharType="separate"/>
      </w:r>
      <w:r>
        <w:rPr>
          <w:rFonts w:hint="eastAsia" w:cs="宋体"/>
          <w:color w:val="auto"/>
          <w:szCs w:val="44"/>
          <w:highlight w:val="none"/>
        </w:rPr>
        <w:t xml:space="preserve">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_Toc24738 \h </w:instrText>
      </w:r>
      <w:r>
        <w:rPr>
          <w:rFonts w:hint="eastAsia" w:cs="宋体"/>
          <w:color w:val="auto"/>
          <w:highlight w:val="none"/>
        </w:rPr>
        <w:fldChar w:fldCharType="separate"/>
      </w:r>
      <w:r>
        <w:rPr>
          <w:rFonts w:hint="eastAsia" w:cs="宋体"/>
          <w:color w:val="auto"/>
          <w:highlight w:val="none"/>
        </w:rPr>
        <w:t xml:space="preserve">2</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_Toc17820 </w:instrText>
      </w:r>
      <w:r>
        <w:rPr>
          <w:rFonts w:hint="eastAsia" w:cs="宋体"/>
          <w:color w:val="auto"/>
          <w:szCs w:val="21"/>
          <w:highlight w:val="none"/>
        </w:rPr>
        <w:fldChar w:fldCharType="separate"/>
      </w:r>
      <w:r>
        <w:rPr>
          <w:rFonts w:hint="eastAsia" w:cs="宋体"/>
          <w:color w:val="auto"/>
          <w:szCs w:val="44"/>
          <w:highlight w:val="none"/>
        </w:rPr>
        <w:t xml:space="preserve">第二章  投标人须知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_Toc17820 \h </w:instrText>
      </w:r>
      <w:r>
        <w:rPr>
          <w:rFonts w:hint="eastAsia" w:cs="宋体"/>
          <w:color w:val="auto"/>
          <w:highlight w:val="none"/>
        </w:rPr>
        <w:fldChar w:fldCharType="separate"/>
      </w:r>
      <w:r>
        <w:rPr>
          <w:rFonts w:hint="eastAsia" w:cs="宋体"/>
          <w:color w:val="auto"/>
          <w:highlight w:val="none"/>
        </w:rPr>
        <w:t xml:space="preserve">7</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_Toc6669 </w:instrText>
      </w:r>
      <w:r>
        <w:rPr>
          <w:rFonts w:hint="eastAsia" w:cs="宋体"/>
          <w:color w:val="auto"/>
          <w:szCs w:val="21"/>
          <w:highlight w:val="none"/>
        </w:rPr>
        <w:fldChar w:fldCharType="separate"/>
      </w:r>
      <w:r>
        <w:rPr>
          <w:rFonts w:hint="eastAsia" w:cs="宋体"/>
          <w:color w:val="auto"/>
          <w:szCs w:val="44"/>
          <w:highlight w:val="none"/>
        </w:rPr>
        <w:t xml:space="preserve">第三章  合同文本</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_Toc6669 \h </w:instrText>
      </w:r>
      <w:r>
        <w:rPr>
          <w:rFonts w:hint="eastAsia" w:cs="宋体"/>
          <w:color w:val="auto"/>
          <w:highlight w:val="none"/>
        </w:rPr>
        <w:fldChar w:fldCharType="separate"/>
      </w:r>
      <w:r>
        <w:rPr>
          <w:rFonts w:hint="eastAsia" w:cs="宋体"/>
          <w:color w:val="auto"/>
          <w:highlight w:val="none"/>
        </w:rPr>
        <w:t xml:space="preserve">21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_Toc29514 </w:instrText>
      </w:r>
      <w:r>
        <w:rPr>
          <w:rFonts w:hint="eastAsia" w:cs="宋体"/>
          <w:color w:val="auto"/>
          <w:szCs w:val="21"/>
          <w:highlight w:val="none"/>
        </w:rPr>
        <w:fldChar w:fldCharType="separate"/>
      </w:r>
      <w:r>
        <w:rPr>
          <w:rFonts w:hint="eastAsia" w:cs="宋体"/>
          <w:color w:val="auto"/>
          <w:szCs w:val="44"/>
          <w:highlight w:val="none"/>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_Toc29514 \h </w:instrText>
      </w:r>
      <w:r>
        <w:rPr>
          <w:rFonts w:hint="eastAsia" w:cs="宋体"/>
          <w:color w:val="auto"/>
          <w:highlight w:val="none"/>
        </w:rPr>
        <w:fldChar w:fldCharType="separate"/>
      </w:r>
      <w:r>
        <w:rPr>
          <w:rFonts w:hint="eastAsia" w:cs="宋体"/>
          <w:color w:val="auto"/>
          <w:highlight w:val="none"/>
        </w:rPr>
        <w:t xml:space="preserve">24</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_Toc470 </w:instrText>
      </w:r>
      <w:r>
        <w:rPr>
          <w:rFonts w:hint="eastAsia" w:cs="宋体"/>
          <w:color w:val="auto"/>
          <w:szCs w:val="21"/>
          <w:highlight w:val="none"/>
        </w:rPr>
        <w:fldChar w:fldCharType="separate"/>
      </w:r>
      <w:r>
        <w:rPr>
          <w:rFonts w:hint="eastAsia" w:cs="宋体"/>
          <w:color w:val="auto"/>
          <w:szCs w:val="44"/>
          <w:highlight w:val="none"/>
        </w:rPr>
        <w:t xml:space="preserve">第五章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_Toc470 \h </w:instrText>
      </w:r>
      <w:r>
        <w:rPr>
          <w:rFonts w:hint="eastAsia" w:cs="宋体"/>
          <w:color w:val="auto"/>
          <w:highlight w:val="none"/>
        </w:rPr>
        <w:fldChar w:fldCharType="separate"/>
      </w:r>
      <w:r>
        <w:rPr>
          <w:rFonts w:hint="eastAsia" w:cs="宋体"/>
          <w:color w:val="auto"/>
          <w:highlight w:val="none"/>
        </w:rPr>
        <w:t xml:space="preserve">29</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8"/>
        <w:tabs>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_Toc28055 </w:instrText>
      </w:r>
      <w:r>
        <w:rPr>
          <w:rFonts w:hint="eastAsia" w:cs="宋体"/>
          <w:color w:val="auto"/>
          <w:szCs w:val="21"/>
          <w:highlight w:val="none"/>
        </w:rPr>
        <w:fldChar w:fldCharType="separate"/>
      </w:r>
      <w:r>
        <w:rPr>
          <w:rFonts w:hint="eastAsia" w:cs="宋体"/>
          <w:color w:val="auto"/>
          <w:szCs w:val="44"/>
          <w:highlight w:val="none"/>
        </w:rPr>
        <w:t xml:space="preserve">第六章  投标文件格式</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_Toc28055 \h </w:instrText>
      </w:r>
      <w:r>
        <w:rPr>
          <w:rFonts w:hint="eastAsia" w:cs="宋体"/>
          <w:color w:val="auto"/>
          <w:highlight w:val="none"/>
        </w:rPr>
        <w:fldChar w:fldCharType="separate"/>
      </w:r>
      <w:r>
        <w:rPr>
          <w:rFonts w:hint="eastAsia" w:cs="宋体"/>
          <w:color w:val="auto"/>
          <w:highlight w:val="none"/>
        </w:rPr>
        <w:t xml:space="preserve">35</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fldChar w:fldCharType="end"/>
      </w: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jc w:val="center"/>
        <w:keepNext/>
        <w:rPr>
          <w:rFonts w:hint="eastAsia" w:ascii="宋体" w:hAnsi="宋体" w:cs="宋体"/>
          <w:bCs/>
          <w:color w:val="auto"/>
          <w:sz w:val="44"/>
          <w:szCs w:val="44"/>
          <w:highlight w:val="none"/>
        </w:rPr>
        <w:outlineLvl w:val="0"/>
      </w:pPr>
      <w:r>
        <w:rPr>
          <w:rFonts w:hint="eastAsia" w:ascii="宋体" w:hAnsi="宋体" w:cs="宋体"/>
          <w:color w:val="auto"/>
          <w:sz w:val="44"/>
          <w:szCs w:val="44"/>
          <w:highlight w:val="none"/>
        </w:rPr>
        <w:br w:type="page" w:clear="all"/>
      </w:r>
      <w:bookmarkStart w:id="7" w:name="_Toc24738"/>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 xml:space="preserve">投标邀请</w:t>
      </w:r>
      <w:bookmarkEnd w:id="7"/>
      <w:r>
        <w:rPr>
          <w:rFonts w:hint="eastAsia" w:ascii="宋体" w:hAnsi="宋体" w:cs="宋体"/>
          <w:bCs/>
          <w:color w:val="auto"/>
          <w:sz w:val="44"/>
          <w:szCs w:val="4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rPr>
        <w:t xml:space="preserve">江苏省苏北人民医院</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rPr>
        <w:t xml:space="preserve">江苏苏豪创新科技集团高科有限公司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rPr>
        <w:t xml:space="preserve">彩色多普勒超声</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JSZC-321000-SHGK-G2026-0029</w:t>
      </w:r>
      <w:r>
        <w:rPr>
          <w:rFonts w:hint="eastAsia" w:ascii="宋体" w:hAnsi="宋体" w:cs="宋体"/>
          <w:color w:val="auto"/>
          <w:sz w:val="24"/>
          <w:szCs w:val="24"/>
          <w:highlight w:val="none"/>
        </w:rPr>
        <w:t xml:space="preserve">]）采购项目进行公开招标采购，欢迎符合条件的供应商投标。</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（江苏省苏北人民医院彩色多普勒超声采购）</w:t>
      </w:r>
      <w:r>
        <w:rPr>
          <w:rFonts w:hint="eastAsia" w:ascii="宋体" w:hAnsi="宋体" w:cs="宋体"/>
          <w:color w:val="auto"/>
          <w:sz w:val="24"/>
          <w:szCs w:val="24"/>
          <w:highlight w:val="none"/>
        </w:rPr>
        <w:t xml:space="preserve"> 招标项目的潜在投标人可在</w:t>
      </w:r>
      <w:r>
        <w:rPr>
          <w:rFonts w:hint="eastAsia" w:ascii="宋体" w:hAnsi="宋体" w:cs="宋体"/>
          <w:color w:val="auto"/>
          <w:sz w:val="24"/>
          <w:szCs w:val="24"/>
          <w:highlight w:val="none"/>
          <w:u w:val="single"/>
        </w:rPr>
        <w:t xml:space="preserve">“扬州市政府采购网”</w:t>
      </w:r>
      <w:r>
        <w:rPr>
          <w:rFonts w:hint="eastAsia" w:ascii="宋体" w:hAnsi="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rPr>
        <w:t xml:space="preserve">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2026年4月22日9点10分</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8" w:name="_Toc35393790"/>
      <w:r>
        <w:rPr>
          <w:color w:val="auto"/>
          <w:highlight w:val="none"/>
        </w:rPr>
      </w:r>
      <w:bookmarkStart w:id="9" w:name="_Toc35393621"/>
      <w:r>
        <w:rPr>
          <w:color w:val="auto"/>
          <w:highlight w:val="none"/>
        </w:rPr>
      </w:r>
      <w:bookmarkStart w:id="10" w:name="_Toc28359002"/>
      <w:r>
        <w:rPr>
          <w:color w:val="auto"/>
          <w:highlight w:val="none"/>
        </w:rPr>
      </w:r>
      <w:bookmarkStart w:id="11" w:name="_Toc28359079"/>
      <w:r>
        <w:rPr>
          <w:color w:val="auto"/>
          <w:highlight w:val="none"/>
        </w:rPr>
      </w:r>
      <w:bookmarkStart w:id="12" w:name="_Toc38985263"/>
      <w:r>
        <w:rPr>
          <w:color w:val="auto"/>
          <w:highlight w:val="none"/>
        </w:rPr>
      </w:r>
      <w:bookmarkStart w:id="13" w:name="_Hlk24379207"/>
      <w:r>
        <w:rPr>
          <w:rFonts w:hint="eastAsia" w:ascii="宋体" w:hAnsi="宋体" w:cs="宋体"/>
          <w:b/>
          <w:bCs/>
          <w:color w:val="auto"/>
          <w:sz w:val="28"/>
          <w:szCs w:val="28"/>
          <w:highlight w:val="none"/>
        </w:rPr>
        <w:t xml:space="preserve">一、项目基本情况</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rFonts w:hint="eastAsia" w:ascii="宋体" w:hAnsi="宋体" w:cs="宋体"/>
          <w:b/>
          <w:bCs/>
          <w:color w:val="auto"/>
          <w:sz w:val="28"/>
          <w:szCs w:val="28"/>
          <w:highlight w:val="none"/>
        </w:rPr>
      </w:r>
      <w:r>
        <w:rPr>
          <w:color w:val="auto"/>
          <w:highlight w:val="none"/>
        </w:rPr>
      </w:r>
    </w:p>
    <w:p>
      <w:pPr>
        <w:pStyle w:val="914"/>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JSZC-321000-SHGK-G2026-0029</w:t>
      </w:r>
      <w:r>
        <w:rPr>
          <w:rFonts w:hint="eastAsia" w:ascii="宋体" w:hAnsi="宋体" w:eastAsia="宋体" w:cs="宋体"/>
          <w:color w:val="auto"/>
          <w:sz w:val="24"/>
          <w:szCs w:val="24"/>
          <w:highlight w:val="none"/>
          <w:lang w:eastAsia="zh-CN"/>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u w:val="single"/>
        </w:rPr>
        <w:t xml:space="preserve">江苏省苏北人民医院彩色多普勒超声采购项目</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End w:id="13"/>
      <w:r>
        <w:rPr>
          <w:rFonts w:hint="eastAsia" w:ascii="宋体" w:hAnsi="宋体" w:cs="宋体"/>
          <w:color w:val="auto"/>
          <w:sz w:val="24"/>
          <w:szCs w:val="24"/>
          <w:highlight w:val="none"/>
        </w:rPr>
        <w:t xml:space="preserve">3.预算金额：110万元</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u w:val="single"/>
        </w:rPr>
        <w:t xml:space="preserve">110万元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9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彩色多普勒超声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14"/>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r>
            <w:r>
              <w:rPr>
                <w:color w:val="auto"/>
                <w:highlight w:val="none"/>
              </w:rPr>
            </w:r>
          </w:p>
        </w:tc>
      </w:tr>
    </w:tbl>
    <w:p>
      <w:pPr>
        <w:pStyle w:val="914"/>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6.合同履行期限：</w:t>
      </w:r>
      <w:r>
        <w:rPr>
          <w:rFonts w:hint="eastAsia" w:ascii="宋体" w:hAnsi="宋体" w:cs="宋体"/>
          <w:i/>
          <w:color w:val="auto"/>
          <w:sz w:val="24"/>
          <w:szCs w:val="24"/>
          <w:highlight w:val="none"/>
          <w:u w:val="single"/>
        </w:rPr>
        <w:t xml:space="preserve">合同签订后60天内</w:t>
      </w:r>
      <w:r>
        <w:rPr>
          <w:rFonts w:hint="eastAsia" w:ascii="宋体" w:hAnsi="宋体" w:cs="宋体"/>
          <w:color w:val="auto"/>
          <w:sz w:val="24"/>
          <w:szCs w:val="24"/>
          <w:highlight w:val="none"/>
          <w:u w:val="singl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14" w:name="_Toc38985264"/>
      <w:r>
        <w:rPr>
          <w:color w:val="auto"/>
          <w:highlight w:val="none"/>
        </w:rPr>
      </w:r>
      <w:bookmarkStart w:id="15" w:name="_Toc35393622"/>
      <w:r>
        <w:rPr>
          <w:color w:val="auto"/>
          <w:highlight w:val="none"/>
        </w:rPr>
      </w:r>
      <w:bookmarkStart w:id="16" w:name="_Toc28359003"/>
      <w:r>
        <w:rPr>
          <w:color w:val="auto"/>
          <w:highlight w:val="none"/>
        </w:rPr>
      </w:r>
      <w:bookmarkStart w:id="17" w:name="_Toc28359080"/>
      <w:r>
        <w:rPr>
          <w:color w:val="auto"/>
          <w:highlight w:val="none"/>
        </w:rPr>
      </w:r>
      <w:bookmarkStart w:id="18" w:name="_Toc35393791"/>
      <w:r>
        <w:rPr>
          <w:rFonts w:hint="eastAsia" w:ascii="宋体" w:hAnsi="宋体" w:cs="宋体"/>
          <w:b/>
          <w:bCs/>
          <w:color w:val="auto"/>
          <w:sz w:val="28"/>
          <w:szCs w:val="28"/>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rFonts w:hint="eastAsia" w:ascii="宋体" w:hAnsi="宋体" w:cs="宋体"/>
          <w:b/>
          <w:bCs/>
          <w:color w:val="auto"/>
          <w:sz w:val="28"/>
          <w:szCs w:val="28"/>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Start w:id="19" w:name="_Toc38985265"/>
      <w:r>
        <w:rPr>
          <w:color w:val="auto"/>
          <w:highlight w:val="none"/>
        </w:rPr>
      </w:r>
      <w:bookmarkStart w:id="20" w:name="_Toc35393623"/>
      <w:r>
        <w:rPr>
          <w:color w:val="auto"/>
          <w:highlight w:val="none"/>
        </w:rPr>
      </w:r>
      <w:bookmarkStart w:id="21" w:name="_Toc28359004"/>
      <w:r>
        <w:rPr>
          <w:color w:val="auto"/>
          <w:highlight w:val="none"/>
        </w:rPr>
      </w:r>
      <w:bookmarkStart w:id="22" w:name="_Toc28359081"/>
      <w:r>
        <w:rPr>
          <w:color w:val="auto"/>
          <w:highlight w:val="none"/>
        </w:rPr>
      </w:r>
      <w:bookmarkStart w:id="23" w:name="_Toc35393792"/>
      <w:r>
        <w:rPr>
          <w:rFonts w:hint="eastAsia" w:ascii="宋体" w:hAnsi="宋体" w:cs="宋体"/>
          <w:color w:val="auto"/>
          <w:sz w:val="24"/>
          <w:szCs w:val="24"/>
          <w:highlight w:val="none"/>
        </w:rPr>
        <w:t xml:space="preserve">（一）通用资格要求</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1.1 法人或者其他组织的营业执照等证明文件，自然人的身份证明；</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1.2上一年度的财务状况报告（成立不满一年无需提供）；</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1.4具备履行合同所必需的设备和专业技术能力的书面声明；</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1.5参加政府采购活动前3年内在经营活动中没有重大违法记录的书面声明；</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1.6供应商信用承诺书。</w:t>
      </w:r>
      <w:r>
        <w:rPr>
          <w:rFonts w:hint="eastAsia" w:ascii="宋体" w:hAnsi="宋体" w:cs="宋体"/>
          <w:i/>
          <w:color w:val="auto"/>
          <w:sz w:val="24"/>
          <w:szCs w:val="24"/>
          <w:highlight w:val="none"/>
          <w:u w:val="single"/>
        </w:rPr>
      </w:r>
      <w:r>
        <w:rPr>
          <w:color w:val="auto"/>
          <w:highlight w:val="none"/>
        </w:rPr>
      </w:r>
    </w:p>
    <w:p>
      <w:pPr>
        <w:pStyle w:val="914"/>
        <w:ind w:firstLine="480"/>
        <w:spacing w:line="439" w:lineRule="atLeast"/>
        <w:rPr>
          <w:rFonts w:hint="eastAsia" w:ascii="宋体" w:hAnsi="宋体" w:cs="宋体"/>
          <w:color w:val="auto"/>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4"/>
          <w:szCs w:val="24"/>
          <w:highlight w:val="none"/>
        </w:rPr>
        <w:t xml:space="preserve"> </w:t>
      </w:r>
      <w:r>
        <w:rPr>
          <w:rFonts w:hint="eastAsia" w:ascii="宋体" w:hAnsi="宋体" w:cs="宋体"/>
          <w:color w:val="auto"/>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w:t>
      </w: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（1）投标产品如果属于医疗设备注册范畴的；投标人须根据投标产品的类别，提供《医疗器械经营企业许可证》或者《医疗器械经营备案凭证》（复印件）；</w:t>
      </w:r>
      <w:r>
        <w:rPr>
          <w:rFonts w:hint="eastAsia" w:ascii="宋体" w:hAnsi="宋体" w:cs="宋体"/>
          <w:color w:val="auto"/>
          <w:highlight w:val="none"/>
        </w:rPr>
      </w:r>
      <w:r>
        <w:rPr>
          <w:color w:val="auto"/>
          <w:highlight w:val="none"/>
        </w:rPr>
      </w:r>
    </w:p>
    <w:p>
      <w:pPr>
        <w:pStyle w:val="914"/>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（2）投标产品如果属于医疗设备注册范畴的；投标人须提供投标产品的《医疗器械注册证》（复印件）；</w:t>
      </w:r>
      <w:r>
        <w:rPr>
          <w:rFonts w:hint="eastAsia" w:ascii="宋体" w:hAnsi="宋体" w:cs="宋体"/>
          <w:color w:val="auto"/>
          <w:highlight w:val="non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（3）本项目接受产品代理商或经销商投标；</w:t>
      </w:r>
      <w:r>
        <w:rPr>
          <w:rFonts w:hint="eastAsia" w:ascii="宋体" w:hAnsi="宋体" w:cs="宋体"/>
          <w:i/>
          <w:color w:val="auto"/>
          <w:sz w:val="24"/>
          <w:szCs w:val="24"/>
          <w:highlight w:val="none"/>
          <w:u w:val="singl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凡为采购项目提供整体设计、规范编制或者项目管理、监理、检测等服务的供应商，不得再参加该项目的其他采购活动。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auto"/>
          <w:sz w:val="24"/>
          <w:szCs w:val="24"/>
          <w:highlight w:val="non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三、获取招标文件</w:t>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rFonts w:hint="eastAsia" w:ascii="宋体" w:hAnsi="宋体" w:cs="宋体"/>
          <w:b/>
          <w:bCs/>
          <w:color w:val="auto"/>
          <w:sz w:val="28"/>
          <w:szCs w:val="28"/>
          <w:highlight w:val="none"/>
        </w:rPr>
      </w:r>
      <w:r>
        <w:rPr>
          <w:color w:val="auto"/>
          <w:highlight w:val="none"/>
        </w:rPr>
      </w:r>
    </w:p>
    <w:p>
      <w:pPr>
        <w:pStyle w:val="914"/>
        <w:ind w:firstLine="540"/>
        <w:spacing w:line="360" w:lineRule="auto"/>
        <w:rPr>
          <w:rFonts w:hint="eastAsia" w:ascii="宋体" w:hAnsi="宋体" w:cs="宋体"/>
          <w:color w:val="auto"/>
          <w:sz w:val="24"/>
          <w:szCs w:val="24"/>
          <w:highlight w:val="none"/>
        </w:rPr>
      </w:pPr>
      <w:r>
        <w:rPr>
          <w:color w:val="auto"/>
          <w:highlight w:val="none"/>
        </w:rPr>
      </w:r>
      <w:bookmarkStart w:id="24" w:name="_Toc28359005"/>
      <w:r>
        <w:rPr>
          <w:color w:val="auto"/>
          <w:highlight w:val="none"/>
        </w:rPr>
      </w:r>
      <w:bookmarkStart w:id="25" w:name="_Toc28359082"/>
      <w:r>
        <w:rPr>
          <w:color w:val="auto"/>
          <w:highlight w:val="none"/>
        </w:rPr>
      </w:r>
      <w:bookmarkStart w:id="26" w:name="_Toc35393624"/>
      <w:r>
        <w:rPr>
          <w:color w:val="auto"/>
          <w:highlight w:val="none"/>
        </w:rPr>
      </w:r>
      <w:bookmarkStart w:id="27" w:name="_Toc35393793"/>
      <w:r>
        <w:rPr>
          <w:color w:val="auto"/>
          <w:highlight w:val="none"/>
        </w:rPr>
      </w:r>
      <w:bookmarkStart w:id="28" w:name="_Toc38985266"/>
      <w:r>
        <w:rPr>
          <w:rFonts w:hint="eastAsia" w:ascii="宋体" w:hAnsi="宋体" w:cs="宋体"/>
          <w:color w:val="auto"/>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auto"/>
          <w:sz w:val="24"/>
          <w:szCs w:val="24"/>
          <w:highlight w:val="none"/>
        </w:rPr>
      </w:r>
      <w:r>
        <w:rPr>
          <w:color w:val="auto"/>
          <w:highlight w:val="none"/>
        </w:rPr>
      </w:r>
    </w:p>
    <w:p>
      <w:pPr>
        <w:pStyle w:val="914"/>
        <w:ind w:firstLine="5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2.方式：在“扬州市政府采购网”</w:t>
      </w:r>
      <w:r>
        <w:rPr>
          <w:rFonts w:hint="eastAsia" w:ascii="宋体" w:hAnsi="宋体" w:cs="宋体"/>
          <w:color w:val="auto"/>
          <w:sz w:val="24"/>
          <w:szCs w:val="24"/>
          <w:highlight w:val="none"/>
        </w:rPr>
        <w:t xml:space="preserve">、“江苏政府采购网”</w:t>
      </w:r>
      <w:r>
        <w:rPr>
          <w:rFonts w:hint="eastAsia" w:ascii="宋体" w:hAnsi="宋体" w:cs="宋体"/>
          <w:color w:val="auto"/>
          <w:sz w:val="24"/>
          <w:szCs w:val="24"/>
          <w:highlight w:val="none"/>
        </w:rPr>
        <w:t xml:space="preserve">自行免费下载招标文件。</w:t>
      </w:r>
      <w:r>
        <w:rPr>
          <w:rFonts w:hint="eastAsia" w:ascii="宋体" w:hAnsi="宋体" w:cs="宋体"/>
          <w:color w:val="auto"/>
          <w:sz w:val="24"/>
          <w:szCs w:val="24"/>
          <w:highlight w:val="none"/>
          <w:u w:val="singl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四、提交投标文件</w:t>
      </w:r>
      <w:bookmarkEnd w:id="24"/>
      <w:r>
        <w:rPr>
          <w:color w:val="auto"/>
          <w:highlight w:val="none"/>
        </w:rPr>
      </w:r>
      <w:bookmarkEnd w:id="25"/>
      <w:r>
        <w:rPr>
          <w:rFonts w:hint="eastAsia" w:ascii="宋体" w:hAnsi="宋体" w:cs="宋体"/>
          <w:b/>
          <w:bCs/>
          <w:color w:val="auto"/>
          <w:sz w:val="28"/>
          <w:szCs w:val="28"/>
          <w:highlight w:val="none"/>
        </w:rPr>
        <w:t xml:space="preserve">截止时间、开标时间和地点</w:t>
      </w:r>
      <w:bookmarkEnd w:id="26"/>
      <w:r>
        <w:rPr>
          <w:color w:val="auto"/>
          <w:highlight w:val="none"/>
        </w:rPr>
      </w:r>
      <w:bookmarkEnd w:id="27"/>
      <w:r>
        <w:rPr>
          <w:color w:val="auto"/>
          <w:highlight w:val="none"/>
        </w:rPr>
      </w:r>
      <w:bookmarkEnd w:id="28"/>
      <w:r>
        <w:rPr>
          <w:rFonts w:hint="eastAsia" w:ascii="宋体" w:hAnsi="宋体" w:cs="宋体"/>
          <w:b/>
          <w:bCs/>
          <w:color w:val="auto"/>
          <w:sz w:val="28"/>
          <w:szCs w:val="28"/>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1.提交投标文件截止时间、开标时间：</w:t>
      </w:r>
      <w:r>
        <w:rPr>
          <w:rFonts w:hint="eastAsia" w:ascii="宋体" w:hAnsi="宋体" w:cs="宋体"/>
          <w:bCs/>
          <w:color w:val="auto"/>
          <w:sz w:val="24"/>
          <w:szCs w:val="24"/>
          <w:highlight w:val="none"/>
          <w:u w:val="single"/>
        </w:rPr>
        <w:t xml:space="preserve">2026年4月22日9点10分</w:t>
      </w:r>
      <w:r>
        <w:rPr>
          <w:rFonts w:hint="eastAsia" w:ascii="宋体" w:hAnsi="宋体" w:cs="宋体"/>
          <w:bCs/>
          <w:color w:val="auto"/>
          <w:sz w:val="24"/>
          <w:szCs w:val="24"/>
          <w:highlight w:val="none"/>
        </w:rPr>
        <w:t xml:space="preserve">（北京时间）。</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2.地点：</w:t>
      </w:r>
      <w:r>
        <w:rPr>
          <w:rFonts w:hint="eastAsia" w:ascii="宋体" w:hAnsi="宋体" w:cs="宋体"/>
          <w:color w:val="auto"/>
          <w:sz w:val="24"/>
          <w:szCs w:val="24"/>
          <w:highlight w:val="none"/>
        </w:rPr>
        <w:t xml:space="preserve">“苏采云”政府采购交易系统网上开标大厅。</w:t>
      </w:r>
      <w:r>
        <w:rPr>
          <w:rFonts w:hint="eastAsia" w:ascii="宋体" w:hAnsi="宋体" w:cs="宋体"/>
          <w:bCs/>
          <w:color w:val="auto"/>
          <w:sz w:val="24"/>
          <w:szCs w:val="24"/>
          <w:highlight w:val="none"/>
          <w:u w:val="singl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29" w:name="_Toc28359084"/>
      <w:r>
        <w:rPr>
          <w:color w:val="auto"/>
          <w:highlight w:val="none"/>
        </w:rPr>
      </w:r>
      <w:bookmarkStart w:id="30" w:name="_Toc35393625"/>
      <w:r>
        <w:rPr>
          <w:color w:val="auto"/>
          <w:highlight w:val="none"/>
        </w:rPr>
      </w:r>
      <w:bookmarkStart w:id="31" w:name="_Toc35393794"/>
      <w:r>
        <w:rPr>
          <w:color w:val="auto"/>
          <w:highlight w:val="none"/>
        </w:rPr>
      </w:r>
      <w:bookmarkStart w:id="32" w:name="_Toc28359007"/>
      <w:r>
        <w:rPr>
          <w:color w:val="auto"/>
          <w:highlight w:val="none"/>
        </w:rPr>
      </w:r>
      <w:bookmarkStart w:id="33" w:name="_Toc38985267"/>
      <w:r>
        <w:rPr>
          <w:rFonts w:hint="eastAsia" w:ascii="宋体" w:hAnsi="宋体" w:cs="宋体"/>
          <w:b/>
          <w:bCs/>
          <w:color w:val="auto"/>
          <w:sz w:val="28"/>
          <w:szCs w:val="28"/>
          <w:highlight w:val="none"/>
        </w:rPr>
        <w:t xml:space="preserve">五、公告期限</w:t>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rFonts w:hint="eastAsia" w:ascii="宋体" w:hAnsi="宋体" w:cs="宋体"/>
          <w:b/>
          <w:bCs/>
          <w:color w:val="auto"/>
          <w:sz w:val="28"/>
          <w:szCs w:val="28"/>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Start w:id="34" w:name="_Toc35393626"/>
      <w:r>
        <w:rPr>
          <w:color w:val="auto"/>
          <w:highlight w:val="none"/>
        </w:rPr>
      </w:r>
      <w:bookmarkStart w:id="35" w:name="_Toc35393795"/>
      <w:r>
        <w:rPr>
          <w:color w:val="auto"/>
          <w:highlight w:val="none"/>
        </w:rPr>
      </w:r>
      <w:bookmarkStart w:id="36" w:name="_Toc38985268"/>
      <w:r>
        <w:rPr>
          <w:rFonts w:hint="eastAsia" w:ascii="宋体" w:hAnsi="宋体" w:cs="宋体"/>
          <w:color w:val="auto"/>
          <w:sz w:val="24"/>
          <w:szCs w:val="24"/>
          <w:highlight w:val="none"/>
        </w:rPr>
        <w:t xml:space="preserve">招标公告及招标文件公告期限为自本公告发布之日起5个工作日。</w:t>
      </w:r>
      <w:r>
        <w:rPr>
          <w:rFonts w:hint="eastAsia" w:ascii="宋体" w:hAnsi="宋体" w:cs="宋体"/>
          <w:color w:val="auto"/>
          <w:sz w:val="24"/>
          <w:szCs w:val="24"/>
          <w:highlight w:val="non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六、其他补充事宜</w:t>
      </w:r>
      <w:bookmarkEnd w:id="34"/>
      <w:r>
        <w:rPr>
          <w:color w:val="auto"/>
          <w:highlight w:val="none"/>
        </w:rPr>
      </w:r>
      <w:bookmarkEnd w:id="35"/>
      <w:r>
        <w:rPr>
          <w:color w:val="auto"/>
          <w:highlight w:val="none"/>
        </w:rPr>
      </w:r>
      <w:bookmarkEnd w:id="36"/>
      <w:r>
        <w:rPr>
          <w:color w:val="auto"/>
          <w:highlight w:val="none"/>
        </w:rPr>
      </w:r>
      <w:bookmarkStart w:id="37" w:name="_Toc38985269"/>
      <w:r>
        <w:rPr>
          <w:color w:val="auto"/>
          <w:highlight w:val="none"/>
        </w:rPr>
      </w:r>
      <w:bookmarkStart w:id="38" w:name="_Toc28359008"/>
      <w:r>
        <w:rPr>
          <w:color w:val="auto"/>
          <w:highlight w:val="none"/>
        </w:rPr>
      </w:r>
      <w:bookmarkStart w:id="39" w:name="_Toc35393796"/>
      <w:r>
        <w:rPr>
          <w:color w:val="auto"/>
          <w:highlight w:val="none"/>
        </w:rPr>
      </w:r>
      <w:bookmarkStart w:id="40" w:name="_Toc28359085"/>
      <w:r>
        <w:rPr>
          <w:color w:val="auto"/>
          <w:highlight w:val="none"/>
        </w:rPr>
      </w:r>
      <w:bookmarkStart w:id="41" w:name="_Toc35393627"/>
      <w:r>
        <w:rPr>
          <w:rFonts w:hint="eastAsia" w:ascii="宋体" w:hAnsi="宋体" w:cs="宋体"/>
          <w:b/>
          <w:bCs/>
          <w:color w:val="auto"/>
          <w:sz w:val="28"/>
          <w:szCs w:val="28"/>
          <w:highlight w:val="non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1.本项目招标文件中所有斜体下划线部分为实质性条款，如不满足，则为无效投标。</w:t>
      </w:r>
      <w:r>
        <w:rPr>
          <w:rFonts w:hint="eastAsia" w:ascii="宋体" w:hAnsi="宋体" w:cs="宋体"/>
          <w:i/>
          <w:color w:val="auto"/>
          <w:sz w:val="24"/>
          <w:szCs w:val="24"/>
          <w:highlight w:val="none"/>
          <w:u w:val="single"/>
        </w:rPr>
      </w:r>
      <w:r>
        <w:rPr>
          <w:color w:val="auto"/>
          <w:highlight w:val="none"/>
        </w:rPr>
      </w:r>
    </w:p>
    <w:p>
      <w:pPr>
        <w:pStyle w:val="914"/>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color w:val="auto"/>
          <w:sz w:val="24"/>
          <w:szCs w:val="24"/>
          <w:highlight w:val="none"/>
        </w:rPr>
      </w:r>
      <w:r>
        <w:rPr>
          <w:color w:val="auto"/>
          <w:highlight w:val="none"/>
        </w:rPr>
      </w:r>
    </w:p>
    <w:p>
      <w:pPr>
        <w:pStyle w:val="914"/>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auto"/>
          <w:sz w:val="24"/>
          <w:szCs w:val="24"/>
          <w:highlight w:val="none"/>
        </w:rPr>
      </w:r>
      <w:r>
        <w:rPr>
          <w:color w:val="auto"/>
          <w:highlight w:val="none"/>
        </w:rPr>
      </w:r>
    </w:p>
    <w:p>
      <w:pPr>
        <w:pStyle w:val="914"/>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潜在供应商对采购文件项目需求部分的询问、质疑请向采购人提出，由采购人负责答复。</w:t>
      </w:r>
      <w:r>
        <w:rPr>
          <w:rFonts w:hint="eastAsia" w:ascii="宋体" w:hAnsi="宋体" w:cs="宋体"/>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 有关本次招标的事项若存在变动或修改，敬请及时关注</w:t>
      </w:r>
      <w:r>
        <w:rPr>
          <w:rFonts w:hint="eastAsia" w:ascii="宋体" w:hAnsi="宋体" w:cs="宋体"/>
          <w:color w:val="auto"/>
          <w:sz w:val="24"/>
          <w:szCs w:val="24"/>
          <w:highlight w:val="none"/>
        </w:rPr>
        <w:t xml:space="preserve">“扬州市政府采购网”、 “江苏省政府采购网”</w:t>
      </w:r>
      <w:r>
        <w:rPr>
          <w:rFonts w:hint="eastAsia" w:ascii="宋体" w:hAnsi="宋体" w:cs="宋体"/>
          <w:bCs/>
          <w:color w:val="auto"/>
          <w:sz w:val="24"/>
          <w:szCs w:val="24"/>
          <w:highlight w:val="none"/>
        </w:rPr>
        <w:t xml:space="preserve">发布的更正公告。</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本次招标不收取投标保证金。</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auto"/>
          <w:sz w:val="24"/>
          <w:szCs w:val="24"/>
          <w:highlight w:val="none"/>
          <w:u w:val="single"/>
        </w:rPr>
        <w:t xml:space="preserve">《国办发〔2025〕34号》《财库〔2026〕2号》</w:t>
      </w:r>
      <w:r>
        <w:rPr>
          <w:rFonts w:hint="eastAsia" w:ascii="宋体" w:hAnsi="宋体" w:cs="宋体"/>
          <w:bCs/>
          <w:color w:val="auto"/>
          <w:sz w:val="24"/>
          <w:szCs w:val="24"/>
          <w:highlight w:val="none"/>
          <w:u w:val="singl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七、本次招标联系方式</w:t>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rFonts w:hint="eastAsia" w:ascii="宋体" w:hAnsi="宋体" w:cs="宋体"/>
          <w:b/>
          <w:bCs/>
          <w:color w:val="auto"/>
          <w:sz w:val="28"/>
          <w:szCs w:val="28"/>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 购 人：江苏省苏北人民医院</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联系地址：扬州市广陵区南通西路98号</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人：丁老师</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rPr>
        <w:t xml:space="preserve">0514-87373114</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2.采购代理机构：江苏苏豪创新科技集团高科有限公司</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联系地址：南京市雨花台区软件大道21号苏豪国际广场（北园）C座612室</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人：丁一、李沁原</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联系电话：025-52875927、025-52875941</w:t>
      </w:r>
      <w:r>
        <w:rPr>
          <w:rFonts w:hint="eastAsia" w:ascii="宋体" w:hAnsi="宋体" w:cs="宋体"/>
          <w:color w:val="auto"/>
          <w:sz w:val="24"/>
          <w:szCs w:val="24"/>
          <w:highlight w:val="none"/>
        </w:rPr>
      </w:r>
      <w:r>
        <w:rPr>
          <w:color w:val="auto"/>
          <w:highlight w:val="none"/>
        </w:rPr>
      </w:r>
    </w:p>
    <w:p>
      <w:pPr>
        <w:pStyle w:val="914"/>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rFonts w:hint="eastAsia" w:ascii="宋体" w:hAnsi="宋体" w:cs="宋体"/>
          <w:color w:val="auto"/>
          <w:sz w:val="24"/>
          <w:szCs w:val="24"/>
          <w:highlight w:val="none"/>
        </w:rPr>
      </w:r>
      <w:r>
        <w:rPr>
          <w:color w:val="auto"/>
          <w:highlight w:val="none"/>
        </w:rPr>
      </w:r>
    </w:p>
    <w:p>
      <w:pPr>
        <w:pStyle w:val="914"/>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项目联系人：吴冬晓、朱笑青</w:t>
      </w:r>
      <w:r>
        <w:rPr>
          <w:rFonts w:hint="eastAsia" w:ascii="宋体" w:hAnsi="宋体" w:cs="宋体"/>
          <w:color w:val="auto"/>
          <w:spacing w:val="8"/>
          <w:sz w:val="24"/>
          <w:szCs w:val="24"/>
          <w:highlight w:val="none"/>
        </w:rPr>
      </w:r>
      <w:r>
        <w:rPr>
          <w:color w:val="auto"/>
          <w:highlight w:val="none"/>
        </w:rPr>
      </w:r>
    </w:p>
    <w:p>
      <w:pPr>
        <w:pStyle w:val="914"/>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电话：025-52874082、025-52875975</w:t>
      </w:r>
      <w:r>
        <w:rPr>
          <w:rFonts w:hint="eastAsia" w:ascii="宋体" w:hAnsi="宋体" w:cs="宋体"/>
          <w:color w:val="auto"/>
          <w:spacing w:val="8"/>
          <w:sz w:val="24"/>
          <w:szCs w:val="24"/>
          <w:highlight w:val="none"/>
        </w:rPr>
      </w:r>
      <w:r>
        <w:rPr>
          <w:color w:val="auto"/>
          <w:highlight w:val="none"/>
        </w:rPr>
      </w:r>
    </w:p>
    <w:p>
      <w:pPr>
        <w:pStyle w:val="914"/>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w:t>
      </w:r>
      <w:bookmarkStart w:id="42" w:name="_Toc120614211"/>
      <w:r>
        <w:rPr>
          <w:rFonts w:hint="eastAsia" w:ascii="宋体" w:hAnsi="宋体" w:cs="宋体"/>
          <w:b/>
          <w:bCs/>
          <w:color w:val="auto"/>
          <w:sz w:val="28"/>
          <w:szCs w:val="28"/>
          <w:highlight w:val="none"/>
        </w:rPr>
        <w:t xml:space="preserve">落实好政府采购履约资金扶持政策及其他相关政策</w:t>
      </w:r>
      <w:r>
        <w:rPr>
          <w:rFonts w:hint="eastAsia" w:ascii="宋体" w:hAnsi="宋体" w:cs="宋体"/>
          <w:b/>
          <w:bCs/>
          <w:color w:val="auto"/>
          <w:sz w:val="28"/>
          <w:szCs w:val="28"/>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1.中标/成交供应商可凭政府采购合同办理融资贷款，详见江苏政府采购网“政采贷”专栏。”</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2.严格执行政府采购关于支持</w:t>
      </w:r>
      <w:r>
        <w:rPr>
          <w:rFonts w:hint="eastAsia" w:ascii="宋体" w:hAnsi="宋体" w:cs="宋体"/>
          <w:bCs/>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color w:val="auto"/>
          <w:sz w:val="24"/>
          <w:szCs w:val="24"/>
          <w:highlight w:val="none"/>
        </w:rPr>
      </w:r>
      <w:r>
        <w:rPr>
          <w:color w:val="auto"/>
          <w:highlight w:val="none"/>
        </w:rPr>
      </w:r>
    </w:p>
    <w:p>
      <w:pPr>
        <w:pStyle w:val="914"/>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914"/>
        <w:jc w:val="center"/>
        <w:keepNext/>
        <w:rPr>
          <w:rFonts w:hint="eastAsia" w:ascii="宋体" w:hAnsi="宋体" w:cs="宋体"/>
          <w:color w:val="auto"/>
          <w:sz w:val="44"/>
          <w:szCs w:val="44"/>
          <w:highlight w:val="none"/>
        </w:rPr>
        <w:outlineLvl w:val="0"/>
      </w:pPr>
      <w:r>
        <w:rPr>
          <w:rFonts w:hint="eastAsia" w:ascii="宋体" w:hAnsi="宋体" w:cs="宋体"/>
          <w:bCs/>
          <w:color w:val="auto"/>
          <w:sz w:val="24"/>
          <w:szCs w:val="24"/>
          <w:highlight w:val="none"/>
        </w:rPr>
        <w:br w:type="page" w:clear="all"/>
      </w:r>
      <w:bookmarkStart w:id="43" w:name="_Toc17820"/>
      <w:r>
        <w:rPr>
          <w:rFonts w:hint="eastAsia" w:ascii="宋体" w:hAnsi="宋体" w:cs="宋体"/>
          <w:color w:val="auto"/>
          <w:sz w:val="44"/>
          <w:szCs w:val="44"/>
          <w:highlight w:val="none"/>
        </w:rPr>
        <w:t xml:space="preserve">第二章</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4" w:name="_Toc120614213"/>
      <w:r>
        <w:rPr>
          <w:color w:val="auto"/>
          <w:highlight w:val="none"/>
        </w:rPr>
      </w:r>
      <w:bookmarkStart w:id="45" w:name="_Toc513029202"/>
      <w:r>
        <w:rPr>
          <w:color w:val="auto"/>
          <w:highlight w:val="none"/>
        </w:rPr>
      </w:r>
      <w:bookmarkStart w:id="46" w:name="_Toc20823274"/>
      <w:r>
        <w:rPr>
          <w:color w:val="auto"/>
          <w:highlight w:val="none"/>
        </w:rPr>
      </w:r>
      <w:bookmarkStart w:id="47" w:name="_Toc16938518"/>
      <w:r>
        <w:rPr>
          <w:rFonts w:hint="eastAsia" w:ascii="宋体" w:hAnsi="宋体" w:cs="宋体"/>
          <w:color w:val="auto"/>
          <w:sz w:val="44"/>
          <w:szCs w:val="44"/>
          <w:highlight w:val="none"/>
        </w:rPr>
        <w:t xml:space="preserve">  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rFonts w:hint="eastAsia" w:ascii="宋体" w:hAnsi="宋体" w:cs="宋体"/>
          <w:color w:val="auto"/>
          <w:sz w:val="44"/>
          <w:szCs w:val="4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48" w:name="_Toc16938519"/>
      <w:r>
        <w:rPr>
          <w:color w:val="auto"/>
          <w:highlight w:val="none"/>
        </w:rPr>
      </w:r>
      <w:bookmarkStart w:id="49" w:name="_Toc513029203"/>
      <w:r>
        <w:rPr>
          <w:color w:val="auto"/>
          <w:highlight w:val="none"/>
        </w:rPr>
      </w:r>
      <w:bookmarkStart w:id="50" w:name="_Toc20823275"/>
      <w:r>
        <w:rPr>
          <w:color w:val="auto"/>
          <w:highlight w:val="none"/>
        </w:rPr>
      </w:r>
      <w:bookmarkStart w:id="51" w:name="_Toc120614214"/>
      <w:r>
        <w:rPr>
          <w:rFonts w:hint="eastAsia" w:ascii="宋体" w:hAnsi="宋体" w:cs="宋体"/>
          <w:b/>
          <w:bCs/>
          <w:color w:val="auto"/>
          <w:sz w:val="32"/>
          <w:szCs w:val="32"/>
          <w:highlight w:val="none"/>
        </w:rPr>
        <w:t xml:space="preserve">一、总则</w:t>
      </w:r>
      <w:bookmarkEnd w:id="48"/>
      <w:r>
        <w:rPr>
          <w:color w:val="auto"/>
          <w:highlight w:val="none"/>
        </w:rPr>
      </w:r>
      <w:bookmarkEnd w:id="49"/>
      <w:r>
        <w:rPr>
          <w:color w:val="auto"/>
          <w:highlight w:val="none"/>
        </w:rPr>
      </w:r>
      <w:bookmarkEnd w:id="50"/>
      <w:r>
        <w:rPr>
          <w:color w:val="auto"/>
          <w:highlight w:val="none"/>
        </w:rPr>
      </w:r>
      <w:bookmarkEnd w:id="51"/>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color w:val="auto"/>
          <w:sz w:val="24"/>
          <w:szCs w:val="24"/>
          <w:highlight w:val="none"/>
        </w:rPr>
        <w:outlineLvl w:val="3"/>
      </w:pPr>
      <w:r>
        <w:rPr>
          <w:color w:val="auto"/>
          <w:highlight w:val="none"/>
        </w:rPr>
      </w:r>
      <w:bookmarkStart w:id="52" w:name="_Hlt16619475"/>
      <w:r>
        <w:rPr>
          <w:color w:val="auto"/>
          <w:highlight w:val="none"/>
        </w:rPr>
      </w:r>
      <w:bookmarkEnd w:id="52"/>
      <w:r>
        <w:rPr>
          <w:color w:val="auto"/>
          <w:highlight w:val="none"/>
        </w:rPr>
      </w:r>
      <w:bookmarkStart w:id="53" w:name="_Toc458694821"/>
      <w:r>
        <w:rPr>
          <w:color w:val="auto"/>
          <w:highlight w:val="none"/>
        </w:rPr>
      </w:r>
      <w:bookmarkStart w:id="54" w:name="_Toc20823276"/>
      <w:r>
        <w:rPr>
          <w:color w:val="auto"/>
          <w:highlight w:val="none"/>
        </w:rPr>
      </w:r>
      <w:bookmarkStart w:id="55" w:name="_Toc513029204"/>
      <w:r>
        <w:rPr>
          <w:color w:val="auto"/>
          <w:highlight w:val="none"/>
        </w:rPr>
      </w:r>
      <w:bookmarkStart w:id="56" w:name="_Toc16938520"/>
      <w:r>
        <w:rPr>
          <w:rFonts w:hint="eastAsia" w:ascii="宋体" w:hAnsi="宋体" w:cs="宋体"/>
          <w:color w:val="auto"/>
          <w:sz w:val="24"/>
          <w:szCs w:val="24"/>
          <w:highlight w:val="none"/>
        </w:rPr>
        <w:t xml:space="preserve">1.</w:t>
      </w:r>
      <w:bookmarkEnd w:id="53"/>
      <w:r>
        <w:rPr>
          <w:rFonts w:hint="eastAsia" w:ascii="宋体" w:hAnsi="宋体" w:cs="宋体"/>
          <w:color w:val="auto"/>
          <w:sz w:val="24"/>
          <w:szCs w:val="24"/>
          <w:highlight w:val="none"/>
        </w:rPr>
        <w:t xml:space="preserve">招标方式</w:t>
      </w:r>
      <w:bookmarkEnd w:id="54"/>
      <w:r>
        <w:rPr>
          <w:color w:val="auto"/>
          <w:highlight w:val="none"/>
        </w:rPr>
      </w:r>
      <w:bookmarkEnd w:id="55"/>
      <w:r>
        <w:rPr>
          <w:color w:val="auto"/>
          <w:highlight w:val="none"/>
        </w:rPr>
      </w:r>
      <w:bookmarkEnd w:id="56"/>
      <w:r>
        <w:rPr>
          <w:rFonts w:hint="eastAsia" w:ascii="宋体" w:hAnsi="宋体" w:cs="宋体"/>
          <w:color w:val="auto"/>
          <w:sz w:val="24"/>
          <w:szCs w:val="24"/>
          <w:highlight w:val="none"/>
        </w:rPr>
      </w:r>
      <w:r>
        <w:rPr>
          <w:color w:val="auto"/>
          <w:highlight w:val="none"/>
        </w:rPr>
      </w:r>
    </w:p>
    <w:p>
      <w:pPr>
        <w:pStyle w:val="914"/>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57" w:name="_Toc16938521"/>
      <w:r>
        <w:rPr>
          <w:color w:val="auto"/>
          <w:highlight w:val="none"/>
        </w:rPr>
      </w:r>
      <w:bookmarkStart w:id="58" w:name="_Toc20823277"/>
      <w:r>
        <w:rPr>
          <w:color w:val="auto"/>
          <w:highlight w:val="none"/>
        </w:rPr>
      </w:r>
      <w:bookmarkStart w:id="59" w:name="_Toc513029205"/>
      <w:r>
        <w:rPr>
          <w:rFonts w:hint="eastAsia" w:ascii="宋体" w:hAnsi="宋体" w:cs="宋体"/>
          <w:color w:val="auto"/>
          <w:sz w:val="24"/>
          <w:szCs w:val="24"/>
          <w:highlight w:val="none"/>
        </w:rPr>
        <w:t xml:space="preserve">2.合格的投标人</w:t>
      </w:r>
      <w:bookmarkEnd w:id="57"/>
      <w:r>
        <w:rPr>
          <w:color w:val="auto"/>
          <w:highlight w:val="none"/>
        </w:rPr>
      </w:r>
      <w:bookmarkEnd w:id="58"/>
      <w:r>
        <w:rPr>
          <w:color w:val="auto"/>
          <w:highlight w:val="none"/>
        </w:rPr>
      </w:r>
      <w:bookmarkEnd w:id="59"/>
      <w:r>
        <w:rPr>
          <w:rFonts w:hint="eastAsia" w:ascii="宋体" w:hAnsi="宋体" w:cs="宋体"/>
          <w:color w:val="auto"/>
          <w:sz w:val="24"/>
          <w:szCs w:val="24"/>
          <w:highlight w:val="none"/>
        </w:rPr>
      </w:r>
      <w:r>
        <w:rPr>
          <w:color w:val="auto"/>
          <w:highlight w:val="none"/>
        </w:rPr>
      </w:r>
    </w:p>
    <w:p>
      <w:pPr>
        <w:pStyle w:val="914"/>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满足招标公告中供应商的资格要求的规定。</w:t>
      </w:r>
      <w:r>
        <w:rPr>
          <w:rFonts w:hint="eastAsia" w:ascii="宋体" w:hAnsi="宋体" w:cs="宋体"/>
          <w:color w:val="auto"/>
          <w:sz w:val="24"/>
          <w:szCs w:val="24"/>
          <w:highlight w:val="none"/>
        </w:rPr>
      </w:r>
      <w:r>
        <w:rPr>
          <w:color w:val="auto"/>
          <w:highlight w:val="none"/>
        </w:rPr>
      </w:r>
    </w:p>
    <w:p>
      <w:pPr>
        <w:pStyle w:val="914"/>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0" w:name="_Toc20823278"/>
      <w:r>
        <w:rPr>
          <w:color w:val="auto"/>
          <w:highlight w:val="none"/>
        </w:rPr>
      </w:r>
      <w:bookmarkStart w:id="61" w:name="_Toc16938522"/>
      <w:r>
        <w:rPr>
          <w:color w:val="auto"/>
          <w:highlight w:val="none"/>
        </w:rPr>
      </w:r>
      <w:bookmarkStart w:id="62" w:name="_Toc513029206"/>
      <w:r>
        <w:rPr>
          <w:rFonts w:hint="eastAsia" w:ascii="宋体" w:hAnsi="宋体" w:cs="宋体"/>
          <w:color w:val="auto"/>
          <w:sz w:val="24"/>
          <w:szCs w:val="24"/>
          <w:highlight w:val="none"/>
        </w:rPr>
        <w:t xml:space="preserve">3.适用法律</w:t>
      </w:r>
      <w:bookmarkEnd w:id="60"/>
      <w:r>
        <w:rPr>
          <w:color w:val="auto"/>
          <w:highlight w:val="none"/>
        </w:rPr>
      </w:r>
      <w:bookmarkEnd w:id="61"/>
      <w:r>
        <w:rPr>
          <w:color w:val="auto"/>
          <w:highlight w:val="none"/>
        </w:rPr>
      </w:r>
      <w:bookmarkEnd w:id="62"/>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本次招标及由此产生的合同受中华人民共和国有关的法律法规制约和保护。</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 在本项目政府采购活动过程中，如果所执行的标准有更新的，按照最新标准执行</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3" w:name="_Toc20823279"/>
      <w:r>
        <w:rPr>
          <w:color w:val="auto"/>
          <w:highlight w:val="none"/>
        </w:rPr>
      </w:r>
      <w:bookmarkStart w:id="64" w:name="_Toc462564067"/>
      <w:r>
        <w:rPr>
          <w:color w:val="auto"/>
          <w:highlight w:val="none"/>
        </w:rPr>
      </w:r>
      <w:bookmarkStart w:id="65" w:name="_Toc513029207"/>
      <w:r>
        <w:rPr>
          <w:color w:val="auto"/>
          <w:highlight w:val="none"/>
        </w:rPr>
      </w:r>
      <w:bookmarkStart w:id="66" w:name="_Toc16938523"/>
      <w:r>
        <w:rPr>
          <w:rFonts w:hint="eastAsia" w:ascii="宋体" w:hAnsi="宋体" w:cs="宋体"/>
          <w:color w:val="auto"/>
          <w:sz w:val="24"/>
          <w:szCs w:val="24"/>
          <w:highlight w:val="none"/>
        </w:rPr>
        <w:t xml:space="preserve">4.投标费用</w:t>
      </w:r>
      <w:bookmarkEnd w:id="63"/>
      <w:r>
        <w:rPr>
          <w:color w:val="auto"/>
          <w:highlight w:val="none"/>
        </w:rPr>
      </w:r>
      <w:bookmarkEnd w:id="64"/>
      <w:r>
        <w:rPr>
          <w:color w:val="auto"/>
          <w:highlight w:val="none"/>
        </w:rPr>
      </w:r>
      <w:bookmarkEnd w:id="65"/>
      <w:r>
        <w:rPr>
          <w:color w:val="auto"/>
          <w:highlight w:val="none"/>
        </w:rPr>
      </w:r>
      <w:bookmarkEnd w:id="66"/>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本次招标代理机构不收取标书工本费。</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4.3 中标服务费收费标准：</w:t>
      </w:r>
      <w:r>
        <w:rPr>
          <w:rFonts w:hint="eastAsia" w:ascii="宋体" w:hAnsi="宋体" w:cs="宋体"/>
          <w:b/>
          <w:color w:val="auto"/>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color w:val="auto"/>
          <w:sz w:val="24"/>
          <w:szCs w:val="24"/>
          <w:highlight w:val="none"/>
          <w:u w:val="singl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5.招标文件的约束力</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bookmarkStart w:id="67" w:name="_Toc20823281"/>
      <w:r>
        <w:rPr>
          <w:color w:val="auto"/>
          <w:highlight w:val="none"/>
        </w:rPr>
      </w:r>
      <w:bookmarkStart w:id="68" w:name="_Toc16938525"/>
      <w:r>
        <w:rPr>
          <w:color w:val="auto"/>
          <w:highlight w:val="none"/>
        </w:rPr>
      </w:r>
      <w:bookmarkStart w:id="69" w:name="_Toc120614215"/>
      <w:r>
        <w:rPr>
          <w:color w:val="auto"/>
          <w:highlight w:val="none"/>
        </w:rPr>
      </w:r>
      <w:bookmarkStart w:id="70" w:name="_Toc513029209"/>
      <w:r>
        <w:rPr>
          <w:rFonts w:hint="eastAsia" w:ascii="宋体" w:hAnsi="宋体" w:cs="宋体"/>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二、招标文件</w:t>
      </w:r>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color w:val="auto"/>
          <w:sz w:val="24"/>
          <w:szCs w:val="24"/>
          <w:highlight w:val="none"/>
        </w:rPr>
        <w:outlineLvl w:val="3"/>
      </w:pPr>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Start w:id="71" w:name="_Toc20823282"/>
      <w:r>
        <w:rPr>
          <w:color w:val="auto"/>
          <w:highlight w:val="none"/>
        </w:rPr>
      </w:r>
      <w:bookmarkStart w:id="72" w:name="_Toc16938526"/>
      <w:r>
        <w:rPr>
          <w:color w:val="auto"/>
          <w:highlight w:val="none"/>
        </w:rPr>
      </w:r>
      <w:bookmarkStart w:id="73" w:name="_Toc513029210"/>
      <w:r>
        <w:rPr>
          <w:rFonts w:hint="eastAsia" w:ascii="宋体" w:hAnsi="宋体" w:cs="宋体"/>
          <w:color w:val="auto"/>
          <w:sz w:val="24"/>
          <w:szCs w:val="24"/>
          <w:highlight w:val="none"/>
        </w:rPr>
        <w:t xml:space="preserve">6.招标文件构成</w:t>
      </w:r>
      <w:bookmarkEnd w:id="71"/>
      <w:r>
        <w:rPr>
          <w:color w:val="auto"/>
          <w:highlight w:val="none"/>
        </w:rPr>
      </w:r>
      <w:bookmarkEnd w:id="72"/>
      <w:r>
        <w:rPr>
          <w:color w:val="auto"/>
          <w:highlight w:val="none"/>
        </w:rPr>
      </w:r>
      <w:bookmarkEnd w:id="73"/>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招标文件由以下部分组成：</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4" w:name="_Toc513029211"/>
      <w:r>
        <w:rPr>
          <w:color w:val="auto"/>
          <w:highlight w:val="none"/>
        </w:rPr>
      </w:r>
      <w:bookmarkStart w:id="75" w:name="_Toc20823283"/>
      <w:r>
        <w:rPr>
          <w:color w:val="auto"/>
          <w:highlight w:val="none"/>
        </w:rPr>
      </w:r>
      <w:bookmarkStart w:id="76" w:name="_Toc462564070"/>
      <w:r>
        <w:rPr>
          <w:color w:val="auto"/>
          <w:highlight w:val="none"/>
        </w:rPr>
      </w:r>
      <w:bookmarkStart w:id="77" w:name="_Toc16938527"/>
      <w:r>
        <w:rPr>
          <w:rFonts w:hint="eastAsia" w:ascii="宋体" w:hAnsi="宋体" w:cs="宋体"/>
          <w:color w:val="auto"/>
          <w:sz w:val="24"/>
          <w:szCs w:val="24"/>
          <w:highlight w:val="none"/>
        </w:rPr>
        <w:t xml:space="preserve">7.招标文件的澄清</w:t>
      </w:r>
      <w:bookmarkEnd w:id="74"/>
      <w:r>
        <w:rPr>
          <w:color w:val="auto"/>
          <w:highlight w:val="none"/>
        </w:rPr>
      </w:r>
      <w:bookmarkEnd w:id="75"/>
      <w:r>
        <w:rPr>
          <w:color w:val="auto"/>
          <w:highlight w:val="none"/>
        </w:rPr>
      </w:r>
      <w:bookmarkEnd w:id="76"/>
      <w:r>
        <w:rPr>
          <w:color w:val="auto"/>
          <w:highlight w:val="none"/>
        </w:rPr>
      </w:r>
      <w:bookmarkEnd w:id="77"/>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前按招标公告中的通讯地址，以书面形式通知代理机构。</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8" w:name="_Toc513029212"/>
      <w:r>
        <w:rPr>
          <w:color w:val="auto"/>
          <w:highlight w:val="none"/>
        </w:rPr>
      </w:r>
      <w:bookmarkStart w:id="79" w:name="_Toc20823284"/>
      <w:r>
        <w:rPr>
          <w:color w:val="auto"/>
          <w:highlight w:val="none"/>
        </w:rPr>
      </w:r>
      <w:bookmarkStart w:id="80" w:name="_Toc462564071"/>
      <w:r>
        <w:rPr>
          <w:color w:val="auto"/>
          <w:highlight w:val="none"/>
        </w:rPr>
      </w:r>
      <w:bookmarkStart w:id="81" w:name="_Toc16938528"/>
      <w:r>
        <w:rPr>
          <w:rFonts w:hint="eastAsia" w:ascii="宋体" w:hAnsi="宋体" w:cs="宋体"/>
          <w:color w:val="auto"/>
          <w:sz w:val="24"/>
          <w:szCs w:val="24"/>
          <w:highlight w:val="none"/>
        </w:rPr>
        <w:t xml:space="preserve">8.招标文件的修改</w:t>
      </w:r>
      <w:bookmarkEnd w:id="78"/>
      <w:r>
        <w:rPr>
          <w:color w:val="auto"/>
          <w:highlight w:val="none"/>
        </w:rPr>
      </w:r>
      <w:bookmarkEnd w:id="79"/>
      <w:r>
        <w:rPr>
          <w:color w:val="auto"/>
          <w:highlight w:val="none"/>
        </w:rPr>
      </w:r>
      <w:bookmarkEnd w:id="80"/>
      <w:r>
        <w:rPr>
          <w:color w:val="auto"/>
          <w:highlight w:val="none"/>
        </w:rPr>
      </w:r>
      <w:bookmarkEnd w:id="81"/>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在投标截止时间前，</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可以对招标文件进行修改。</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 代理机构</w:t>
      </w:r>
      <w:r>
        <w:rPr>
          <w:rFonts w:hint="eastAsia" w:ascii="宋体" w:hAnsi="宋体" w:cs="宋体"/>
          <w:color w:val="auto"/>
          <w:sz w:val="24"/>
          <w:szCs w:val="24"/>
          <w:highlight w:val="none"/>
        </w:rPr>
        <w:t xml:space="preserve">有权按照法定的要求推迟投标截止日期和开标日期。</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8.3 </w:t>
      </w:r>
      <w:r>
        <w:rPr>
          <w:rFonts w:hint="eastAsia" w:ascii="宋体" w:hAnsi="宋体" w:cs="宋体"/>
          <w:color w:val="auto"/>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82" w:name="_Toc20823285"/>
      <w:r>
        <w:rPr>
          <w:color w:val="auto"/>
          <w:highlight w:val="none"/>
        </w:rPr>
      </w:r>
      <w:bookmarkStart w:id="83" w:name="_Toc462564072"/>
      <w:r>
        <w:rPr>
          <w:color w:val="auto"/>
          <w:highlight w:val="none"/>
        </w:rPr>
      </w:r>
      <w:bookmarkStart w:id="84" w:name="_Toc16938529"/>
      <w:r>
        <w:rPr>
          <w:color w:val="auto"/>
          <w:highlight w:val="none"/>
        </w:rPr>
      </w:r>
      <w:bookmarkStart w:id="85" w:name="_Toc120614216"/>
      <w:r>
        <w:rPr>
          <w:color w:val="auto"/>
          <w:highlight w:val="none"/>
        </w:rPr>
      </w:r>
      <w:bookmarkStart w:id="86" w:name="_Toc513029213"/>
      <w:r>
        <w:rPr>
          <w:rFonts w:hint="eastAsia" w:ascii="宋体" w:hAnsi="宋体" w:cs="宋体"/>
          <w:b/>
          <w:bCs/>
          <w:color w:val="auto"/>
          <w:sz w:val="32"/>
          <w:szCs w:val="32"/>
          <w:highlight w:val="none"/>
        </w:rPr>
        <w:t xml:space="preserve">三、投标文件的编制</w:t>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b/>
          <w:color w:val="auto"/>
          <w:sz w:val="24"/>
          <w:szCs w:val="24"/>
          <w:highlight w:val="none"/>
        </w:rPr>
        <w:outlineLvl w:val="3"/>
      </w:pPr>
      <w:r>
        <w:rPr>
          <w:color w:val="auto"/>
          <w:highlight w:val="none"/>
        </w:rPr>
      </w:r>
      <w:bookmarkStart w:id="87" w:name="_Toc16938530"/>
      <w:r>
        <w:rPr>
          <w:color w:val="auto"/>
          <w:highlight w:val="none"/>
        </w:rPr>
      </w:r>
      <w:bookmarkStart w:id="88" w:name="_Toc513029214"/>
      <w:r>
        <w:rPr>
          <w:color w:val="auto"/>
          <w:highlight w:val="none"/>
        </w:rPr>
      </w:r>
      <w:bookmarkStart w:id="89" w:name="_Toc20823286"/>
      <w:r>
        <w:rPr>
          <w:color w:val="auto"/>
          <w:highlight w:val="none"/>
        </w:rPr>
      </w:r>
      <w:bookmarkStart w:id="90" w:name="_Toc462564073"/>
      <w:r>
        <w:rPr>
          <w:rFonts w:hint="eastAsia" w:ascii="宋体" w:hAnsi="宋体" w:cs="宋体"/>
          <w:color w:val="auto"/>
          <w:sz w:val="24"/>
          <w:szCs w:val="24"/>
          <w:highlight w:val="none"/>
        </w:rPr>
        <w:t xml:space="preserve">9.投标文件的语言及度量衡单位</w:t>
      </w:r>
      <w:bookmarkEnd w:id="87"/>
      <w:r>
        <w:rPr>
          <w:color w:val="auto"/>
          <w:highlight w:val="none"/>
        </w:rPr>
      </w:r>
      <w:bookmarkEnd w:id="88"/>
      <w:r>
        <w:rPr>
          <w:color w:val="auto"/>
          <w:highlight w:val="none"/>
        </w:rPr>
      </w:r>
      <w:bookmarkEnd w:id="89"/>
      <w:r>
        <w:rPr>
          <w:color w:val="auto"/>
          <w:highlight w:val="none"/>
        </w:rPr>
      </w:r>
      <w:bookmarkEnd w:id="90"/>
      <w:r>
        <w:rPr>
          <w:rFonts w:hint="eastAsia" w:ascii="宋体" w:hAnsi="宋体" w:cs="宋体"/>
          <w:b/>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1" w:name="_Toc16938531"/>
      <w:r>
        <w:rPr>
          <w:color w:val="auto"/>
          <w:highlight w:val="none"/>
        </w:rPr>
      </w:r>
      <w:bookmarkStart w:id="92" w:name="_Toc462564074"/>
      <w:r>
        <w:rPr>
          <w:color w:val="auto"/>
          <w:highlight w:val="none"/>
        </w:rPr>
      </w:r>
      <w:bookmarkStart w:id="93" w:name="_Toc513029215"/>
      <w:r>
        <w:rPr>
          <w:color w:val="auto"/>
          <w:highlight w:val="none"/>
        </w:rPr>
      </w:r>
      <w:bookmarkStart w:id="94" w:name="_Toc20823287"/>
      <w:r>
        <w:rPr>
          <w:rFonts w:hint="eastAsia" w:ascii="宋体" w:hAnsi="宋体" w:cs="宋体"/>
          <w:color w:val="auto"/>
          <w:sz w:val="24"/>
          <w:szCs w:val="24"/>
          <w:highlight w:val="none"/>
        </w:rPr>
        <w:t xml:space="preserve">10.投标文件构成</w:t>
      </w:r>
      <w:bookmarkEnd w:id="91"/>
      <w:r>
        <w:rPr>
          <w:color w:val="auto"/>
          <w:highlight w:val="none"/>
        </w:rPr>
      </w:r>
      <w:bookmarkEnd w:id="92"/>
      <w:r>
        <w:rPr>
          <w:color w:val="auto"/>
          <w:highlight w:val="none"/>
        </w:rPr>
      </w:r>
      <w:bookmarkEnd w:id="93"/>
      <w:r>
        <w:rPr>
          <w:color w:val="auto"/>
          <w:highlight w:val="none"/>
        </w:rPr>
      </w:r>
      <w:bookmarkEnd w:id="94"/>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 投标人编写的投标文件应包括</w:t>
      </w:r>
      <w:r>
        <w:rPr>
          <w:rFonts w:hint="eastAsia" w:ascii="宋体" w:hAnsi="宋体" w:cs="宋体"/>
          <w:color w:val="auto"/>
          <w:sz w:val="24"/>
          <w:szCs w:val="24"/>
          <w:highlight w:val="none"/>
          <w:u w:val="single"/>
        </w:rPr>
        <w:t xml:space="preserve">资格证明文件、符合性证明文件、投标分项报价表、技术要求响应及偏离表、商务要求响应及偏离表、其他证明文件、投标函、开标一览表</w:t>
      </w:r>
      <w:r>
        <w:rPr>
          <w:rFonts w:hint="eastAsia" w:ascii="宋体" w:hAnsi="宋体" w:cs="宋体"/>
          <w:color w:val="auto"/>
          <w:sz w:val="24"/>
          <w:szCs w:val="24"/>
          <w:highlight w:val="none"/>
        </w:rPr>
        <w:t xml:space="preserve">等部分。</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5" w:name="_Hlt26668975"/>
      <w:r>
        <w:rPr>
          <w:color w:val="auto"/>
          <w:highlight w:val="none"/>
        </w:rPr>
      </w:r>
      <w:bookmarkEnd w:id="95"/>
      <w:r>
        <w:rPr>
          <w:color w:val="auto"/>
          <w:highlight w:val="none"/>
        </w:rPr>
      </w:r>
      <w:bookmarkStart w:id="96" w:name="_Hlt26670360"/>
      <w:r>
        <w:rPr>
          <w:color w:val="auto"/>
          <w:highlight w:val="none"/>
        </w:rPr>
      </w:r>
      <w:bookmarkEnd w:id="96"/>
      <w:r>
        <w:rPr>
          <w:color w:val="auto"/>
          <w:highlight w:val="none"/>
        </w:rPr>
      </w:r>
      <w:bookmarkStart w:id="97" w:name="_Hlt26954838"/>
      <w:r>
        <w:rPr>
          <w:color w:val="auto"/>
          <w:highlight w:val="none"/>
        </w:rPr>
      </w:r>
      <w:bookmarkEnd w:id="97"/>
      <w:r>
        <w:rPr>
          <w:color w:val="auto"/>
          <w:highlight w:val="none"/>
        </w:rPr>
      </w:r>
      <w:bookmarkStart w:id="98" w:name="_Toc14577357"/>
      <w:r>
        <w:rPr>
          <w:color w:val="auto"/>
          <w:highlight w:val="none"/>
        </w:rPr>
      </w:r>
      <w:bookmarkStart w:id="99" w:name="_Toc513029219"/>
      <w:r>
        <w:rPr>
          <w:color w:val="auto"/>
          <w:highlight w:val="none"/>
        </w:rPr>
      </w:r>
      <w:bookmarkStart w:id="100" w:name="_Toc49090509"/>
      <w:r>
        <w:rPr>
          <w:color w:val="auto"/>
          <w:highlight w:val="none"/>
        </w:rPr>
      </w:r>
      <w:bookmarkStart w:id="101" w:name="_Toc49090507"/>
      <w:r>
        <w:rPr>
          <w:color w:val="auto"/>
          <w:highlight w:val="none"/>
        </w:rPr>
      </w:r>
      <w:bookmarkStart w:id="102" w:name="_Toc14577354"/>
      <w:r>
        <w:rPr>
          <w:color w:val="auto"/>
          <w:highlight w:val="none"/>
        </w:rPr>
      </w:r>
      <w:bookmarkStart w:id="103" w:name="_Toc513029216"/>
      <w:r>
        <w:rPr>
          <w:color w:val="auto"/>
          <w:highlight w:val="none"/>
        </w:rPr>
      </w:r>
      <w:bookmarkStart w:id="104" w:name="_Toc49090508"/>
      <w:r>
        <w:rPr>
          <w:color w:val="auto"/>
          <w:highlight w:val="none"/>
        </w:rPr>
      </w:r>
      <w:bookmarkStart w:id="105" w:name="_Toc14577355"/>
      <w:r>
        <w:rPr>
          <w:rFonts w:hint="eastAsia" w:ascii="宋体" w:hAnsi="宋体" w:cs="宋体"/>
          <w:color w:val="auto"/>
          <w:sz w:val="24"/>
          <w:szCs w:val="24"/>
          <w:highlight w:val="none"/>
        </w:rPr>
        <w:t xml:space="preserve">11.证明投标人及投标标的符合招标文件规定的文件</w:t>
      </w:r>
      <w:bookmarkEnd w:id="98"/>
      <w:r>
        <w:rPr>
          <w:color w:val="auto"/>
          <w:highlight w:val="none"/>
        </w:rPr>
      </w:r>
      <w:bookmarkEnd w:id="99"/>
      <w:r>
        <w:rPr>
          <w:color w:val="auto"/>
          <w:highlight w:val="none"/>
        </w:rPr>
      </w:r>
      <w:bookmarkEnd w:id="100"/>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End w:id="101"/>
      <w:r>
        <w:rPr>
          <w:color w:val="auto"/>
          <w:highlight w:val="none"/>
        </w:rPr>
      </w:r>
      <w:bookmarkEnd w:id="102"/>
      <w:r>
        <w:rPr>
          <w:color w:val="auto"/>
          <w:highlight w:val="none"/>
        </w:rPr>
      </w:r>
      <w:bookmarkEnd w:id="103"/>
      <w:r>
        <w:rPr>
          <w:rFonts w:hint="eastAsia" w:ascii="宋体" w:hAnsi="宋体" w:cs="宋体"/>
          <w:color w:val="auto"/>
          <w:sz w:val="24"/>
          <w:szCs w:val="24"/>
          <w:highlight w:val="none"/>
        </w:rPr>
        <w:t xml:space="preserve">11.1 投标人应按照招标文件要求提交证明文件，证明其及投标标的符合招标文件规定。</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招标文件对证明文件无明确形式要求的，证明文件可以以文字资料、图纸和数据等形式提交。</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04"/>
      <w:r>
        <w:rPr>
          <w:color w:val="auto"/>
          <w:highlight w:val="none"/>
        </w:rPr>
      </w:r>
      <w:bookmarkEnd w:id="105"/>
      <w:r>
        <w:rPr>
          <w:rFonts w:hint="eastAsia" w:ascii="宋体" w:hAnsi="宋体" w:cs="宋体"/>
          <w:color w:val="auto"/>
          <w:sz w:val="24"/>
          <w:szCs w:val="24"/>
          <w:highlight w:val="none"/>
        </w:rPr>
        <w:t xml:space="preserve">12.投标分项报价表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投标人应按照招标文件规定格式填报投标分项报价表。</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12.2 </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06" w:name="_Hlt26954846"/>
      <w:r>
        <w:rPr>
          <w:color w:val="auto"/>
          <w:highlight w:val="none"/>
        </w:rPr>
      </w:r>
      <w:bookmarkEnd w:id="106"/>
      <w:r>
        <w:rPr>
          <w:color w:val="auto"/>
          <w:highlight w:val="none"/>
        </w:rPr>
      </w:r>
      <w:bookmarkStart w:id="107" w:name="_Hlt26954731"/>
      <w:r>
        <w:rPr>
          <w:color w:val="auto"/>
          <w:highlight w:val="none"/>
        </w:rPr>
      </w:r>
      <w:bookmarkEnd w:id="107"/>
      <w:r>
        <w:rPr>
          <w:color w:val="auto"/>
          <w:highlight w:val="none"/>
        </w:rPr>
      </w:r>
      <w:bookmarkStart w:id="108" w:name="_Hlt26670482"/>
      <w:r>
        <w:rPr>
          <w:color w:val="auto"/>
          <w:highlight w:val="none"/>
        </w:rPr>
      </w:r>
      <w:bookmarkEnd w:id="108"/>
      <w:r>
        <w:rPr>
          <w:color w:val="auto"/>
          <w:highlight w:val="none"/>
        </w:rPr>
      </w:r>
      <w:bookmarkStart w:id="109" w:name="_Hlt26954848"/>
      <w:r>
        <w:rPr>
          <w:color w:val="auto"/>
          <w:highlight w:val="none"/>
        </w:rPr>
      </w:r>
      <w:bookmarkEnd w:id="109"/>
      <w:r>
        <w:rPr>
          <w:color w:val="auto"/>
          <w:highlight w:val="none"/>
        </w:rPr>
      </w:r>
      <w:bookmarkStart w:id="110" w:name="_Hlt26670486"/>
      <w:r>
        <w:rPr>
          <w:color w:val="auto"/>
          <w:highlight w:val="none"/>
        </w:rPr>
      </w:r>
      <w:bookmarkEnd w:id="110"/>
      <w:r>
        <w:rPr>
          <w:rFonts w:hint="eastAsia" w:ascii="宋体" w:hAnsi="宋体" w:cs="宋体"/>
          <w:color w:val="auto"/>
          <w:sz w:val="24"/>
          <w:szCs w:val="24"/>
          <w:highlight w:val="none"/>
        </w:rPr>
        <w:t xml:space="preserve">13.技术要求响应及偏离表、商务要求响应及偏离表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13.1 </w:t>
      </w:r>
      <w:r>
        <w:rPr>
          <w:rFonts w:hint="eastAsia" w:ascii="宋体" w:hAnsi="宋体" w:cs="宋体"/>
          <w:color w:val="auto"/>
          <w:sz w:val="24"/>
          <w:szCs w:val="24"/>
          <w:highlight w:val="none"/>
          <w:lang w:val="zh-CN"/>
        </w:rPr>
        <w:t xml:space="preserve">投标人需对招标文件中的</w:t>
      </w:r>
      <w:r>
        <w:rPr>
          <w:rFonts w:hint="eastAsia" w:ascii="宋体" w:hAnsi="宋体" w:cs="宋体"/>
          <w:color w:val="auto"/>
          <w:sz w:val="24"/>
          <w:szCs w:val="24"/>
          <w:highlight w:val="none"/>
          <w:lang w:val="zh-CN"/>
        </w:rPr>
        <w:t xml:space="preserve">技术要求与商务要求</w:t>
      </w:r>
      <w:r>
        <w:rPr>
          <w:rFonts w:hint="eastAsia" w:ascii="宋体" w:hAnsi="宋体" w:cs="宋体"/>
          <w:color w:val="auto"/>
          <w:sz w:val="24"/>
          <w:szCs w:val="24"/>
          <w:highlight w:val="none"/>
          <w:lang w:val="zh-CN"/>
        </w:rPr>
        <w:t xml:space="preserve">作出响应或偏离，并说明原因。</w:t>
      </w:r>
      <w:r>
        <w:rPr>
          <w:rFonts w:hint="eastAsia" w:ascii="宋体" w:hAnsi="宋体" w:cs="宋体"/>
          <w:color w:val="auto"/>
          <w:sz w:val="24"/>
          <w:szCs w:val="24"/>
          <w:highlight w:val="none"/>
          <w:lang w:val="zh-CN"/>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13.2 投标人可在投标文件中提供认为需要的其他技术文件或说明。</w:t>
      </w:r>
      <w:r>
        <w:rPr>
          <w:rFonts w:hint="eastAsia" w:ascii="宋体" w:hAnsi="宋体" w:cs="宋体"/>
          <w:color w:val="auto"/>
          <w:sz w:val="24"/>
          <w:szCs w:val="24"/>
          <w:highlight w:val="none"/>
          <w:lang w:val="zh-CN"/>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14.服务承诺、培训计划、人员安排及其他</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 </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投标人需根据招标文件要求提供培训计划。</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11" w:name="_Toc49090510"/>
      <w:r>
        <w:rPr>
          <w:color w:val="auto"/>
          <w:highlight w:val="none"/>
        </w:rPr>
      </w:r>
      <w:bookmarkStart w:id="112" w:name="_Toc14577359"/>
      <w:r>
        <w:rPr>
          <w:rFonts w:hint="eastAsia" w:ascii="宋体" w:hAnsi="宋体" w:cs="宋体"/>
          <w:color w:val="auto"/>
          <w:sz w:val="24"/>
          <w:szCs w:val="24"/>
          <w:highlight w:val="none"/>
        </w:rPr>
        <w:t xml:space="preserve">15.投标函和开标一览表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 投标人应按照招标文件中提供的格式完整、正确填写投标函、开标一览表。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11"/>
      <w:r>
        <w:rPr>
          <w:color w:val="auto"/>
          <w:highlight w:val="none"/>
        </w:rPr>
      </w:r>
      <w:bookmarkEnd w:id="112"/>
      <w:r>
        <w:rPr>
          <w:color w:val="auto"/>
          <w:highlight w:val="none"/>
        </w:rPr>
      </w:r>
      <w:bookmarkStart w:id="113" w:name="_Toc49090511"/>
      <w:r>
        <w:rPr>
          <w:color w:val="auto"/>
          <w:highlight w:val="none"/>
        </w:rPr>
      </w:r>
      <w:bookmarkStart w:id="114" w:name="_Toc14577360"/>
      <w:r>
        <w:rPr>
          <w:rFonts w:hint="eastAsia" w:ascii="宋体" w:hAnsi="宋体" w:cs="宋体"/>
          <w:color w:val="auto"/>
          <w:sz w:val="24"/>
          <w:szCs w:val="24"/>
          <w:highlight w:val="none"/>
        </w:rPr>
        <w:t xml:space="preserve">16.投标有效期</w:t>
      </w:r>
      <w:bookmarkEnd w:id="113"/>
      <w:r>
        <w:rPr>
          <w:color w:val="auto"/>
          <w:highlight w:val="none"/>
        </w:rPr>
      </w:r>
      <w:bookmarkEnd w:id="114"/>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 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17.投标有效期的延长</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 在特殊情况下，</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cs="宋体"/>
          <w:color w:val="auto"/>
          <w:sz w:val="24"/>
          <w:szCs w:val="24"/>
          <w:highlight w:val="none"/>
        </w:rPr>
        <w:t xml:space="preserve">受投标有效期约束的所有权利与义务均延长至新的有效期</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15" w:name="_Hlt26954739"/>
      <w:r>
        <w:rPr>
          <w:color w:val="auto"/>
          <w:highlight w:val="none"/>
        </w:rPr>
      </w:r>
      <w:bookmarkEnd w:id="115"/>
      <w:r>
        <w:rPr>
          <w:color w:val="auto"/>
          <w:highlight w:val="none"/>
        </w:rPr>
      </w:r>
      <w:bookmarkStart w:id="116" w:name="_Hlt26954852"/>
      <w:r>
        <w:rPr>
          <w:color w:val="auto"/>
          <w:highlight w:val="none"/>
        </w:rPr>
      </w:r>
      <w:bookmarkEnd w:id="116"/>
      <w:r>
        <w:rPr>
          <w:color w:val="auto"/>
          <w:highlight w:val="none"/>
        </w:rPr>
      </w:r>
      <w:bookmarkStart w:id="117" w:name="_Toc20823296"/>
      <w:r>
        <w:rPr>
          <w:color w:val="auto"/>
          <w:highlight w:val="none"/>
        </w:rPr>
      </w:r>
      <w:bookmarkStart w:id="118" w:name="_Toc16938540"/>
      <w:r>
        <w:rPr>
          <w:color w:val="auto"/>
          <w:highlight w:val="none"/>
        </w:rPr>
      </w:r>
      <w:bookmarkStart w:id="119" w:name="_Toc513029224"/>
      <w:r>
        <w:rPr>
          <w:color w:val="auto"/>
          <w:highlight w:val="none"/>
        </w:rPr>
      </w:r>
      <w:bookmarkStart w:id="120" w:name="_Toc120614217"/>
      <w:r>
        <w:rPr>
          <w:rFonts w:hint="eastAsia" w:ascii="宋体" w:hAnsi="宋体" w:cs="宋体"/>
          <w:b/>
          <w:bCs/>
          <w:color w:val="auto"/>
          <w:sz w:val="32"/>
          <w:szCs w:val="32"/>
          <w:highlight w:val="none"/>
        </w:rPr>
        <w:t xml:space="preserve">四、投标文件的递交</w:t>
      </w:r>
      <w:bookmarkEnd w:id="117"/>
      <w:r>
        <w:rPr>
          <w:color w:val="auto"/>
          <w:highlight w:val="none"/>
        </w:rPr>
      </w:r>
      <w:bookmarkEnd w:id="118"/>
      <w:r>
        <w:rPr>
          <w:color w:val="auto"/>
          <w:highlight w:val="none"/>
        </w:rPr>
      </w:r>
      <w:bookmarkEnd w:id="119"/>
      <w:r>
        <w:rPr>
          <w:color w:val="auto"/>
          <w:highlight w:val="none"/>
        </w:rPr>
      </w:r>
      <w:bookmarkEnd w:id="120"/>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color w:val="auto"/>
          <w:sz w:val="24"/>
          <w:szCs w:val="24"/>
          <w:highlight w:val="none"/>
        </w:rPr>
        <w:outlineLvl w:val="3"/>
      </w:pPr>
      <w:r>
        <w:rPr>
          <w:color w:val="auto"/>
          <w:highlight w:val="none"/>
        </w:rPr>
      </w:r>
      <w:bookmarkStart w:id="121" w:name="_Toc16938541"/>
      <w:r>
        <w:rPr>
          <w:color w:val="auto"/>
          <w:highlight w:val="none"/>
        </w:rPr>
      </w:r>
      <w:bookmarkStart w:id="122" w:name="_Toc20823297"/>
      <w:r>
        <w:rPr>
          <w:color w:val="auto"/>
          <w:highlight w:val="none"/>
        </w:rPr>
      </w:r>
      <w:bookmarkStart w:id="123" w:name="_Toc513029225"/>
      <w:r>
        <w:rPr>
          <w:color w:val="auto"/>
          <w:highlight w:val="none"/>
        </w:rPr>
      </w:r>
      <w:bookmarkStart w:id="124" w:name="_Toc462564084"/>
      <w:r>
        <w:rPr>
          <w:rFonts w:hint="eastAsia" w:ascii="宋体" w:hAnsi="宋体" w:cs="宋体"/>
          <w:color w:val="auto"/>
          <w:sz w:val="24"/>
          <w:szCs w:val="24"/>
          <w:highlight w:val="none"/>
        </w:rPr>
        <w:t xml:space="preserve">18.电子投标文件</w:t>
      </w:r>
      <w:bookmarkEnd w:id="121"/>
      <w:r>
        <w:rPr>
          <w:color w:val="auto"/>
          <w:highlight w:val="none"/>
        </w:rPr>
      </w:r>
      <w:bookmarkEnd w:id="122"/>
      <w:r>
        <w:rPr>
          <w:color w:val="auto"/>
          <w:highlight w:val="none"/>
        </w:rPr>
      </w:r>
      <w:bookmarkEnd w:id="123"/>
      <w:r>
        <w:rPr>
          <w:color w:val="auto"/>
          <w:highlight w:val="none"/>
        </w:rPr>
      </w:r>
      <w:bookmarkEnd w:id="124"/>
      <w:r>
        <w:rPr>
          <w:rFonts w:hint="eastAsia" w:ascii="宋体" w:hAnsi="宋体" w:cs="宋体"/>
          <w:color w:val="auto"/>
          <w:sz w:val="24"/>
          <w:szCs w:val="24"/>
          <w:highlight w:val="none"/>
        </w:rPr>
        <w:t xml:space="preserve">的递交</w:t>
      </w:r>
      <w:r>
        <w:rPr>
          <w:rFonts w:hint="eastAsia" w:ascii="宋体" w:hAnsi="宋体" w:cs="宋体"/>
          <w:color w:val="auto"/>
          <w:sz w:val="24"/>
          <w:szCs w:val="24"/>
          <w:highlight w:val="none"/>
        </w:rPr>
      </w:r>
      <w:r>
        <w:rPr>
          <w:color w:val="auto"/>
          <w:highlight w:val="none"/>
        </w:rPr>
      </w:r>
    </w:p>
    <w:p>
      <w:pPr>
        <w:pStyle w:val="914"/>
        <w:ind w:firstLine="480"/>
        <w:keepLines/>
        <w:keepNex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投标人应当按照《操作手册》规定，在投标截止时间前制作并上传电子投标文件。</w:t>
      </w:r>
      <w:bookmarkStart w:id="125" w:name="_Toc513029226"/>
      <w:r>
        <w:rPr>
          <w:color w:val="auto"/>
          <w:highlight w:val="none"/>
        </w:rPr>
      </w:r>
      <w:bookmarkStart w:id="126" w:name="_Toc20823298"/>
      <w:r>
        <w:rPr>
          <w:color w:val="auto"/>
          <w:highlight w:val="none"/>
        </w:rPr>
      </w:r>
      <w:bookmarkStart w:id="127" w:name="_Toc16938542"/>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19.投标截止日期</w:t>
      </w:r>
      <w:bookmarkEnd w:id="125"/>
      <w:r>
        <w:rPr>
          <w:color w:val="auto"/>
          <w:highlight w:val="none"/>
        </w:rPr>
      </w:r>
      <w:bookmarkEnd w:id="126"/>
      <w:r>
        <w:rPr>
          <w:color w:val="auto"/>
          <w:highlight w:val="none"/>
        </w:rPr>
      </w:r>
      <w:bookmarkEnd w:id="127"/>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i/>
          <w:color w:val="auto"/>
          <w:sz w:val="24"/>
          <w:szCs w:val="24"/>
          <w:highlight w:val="none"/>
          <w:u w:val="single"/>
        </w:rPr>
      </w:pPr>
      <w:r>
        <w:rPr>
          <w:rFonts w:hint="eastAsia" w:ascii="宋体" w:hAnsi="宋体" w:cs="宋体"/>
          <w:i/>
          <w:color w:val="auto"/>
          <w:sz w:val="24"/>
          <w:szCs w:val="24"/>
          <w:highlight w:val="none"/>
          <w:u w:val="single"/>
        </w:rPr>
        <w:t xml:space="preserve">19.1</w:t>
      </w:r>
      <w:r>
        <w:rPr>
          <w:rFonts w:hint="eastAsia" w:ascii="宋体" w:hAnsi="宋体" w:cs="宋体"/>
          <w:bCs/>
          <w:i/>
          <w:color w:val="auto"/>
          <w:sz w:val="24"/>
          <w:szCs w:val="24"/>
          <w:highlight w:val="none"/>
          <w:u w:val="single"/>
        </w:rPr>
        <w:t xml:space="preserve"> 投标人上传电子投标文件的时间不得迟于招标公告中规定的投标截止时间。</w:t>
      </w:r>
      <w:r>
        <w:rPr>
          <w:rFonts w:hint="eastAsia" w:ascii="宋体" w:hAnsi="宋体" w:cs="宋体"/>
          <w:bCs/>
          <w:i/>
          <w:color w:val="auto"/>
          <w:sz w:val="24"/>
          <w:szCs w:val="24"/>
          <w:highlight w:val="none"/>
          <w:u w:val="singl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28" w:name="_Toc20823299"/>
      <w:r>
        <w:rPr>
          <w:color w:val="auto"/>
          <w:highlight w:val="none"/>
        </w:rPr>
      </w:r>
      <w:bookmarkStart w:id="129" w:name="_Toc16938543"/>
      <w:r>
        <w:rPr>
          <w:color w:val="auto"/>
          <w:highlight w:val="none"/>
        </w:rPr>
      </w:r>
      <w:bookmarkStart w:id="130" w:name="_Toc513029227"/>
      <w:r>
        <w:rPr>
          <w:rFonts w:hint="eastAsia" w:ascii="宋体" w:hAnsi="宋体" w:cs="宋体"/>
          <w:color w:val="auto"/>
          <w:sz w:val="24"/>
          <w:szCs w:val="24"/>
          <w:highlight w:val="none"/>
        </w:rPr>
        <w:t xml:space="preserve">20.投标文件</w:t>
      </w:r>
      <w:bookmarkEnd w:id="128"/>
      <w:r>
        <w:rPr>
          <w:color w:val="auto"/>
          <w:highlight w:val="none"/>
        </w:rPr>
      </w:r>
      <w:bookmarkEnd w:id="129"/>
      <w:r>
        <w:rPr>
          <w:color w:val="auto"/>
          <w:highlight w:val="none"/>
        </w:rPr>
      </w:r>
      <w:bookmarkEnd w:id="130"/>
      <w:r>
        <w:rPr>
          <w:rFonts w:hint="eastAsia" w:ascii="宋体" w:hAnsi="宋体" w:cs="宋体"/>
          <w:color w:val="auto"/>
          <w:sz w:val="24"/>
          <w:szCs w:val="24"/>
          <w:highlight w:val="none"/>
        </w:rPr>
        <w:t xml:space="preserve">的拒收</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拒绝接收在其规定的投标截止时间后上传的任何投标文件。</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31" w:name="_Toc20823300"/>
      <w:r>
        <w:rPr>
          <w:color w:val="auto"/>
          <w:highlight w:val="none"/>
        </w:rPr>
      </w:r>
      <w:bookmarkStart w:id="132" w:name="_Toc513029228"/>
      <w:r>
        <w:rPr>
          <w:color w:val="auto"/>
          <w:highlight w:val="none"/>
        </w:rPr>
      </w:r>
      <w:bookmarkStart w:id="133" w:name="_Toc16938544"/>
      <w:r>
        <w:rPr>
          <w:rFonts w:hint="eastAsia" w:ascii="宋体" w:hAnsi="宋体" w:cs="宋体"/>
          <w:color w:val="auto"/>
          <w:sz w:val="24"/>
          <w:szCs w:val="24"/>
          <w:highlight w:val="none"/>
        </w:rPr>
        <w:t xml:space="preserve">21.投标文件的撤回和修改</w:t>
      </w:r>
      <w:bookmarkEnd w:id="131"/>
      <w:r>
        <w:rPr>
          <w:color w:val="auto"/>
          <w:highlight w:val="none"/>
        </w:rPr>
      </w:r>
      <w:bookmarkEnd w:id="132"/>
      <w:r>
        <w:rPr>
          <w:color w:val="auto"/>
          <w:highlight w:val="none"/>
        </w:rPr>
      </w:r>
      <w:bookmarkEnd w:id="133"/>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 投标人可在投标截止时间前，对其电子投标文件进行修改，具体操作方法见《操作手册》。</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 在投标截止时间至招标文件中规定的投标有效期满之间的这段时间内，投标人不得撤回其投标。</w:t>
      </w:r>
      <w:r>
        <w:rPr>
          <w:rFonts w:hint="eastAsia" w:ascii="宋体" w:hAnsi="宋体" w:cs="宋体"/>
          <w:bCs/>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34" w:name="_Toc513029229"/>
      <w:r>
        <w:rPr>
          <w:color w:val="auto"/>
          <w:highlight w:val="none"/>
        </w:rPr>
      </w:r>
      <w:bookmarkStart w:id="135" w:name="_Toc120614218"/>
      <w:r>
        <w:rPr>
          <w:color w:val="auto"/>
          <w:highlight w:val="none"/>
        </w:rPr>
      </w:r>
      <w:bookmarkStart w:id="136" w:name="_Toc16938545"/>
      <w:r>
        <w:rPr>
          <w:color w:val="auto"/>
          <w:highlight w:val="none"/>
        </w:rPr>
      </w:r>
      <w:bookmarkStart w:id="137" w:name="_Toc20823301"/>
      <w:r>
        <w:rPr>
          <w:rFonts w:hint="eastAsia" w:ascii="宋体" w:hAnsi="宋体" w:cs="宋体"/>
          <w:b/>
          <w:bCs/>
          <w:color w:val="auto"/>
          <w:sz w:val="32"/>
          <w:szCs w:val="32"/>
          <w:highlight w:val="none"/>
        </w:rPr>
        <w:t xml:space="preserve">五、开标与评标</w:t>
      </w:r>
      <w:bookmarkEnd w:id="134"/>
      <w:r>
        <w:rPr>
          <w:color w:val="auto"/>
          <w:highlight w:val="none"/>
        </w:rPr>
      </w:r>
      <w:bookmarkEnd w:id="135"/>
      <w:r>
        <w:rPr>
          <w:color w:val="auto"/>
          <w:highlight w:val="none"/>
        </w:rPr>
      </w:r>
      <w:bookmarkEnd w:id="136"/>
      <w:r>
        <w:rPr>
          <w:color w:val="auto"/>
          <w:highlight w:val="none"/>
        </w:rPr>
      </w:r>
      <w:bookmarkEnd w:id="137"/>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color w:val="auto"/>
          <w:sz w:val="24"/>
          <w:szCs w:val="24"/>
          <w:highlight w:val="none"/>
        </w:rPr>
        <w:outlineLvl w:val="3"/>
      </w:pPr>
      <w:r>
        <w:rPr>
          <w:color w:val="auto"/>
          <w:highlight w:val="none"/>
        </w:rPr>
      </w:r>
      <w:bookmarkStart w:id="138" w:name="_Toc20823302"/>
      <w:r>
        <w:rPr>
          <w:color w:val="auto"/>
          <w:highlight w:val="none"/>
        </w:rPr>
      </w:r>
      <w:bookmarkStart w:id="139" w:name="_Toc513029230"/>
      <w:r>
        <w:rPr>
          <w:color w:val="auto"/>
          <w:highlight w:val="none"/>
        </w:rPr>
      </w:r>
      <w:bookmarkStart w:id="140" w:name="_Toc16938546"/>
      <w:r>
        <w:rPr>
          <w:rFonts w:hint="eastAsia" w:ascii="宋体" w:hAnsi="宋体" w:cs="宋体"/>
          <w:color w:val="auto"/>
          <w:sz w:val="24"/>
          <w:szCs w:val="24"/>
          <w:highlight w:val="none"/>
        </w:rPr>
        <w:t xml:space="preserve">22.开标</w:t>
      </w:r>
      <w:bookmarkEnd w:id="138"/>
      <w:r>
        <w:rPr>
          <w:color w:val="auto"/>
          <w:highlight w:val="none"/>
        </w:rPr>
      </w:r>
      <w:bookmarkEnd w:id="139"/>
      <w:r>
        <w:rPr>
          <w:color w:val="auto"/>
          <w:highlight w:val="none"/>
        </w:rPr>
      </w:r>
      <w:bookmarkEnd w:id="140"/>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将在招标公告中规定的时间和地点组织公开开标</w:t>
      </w:r>
      <w:r>
        <w:rPr>
          <w:rFonts w:hint="eastAsia" w:ascii="宋体" w:hAnsi="宋体" w:cs="宋体"/>
          <w:color w:val="auto"/>
          <w:sz w:val="24"/>
          <w:szCs w:val="24"/>
          <w:highlight w:val="none"/>
        </w:rPr>
        <w:t xml:space="preserve">。投标人应当按照《操作手册》规定，参加开标活动和在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规定的时间内对投标文件进行解密。</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22.2 </w:t>
      </w:r>
      <w:r>
        <w:rPr>
          <w:rFonts w:hint="eastAsia" w:ascii="宋体" w:hAnsi="宋体" w:cs="宋体"/>
          <w:color w:val="auto"/>
          <w:sz w:val="24"/>
          <w:szCs w:val="24"/>
          <w:highlight w:val="none"/>
        </w:rPr>
        <w:t xml:space="preserve">开标仪式由</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组织。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将自动对项目进行开标，并宣布各投标人名称和投标价格。</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 投标人在开标过程中涉及到的投标文件解密、开标结果确认等工作，应按照《操作手册》规定执行。</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投标人如果对开标过程和开标记录有疑义，应当根据《操作手册》规定提出，如 </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中《开标记录表》宣布后5分钟内未提出的，视同认可开标结果。</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1" w:name="_Toc16938547"/>
      <w:r>
        <w:rPr>
          <w:color w:val="auto"/>
          <w:highlight w:val="none"/>
        </w:rPr>
      </w:r>
      <w:bookmarkStart w:id="142" w:name="_Toc513029231"/>
      <w:r>
        <w:rPr>
          <w:color w:val="auto"/>
          <w:highlight w:val="none"/>
        </w:rPr>
      </w:r>
      <w:bookmarkStart w:id="143" w:name="_Toc20823303"/>
      <w:r>
        <w:rPr>
          <w:rFonts w:hint="eastAsia" w:ascii="宋体" w:hAnsi="宋体" w:cs="宋体"/>
          <w:color w:val="auto"/>
          <w:sz w:val="24"/>
          <w:szCs w:val="24"/>
          <w:highlight w:val="none"/>
        </w:rPr>
        <w:t xml:space="preserve">23.评标委员会</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将立即组织评标委员会（以下简称评委会）进行评标。</w:t>
      </w:r>
      <w:r>
        <w:rPr>
          <w:rFonts w:hint="eastAsia" w:ascii="宋体" w:hAnsi="宋体" w:cs="宋体"/>
          <w:b/>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评委会由采购人代表和有关技术、经济等方面的专家组成，且人员构成符合政府采购有关规定。</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23.3评委会独立工作，负责评审所有投标文件并确定中标候选人。</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24.评标过程的保密与公正</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color w:val="auto"/>
          <w:highlight w:val="none"/>
        </w:rPr>
      </w:r>
      <w:bookmarkEnd w:id="141"/>
      <w:r>
        <w:rPr>
          <w:color w:val="auto"/>
          <w:highlight w:val="none"/>
        </w:rPr>
      </w:r>
      <w:bookmarkEnd w:id="142"/>
      <w:r>
        <w:rPr>
          <w:color w:val="auto"/>
          <w:highlight w:val="none"/>
        </w:rPr>
      </w:r>
      <w:bookmarkEnd w:id="143"/>
      <w:r>
        <w:rPr>
          <w:rFonts w:hint="eastAsia" w:ascii="宋体" w:hAnsi="宋体" w:cs="宋体"/>
          <w:color w:val="auto"/>
          <w:sz w:val="24"/>
          <w:szCs w:val="24"/>
          <w:highlight w:val="none"/>
        </w:rPr>
        <w:t xml:space="preserve">24.1 </w:t>
      </w:r>
      <w:r>
        <w:rPr>
          <w:rFonts w:hint="eastAsia" w:ascii="宋体" w:hAnsi="宋体" w:cs="宋体"/>
          <w:bCs/>
          <w:color w:val="auto"/>
          <w:sz w:val="24"/>
          <w:szCs w:val="24"/>
          <w:highlight w:val="none"/>
        </w:rPr>
        <w:t xml:space="preserve">凡是与审查、澄清、评价和比较投标的有关资料以及授标建议等，采购人、评委、</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均不得向投标人或与评标无关的其他人员透露。</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在评标过程中，投标人不得以任何行为影响评标过程，否则其投标文件将被作为无效投标文件。</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和评标委员会不向未中标的投标人解释未中标原因，也不公布评标过程中的相关细节。</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采用综合评分法的项目，未中标的投标人可于中标结果公告期限届满之日起通过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查看自己的评审得分及排序情况。</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4" w:name="_Toc16938548"/>
      <w:r>
        <w:rPr>
          <w:color w:val="auto"/>
          <w:highlight w:val="none"/>
        </w:rPr>
      </w:r>
      <w:bookmarkStart w:id="145" w:name="_Toc513029232"/>
      <w:r>
        <w:rPr>
          <w:color w:val="auto"/>
          <w:highlight w:val="none"/>
        </w:rPr>
      </w:r>
      <w:bookmarkStart w:id="146" w:name="_Toc20823304"/>
      <w:r>
        <w:rPr>
          <w:rFonts w:hint="eastAsia" w:ascii="宋体" w:hAnsi="宋体" w:cs="宋体"/>
          <w:color w:val="auto"/>
          <w:sz w:val="24"/>
          <w:szCs w:val="24"/>
          <w:highlight w:val="none"/>
        </w:rPr>
        <w:t xml:space="preserve">25.投标文件的澄清</w:t>
      </w:r>
      <w:bookmarkEnd w:id="144"/>
      <w:r>
        <w:rPr>
          <w:color w:val="auto"/>
          <w:highlight w:val="none"/>
        </w:rPr>
      </w:r>
      <w:bookmarkEnd w:id="145"/>
      <w:r>
        <w:rPr>
          <w:color w:val="auto"/>
          <w:highlight w:val="none"/>
        </w:rPr>
      </w:r>
      <w:bookmarkEnd w:id="146"/>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Start w:id="147" w:name="_Toc16938549"/>
      <w:r>
        <w:rPr>
          <w:color w:val="auto"/>
          <w:highlight w:val="none"/>
        </w:rPr>
      </w:r>
      <w:bookmarkStart w:id="148" w:name="_Toc20823305"/>
      <w:r>
        <w:rPr>
          <w:color w:val="auto"/>
          <w:highlight w:val="none"/>
        </w:rPr>
      </w:r>
      <w:bookmarkStart w:id="149" w:name="_Toc513029233"/>
      <w:r>
        <w:rPr>
          <w:rFonts w:hint="eastAsia" w:ascii="宋体" w:hAnsi="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需要供应商进行澄清、说明和补正的，评委会将通过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向供应商发出“澄清要求函”，接到“澄清要求函”的投标人应当按照要求在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26.对投标文件的初审</w:t>
      </w:r>
      <w:bookmarkEnd w:id="147"/>
      <w:r>
        <w:rPr>
          <w:color w:val="auto"/>
          <w:highlight w:val="none"/>
        </w:rPr>
      </w:r>
      <w:bookmarkEnd w:id="148"/>
      <w:r>
        <w:rPr>
          <w:color w:val="auto"/>
          <w:highlight w:val="none"/>
        </w:rPr>
      </w:r>
      <w:bookmarkEnd w:id="149"/>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 </w:t>
      </w:r>
      <w:r>
        <w:rPr>
          <w:rFonts w:hint="eastAsia" w:ascii="宋体" w:hAnsi="宋体" w:cs="宋体"/>
          <w:bCs/>
          <w:color w:val="auto"/>
          <w:sz w:val="24"/>
          <w:szCs w:val="24"/>
          <w:highlight w:val="none"/>
        </w:rPr>
        <w:t xml:space="preserve">投标文件初审分为资格审查和符合性审查。</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26.1.3 未通过资格审查或符合性审查的投标人，</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中告知未通过资格审查或符合性审查的原因，评审结束后，</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将不再告知未通过资格审查或符合性审查的原因。</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auto"/>
          <w:sz w:val="24"/>
          <w:szCs w:val="24"/>
          <w:highlight w:val="none"/>
        </w:rPr>
        <w:t xml:space="preserve">买方（采购人）和见证方（代理机构）</w:t>
      </w:r>
      <w:r>
        <w:rPr>
          <w:rFonts w:hint="eastAsia" w:ascii="宋体" w:hAnsi="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highlight w:val="none"/>
        </w:rPr>
        <w:t xml:space="preserve">评委决定投标文件的响应性只根据投标文件本身的内容，而不寻求外部的证据。</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26.3 </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 </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color w:val="auto"/>
          <w:highlight w:val="none"/>
        </w:rPr>
      </w:r>
      <w:bookmarkStart w:id="150" w:name="_Toc16938550"/>
      <w:r>
        <w:rPr>
          <w:color w:val="auto"/>
          <w:highlight w:val="none"/>
        </w:rPr>
      </w:r>
      <w:bookmarkStart w:id="151" w:name="_Toc20823306"/>
      <w:r>
        <w:rPr>
          <w:color w:val="auto"/>
          <w:highlight w:val="none"/>
        </w:rPr>
      </w:r>
      <w:bookmarkStart w:id="152" w:name="_Toc513029234"/>
      <w:r>
        <w:rPr>
          <w:rFonts w:hint="eastAsia" w:ascii="宋体" w:hAnsi="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 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查阅、答复相关信息，并安排专人与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及评标委员会联系。</w:t>
      </w:r>
      <w:r>
        <w:rPr>
          <w:rFonts w:hint="eastAsia" w:ascii="宋体" w:hAnsi="宋体" w:cs="宋体"/>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27.</w:t>
      </w:r>
      <w:bookmarkEnd w:id="150"/>
      <w:r>
        <w:rPr>
          <w:color w:val="auto"/>
          <w:highlight w:val="none"/>
        </w:rPr>
      </w:r>
      <w:bookmarkEnd w:id="151"/>
      <w:r>
        <w:rPr>
          <w:color w:val="auto"/>
          <w:highlight w:val="none"/>
        </w:rPr>
      </w:r>
      <w:bookmarkEnd w:id="152"/>
      <w:r>
        <w:rPr>
          <w:rFonts w:hint="eastAsia" w:ascii="宋体" w:hAnsi="宋体" w:cs="宋体"/>
          <w:color w:val="auto"/>
          <w:sz w:val="24"/>
          <w:szCs w:val="24"/>
          <w:highlight w:val="none"/>
        </w:rPr>
        <w:t xml:space="preserve">无效投标条款和废标条款</w:t>
      </w:r>
      <w:bookmarkStart w:id="153" w:name="_Toc16938551"/>
      <w:r>
        <w:rPr>
          <w:color w:val="auto"/>
          <w:highlight w:val="none"/>
        </w:rPr>
      </w:r>
      <w:bookmarkStart w:id="154" w:name="_Toc513029235"/>
      <w:r>
        <w:rPr>
          <w:color w:val="auto"/>
          <w:highlight w:val="none"/>
        </w:rPr>
      </w:r>
      <w:bookmarkStart w:id="155" w:name="_Toc20823307"/>
      <w:r>
        <w:rPr>
          <w:rFonts w:hint="eastAsia" w:ascii="宋体" w:hAnsi="宋体" w:cs="宋体"/>
          <w:color w:val="auto"/>
          <w:sz w:val="24"/>
          <w:szCs w:val="24"/>
          <w:highlight w:val="none"/>
        </w:rPr>
      </w:r>
      <w:r>
        <w:rPr>
          <w:color w:val="auto"/>
          <w:highlight w:val="none"/>
        </w:rPr>
      </w:r>
    </w:p>
    <w:p>
      <w:pPr>
        <w:pStyle w:val="914"/>
        <w:ind w:firstLine="480"/>
        <w:keepLines/>
        <w:keepNex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 无效投标条款</w:t>
      </w:r>
      <w:r>
        <w:rPr>
          <w:rFonts w:hint="eastAsia" w:ascii="宋体" w:hAnsi="宋体" w:cs="宋体"/>
          <w:bCs/>
          <w:color w:val="auto"/>
          <w:sz w:val="24"/>
          <w:szCs w:val="21"/>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投标人在苏采云系统规定的时间内未成功解密电子投标文件的。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 同一投标人提交两个（含两个）以上不同的投标报价的。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 投标人不具备招标文件中规定资格要求的。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 投标人的报价超过了采购预算或最高限价的。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27.1.6 未通过符合性审查的。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27.1.7 不符合招标文件中规定的实质性要求和条件的</w:t>
      </w:r>
      <w:r>
        <w:rPr>
          <w:rFonts w:hint="eastAsia" w:ascii="宋体" w:hAnsi="宋体" w:cs="宋体"/>
          <w:bCs/>
          <w:i/>
          <w:iCs/>
          <w:color w:val="auto"/>
          <w:sz w:val="24"/>
          <w:szCs w:val="24"/>
          <w:highlight w:val="none"/>
          <w:u w:val="single"/>
        </w:rPr>
        <w:t xml:space="preserve">（本招标文件中斜体且有下划线部分为实质性要求和条件）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 其他法律、法规及本招标文件规定的属于无效投标的情形。</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 废标条款</w:t>
      </w:r>
      <w:r>
        <w:rPr>
          <w:rFonts w:hint="eastAsia" w:ascii="宋体" w:hAnsi="宋体" w:cs="宋体"/>
          <w:bCs/>
          <w:color w:val="auto"/>
          <w:sz w:val="24"/>
          <w:szCs w:val="21"/>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27.2.1 符合专业条件的供应商或者对招标文件作实质响应的供应商不足三家的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 出现影响采购公正的违法、违规行为的。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 因重大变故，采购任务取消的。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 评标委员会认定招标文件存在歧义、重大缺陷导致评审工作无法进行。</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因苏采云系统故障原因造成开标不成功的。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 投标截止时间结束后参加投标的供应商不足三家的处理：</w:t>
      </w:r>
      <w:r>
        <w:rPr>
          <w:rFonts w:hint="eastAsia" w:ascii="宋体" w:hAnsi="宋体" w:cs="宋体"/>
          <w:bCs/>
          <w:color w:val="auto"/>
          <w:sz w:val="24"/>
          <w:szCs w:val="21"/>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56" w:name="_Toc120614219"/>
      <w:r>
        <w:rPr>
          <w:rFonts w:hint="eastAsia" w:ascii="宋体" w:hAnsi="宋体" w:cs="宋体"/>
          <w:b/>
          <w:bCs/>
          <w:color w:val="auto"/>
          <w:sz w:val="32"/>
          <w:szCs w:val="32"/>
          <w:highlight w:val="none"/>
        </w:rPr>
        <w:t xml:space="preserve">六、</w:t>
      </w:r>
      <w:bookmarkEnd w:id="153"/>
      <w:r>
        <w:rPr>
          <w:color w:val="auto"/>
          <w:highlight w:val="none"/>
        </w:rPr>
      </w:r>
      <w:bookmarkEnd w:id="154"/>
      <w:r>
        <w:rPr>
          <w:color w:val="auto"/>
          <w:highlight w:val="none"/>
        </w:rPr>
      </w:r>
      <w:bookmarkEnd w:id="155"/>
      <w:r>
        <w:rPr>
          <w:rFonts w:hint="eastAsia" w:ascii="宋体" w:hAnsi="宋体" w:cs="宋体"/>
          <w:b/>
          <w:bCs/>
          <w:color w:val="auto"/>
          <w:sz w:val="32"/>
          <w:szCs w:val="32"/>
          <w:highlight w:val="none"/>
        </w:rPr>
        <w:t xml:space="preserve">定标</w:t>
      </w:r>
      <w:bookmarkEnd w:id="156"/>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bCs/>
          <w:color w:val="auto"/>
          <w:sz w:val="24"/>
          <w:szCs w:val="24"/>
          <w:highlight w:val="none"/>
        </w:rPr>
        <w:outlineLvl w:val="3"/>
      </w:pPr>
      <w:r>
        <w:rPr>
          <w:color w:val="auto"/>
          <w:highlight w:val="none"/>
        </w:rPr>
      </w:r>
      <w:bookmarkStart w:id="157" w:name="_Toc513029238"/>
      <w:r>
        <w:rPr>
          <w:color w:val="auto"/>
          <w:highlight w:val="none"/>
        </w:rPr>
      </w:r>
      <w:bookmarkStart w:id="158" w:name="_Toc20823310"/>
      <w:r>
        <w:rPr>
          <w:color w:val="auto"/>
          <w:highlight w:val="none"/>
        </w:rPr>
      </w:r>
      <w:bookmarkStart w:id="159" w:name="_Toc16938554"/>
      <w:r>
        <w:rPr>
          <w:rFonts w:hint="eastAsia" w:ascii="宋体" w:hAnsi="宋体" w:cs="宋体"/>
          <w:bCs/>
          <w:color w:val="auto"/>
          <w:sz w:val="24"/>
          <w:szCs w:val="24"/>
          <w:highlight w:val="none"/>
        </w:rPr>
        <w:t xml:space="preserve">28.</w:t>
      </w:r>
      <w:bookmarkEnd w:id="157"/>
      <w:r>
        <w:rPr>
          <w:rFonts w:hint="eastAsia" w:ascii="宋体" w:hAnsi="宋体" w:cs="宋体"/>
          <w:bCs/>
          <w:color w:val="auto"/>
          <w:sz w:val="24"/>
          <w:szCs w:val="24"/>
          <w:highlight w:val="none"/>
        </w:rPr>
        <w:t xml:space="preserve">确定</w:t>
      </w:r>
      <w:bookmarkEnd w:id="158"/>
      <w:r>
        <w:rPr>
          <w:color w:val="auto"/>
          <w:highlight w:val="none"/>
        </w:rPr>
      </w:r>
      <w:bookmarkEnd w:id="159"/>
      <w:r>
        <w:rPr>
          <w:rFonts w:hint="eastAsia" w:ascii="宋体" w:hAnsi="宋体" w:cs="宋体"/>
          <w:bCs/>
          <w:color w:val="auto"/>
          <w:sz w:val="24"/>
          <w:szCs w:val="24"/>
          <w:highlight w:val="none"/>
        </w:rPr>
        <w:t xml:space="preserve">中标单位</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 中标候选人的选取原则和数量见招标文件第五章规定。 </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28.2 采购人应根据评委会推荐的中标候选人确定中标人。</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 代理机构将在“江苏政府采购网”发布中标公告，公告期限为1个工作日。</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 若有充分证据证明，中标人出现下列情况之一的，一经查实，将被取消中标资格：</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28.4.1 提供虚假材料谋取中标的。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28.4.2 向采购人、代理机构行贿或者提供其他不正当利益的。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28.4.3 属于本文件规定的无效条件，但在评标过程中又未被评委会发现的。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28.4.4 与采购人或者其他供应商恶意串通的。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28.4.5 采取不正当手段诋毁、排挤其他供应商的。</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color w:val="auto"/>
          <w:highlight w:val="none"/>
        </w:rPr>
      </w:r>
      <w:bookmarkStart w:id="160" w:name="_Toc200451960"/>
      <w:r>
        <w:rPr>
          <w:rFonts w:hint="eastAsia" w:ascii="宋体" w:hAnsi="宋体" w:cs="宋体"/>
          <w:bCs/>
          <w:color w:val="auto"/>
          <w:sz w:val="24"/>
          <w:szCs w:val="24"/>
          <w:highlight w:val="none"/>
        </w:rPr>
        <w:t xml:space="preserve">28.5.有下列情形之一的，视为投标人串通投标，投标无效：</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28.5.1 不同投标人的投标文件由同一单位或者个人编制；</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28.5.2 不同投标人委托同一单位或者个人办理投标事宜；</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28.5.3 不同投标人的投标文件载明的项目管理成员或者联系人员为同一人；</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28.5.4 不同投标人的投标文件异常一致或者投标报价呈规律性差异；</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29.质疑处理</w:t>
      </w:r>
      <w:bookmarkEnd w:id="160"/>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29.2.1 对可以质疑的采购文件提出质疑的，为收到采购文件之日或者采购文件公告期限届满之日；</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29.2.2 对采购过程提出质疑的，为各采购程序环节结束之日；</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29.2.3 对中标或者成交结果提出质疑的，为中标或者成交结果公告期限届满之日。</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 以下情形的质疑不予受理</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29.5.1 内容不符合《政府采购质疑和投诉办法》第十二条规定的质疑。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29.5.2 超出政府采购法定期限的质疑。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29.5.3 以传真、电子邮件等方式递交的非原件形式的质疑。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29.5.4 未参加投标活动的供应商或在投标活动中自身权益未受到损害的供应商所提出的质疑。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29.5.5 供应商组成联合体参加投标，联合体中任何一方或多方未按要求签字、盖章、加盖公章的质疑。</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30.中标通知书</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auto"/>
          <w:sz w:val="24"/>
          <w:szCs w:val="24"/>
          <w:highlight w:val="none"/>
        </w:rPr>
      </w:r>
      <w:r>
        <w:rPr>
          <w:color w:val="auto"/>
          <w:highlight w:val="none"/>
        </w:rPr>
      </w:r>
    </w:p>
    <w:p>
      <w:pPr>
        <w:pStyle w:val="914"/>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61" w:name="_Toc120614220"/>
      <w:r>
        <w:rPr>
          <w:color w:val="auto"/>
          <w:highlight w:val="none"/>
        </w:rPr>
      </w:r>
      <w:bookmarkStart w:id="162" w:name="_Toc513029236"/>
      <w:r>
        <w:rPr>
          <w:color w:val="auto"/>
          <w:highlight w:val="none"/>
        </w:rPr>
      </w:r>
      <w:bookmarkStart w:id="163" w:name="_Toc20823308"/>
      <w:r>
        <w:rPr>
          <w:color w:val="auto"/>
          <w:highlight w:val="none"/>
        </w:rPr>
      </w:r>
      <w:bookmarkStart w:id="164" w:name="_Toc16938552"/>
      <w:r>
        <w:rPr>
          <w:rFonts w:hint="eastAsia" w:ascii="宋体" w:hAnsi="宋体" w:cs="宋体"/>
          <w:b/>
          <w:bCs/>
          <w:color w:val="auto"/>
          <w:sz w:val="32"/>
          <w:szCs w:val="32"/>
          <w:highlight w:val="none"/>
        </w:rPr>
        <w:t xml:space="preserve">七、授予合同</w:t>
      </w:r>
      <w:bookmarkEnd w:id="161"/>
      <w:r>
        <w:rPr>
          <w:rFonts w:hint="eastAsia" w:ascii="宋体" w:hAnsi="宋体" w:cs="宋体"/>
          <w:b/>
          <w:bCs/>
          <w:color w:val="auto"/>
          <w:sz w:val="32"/>
          <w:szCs w:val="32"/>
          <w:highlight w:val="none"/>
        </w:rPr>
      </w:r>
      <w:r>
        <w:rPr>
          <w:color w:val="auto"/>
          <w:highlight w:val="none"/>
        </w:rPr>
      </w:r>
    </w:p>
    <w:p>
      <w:pPr>
        <w:pStyle w:val="914"/>
        <w:ind w:firstLine="480"/>
        <w:keepLines/>
        <w:keepNext/>
        <w:rPr>
          <w:rFonts w:hint="eastAsia" w:ascii="宋体" w:hAnsi="宋体" w:cs="宋体"/>
          <w:bCs/>
          <w:color w:val="auto"/>
          <w:sz w:val="24"/>
          <w:szCs w:val="24"/>
          <w:highlight w:val="none"/>
        </w:rPr>
        <w:outlineLvl w:val="3"/>
      </w:pPr>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65" w:name="_Toc513029237"/>
      <w:r>
        <w:rPr>
          <w:color w:val="auto"/>
          <w:highlight w:val="none"/>
        </w:rPr>
      </w:r>
      <w:bookmarkStart w:id="166" w:name="_Toc16938553"/>
      <w:r>
        <w:rPr>
          <w:color w:val="auto"/>
          <w:highlight w:val="none"/>
        </w:rPr>
      </w:r>
      <w:bookmarkStart w:id="167" w:name="_Toc20823309"/>
      <w:r>
        <w:rPr>
          <w:rFonts w:hint="eastAsia" w:ascii="宋体" w:hAnsi="宋体" w:cs="宋体"/>
          <w:bCs/>
          <w:color w:val="auto"/>
          <w:sz w:val="24"/>
          <w:szCs w:val="24"/>
          <w:highlight w:val="none"/>
        </w:rPr>
        <w:t xml:space="preserve">31.签订合同</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31.2 招标文件、中标人的投标文件及招标过程中有关澄清、承诺文件均应作为合同附件。</w:t>
      </w:r>
      <w:r>
        <w:rPr>
          <w:rFonts w:hint="eastAsia" w:ascii="宋体" w:hAnsi="宋体" w:cs="宋体"/>
          <w:bCs/>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31.3 签订合同后，</w:t>
      </w:r>
      <w:r>
        <w:rPr>
          <w:rFonts w:hint="eastAsia" w:ascii="宋体" w:hAnsi="宋体" w:cs="宋体"/>
          <w:bCs/>
          <w:i/>
          <w:iCs/>
          <w:color w:val="auto"/>
          <w:sz w:val="24"/>
          <w:szCs w:val="24"/>
          <w:highlight w:val="none"/>
          <w:u w:val="single"/>
        </w:rPr>
        <w:t xml:space="preserve">中标人不得将合同标的进行转包</w:t>
      </w:r>
      <w:r>
        <w:rPr>
          <w:rFonts w:hint="eastAsia" w:ascii="宋体" w:hAnsi="宋体" w:cs="宋体"/>
          <w:bCs/>
          <w:color w:val="auto"/>
          <w:sz w:val="24"/>
          <w:szCs w:val="24"/>
          <w:highlight w:val="none"/>
        </w:rPr>
        <w:t xml:space="preserve">。未经采购人同意，</w:t>
      </w:r>
      <w:r>
        <w:rPr>
          <w:rFonts w:hint="eastAsia" w:ascii="宋体" w:hAnsi="宋体" w:cs="宋体"/>
          <w:bCs/>
          <w:color w:val="auto"/>
          <w:sz w:val="24"/>
          <w:szCs w:val="24"/>
          <w:highlight w:val="none"/>
        </w:rPr>
        <w:t xml:space="preserve">中标人也不得采用分包的形式履行合同</w:t>
      </w:r>
      <w:r>
        <w:rPr>
          <w:rFonts w:hint="eastAsia" w:ascii="宋体" w:hAnsi="宋体" w:cs="宋体"/>
          <w:bCs/>
          <w:color w:val="auto"/>
          <w:sz w:val="24"/>
          <w:szCs w:val="24"/>
          <w:highlight w:val="none"/>
        </w:rPr>
        <w:t xml:space="preserve">，否则采购人有权终止合同。转包或分包造成采购人损失的，中标人应承担相应赔偿责任。</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32.货物（包含与货物相关的服务）的追加</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color w:val="auto"/>
          <w:sz w:val="24"/>
          <w:szCs w:val="24"/>
          <w:highlight w:val="none"/>
        </w:rPr>
      </w:r>
      <w:r>
        <w:rPr>
          <w:color w:val="auto"/>
          <w:highlight w:val="none"/>
        </w:rPr>
      </w:r>
    </w:p>
    <w:p>
      <w:pPr>
        <w:pStyle w:val="914"/>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65"/>
      <w:r>
        <w:rPr>
          <w:color w:val="auto"/>
          <w:highlight w:val="none"/>
        </w:rPr>
      </w:r>
      <w:bookmarkEnd w:id="166"/>
      <w:r>
        <w:rPr>
          <w:color w:val="auto"/>
          <w:highlight w:val="none"/>
        </w:rPr>
      </w:r>
      <w:bookmarkEnd w:id="167"/>
      <w:r>
        <w:rPr>
          <w:color w:val="auto"/>
          <w:highlight w:val="none"/>
        </w:rPr>
      </w:r>
      <w:bookmarkStart w:id="168" w:name="_Toc120614221"/>
      <w:r>
        <w:rPr>
          <w:color w:val="auto"/>
          <w:highlight w:val="none"/>
        </w:rPr>
      </w:r>
      <w:bookmarkStart w:id="169" w:name="_Toc513029242"/>
      <w:r>
        <w:rPr>
          <w:color w:val="auto"/>
          <w:highlight w:val="none"/>
        </w:rPr>
      </w:r>
      <w:bookmarkStart w:id="170" w:name="_Toc479757207"/>
      <w:r>
        <w:rPr>
          <w:color w:val="auto"/>
          <w:highlight w:val="none"/>
        </w:rPr>
      </w:r>
      <w:bookmarkStart w:id="171" w:name="_Toc16938558"/>
      <w:r>
        <w:rPr>
          <w:color w:val="auto"/>
          <w:highlight w:val="none"/>
        </w:rPr>
      </w:r>
      <w:bookmarkStart w:id="172" w:name="_Toc20823314"/>
      <w:r>
        <w:rPr>
          <w:rFonts w:hint="eastAsia" w:ascii="宋体" w:hAnsi="宋体" w:cs="宋体"/>
          <w:color w:val="auto"/>
          <w:sz w:val="24"/>
          <w:szCs w:val="24"/>
          <w:highlight w:val="none"/>
        </w:rPr>
        <w:t xml:space="preserve">33.政府采购履约资金扶持政策</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rPr>
          <w:rFonts w:hint="eastAsia" w:ascii="宋体" w:hAnsi="宋体" w:cs="宋体"/>
          <w:bCs/>
          <w:color w:val="auto"/>
          <w:sz w:val="24"/>
          <w:szCs w:val="24"/>
          <w:highlight w:val="none"/>
        </w:rPr>
      </w:r>
      <w:r>
        <w:rPr>
          <w:color w:val="auto"/>
          <w:highlight w:val="none"/>
        </w:rPr>
      </w:r>
    </w:p>
    <w:p>
      <w:pPr>
        <w:pStyle w:val="994"/>
        <w:ind w:firstLine="0"/>
        <w:spacing w:before="290"/>
        <w:rPr>
          <w:rFonts w:hint="eastAsia" w:ascii="宋体" w:hAnsi="宋体" w:cs="宋体"/>
          <w:color w:val="auto"/>
          <w:highlight w:val="none"/>
        </w:rPr>
        <w:outlineLvl w:val="1"/>
      </w:pPr>
      <w:r>
        <w:rPr>
          <w:rFonts w:hint="eastAsia" w:ascii="宋体" w:hAnsi="宋体" w:cs="宋体"/>
          <w:color w:val="auto"/>
          <w:highlight w:val="none"/>
        </w:rPr>
        <w:t xml:space="preserve">八、政府采购中实施本国产品标准及相关政策</w:t>
      </w:r>
      <w:r>
        <w:rPr>
          <w:rFonts w:hint="eastAsia" w:ascii="宋体" w:hAnsi="宋体" w:cs="宋体"/>
          <w:color w:val="auto"/>
          <w:highlight w:val="none"/>
        </w:rPr>
      </w:r>
      <w:r>
        <w:rPr>
          <w:color w:val="auto"/>
          <w:highlight w:val="none"/>
        </w:rPr>
      </w:r>
    </w:p>
    <w:p>
      <w:pPr>
        <w:pStyle w:val="1040"/>
        <w:ind w:firstLine="480"/>
        <w:spacing w:line="360" w:lineRule="auto"/>
        <w:rPr>
          <w:rFonts w:hint="eastAsia" w:hAnsi="宋体"/>
          <w:color w:val="auto"/>
          <w:highlight w:val="none"/>
        </w:rPr>
      </w:pPr>
      <w:r>
        <w:rPr>
          <w:rFonts w:hint="eastAsia" w:hAnsi="宋体"/>
          <w:color w:val="auto"/>
          <w:highlight w:val="none"/>
        </w:rPr>
        <w:t xml:space="preserve">34.1 本项目对采购本国产品给予政策支持，具体内容见招标文件“第五章 评标方法与评标标准”。</w:t>
      </w:r>
      <w:r>
        <w:rPr>
          <w:rFonts w:hint="eastAsia" w:hAnsi="宋体"/>
          <w:color w:val="auto"/>
          <w:highlight w:val="none"/>
        </w:rPr>
      </w:r>
      <w:r>
        <w:rPr>
          <w:color w:val="auto"/>
          <w:highlight w:val="none"/>
        </w:rPr>
      </w:r>
    </w:p>
    <w:p>
      <w:pPr>
        <w:pStyle w:val="1040"/>
        <w:ind w:firstLine="480"/>
        <w:spacing w:line="360" w:lineRule="auto"/>
        <w:rPr>
          <w:rFonts w:hint="eastAsia" w:hAnsi="宋体"/>
          <w:color w:val="auto"/>
          <w:highlight w:val="none"/>
        </w:rPr>
      </w:pPr>
      <w:r>
        <w:rPr>
          <w:rFonts w:hint="eastAsia" w:hAnsi="宋体"/>
          <w:color w:val="auto"/>
          <w:highlight w:val="none"/>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olor w:val="auto"/>
          <w:highlight w:val="none"/>
        </w:rPr>
      </w:r>
      <w:r>
        <w:rPr>
          <w:color w:val="auto"/>
          <w:highlight w:val="none"/>
        </w:rPr>
      </w:r>
    </w:p>
    <w:p>
      <w:pPr>
        <w:pStyle w:val="1040"/>
        <w:ind w:firstLine="480"/>
        <w:spacing w:line="360" w:lineRule="auto"/>
        <w:rPr>
          <w:rFonts w:hint="eastAsia" w:hAnsi="宋体"/>
          <w:color w:val="auto"/>
          <w:highlight w:val="none"/>
        </w:rPr>
      </w:pPr>
      <w:r>
        <w:rPr>
          <w:rFonts w:hint="eastAsia" w:hAnsi="宋体"/>
          <w:color w:val="auto"/>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auto"/>
          <w:highlight w:val="none"/>
        </w:rPr>
      </w:r>
      <w:r>
        <w:rPr>
          <w:color w:val="auto"/>
          <w:highlight w:val="none"/>
        </w:rPr>
      </w:r>
    </w:p>
    <w:p>
      <w:pPr>
        <w:pStyle w:val="914"/>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73" w:name="_Toc6669"/>
      <w:r>
        <w:rPr>
          <w:rFonts w:hint="eastAsia" w:ascii="宋体" w:hAnsi="宋体" w:cs="宋体"/>
          <w:color w:val="auto"/>
          <w:sz w:val="44"/>
          <w:szCs w:val="44"/>
          <w:highlight w:val="none"/>
        </w:rPr>
        <w:t xml:space="preserve">第三章  合同</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rFonts w:hint="eastAsia" w:ascii="宋体" w:hAnsi="宋体" w:cs="宋体"/>
          <w:color w:val="auto"/>
          <w:sz w:val="44"/>
          <w:szCs w:val="44"/>
          <w:highlight w:val="none"/>
        </w:rPr>
        <w:t xml:space="preserve">文本</w:t>
      </w:r>
      <w:bookmarkEnd w:id="173"/>
      <w:r>
        <w:rPr>
          <w:rFonts w:hint="eastAsia" w:ascii="宋体" w:hAnsi="宋体" w:cs="宋体"/>
          <w:bCs/>
          <w:color w:val="auto"/>
          <w:sz w:val="44"/>
          <w:szCs w:val="28"/>
          <w:highlight w:val="none"/>
        </w:rPr>
      </w:r>
      <w:r>
        <w:rPr>
          <w:color w:val="auto"/>
          <w:highlight w:val="none"/>
        </w:rPr>
      </w:r>
    </w:p>
    <w:p>
      <w:pPr>
        <w:pStyle w:val="914"/>
        <w:ind w:firstLine="480"/>
        <w:spacing w:line="500" w:lineRule="exact"/>
        <w:rPr>
          <w:rFonts w:hint="eastAsia" w:ascii="宋体" w:hAnsi="宋体" w:cs="宋体"/>
          <w:bCs/>
          <w:color w:val="auto"/>
          <w:sz w:val="24"/>
          <w:szCs w:val="21"/>
          <w:highlight w:val="none"/>
        </w:rPr>
      </w:pPr>
      <w:r>
        <w:rPr>
          <w:color w:val="auto"/>
          <w:highlight w:val="none"/>
        </w:rPr>
      </w:r>
      <w:bookmarkStart w:id="174" w:name="_Toc20823315"/>
      <w:r>
        <w:rPr>
          <w:color w:val="auto"/>
          <w:highlight w:val="none"/>
        </w:rPr>
      </w:r>
      <w:bookmarkStart w:id="175" w:name="_Toc16938559"/>
      <w:r>
        <w:rPr>
          <w:color w:val="auto"/>
          <w:highlight w:val="none"/>
        </w:rPr>
      </w:r>
      <w:bookmarkStart w:id="176" w:name="_Toc513029243"/>
      <w:r>
        <w:rPr>
          <w:rFonts w:hint="eastAsia" w:ascii="宋体" w:hAnsi="宋体" w:cs="宋体"/>
          <w:bCs/>
          <w:color w:val="auto"/>
          <w:sz w:val="24"/>
          <w:szCs w:val="21"/>
          <w:highlight w:val="none"/>
        </w:rPr>
        <w:t xml:space="preserve">以下为中标后签订本项目合同的通用条款，中标人不得提出实质性的修改。</w:t>
      </w:r>
      <w:r>
        <w:rPr>
          <w:rFonts w:hint="eastAsia" w:ascii="宋体" w:hAnsi="宋体" w:cs="宋体"/>
          <w:bCs/>
          <w:color w:val="auto"/>
          <w:sz w:val="24"/>
          <w:szCs w:val="21"/>
          <w:highlight w:val="none"/>
        </w:rPr>
      </w:r>
      <w:r>
        <w:rPr>
          <w:color w:val="auto"/>
          <w:highlight w:val="none"/>
        </w:rPr>
      </w:r>
    </w:p>
    <w:p>
      <w:pPr>
        <w:pStyle w:val="914"/>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rPr>
          <w:color w:val="auto"/>
          <w:highlight w:val="none"/>
        </w:rPr>
      </w:r>
    </w:p>
    <w:p>
      <w:pPr>
        <w:pStyle w:val="914"/>
        <w:jc w:val="center"/>
        <w:rPr>
          <w:rFonts w:hint="eastAsia" w:ascii="宋体" w:hAnsi="宋体" w:cs="宋体"/>
          <w:b/>
          <w:color w:val="auto"/>
          <w:sz w:val="36"/>
          <w:szCs w:val="36"/>
          <w:highlight w:val="none"/>
        </w:rPr>
      </w:pPr>
      <w:r>
        <w:rPr>
          <w:color w:val="auto"/>
          <w:highlight w:val="none"/>
        </w:rPr>
      </w:r>
      <w:bookmarkEnd w:id="174"/>
      <w:r>
        <w:rPr>
          <w:color w:val="auto"/>
          <w:highlight w:val="none"/>
        </w:rPr>
      </w:r>
      <w:bookmarkEnd w:id="175"/>
      <w:r>
        <w:rPr>
          <w:color w:val="auto"/>
          <w:highlight w:val="none"/>
        </w:rPr>
      </w:r>
      <w:bookmarkEnd w:id="176"/>
      <w:r>
        <w:rPr>
          <w:color w:val="auto"/>
          <w:highlight w:val="none"/>
        </w:rPr>
      </w:r>
      <w:bookmarkStart w:id="177" w:name="_Hlt16619369"/>
      <w:r>
        <w:rPr>
          <w:color w:val="auto"/>
          <w:highlight w:val="none"/>
        </w:rPr>
      </w:r>
      <w:bookmarkEnd w:id="177"/>
      <w:r>
        <w:rPr>
          <w:color w:val="auto"/>
          <w:highlight w:val="none"/>
        </w:rPr>
      </w:r>
      <w:bookmarkStart w:id="178" w:name="_Toc479757211"/>
      <w:r>
        <w:rPr>
          <w:color w:val="auto"/>
          <w:highlight w:val="none"/>
        </w:rPr>
      </w:r>
      <w:bookmarkStart w:id="179" w:name="_Toc462564139"/>
      <w:r>
        <w:rPr>
          <w:rFonts w:hint="eastAsia" w:ascii="宋体" w:hAnsi="宋体" w:cs="宋体"/>
          <w:b/>
          <w:color w:val="auto"/>
          <w:sz w:val="36"/>
          <w:szCs w:val="36"/>
          <w:highlight w:val="none"/>
        </w:rPr>
        <w:t xml:space="preserve">设备购销合同</w:t>
      </w:r>
      <w:r>
        <w:rPr>
          <w:rFonts w:hint="eastAsia" w:ascii="宋体" w:hAnsi="宋体" w:cs="宋体"/>
          <w:b/>
          <w:color w:val="auto"/>
          <w:sz w:val="36"/>
          <w:szCs w:val="36"/>
          <w:highlight w:val="none"/>
        </w:rPr>
      </w:r>
      <w:r>
        <w:rPr>
          <w:color w:val="auto"/>
          <w:highlight w:val="none"/>
        </w:rPr>
      </w:r>
    </w:p>
    <w:p>
      <w:pPr>
        <w:pStyle w:val="914"/>
        <w:jc w:val="left"/>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甲方：（买方）</w:t>
      </w:r>
      <w:r>
        <w:rPr>
          <w:rFonts w:hint="eastAsia" w:ascii="宋体" w:hAnsi="宋体" w:cs="宋体"/>
          <w:color w:val="auto"/>
          <w:szCs w:val="21"/>
          <w:highlight w:val="none"/>
          <w:u w:val="single"/>
        </w:rPr>
        <w:t xml:space="preserve">江苏省苏北人民医院</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乙方：（卖方）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根据《中华人民共和国民法典》以及</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采购项目（招标编号/包号：                ）</w:t>
      </w:r>
      <w:r>
        <w:rPr>
          <w:rFonts w:hint="eastAsia" w:ascii="宋体" w:hAnsi="宋体" w:cs="宋体"/>
          <w:color w:val="auto"/>
          <w:szCs w:val="21"/>
          <w:highlight w:val="none"/>
        </w:rPr>
        <w:t xml:space="preserve">《招标文件》、乙方《投标文件》，遵循平等、自愿、公平和诚实信用等原则</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甲乙双方同意按下述条款和条件签订本合同，并共同遵守。</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一、标的</w:t>
      </w:r>
      <w:r>
        <w:rPr>
          <w:rFonts w:hint="eastAsia" w:ascii="宋体" w:hAnsi="宋体" w:cs="宋体"/>
          <w:b/>
          <w:color w:val="auto"/>
          <w:szCs w:val="21"/>
          <w:highlight w:val="none"/>
        </w:rPr>
      </w:r>
      <w:r>
        <w:rPr>
          <w:color w:val="auto"/>
          <w:highlight w:val="none"/>
        </w:rPr>
      </w:r>
    </w:p>
    <w:tbl>
      <w:tblPr>
        <w:tblW w:w="87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包</w:t>
            </w:r>
            <w:r>
              <w:rPr>
                <w:rFonts w:hint="eastAsia" w:ascii="宋体" w:hAnsi="宋体" w:cs="宋体"/>
                <w:bCs/>
                <w:color w:val="auto"/>
                <w:szCs w:val="21"/>
                <w:highlight w:val="none"/>
              </w:rPr>
            </w:r>
            <w:r>
              <w:rPr>
                <w:color w:val="auto"/>
                <w:highlight w:val="none"/>
              </w:rPr>
            </w:r>
          </w:p>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号</w:t>
            </w: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产品名称</w:t>
            </w: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品牌</w:t>
            </w: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规格/型号</w:t>
            </w:r>
            <w:r>
              <w:rPr>
                <w:rFonts w:hint="eastAsia" w:ascii="宋体" w:hAnsi="宋体" w:cs="宋体"/>
                <w:bCs/>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单位</w:t>
            </w: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单价</w:t>
            </w:r>
            <w:r>
              <w:rPr>
                <w:rFonts w:hint="eastAsia" w:ascii="宋体" w:hAnsi="宋体" w:cs="宋体"/>
                <w:bCs/>
                <w:color w:val="auto"/>
                <w:szCs w:val="21"/>
                <w:highlight w:val="none"/>
              </w:rPr>
            </w:r>
            <w:r>
              <w:rPr>
                <w:color w:val="auto"/>
                <w:highlight w:val="none"/>
              </w:rPr>
            </w:r>
          </w:p>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合计</w:t>
            </w:r>
            <w:r>
              <w:rPr>
                <w:rFonts w:hint="eastAsia" w:ascii="宋体" w:hAnsi="宋体" w:cs="宋体"/>
                <w:bCs/>
                <w:color w:val="auto"/>
                <w:szCs w:val="21"/>
                <w:highlight w:val="none"/>
              </w:rPr>
            </w:r>
            <w:r>
              <w:rPr>
                <w:color w:val="auto"/>
                <w:highlight w:val="none"/>
              </w:rPr>
            </w:r>
          </w:p>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14"/>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14"/>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gridSpan w:val="7"/>
            <w:tcW w:w="7429" w:type="dxa"/>
            <w:vAlign w:val="center"/>
            <w:textDirection w:val="lrTb"/>
            <w:noWrap w:val="false"/>
          </w:tcPr>
          <w:p>
            <w:pPr>
              <w:pStyle w:val="914"/>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含税合计</w:t>
            </w:r>
            <w:r>
              <w:rPr>
                <w:rFonts w:hint="eastAsia" w:ascii="宋体" w:hAnsi="宋体" w:cs="宋体"/>
                <w:color w:val="auto"/>
                <w:szCs w:val="21"/>
                <w:highlight w:val="none"/>
              </w:rPr>
            </w:r>
            <w:r>
              <w:rPr>
                <w:color w:val="auto"/>
                <w:highlight w:val="none"/>
              </w:rPr>
            </w:r>
          </w:p>
        </w:tc>
        <w:tc>
          <w:tcPr>
            <w:tcW w:w="1320" w:type="dxa"/>
            <w:vAlign w:val="center"/>
            <w:textDirection w:val="lrTb"/>
            <w:noWrap w:val="false"/>
          </w:tcPr>
          <w:p>
            <w:pPr>
              <w:pStyle w:val="914"/>
              <w:ind w:right="420"/>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bl>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二、合同金额</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2.1  合同价金额为（大写）：</w:t>
      </w:r>
      <w:r>
        <w:rPr>
          <w:rFonts w:hint="eastAsia" w:ascii="宋体" w:hAnsi="宋体" w:cs="宋体"/>
          <w:color w:val="auto"/>
          <w:szCs w:val="21"/>
          <w:highlight w:val="none"/>
          <w:u w:val="single"/>
        </w:rPr>
        <w:t xml:space="preserve">          万元整</w:t>
      </w:r>
      <w:r>
        <w:rPr>
          <w:rFonts w:hint="eastAsia" w:ascii="宋体" w:hAnsi="宋体" w:cs="宋体"/>
          <w:color w:val="auto"/>
          <w:szCs w:val="21"/>
          <w:highlight w:val="none"/>
          <w:u w:val="singl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三、技术资料</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四、知识产权</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五、产权担保</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5.1乙方保证所交付的货物的所有权完全属于乙方且无任何抵押、查封等产权瑕疵。</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六、项目实施</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6.1 </w:t>
      </w:r>
      <w:r>
        <w:rPr>
          <w:rFonts w:hint="eastAsia" w:ascii="宋体" w:hAnsi="宋体" w:cs="宋体"/>
          <w:bCs/>
          <w:color w:val="auto"/>
          <w:szCs w:val="21"/>
          <w:highlight w:val="none"/>
        </w:rPr>
        <w:t xml:space="preserve"> 交 货 期：合同签订后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日内。</w:t>
      </w:r>
      <w:r>
        <w:rPr>
          <w:rFonts w:hint="eastAsia" w:ascii="宋体" w:hAnsi="宋体" w:cs="宋体"/>
          <w:bCs/>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6.2  交货地点：</w:t>
      </w:r>
      <w:r>
        <w:rPr>
          <w:rFonts w:hint="eastAsia" w:ascii="宋体" w:hAnsi="宋体" w:cs="宋体"/>
          <w:bCs/>
          <w:color w:val="auto"/>
          <w:szCs w:val="21"/>
          <w:highlight w:val="none"/>
        </w:rPr>
        <w:t xml:space="preserve">甲方指定地点</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七、包装、运输、交货</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7.2  每件包装箱内应附一份详细装箱单和质量合格标识。</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7.3  乙方负责安排运输，并承担相关费用。</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7.4  设备在项目安装调试验收合格并移交给甲方之前的保管由乙方负责。</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八、货款支付</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8.1 合同签订后且乙方向甲方出具发票后，甲方15日内支付合同款的30%，项目验收合格后，甲方支付合同款的70%。</w:t>
      </w: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九、安装及调试</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9.1  设备到货后一周内，乙方应派有经验和能力、具有相应资质的技术人员，负责设备安装、调试至合格。</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十、验收</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10.2  设备投入试运行后正常工作</w:t>
      </w:r>
      <w:r>
        <w:rPr>
          <w:rFonts w:hint="eastAsia" w:ascii="宋体" w:hAnsi="宋体" w:cs="宋体"/>
          <w:color w:val="auto"/>
          <w:szCs w:val="21"/>
          <w:highlight w:val="none"/>
          <w:u w:val="single"/>
        </w:rPr>
        <w:t xml:space="preserve"> 30 </w:t>
      </w:r>
      <w:r>
        <w:rPr>
          <w:rFonts w:hint="eastAsia" w:ascii="宋体" w:hAnsi="宋体" w:cs="宋体"/>
          <w:color w:val="auto"/>
          <w:szCs w:val="21"/>
          <w:highlight w:val="none"/>
        </w:rPr>
        <w:t xml:space="preserve">日（时间由甲、乙双方商定），甲、乙方双方共同进行最终验收。</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10.3  最终验收合格后，甲乙双方共同签署验收报告，一式两份，一份交甲方留存，一份由乙方用作结算凭证。</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10.4  如果发现与合同中要求不符，乙方须承担由此发生的一切损失和费用，并接受相应的处罚。</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10.5  </w:t>
      </w:r>
      <w:r>
        <w:rPr>
          <w:rStyle w:val="1034"/>
          <w:color w:val="auto"/>
          <w:sz w:val="21"/>
          <w:szCs w:val="21"/>
          <w:highlight w:val="none"/>
        </w:rPr>
        <w:t xml:space="preserve">甲方有权委托中国有资格单位或机构对设备性能、精度进行校核。</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10.6  验收时必须提供完整的验收资料。</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十一、技术培训：</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11.1  技术培训要求详见招标文件《第三部分：采购需求》中商务要求条款。</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十二、质量保证及售后服务</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乙方应按招标文件规定的货物性能、技术要求、质量标准向甲方提供未经使用的全新产品。</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12.2  售后服务要求详见招标文件《第三部分：采购需求》中商务要求条款。</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十三、违约责任</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13.1甲方不得以无正当理由拒收货物，否则由此所造成的损失须由甲方承担赔偿责任。</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13.2  乙方逾期交付货物的，按照招标文件《第三部分：采购需求》中商务条款的相应条文执行。</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十四、诉讼</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14.1双方在执行合同中所发生的一切争议，应通过协商解决。如协商不成，可向合同签订地法院起诉。</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十五、合同生效及其它</w:t>
      </w:r>
      <w:r>
        <w:rPr>
          <w:rFonts w:hint="eastAsia" w:ascii="宋体" w:hAnsi="宋体" w:cs="宋体"/>
          <w:b/>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15.1  本合同由甲乙双方在</w:t>
      </w:r>
      <w:r>
        <w:rPr>
          <w:rStyle w:val="1035"/>
          <w:rFonts w:hint="eastAsia" w:ascii="宋体" w:hAnsi="宋体" w:cs="宋体"/>
          <w:color w:val="auto"/>
          <w:highlight w:val="none"/>
          <w:u w:val="single"/>
        </w:rPr>
        <w:t xml:space="preserve">甲方所在地</w:t>
      </w:r>
      <w:r>
        <w:rPr>
          <w:rFonts w:hint="eastAsia" w:ascii="宋体" w:hAnsi="宋体" w:cs="宋体"/>
          <w:color w:val="auto"/>
          <w:szCs w:val="21"/>
          <w:highlight w:val="none"/>
        </w:rPr>
        <w:t xml:space="preserve">签订。合同经双方法定代表人或授权委托人签字盖章并经采购代理机构鉴证后生效。</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15.2  招标、投标文件是本合同不可或缺的部分，与合同具有同等效力。本合同未尽事宜，遵照《合同法》有关条文执行。</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15.3  本合同正本一式</w:t>
      </w:r>
      <w:r>
        <w:rPr>
          <w:rFonts w:hint="eastAsia" w:ascii="宋体" w:hAnsi="宋体" w:cs="宋体"/>
          <w:color w:val="auto"/>
          <w:szCs w:val="21"/>
          <w:highlight w:val="none"/>
          <w:u w:val="single"/>
        </w:rPr>
        <w:t xml:space="preserve">肆</w:t>
      </w:r>
      <w:r>
        <w:rPr>
          <w:rFonts w:hint="eastAsia" w:ascii="宋体" w:hAnsi="宋体" w:cs="宋体"/>
          <w:color w:val="auto"/>
          <w:szCs w:val="21"/>
          <w:highlight w:val="none"/>
        </w:rPr>
        <w:t xml:space="preserve">份，具有同等法律效力，甲方执</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rPr>
        <w:t xml:space="preserve">份，乙方执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份，鉴证方执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甲方（盖章）：江苏省苏北人民医院       乙方（盖章）： </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地址：扬州市南通西路98号             地址： </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法定代表人或授权委托人（签字）：       法定代表人或授权委托人（签字）：</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纳税人识别号：12321000468830683C      纳税人识别号：</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开户行：工行江苏扬州分行汶河支行      开户行：</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账号：1108020909000059659             账号：</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联系电话：0514-87373493               联系电话：</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highlight w:val="none"/>
        </w:rPr>
        <w:t xml:space="preserve">南京市雨花台区软件大道21号苏豪国际广场（北园）C座617室</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招标项目负责人（签字）：</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rPr>
          <w:rFonts w:hint="eastAsia" w:ascii="宋体" w:hAnsi="宋体" w:cs="宋体"/>
          <w:bCs/>
          <w:color w:val="auto"/>
          <w:sz w:val="44"/>
          <w:szCs w:val="28"/>
          <w:highlight w:val="none"/>
        </w:rPr>
      </w:pPr>
      <w:r>
        <w:rPr>
          <w:rFonts w:hint="eastAsia" w:ascii="宋体" w:hAnsi="宋体" w:cs="宋体"/>
          <w:color w:val="auto"/>
          <w:szCs w:val="21"/>
          <w:highlight w:val="none"/>
        </w:rPr>
        <w:t xml:space="preserve">签订日期：2026年  月   日</w:t>
      </w:r>
      <w:r>
        <w:rPr>
          <w:rFonts w:hint="eastAsia" w:ascii="宋体" w:hAnsi="宋体" w:cs="宋体"/>
          <w:bCs/>
          <w:color w:val="auto"/>
          <w:sz w:val="44"/>
          <w:szCs w:val="28"/>
          <w:highlight w:val="none"/>
        </w:rPr>
        <w:t xml:space="preserve"> </w:t>
      </w:r>
      <w:r>
        <w:rPr>
          <w:rFonts w:hint="eastAsia" w:ascii="宋体" w:hAnsi="宋体" w:cs="宋体"/>
          <w:bCs/>
          <w:color w:val="auto"/>
          <w:sz w:val="44"/>
          <w:szCs w:val="28"/>
          <w:highlight w:val="none"/>
        </w:rPr>
      </w:r>
      <w:r>
        <w:rPr>
          <w:color w:val="auto"/>
          <w:highlight w:val="none"/>
        </w:rPr>
      </w:r>
    </w:p>
    <w:p>
      <w:pPr>
        <w:pStyle w:val="914"/>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center"/>
        <w:keepNext/>
        <w:rPr>
          <w:rFonts w:hint="eastAsia" w:ascii="宋体" w:hAnsi="宋体" w:cs="宋体"/>
          <w:b/>
          <w:bCs/>
          <w:color w:val="auto"/>
          <w:sz w:val="44"/>
          <w:szCs w:val="44"/>
          <w:highlight w:val="none"/>
        </w:rPr>
        <w:outlineLvl w:val="0"/>
      </w:pPr>
      <w:r>
        <w:rPr>
          <w:color w:val="auto"/>
          <w:highlight w:val="none"/>
        </w:rPr>
      </w:r>
      <w:bookmarkStart w:id="180" w:name="_Toc49090575"/>
      <w:r>
        <w:rPr>
          <w:color w:val="auto"/>
          <w:highlight w:val="none"/>
        </w:rPr>
      </w:r>
      <w:bookmarkStart w:id="181" w:name="_Toc26554093"/>
      <w:r>
        <w:rPr>
          <w:rFonts w:hint="eastAsia" w:ascii="宋体" w:hAnsi="宋体" w:cs="宋体"/>
          <w:b/>
          <w:bCs/>
          <w:color w:val="auto"/>
          <w:sz w:val="44"/>
          <w:szCs w:val="44"/>
          <w:highlight w:val="none"/>
        </w:rPr>
        <w:br w:type="page" w:clear="all"/>
      </w:r>
      <w:bookmarkStart w:id="182" w:name="_Toc29514"/>
      <w:r>
        <w:rPr>
          <w:rFonts w:hint="eastAsia" w:ascii="宋体" w:hAnsi="宋体" w:cs="宋体"/>
          <w:color w:val="auto"/>
          <w:sz w:val="44"/>
          <w:szCs w:val="44"/>
          <w:highlight w:val="none"/>
        </w:rPr>
        <w:t xml:space="preserve">第四章  采购需求</w:t>
      </w:r>
      <w:bookmarkEnd w:id="182"/>
      <w:r>
        <w:rPr>
          <w:rFonts w:hint="eastAsia" w:ascii="宋体" w:hAnsi="宋体" w:cs="宋体"/>
          <w:b/>
          <w:bCs/>
          <w:color w:val="auto"/>
          <w:sz w:val="44"/>
          <w:szCs w:val="44"/>
          <w:highlight w:val="none"/>
        </w:rPr>
      </w:r>
      <w:r>
        <w:rPr>
          <w:color w:val="auto"/>
          <w:highlight w:val="none"/>
        </w:rPr>
      </w:r>
    </w:p>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auto"/>
          <w:sz w:val="24"/>
          <w:szCs w:val="24"/>
          <w:highlight w:val="none"/>
        </w:rPr>
      </w:r>
      <w:r>
        <w:rPr>
          <w:color w:val="auto"/>
          <w:highlight w:val="none"/>
        </w:rPr>
      </w:r>
    </w:p>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项目属性：货物类项目</w:t>
      </w:r>
      <w:r>
        <w:rPr>
          <w:rFonts w:hint="eastAsia" w:ascii="宋体" w:hAnsi="宋体" w:cs="宋体"/>
          <w:b/>
          <w:bCs/>
          <w:color w:val="auto"/>
          <w:sz w:val="24"/>
          <w:szCs w:val="24"/>
          <w:highlight w:val="none"/>
        </w:rPr>
      </w:r>
      <w:r>
        <w:rPr>
          <w:color w:val="auto"/>
          <w:highlight w:val="none"/>
        </w:rPr>
      </w:r>
    </w:p>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核心产品：彩色多普勒超声</w:t>
      </w:r>
      <w:r>
        <w:rPr>
          <w:rFonts w:hint="eastAsia" w:ascii="宋体" w:hAnsi="宋体" w:cs="宋体"/>
          <w:b/>
          <w:bCs/>
          <w:color w:val="auto"/>
          <w:sz w:val="24"/>
          <w:szCs w:val="24"/>
          <w:highlight w:val="none"/>
        </w:rPr>
      </w:r>
      <w:r>
        <w:rPr>
          <w:color w:val="auto"/>
          <w:highlight w:val="none"/>
        </w:rPr>
      </w:r>
    </w:p>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一、采购需求：</w:t>
      </w:r>
      <w:r>
        <w:rPr>
          <w:rFonts w:hint="eastAsia" w:ascii="宋体" w:hAnsi="宋体" w:cs="宋体"/>
          <w:b/>
          <w:bCs/>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4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彩色多普勒超声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14"/>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r>
            <w:r>
              <w:rPr>
                <w:color w:val="auto"/>
                <w:highlight w:val="none"/>
              </w:rPr>
            </w:r>
          </w:p>
        </w:tc>
      </w:tr>
    </w:tbl>
    <w:p>
      <w:pPr>
        <w:pStyle w:val="914"/>
        <w:numPr>
          <w:ilvl w:val="0"/>
          <w:numId w:val="6"/>
        </w:numPr>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rPr>
      </w:r>
      <w:r>
        <w:rPr>
          <w:color w:val="auto"/>
          <w:highlight w:val="none"/>
        </w:rPr>
      </w:r>
    </w:p>
    <w:tbl>
      <w:tblPr>
        <w:tblW w:w="0" w:type="auto"/>
        <w:tblInd w:w="-17" w:type="dxa"/>
        <w:tblLayout w:type="autofit"/>
        <w:tblCellMar>
          <w:left w:w="108" w:type="dxa"/>
          <w:top w:w="0" w:type="dxa"/>
          <w:right w:w="108" w:type="dxa"/>
          <w:bottom w:w="0" w:type="dxa"/>
        </w:tblCellMar>
        <w:tblLook w:val="04A0" w:firstRow="1" w:lastRow="0" w:firstColumn="1" w:lastColumn="0" w:noHBand="0" w:noVBand="1"/>
      </w:tblPr>
      <w:tblGrid>
        <w:gridCol w:w="986"/>
        <w:gridCol w:w="7871"/>
      </w:tblGrid>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2.1</w:t>
            </w:r>
            <w:r>
              <w:rPr>
                <w:rFonts w:hint="eastAsia" w:ascii="宋体" w:hAnsi="宋体" w:cs="宋体"/>
                <w:i/>
                <w:iCs/>
                <w:color w:val="auto"/>
                <w:sz w:val="22"/>
                <w:highlight w:val="none"/>
                <w:u w:val="singl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★产品用途</w:t>
            </w:r>
            <w:r>
              <w:rPr>
                <w:rFonts w:hint="eastAsia" w:ascii="宋体" w:hAnsi="宋体" w:cs="宋体"/>
                <w:i/>
                <w:iCs/>
                <w:color w:val="auto"/>
                <w:sz w:val="22"/>
                <w:highlight w:val="none"/>
                <w:u w:val="singl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2.1.1</w:t>
            </w:r>
            <w:r>
              <w:rPr>
                <w:rFonts w:hint="eastAsia" w:ascii="宋体" w:hAnsi="宋体" w:cs="宋体"/>
                <w:i/>
                <w:iCs/>
                <w:color w:val="auto"/>
                <w:sz w:val="22"/>
                <w:highlight w:val="none"/>
                <w:u w:val="singl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用途：用于重症、神经、急诊、腹部、产科、妇科、心脏、小器官、泌尿、血管、儿科等全身应用</w:t>
            </w:r>
            <w:r>
              <w:rPr>
                <w:rFonts w:hint="eastAsia" w:ascii="宋体" w:hAnsi="宋体" w:cs="宋体"/>
                <w:i/>
                <w:iCs/>
                <w:color w:val="auto"/>
                <w:sz w:val="22"/>
                <w:highlight w:val="none"/>
                <w:u w:val="singl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2.1.2</w:t>
            </w:r>
            <w:r>
              <w:rPr>
                <w:rFonts w:hint="eastAsia" w:ascii="宋体" w:hAnsi="宋体" w:cs="宋体"/>
                <w:i/>
                <w:iCs/>
                <w:color w:val="auto"/>
                <w:sz w:val="22"/>
                <w:highlight w:val="none"/>
                <w:u w:val="singl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i/>
                <w:iCs/>
                <w:color w:val="auto"/>
                <w:sz w:val="22"/>
                <w:highlight w:val="none"/>
                <w:u w:val="single"/>
              </w:rPr>
            </w:pPr>
            <w:r>
              <w:rPr>
                <w:rFonts w:hint="eastAsia" w:ascii="宋体" w:hAnsi="宋体" w:cs="宋体"/>
                <w:i/>
                <w:iCs/>
                <w:color w:val="auto"/>
                <w:sz w:val="22"/>
                <w:highlight w:val="none"/>
                <w:u w:val="single"/>
                <w:lang w:bidi="ar"/>
              </w:rPr>
              <w:t xml:space="preserve">为后期临床围术期应用升级，要求主机具备三类注册证，可支持经食道探头</w:t>
            </w:r>
            <w:r>
              <w:rPr>
                <w:rFonts w:hint="eastAsia" w:ascii="宋体" w:hAnsi="宋体" w:cs="宋体"/>
                <w:i/>
                <w:iCs/>
                <w:color w:val="auto"/>
                <w:sz w:val="22"/>
                <w:highlight w:val="none"/>
                <w:u w:val="singl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系统概述：</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▲≥23英寸无缝纯平液晶屏，可触摸操控，支持单点、多点、滑动、缩放操作</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2.2.2</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▲主机内置（非扩展器扩展）≥4个可激活探头接口</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扩展成像（要求凸阵、线阵可用）</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实时双幅对比成像</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2.2.5</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一键自动优化（包括应用于二维、彩色及频谱模式，彩色多普勒自动识别，包括ROI框位置、角度自动改变）</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2.2.6</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支持全屏放大，≥2档可调</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2.2.7</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局部放大（支持前端、后端放大）</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2.2.8</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图像后处理，可处理参数≥26种</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2.2.9</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穿刺针增强技术，可跟随进针角度随时改变声束偏转角度，支持双屏实时对比显示增强前后效果，支持线阵和凸阵探头</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2.2.10</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屏幕内具有穿刺中位线，参数显示区可显示靶目标至体表距离，探头中心位置具有穿刺中位点标识，提高穿刺效率及准确性</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内置超声教学软件，解剖图谱，标准的超声图像，扫查位置参考图，以及扫查技巧图文解析，覆盖神经、FAST、心脏、腹部、甲状腺、乳腺、睾丸和妇产等应用，为用户提供在线指导</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智能追踪探头信息，探头内置记忆芯片，可自动记录设备序列号等信息，自动写入</w:t>
            </w:r>
            <w:r>
              <w:rPr>
                <w:rFonts w:hint="eastAsia" w:ascii="宋体" w:hAnsi="宋体" w:cs="宋体"/>
                <w:color w:val="auto"/>
                <w:sz w:val="22"/>
                <w:highlight w:val="none"/>
                <w:lang w:bidi="ar"/>
              </w:rPr>
              <w:t xml:space="preserve">病历</w:t>
            </w:r>
            <w:r>
              <w:rPr>
                <w:rFonts w:hint="eastAsia" w:ascii="宋体" w:hAnsi="宋体" w:cs="宋体"/>
                <w:color w:val="auto"/>
                <w:sz w:val="22"/>
                <w:highlight w:val="none"/>
                <w:lang w:bidi="ar"/>
              </w:rPr>
              <w:t xml:space="preserve">，便于设备管理与追溯</w:t>
            </w:r>
            <w:r>
              <w:rPr>
                <w:rFonts w:hint="eastAsia" w:ascii="宋体" w:hAnsi="宋体" w:cs="宋体"/>
                <w:color w:val="auto"/>
                <w:sz w:val="22"/>
                <w:highlight w:val="none"/>
              </w:rPr>
            </w:r>
            <w:r>
              <w:rPr>
                <w:color w:val="auto"/>
                <w:highlight w:val="none"/>
              </w:rPr>
            </w:r>
          </w:p>
        </w:tc>
      </w:tr>
      <w:tr>
        <w:trPr>
          <w:trHeight w:val="556"/>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Style w:val="1041"/>
                <w:color w:val="auto"/>
                <w:sz w:val="21"/>
                <w:szCs w:val="21"/>
                <w:highlight w:val="none"/>
                <w:lang w:bidi="ar"/>
              </w:rPr>
              <w:t xml:space="preserve">自动工作流协议，自动提示检查切面、自动激活彩色多普勒、PW模式，自动添加注释</w:t>
            </w:r>
            <w:r>
              <w:rPr>
                <w:rFonts w:hint="eastAsia" w:ascii="宋体" w:hAnsi="宋体" w:cs="宋体"/>
                <w:color w:val="auto"/>
                <w:szCs w:val="21"/>
                <w:highlight w:val="none"/>
                <w:lang w:bidi="ar"/>
              </w:rPr>
              <w:t xml:space="preserve">和体</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2.2.14</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▲可支持造影成像功能</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成像模式要求</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2.3.1</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二维灰阶模式</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2.3.1.1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预设条件：针对不同的检查脏器，预置最佳图像检查条件</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2.3.1.2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最大显示深度：≥38cm，TGC：≥8段，二维灰阶：≥256，动态范围：≥230</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2.3.1.3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增益调节：B/M/D分别独立可调，≥100</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2.3.1.4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伪彩图谱：≥8种</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2.3.2</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彩色多普勒成像</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2.3.2.1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包括速度、速度方差、能量、方向能量显示等</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2.3.2.2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显示方式：B/C、B/C/M、B/POWER、B/C/PW</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2.3.2.3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取样框偏转：≥±25度 (线阵探头)</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2.3.2.4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支持一键B/C同宽</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频谱多普勒模式</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包括脉冲多普勒、高脉冲重复频率、连续多普勒</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显示方式：B, PW，B/PW, B/C/PW, B/CW, B/C/CW等等</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显示控制：反转、零移位、B刷新、D扩展、B/D扩展等</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最大速度：≥8m/s（连续多普勒速度：≥37m/s），最小速度：≤0.5mm/s（非噪声信号）</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2.3.3.5</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取样容积：0.5-20mm，偏转角度：≥±25度 (线阵探头)，零位移动：≥8级</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2.3.3.6</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快速角度校正</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2.3.3.7</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支持频谱自动测量</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探头规格要求</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2.4.1</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▲可支持探头类型：凸阵、线阵、腔内、相控阵、经食道，无线探头；</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穿刺引导：凸阵、线阵、相控阵具备多角度穿刺引导功能</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凸阵探头频率范围：1.5-6.0MHz</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2.4.4</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▲单晶体相控阵频率范围：1.0-4.5MHz</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2.4.5</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▲按键线阵探头频率范围：3.0-12.5MHz</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2.4.6</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B/M、彩色、能量多普勒、组织多普勒输出功率可选择分级调节</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电影回放和原始数据处理</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所有模式下可用</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支持手动、自动回放</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支持向后存储和向前存储，时间长度可预置(向后：≥480s；向前：≥120s)</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2.5.4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图像后处理，可对回放图像进行≥28种参数调节</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测量/分析和报告</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常规测量软件包（包含腹部、心脏、血管、小器官，神经，产科、妇科、泌尿、急诊测量软件包）</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心脏功能专用测量及分析（左室心功能2D/M: Teichholz）</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直线解剖M型（≥3条）和曲线解剖M型：实时、冻结或回放图像上可获得M型扫描线360度任意旋转或者多点任意描记</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2.6.4</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智能血流跟踪（根据血管走行，自动识别并跟踪血管，自动调整彩色取样框的位置和角度，自动调整PW取样门的大小和角度，无需手动调节；具备多普勒自动识别功能）</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2.6.5</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▲自动速度时间积分测量（自动放置彩色取样框，PW取样线，取样门，自动跟踪并描记LVOT的PW频谱，并计算VTI、SV、CO、SVV，且可提供趋势图）</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2.6.6</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▲自动下腔静脉定量分析（自动跟踪IVC的内径并在实时或者多帧电影状态下计算自主呼吸下的塌陷指数CI，机械通气下的扩张指数DI和IVCV，并支持快速容量状态标注，且可提供趋势图）</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2.6.7</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▲自动B线检测, 自动计算B线数量、获取B线面积比、B线间距, 指导液体复苏并防止出现肺水肿。</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2.6.8</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▲心脏结构自动识别：自动识别心脏扫查时获得的标准切面，自动存图，并引导用户获取标准的心脏扫查切面。</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2.7</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连通性要求</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2.7.1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支持有线、无线网络连接</w:t>
            </w:r>
            <w:r>
              <w:rPr>
                <w:rFonts w:hint="eastAsia" w:ascii="宋体" w:hAnsi="宋体" w:cs="宋体"/>
                <w:color w:val="auto"/>
                <w:sz w:val="22"/>
                <w:highlight w:val="none"/>
              </w:rPr>
            </w:r>
            <w:r>
              <w:rPr>
                <w:color w:val="auto"/>
                <w:highlight w:val="none"/>
              </w:rPr>
            </w:r>
          </w:p>
        </w:tc>
      </w:tr>
      <w:tr>
        <w:trPr>
          <w:trHeight w:val="567"/>
        </w:trPr>
        <w:tc>
          <w:tcPr>
            <w:shd w:val="clear" w:color="auto" w:fill="e3f2d9"/>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2.7.2</w:t>
            </w:r>
            <w:r>
              <w:rPr>
                <w:rFonts w:hint="eastAsia" w:ascii="宋体" w:hAnsi="宋体" w:cs="宋体"/>
                <w:color w:val="auto"/>
                <w:sz w:val="22"/>
                <w:highlight w:val="none"/>
              </w:rPr>
            </w:r>
            <w:r>
              <w:rPr>
                <w:color w:val="auto"/>
                <w:highlight w:val="none"/>
              </w:rPr>
            </w:r>
          </w:p>
        </w:tc>
        <w:tc>
          <w:tcPr>
            <w:shd w:val="clear" w:color="auto" w:fill="e3f2d9"/>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▲可支持无线探头连接</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2.7.3</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支持移动设备无线传输，要求将机器超声图像通过无线网络直接发送到智能移动终端平台</w:t>
            </w:r>
            <w:r>
              <w:rPr>
                <w:rFonts w:hint="eastAsia" w:ascii="宋体" w:hAnsi="宋体" w:cs="宋体"/>
                <w:color w:val="auto"/>
                <w:sz w:val="22"/>
                <w:highlight w:val="none"/>
              </w:rPr>
            </w:r>
            <w:r>
              <w:rPr>
                <w:color w:val="auto"/>
                <w:highlight w:val="none"/>
              </w:rPr>
            </w:r>
          </w:p>
        </w:tc>
      </w:tr>
      <w:tr>
        <w:trPr>
          <w:trHeight w:val="567"/>
        </w:trPr>
        <w:tc>
          <w:tcPr>
            <w:shd w:val="clear" w:color="auto" w:fill="ffff00"/>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2.8</w:t>
            </w:r>
            <w:r>
              <w:rPr>
                <w:rFonts w:hint="eastAsia" w:ascii="宋体" w:hAnsi="宋体" w:cs="宋体"/>
                <w:color w:val="auto"/>
                <w:sz w:val="22"/>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系统输入/输出</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2.8.1</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HDM接口≥1个，USB3.0接口≥4个，网口≥1个</w:t>
            </w:r>
            <w:r>
              <w:rPr>
                <w:rFonts w:hint="eastAsia" w:ascii="宋体" w:hAnsi="宋体" w:cs="宋体"/>
                <w:color w:val="auto"/>
                <w:sz w:val="22"/>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2.8.2</w:t>
            </w:r>
            <w:r>
              <w:rPr>
                <w:rFonts w:hint="eastAsia" w:ascii="宋体" w:hAnsi="宋体" w:cs="宋体"/>
                <w:color w:val="auto"/>
                <w:sz w:val="22"/>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914"/>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SSD硬盘≥256GB，可支持DICOM 3.0</w:t>
            </w:r>
            <w:r>
              <w:rPr>
                <w:rFonts w:hint="eastAsia" w:ascii="宋体" w:hAnsi="宋体" w:cs="宋体"/>
                <w:color w:val="auto"/>
                <w:sz w:val="22"/>
                <w:highlight w:val="none"/>
              </w:rPr>
            </w:r>
            <w:r>
              <w:rPr>
                <w:color w:val="auto"/>
                <w:highlight w:val="none"/>
              </w:rPr>
            </w:r>
          </w:p>
        </w:tc>
      </w:tr>
    </w:tbl>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w:t>
      </w:r>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商务要求</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下列条款中甲方为：江苏省苏北人民医院，乙方为：本项目的中标投标人</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3.1、交货期：</w:t>
      </w:r>
      <w:r>
        <w:rPr>
          <w:rFonts w:hint="eastAsia" w:ascii="宋体" w:hAnsi="宋体" w:cs="宋体"/>
          <w:i/>
          <w:iCs/>
          <w:color w:val="auto"/>
          <w:sz w:val="24"/>
          <w:szCs w:val="24"/>
          <w:highlight w:val="none"/>
          <w:u w:val="single"/>
        </w:rPr>
        <w:t xml:space="preserve">合同签订后60天内</w:t>
      </w:r>
      <w:r>
        <w:rPr>
          <w:rFonts w:hint="eastAsia" w:ascii="宋体" w:hAnsi="宋体" w:cs="宋体"/>
          <w:i/>
          <w:iCs/>
          <w:color w:val="auto"/>
          <w:sz w:val="24"/>
          <w:szCs w:val="24"/>
          <w:highlight w:val="none"/>
          <w:u w:val="single"/>
        </w:rPr>
        <w:t xml:space="preserve">；</w:t>
      </w:r>
      <w:r>
        <w:rPr>
          <w:rFonts w:hint="eastAsia" w:ascii="宋体" w:hAnsi="宋体" w:cs="宋体"/>
          <w:i/>
          <w:iCs/>
          <w:color w:val="auto"/>
          <w:sz w:val="24"/>
          <w:szCs w:val="24"/>
          <w:highlight w:val="none"/>
          <w:u w:val="single"/>
        </w:rPr>
      </w:r>
      <w:r>
        <w:rPr>
          <w:color w:val="auto"/>
          <w:highlight w:val="none"/>
        </w:rPr>
      </w:r>
    </w:p>
    <w:p>
      <w:pPr>
        <w:pStyle w:val="914"/>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3.2、交货地点：甲方指定地点；</w:t>
      </w:r>
      <w:r>
        <w:rPr>
          <w:rFonts w:hint="eastAsia" w:ascii="宋体" w:hAnsi="宋体" w:cs="宋体"/>
          <w:i/>
          <w:iCs/>
          <w:color w:val="auto"/>
          <w:sz w:val="24"/>
          <w:szCs w:val="24"/>
          <w:highlight w:val="none"/>
          <w:u w:val="single"/>
        </w:rPr>
      </w:r>
      <w:r>
        <w:rPr>
          <w:color w:val="auto"/>
          <w:highlight w:val="none"/>
        </w:rPr>
      </w:r>
    </w:p>
    <w:p>
      <w:pPr>
        <w:pStyle w:val="914"/>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3.3、</w:t>
      </w:r>
      <w:r>
        <w:rPr>
          <w:rFonts w:hint="eastAsia" w:ascii="宋体" w:hAnsi="宋体" w:cs="宋体"/>
          <w:i/>
          <w:iCs/>
          <w:color w:val="auto"/>
          <w:sz w:val="24"/>
          <w:szCs w:val="24"/>
          <w:highlight w:val="none"/>
          <w:u w:val="single"/>
        </w:rPr>
        <w:t xml:space="preserve">付款条件：</w:t>
      </w:r>
      <w:bookmarkStart w:id="183" w:name="_Hlk221115132"/>
      <w:r>
        <w:rPr>
          <w:rFonts w:hint="eastAsia" w:ascii="宋体" w:hAnsi="宋体" w:cs="宋体"/>
          <w:i/>
          <w:iCs/>
          <w:color w:val="auto"/>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3.4、包装和运输：</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3.4.2使用说明书、质量检验证明书、随配附件和工具以及清单一并附于货物内。</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3.4.5货物在交付甲方前发生的风险均由乙方负责。</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auto"/>
          <w:sz w:val="24"/>
          <w:szCs w:val="24"/>
          <w:highlight w:val="none"/>
          <w:u w:val="single"/>
        </w:rPr>
      </w:r>
      <w:r>
        <w:rPr>
          <w:color w:val="auto"/>
          <w:highlight w:val="none"/>
        </w:rPr>
      </w:r>
    </w:p>
    <w:p>
      <w:pPr>
        <w:pStyle w:val="914"/>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3.5、售后服务：</w:t>
      </w:r>
      <w:r>
        <w:rPr>
          <w:rFonts w:hint="eastAsia" w:ascii="宋体" w:hAnsi="宋体" w:cs="宋体"/>
          <w:b/>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⑴更换：由乙方承担所发生的全部费用。</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⑵贬值处理：由甲乙双方合议定价。</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3.5.3如在使用过程中发生质量问题，乙方在接到甲方通知后在4小时内到达甲方现场。</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3.5.4在质保期内，乙方应对货物出现的质量及安全问题负责处理解决并承担一切费用。</w:t>
      </w:r>
      <w:r>
        <w:rPr>
          <w:rFonts w:hint="eastAsia" w:ascii="宋体" w:hAnsi="宋体" w:cs="宋体"/>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3.5.5上述货物</w:t>
      </w:r>
      <w:r>
        <w:rPr>
          <w:rFonts w:hint="eastAsia" w:ascii="宋体" w:hAnsi="宋体" w:cs="宋体"/>
          <w:i/>
          <w:iCs/>
          <w:color w:val="auto"/>
          <w:sz w:val="24"/>
          <w:szCs w:val="24"/>
          <w:highlight w:val="none"/>
          <w:u w:val="single"/>
        </w:rPr>
        <w:t xml:space="preserve">免费保修期≥</w:t>
      </w:r>
      <w:r>
        <w:rPr>
          <w:rFonts w:hint="eastAsia" w:ascii="宋体" w:hAnsi="宋体" w:cs="宋体"/>
          <w:i/>
          <w:iCs/>
          <w:color w:val="auto"/>
          <w:sz w:val="24"/>
          <w:szCs w:val="24"/>
          <w:highlight w:val="none"/>
          <w:u w:val="single"/>
        </w:rPr>
        <w:t xml:space="preserve">6年</w:t>
      </w:r>
      <w:r>
        <w:rPr>
          <w:rFonts w:hint="eastAsia" w:ascii="宋体" w:hAnsi="宋体" w:cs="宋体"/>
          <w:i/>
          <w:iCs/>
          <w:color w:val="auto"/>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auto"/>
          <w:sz w:val="24"/>
          <w:szCs w:val="24"/>
          <w:highlight w:val="none"/>
          <w:u w:val="single"/>
        </w:rPr>
      </w:r>
      <w:r>
        <w:rPr>
          <w:color w:val="auto"/>
          <w:highlight w:val="none"/>
        </w:rPr>
      </w:r>
    </w:p>
    <w:p>
      <w:pPr>
        <w:pStyle w:val="914"/>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3.6技术培训</w:t>
      </w:r>
      <w:r>
        <w:rPr>
          <w:rFonts w:hint="eastAsia" w:ascii="宋体" w:hAnsi="宋体" w:cs="宋体"/>
          <w:b/>
          <w:i/>
          <w:iCs/>
          <w:color w:val="auto"/>
          <w:sz w:val="24"/>
          <w:szCs w:val="24"/>
          <w:highlight w:val="none"/>
          <w:u w:val="singl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auto"/>
          <w:sz w:val="24"/>
          <w:szCs w:val="24"/>
          <w:highlight w:val="none"/>
          <w:u w:val="single"/>
        </w:rPr>
      </w:r>
      <w:r>
        <w:rPr>
          <w:color w:val="auto"/>
          <w:highlight w:val="none"/>
        </w:rPr>
      </w:r>
    </w:p>
    <w:p>
      <w:pPr>
        <w:pStyle w:val="914"/>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四、其他说明：</w:t>
      </w:r>
      <w:r>
        <w:rPr>
          <w:rFonts w:hint="eastAsia" w:ascii="宋体" w:hAnsi="宋体" w:cs="宋体"/>
          <w:b/>
          <w:bCs/>
          <w:color w:val="auto"/>
          <w:sz w:val="24"/>
          <w:szCs w:val="24"/>
          <w:highlight w:val="non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auto"/>
          <w:sz w:val="24"/>
          <w:szCs w:val="24"/>
          <w:highlight w:val="non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bCs/>
          <w:i/>
          <w:color w:val="auto"/>
          <w:sz w:val="24"/>
          <w:szCs w:val="21"/>
          <w:highlight w:val="none"/>
          <w:u w:val="single"/>
        </w:rPr>
        <w:t xml:space="preserve">本招标文件中斜体且有下划线部分为实质性要求和条件，</w:t>
      </w:r>
      <w:r>
        <w:rPr>
          <w:rFonts w:hint="eastAsia" w:ascii="宋体" w:hAnsi="宋体" w:cs="宋体"/>
          <w:i/>
          <w:color w:val="auto"/>
          <w:sz w:val="24"/>
          <w:szCs w:val="24"/>
          <w:highlight w:val="none"/>
          <w:u w:val="single"/>
        </w:rPr>
        <w:t xml:space="preserve">不允许负偏离，否则投标无效。</w:t>
      </w:r>
      <w:r>
        <w:rPr>
          <w:rFonts w:hint="eastAsia" w:ascii="宋体" w:hAnsi="宋体" w:cs="宋体"/>
          <w:color w:val="auto"/>
          <w:sz w:val="24"/>
          <w:szCs w:val="24"/>
          <w:highlight w:val="non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rPr>
        <w:t xml:space="preserve">上述商务要求不接受任何一项的负偏离或者不满足，允许正偏离。</w:t>
      </w:r>
      <w:r>
        <w:rPr>
          <w:rFonts w:hint="eastAsia" w:ascii="宋体" w:hAnsi="宋体" w:cs="宋体"/>
          <w:color w:val="auto"/>
          <w:sz w:val="24"/>
          <w:szCs w:val="24"/>
          <w:highlight w:val="none"/>
        </w:rPr>
      </w:r>
      <w:r>
        <w:rPr>
          <w:color w:val="auto"/>
          <w:highlight w:val="none"/>
        </w:rPr>
      </w:r>
    </w:p>
    <w:p>
      <w:pPr>
        <w:pStyle w:val="914"/>
        <w:ind w:firstLine="480"/>
        <w:tabs>
          <w:tab w:val="left" w:pos="851" w:leader="none"/>
          <w:tab w:val="left" w:pos="1276" w:leader="none"/>
          <w:tab w:val="left" w:pos="1418" w:leader="none"/>
        </w:tabs>
        <w:rPr>
          <w:rFonts w:hint="eastAsia" w:ascii="宋体" w:hAnsi="宋体" w:cs="宋体"/>
          <w:bCs/>
          <w:iCs/>
          <w:color w:val="auto"/>
          <w:sz w:val="24"/>
          <w:szCs w:val="21"/>
          <w:highlight w:val="none"/>
        </w:rPr>
      </w:pPr>
      <w:r>
        <w:rPr>
          <w:rFonts w:hint="eastAsia" w:ascii="宋体" w:hAnsi="宋体" w:cs="宋体"/>
          <w:bCs/>
          <w:iCs/>
          <w:color w:val="auto"/>
          <w:sz w:val="24"/>
          <w:szCs w:val="21"/>
          <w:highlight w:val="none"/>
        </w:rPr>
        <w:t xml:space="preserve">4.4采购标的对应的中小企业划分标准所属行业为：工业</w:t>
      </w:r>
      <w:r>
        <w:rPr>
          <w:rFonts w:hint="eastAsia" w:ascii="宋体" w:hAnsi="宋体" w:cs="宋体"/>
          <w:bCs/>
          <w:iCs/>
          <w:color w:val="auto"/>
          <w:sz w:val="24"/>
          <w:szCs w:val="21"/>
          <w:highlight w:val="none"/>
        </w:rPr>
      </w:r>
      <w:r>
        <w:rPr>
          <w:color w:val="auto"/>
          <w:highlight w:val="none"/>
        </w:rPr>
      </w:r>
    </w:p>
    <w:p>
      <w:pPr>
        <w:pStyle w:val="914"/>
        <w:jc w:val="center"/>
        <w:keepNext/>
        <w:rPr>
          <w:rFonts w:hint="eastAsia" w:ascii="宋体" w:hAnsi="宋体" w:cs="宋体"/>
          <w:bCs/>
          <w:color w:val="auto"/>
          <w:sz w:val="44"/>
          <w:szCs w:val="28"/>
          <w:highlight w:val="none"/>
        </w:rPr>
        <w:outlineLvl w:val="0"/>
      </w:pPr>
      <w:r>
        <w:rPr>
          <w:color w:val="auto"/>
          <w:highlight w:val="none"/>
        </w:rPr>
      </w:r>
      <w:bookmarkStart w:id="184" w:name="_Toc120614281"/>
      <w:r>
        <w:rPr>
          <w:rFonts w:hint="eastAsia" w:ascii="宋体" w:hAnsi="宋体" w:cs="宋体"/>
          <w:bCs/>
          <w:color w:val="auto"/>
          <w:sz w:val="44"/>
          <w:szCs w:val="28"/>
          <w:highlight w:val="none"/>
        </w:rPr>
        <w:br w:type="page" w:clear="all"/>
      </w:r>
      <w:bookmarkStart w:id="185" w:name="_Toc470"/>
      <w:r>
        <w:rPr>
          <w:rFonts w:hint="eastAsia" w:ascii="宋体" w:hAnsi="宋体" w:cs="宋体"/>
          <w:color w:val="auto"/>
          <w:sz w:val="44"/>
          <w:szCs w:val="44"/>
          <w:highlight w:val="none"/>
        </w:rPr>
        <w:t xml:space="preserve">第五章  评标方法与评标标准</w:t>
      </w:r>
      <w:bookmarkEnd w:id="185"/>
      <w:r>
        <w:rPr>
          <w:rFonts w:hint="eastAsia" w:ascii="宋体" w:hAnsi="宋体" w:cs="宋体"/>
          <w:bCs/>
          <w:color w:val="auto"/>
          <w:sz w:val="44"/>
          <w:szCs w:val="28"/>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1005"/>
        <w:spacing w:before="0" w:after="0" w:line="240" w:lineRule="auto"/>
        <w:rPr>
          <w:rFonts w:hint="eastAsia" w:ascii="宋体" w:hAnsi="宋体" w:cs="宋体"/>
          <w:color w:val="auto"/>
          <w:szCs w:val="21"/>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Cs w:val="21"/>
          <w:highlight w:val="none"/>
        </w:rPr>
        <w:t xml:space="preserve">评标委员会按照得分由高到低的顺序推荐3名中标候选人。</w:t>
      </w:r>
      <w:r>
        <w:rPr>
          <w:rFonts w:hint="eastAsia" w:ascii="宋体" w:hAnsi="宋体" w:cs="宋体"/>
          <w:color w:val="auto"/>
          <w:szCs w:val="21"/>
          <w:highlight w:val="none"/>
        </w:rPr>
      </w:r>
      <w:r>
        <w:rPr>
          <w:color w:val="auto"/>
          <w:highlight w:val="none"/>
        </w:rPr>
      </w:r>
    </w:p>
    <w:p>
      <w:pPr>
        <w:pStyle w:val="916"/>
        <w:spacing w:before="145" w:line="360" w:lineRule="auto"/>
        <w:rPr>
          <w:rFonts w:hint="eastAsia" w:ascii="宋体" w:hAnsi="宋体" w:cs="宋体"/>
          <w:b/>
          <w:color w:val="auto"/>
          <w:sz w:val="32"/>
          <w:szCs w:val="32"/>
          <w:highlight w:val="none"/>
        </w:rPr>
      </w:pPr>
      <w:r>
        <w:rPr>
          <w:rFonts w:hint="eastAsia" w:ascii="宋体" w:hAnsi="宋体" w:cs="宋体"/>
          <w:color w:val="auto"/>
          <w:sz w:val="32"/>
          <w:highlight w:val="none"/>
        </w:rPr>
        <w:t xml:space="preserve">（一）资格审查对照表</w:t>
      </w:r>
      <w:r>
        <w:rPr>
          <w:rFonts w:hint="eastAsia" w:ascii="宋体" w:hAnsi="宋体" w:cs="宋体"/>
          <w:b/>
          <w:color w:val="auto"/>
          <w:sz w:val="32"/>
          <w:szCs w:val="32"/>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按照招标文件《第一章 投标邀请》申请人的资格要求进行资格审查。</w:t>
      </w:r>
      <w:r>
        <w:rPr>
          <w:rFonts w:hint="eastAsia" w:ascii="宋体" w:hAnsi="宋体" w:cs="宋体"/>
          <w:color w:val="auto"/>
          <w:sz w:val="24"/>
          <w:szCs w:val="24"/>
          <w:highlight w:val="none"/>
        </w:rPr>
      </w:r>
      <w:r>
        <w:rPr>
          <w:color w:val="auto"/>
          <w:highlight w:val="none"/>
        </w:rPr>
      </w:r>
    </w:p>
    <w:p>
      <w:pPr>
        <w:pStyle w:val="916"/>
        <w:numPr>
          <w:ilvl w:val="0"/>
          <w:numId w:val="7"/>
        </w:numPr>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符合性审查对照表</w:t>
      </w:r>
      <w:r>
        <w:rPr>
          <w:rFonts w:hint="eastAsia" w:ascii="宋体" w:hAnsi="宋体" w:cs="宋体"/>
          <w:color w:val="auto"/>
          <w:sz w:val="32"/>
          <w:highlight w:val="none"/>
        </w:rPr>
      </w:r>
      <w:r>
        <w:rPr>
          <w:color w:val="auto"/>
          <w:highlight w:val="none"/>
        </w:rPr>
      </w:r>
    </w:p>
    <w:p>
      <w:pPr>
        <w:pStyle w:val="914"/>
        <w:numPr>
          <w:ilvl w:val="0"/>
          <w:numId w:val="8"/>
        </w:numPr>
        <w:ind w:firstLine="482"/>
        <w:jc w:val="left"/>
        <w:rPr>
          <w:rFonts w:hint="eastAsia" w:ascii="宋体" w:hAnsi="宋体" w:cs="宋体"/>
          <w:color w:val="auto"/>
          <w:sz w:val="24"/>
          <w:highlight w:val="none"/>
        </w:rPr>
      </w:pPr>
      <w:r>
        <w:rPr>
          <w:rFonts w:hint="eastAsia" w:ascii="宋体" w:hAnsi="宋体" w:cs="宋体"/>
          <w:b/>
          <w:bCs/>
          <w:color w:val="auto"/>
          <w:sz w:val="24"/>
          <w:highlight w:val="none"/>
        </w:rPr>
        <w:t xml:space="preserve">报价要求：</w:t>
      </w:r>
      <w:r>
        <w:rPr>
          <w:rFonts w:hint="eastAsia" w:ascii="宋体" w:hAnsi="宋体" w:cs="宋体"/>
          <w:iCs/>
          <w:color w:val="auto"/>
          <w:sz w:val="24"/>
          <w:highlight w:val="none"/>
        </w:rPr>
        <w:t xml:space="preserve">投标报价表中的货物名称、数量、单位必须与招标文件采购需求一致，</w:t>
      </w:r>
      <w:r>
        <w:rPr>
          <w:rFonts w:hint="eastAsia" w:ascii="宋体" w:hAnsi="宋体" w:cs="宋体"/>
          <w:iCs/>
          <w:color w:val="auto"/>
          <w:sz w:val="24"/>
          <w:highlight w:val="none"/>
        </w:rPr>
        <w:t xml:space="preserve">报价不超过最高限价</w:t>
      </w:r>
      <w:r>
        <w:rPr>
          <w:rFonts w:hint="eastAsia" w:ascii="宋体" w:hAnsi="宋体" w:cs="宋体"/>
          <w:iCs/>
          <w:color w:val="auto"/>
          <w:sz w:val="24"/>
          <w:highlight w:val="none"/>
        </w:rPr>
        <w:t xml:space="preserve">。</w:t>
      </w:r>
      <w:r>
        <w:rPr>
          <w:rFonts w:hint="eastAsia" w:ascii="宋体" w:hAnsi="宋体" w:cs="宋体"/>
          <w:color w:val="auto"/>
          <w:sz w:val="24"/>
          <w:highlight w:val="none"/>
        </w:rPr>
      </w:r>
      <w:r>
        <w:rPr>
          <w:color w:val="auto"/>
          <w:highlight w:val="none"/>
        </w:rPr>
      </w:r>
    </w:p>
    <w:p>
      <w:pPr>
        <w:pStyle w:val="914"/>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商务要求：</w:t>
      </w:r>
      <w:r>
        <w:rPr>
          <w:rFonts w:hint="eastAsia" w:ascii="宋体" w:hAnsi="宋体" w:cs="宋体"/>
          <w:b/>
          <w:bCs/>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2.1 采购需求中必须满足的实质性要求，否则投标无效</w:t>
      </w:r>
      <w:r>
        <w:rPr>
          <w:rFonts w:hint="eastAsia" w:ascii="宋体" w:hAnsi="宋体" w:cs="宋体"/>
          <w:color w:val="auto"/>
          <w:sz w:val="24"/>
          <w:highlight w:val="none"/>
        </w:rPr>
      </w:r>
      <w:r>
        <w:rPr>
          <w:color w:val="auto"/>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14"/>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32"/>
                <w:szCs w:val="32"/>
                <w:highlight w:val="none"/>
              </w:rPr>
              <w:t xml:space="preserve">实质性要求响应表</w:t>
            </w:r>
            <w:r>
              <w:rPr>
                <w:rFonts w:hint="eastAsia" w:ascii="宋体" w:hAnsi="宋体" w:cs="宋体"/>
                <w:b/>
                <w:bCs/>
                <w:color w:val="auto"/>
                <w:sz w:val="32"/>
                <w:szCs w:val="32"/>
                <w:highlight w:val="none"/>
              </w:rPr>
            </w:r>
            <w:r>
              <w:rPr>
                <w:color w:val="auto"/>
                <w:highlight w:val="none"/>
              </w:rPr>
            </w:r>
          </w:p>
          <w:tbl>
            <w:tblPr>
              <w:tblW w:w="0" w:type="auto"/>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14"/>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914"/>
                    <w:jc w:val="center"/>
                    <w:rPr>
                      <w:rFonts w:hint="eastAsia" w:ascii="宋体" w:hAnsi="宋体" w:cs="宋体"/>
                      <w:color w:val="auto"/>
                      <w:sz w:val="24"/>
                      <w:highlight w:val="none"/>
                    </w:rPr>
                  </w:pPr>
                  <w:r>
                    <w:rPr>
                      <w:rFonts w:hint="eastAsia" w:ascii="宋体" w:hAnsi="宋体" w:cs="宋体"/>
                      <w:color w:val="auto"/>
                      <w:sz w:val="24"/>
                      <w:highlight w:val="none"/>
                    </w:rPr>
                    <w:t xml:space="preserve">实质性采购要求内容</w:t>
                  </w:r>
                  <w:r>
                    <w:rPr>
                      <w:rFonts w:hint="eastAsia" w:ascii="宋体" w:hAnsi="宋体" w:cs="宋体"/>
                      <w:color w:val="auto"/>
                      <w:sz w:val="24"/>
                      <w:highlight w:val="none"/>
                    </w:rPr>
                  </w:r>
                  <w:r>
                    <w:rPr>
                      <w:color w:val="auto"/>
                      <w:highlight w:val="none"/>
                    </w:rPr>
                  </w:r>
                </w:p>
              </w:tc>
              <w:tc>
                <w:tcPr>
                  <w:tcW w:w="3038" w:type="dxa"/>
                  <w:vAlign w:val="center"/>
                  <w:textDirection w:val="lrTb"/>
                  <w:noWrap w:val="false"/>
                </w:tcPr>
                <w:p>
                  <w:pPr>
                    <w:pStyle w:val="914"/>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投标人响应</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14"/>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40"/>
                    <w:jc w:val="both"/>
                    <w:rPr>
                      <w:rFonts w:hint="eastAsia" w:hAnsi="宋体"/>
                      <w:color w:val="auto"/>
                      <w:highlight w:val="none"/>
                    </w:rPr>
                  </w:pPr>
                  <w:r>
                    <w:rPr>
                      <w:rFonts w:hint="eastAsia" w:hAnsi="宋体"/>
                      <w:color w:val="auto"/>
                      <w:highlight w:val="none"/>
                    </w:rPr>
                    <w:t xml:space="preserve">《第四章 采购需求》中“二、技术要求”加注“★”符号的关键条款指标</w:t>
                  </w:r>
                  <w:r>
                    <w:rPr>
                      <w:rFonts w:hint="eastAsia" w:hAnsi="宋体"/>
                      <w:color w:val="auto"/>
                      <w:highlight w:val="none"/>
                    </w:rPr>
                  </w:r>
                  <w:r>
                    <w:rPr>
                      <w:color w:val="auto"/>
                      <w:highlight w:val="none"/>
                    </w:rPr>
                  </w:r>
                </w:p>
              </w:tc>
              <w:tc>
                <w:tcPr>
                  <w:tcW w:w="1638" w:type="dxa"/>
                  <w:vAlign w:val="center"/>
                  <w:textDirection w:val="lrTb"/>
                  <w:noWrap w:val="false"/>
                </w:tcPr>
                <w:p>
                  <w:pPr>
                    <w:pStyle w:val="914"/>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14"/>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14"/>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40"/>
                    <w:jc w:val="both"/>
                    <w:rPr>
                      <w:rFonts w:hint="eastAsia" w:hAnsi="宋体"/>
                      <w:color w:val="auto"/>
                      <w:highlight w:val="none"/>
                    </w:rPr>
                  </w:pPr>
                  <w:r>
                    <w:rPr>
                      <w:rFonts w:hint="eastAsia" w:hAnsi="宋体"/>
                      <w:color w:val="auto"/>
                      <w:highlight w:val="none"/>
                    </w:rPr>
                    <w:t xml:space="preserve">《第四章 采购需求》中“三、★商务要求”</w:t>
                  </w:r>
                  <w:r>
                    <w:rPr>
                      <w:rFonts w:hint="eastAsia" w:hAnsi="宋体"/>
                      <w:color w:val="auto"/>
                      <w:highlight w:val="none"/>
                    </w:rPr>
                  </w:r>
                  <w:r>
                    <w:rPr>
                      <w:color w:val="auto"/>
                      <w:highlight w:val="none"/>
                    </w:rPr>
                  </w:r>
                </w:p>
              </w:tc>
              <w:tc>
                <w:tcPr>
                  <w:tcW w:w="1638" w:type="dxa"/>
                  <w:vAlign w:val="center"/>
                  <w:textDirection w:val="lrTb"/>
                  <w:noWrap w:val="false"/>
                </w:tcPr>
                <w:p>
                  <w:pPr>
                    <w:pStyle w:val="914"/>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14"/>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bl>
          <w:p>
            <w:pPr>
              <w:pStyle w:val="914"/>
              <w:ind w:firstLine="422"/>
              <w:spacing w:before="145"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备注：1.技术要求加注“★”符号的关键条款指标，不允许负偏离，否则投标无效</w:t>
            </w:r>
            <w:r>
              <w:rPr>
                <w:rFonts w:hint="eastAsia" w:ascii="宋体" w:hAnsi="宋体" w:cs="宋体"/>
                <w:b/>
                <w:bCs/>
                <w:color w:val="auto"/>
                <w:szCs w:val="21"/>
                <w:highlight w:val="none"/>
              </w:rPr>
            </w:r>
            <w:r>
              <w:rPr>
                <w:color w:val="auto"/>
                <w:highlight w:val="none"/>
              </w:rPr>
            </w:r>
          </w:p>
          <w:p>
            <w:pPr>
              <w:pStyle w:val="914"/>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2.商务要求不接受任何一项的负偏离或者不满足，允许正偏离。</w:t>
            </w:r>
            <w:r>
              <w:rPr>
                <w:rFonts w:hint="eastAsia" w:ascii="宋体" w:hAnsi="宋体" w:cs="宋体"/>
                <w:b/>
                <w:bCs/>
                <w:color w:val="auto"/>
                <w:szCs w:val="21"/>
                <w:highlight w:val="none"/>
              </w:rPr>
            </w:r>
            <w:r>
              <w:rPr>
                <w:color w:val="auto"/>
                <w:highlight w:val="none"/>
              </w:rPr>
            </w:r>
          </w:p>
          <w:p>
            <w:pPr>
              <w:pStyle w:val="914"/>
              <w:ind w:firstLine="422"/>
              <w:jc w:val="left"/>
              <w:rPr>
                <w:rFonts w:hint="eastAsia" w:ascii="宋体" w:hAnsi="宋体" w:cs="宋体"/>
                <w:color w:val="auto"/>
                <w:sz w:val="24"/>
                <w:highlight w:val="none"/>
              </w:rPr>
            </w:pPr>
            <w:r>
              <w:rPr>
                <w:rFonts w:hint="eastAsia" w:ascii="宋体" w:hAnsi="宋体" w:cs="宋体"/>
                <w:b/>
                <w:bCs/>
                <w:color w:val="auto"/>
                <w:szCs w:val="21"/>
                <w:highlight w:val="none"/>
              </w:rPr>
              <w:t xml:space="preserve">3.具体响应内容以投标文件中的“技术/商务要求响应及偏离表”为准。</w:t>
            </w:r>
            <w:r>
              <w:rPr>
                <w:rFonts w:hint="eastAsia" w:ascii="宋体" w:hAnsi="宋体" w:cs="宋体"/>
                <w:color w:val="auto"/>
                <w:sz w:val="24"/>
                <w:highlight w:val="none"/>
              </w:rPr>
            </w:r>
            <w:r>
              <w:rPr>
                <w:color w:val="auto"/>
                <w:highlight w:val="none"/>
              </w:rPr>
            </w:r>
          </w:p>
        </w:tc>
      </w:tr>
    </w:tbl>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s="宋体"/>
          <w:iCs/>
          <w:color w:val="auto"/>
          <w:sz w:val="24"/>
          <w:highlight w:val="none"/>
          <w:lang w:bidi="ar"/>
        </w:rPr>
        <w:t xml:space="preserve">投标文件没有重大负偏离，所谓重大负偏离是指投标人所投标的</w:t>
      </w:r>
      <w:r>
        <w:rPr>
          <w:rFonts w:hint="eastAsia" w:ascii="宋体" w:hAnsi="宋体" w:cs="宋体"/>
          <w:iCs/>
          <w:color w:val="auto"/>
          <w:sz w:val="24"/>
          <w:highlight w:val="none"/>
          <w:u w:val="single"/>
          <w:lang w:bidi="ar"/>
        </w:rPr>
        <w:t xml:space="preserve">范围、质量、数量、付款方式、质保期和交货期限</w:t>
      </w:r>
      <w:r>
        <w:rPr>
          <w:rFonts w:hint="eastAsia" w:ascii="宋体" w:hAnsi="宋体" w:cs="宋体"/>
          <w:iCs/>
          <w:color w:val="auto"/>
          <w:sz w:val="24"/>
          <w:highlight w:val="none"/>
          <w:lang w:bidi="ar"/>
        </w:rPr>
        <w:t xml:space="preserve">等明显不能满足招标文件的要求。重大负偏离的认定须经评标委员会三分之二以上同意</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2.3 《第六章 投标文件构成》中“投标文件构成”没有缺漏；</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bCs/>
          <w:color w:val="auto"/>
          <w:sz w:val="24"/>
          <w:szCs w:val="24"/>
          <w:highlight w:val="none"/>
        </w:rPr>
      </w:pPr>
      <w:r>
        <w:rPr>
          <w:rFonts w:hint="eastAsia" w:ascii="宋体" w:hAnsi="宋体" w:cs="宋体"/>
          <w:color w:val="auto"/>
          <w:sz w:val="24"/>
          <w:highlight w:val="none"/>
        </w:rPr>
        <w:t xml:space="preserve">2.3.1 </w:t>
      </w:r>
      <w:r>
        <w:rPr>
          <w:rFonts w:hint="eastAsia" w:ascii="宋体" w:hAnsi="宋体" w:cs="宋体"/>
          <w:bCs/>
          <w:color w:val="auto"/>
          <w:sz w:val="24"/>
          <w:szCs w:val="24"/>
          <w:highlight w:val="none"/>
        </w:rPr>
        <w:t xml:space="preserve">投标函：应按招标文件要求填写，没有缺漏；</w:t>
      </w:r>
      <w:r>
        <w:rPr>
          <w:rFonts w:hint="eastAsia" w:ascii="宋体" w:hAnsi="宋体" w:cs="宋体"/>
          <w:bCs/>
          <w:color w:val="auto"/>
          <w:sz w:val="24"/>
          <w:szCs w:val="24"/>
          <w:highlight w:val="none"/>
        </w:rPr>
      </w:r>
      <w:r>
        <w:rPr>
          <w:color w:val="auto"/>
          <w:highlight w:val="none"/>
        </w:rPr>
      </w:r>
    </w:p>
    <w:p>
      <w:pPr>
        <w:pStyle w:val="914"/>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2.3.2 </w:t>
      </w:r>
      <w:r>
        <w:rPr>
          <w:rFonts w:hint="eastAsia" w:ascii="宋体" w:hAnsi="宋体" w:cs="宋体"/>
          <w:iCs/>
          <w:color w:val="auto"/>
          <w:sz w:val="24"/>
          <w:szCs w:val="24"/>
          <w:highlight w:val="none"/>
        </w:rPr>
        <w:t xml:space="preserve">法人授权书：</w:t>
      </w:r>
      <w:r>
        <w:rPr>
          <w:rFonts w:hint="eastAsia" w:ascii="宋体" w:hAnsi="宋体" w:cs="宋体"/>
          <w:bCs/>
          <w:color w:val="auto"/>
          <w:sz w:val="24"/>
          <w:szCs w:val="24"/>
          <w:highlight w:val="none"/>
        </w:rPr>
        <w:t xml:space="preserve">应按招标文件要求填写，没有缺漏；</w:t>
      </w:r>
      <w:r>
        <w:rPr>
          <w:rFonts w:hint="eastAsia" w:ascii="宋体" w:hAnsi="宋体" w:cs="宋体"/>
          <w:bCs/>
          <w:color w:val="auto"/>
          <w:sz w:val="24"/>
          <w:szCs w:val="24"/>
          <w:highlight w:val="none"/>
        </w:rPr>
      </w:r>
      <w:r>
        <w:rPr>
          <w:color w:val="auto"/>
          <w:highlight w:val="none"/>
        </w:rPr>
      </w:r>
    </w:p>
    <w:p>
      <w:pPr>
        <w:pStyle w:val="914"/>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2.3.3 </w:t>
      </w:r>
      <w:r>
        <w:rPr>
          <w:rFonts w:hint="eastAsia" w:ascii="宋体" w:hAnsi="宋体" w:cs="宋体"/>
          <w:iCs/>
          <w:color w:val="auto"/>
          <w:sz w:val="24"/>
          <w:szCs w:val="24"/>
          <w:highlight w:val="none"/>
        </w:rPr>
        <w:t xml:space="preserve">投标分项报价表：表中的设备名称、数量、单位必须与招标文件采购需求一致，报价不超过最高限价。</w:t>
      </w:r>
      <w:r>
        <w:rPr>
          <w:rFonts w:hint="eastAsia" w:ascii="宋体" w:hAnsi="宋体" w:cs="宋体"/>
          <w:bCs/>
          <w:color w:val="auto"/>
          <w:sz w:val="24"/>
          <w:szCs w:val="24"/>
          <w:highlight w:val="none"/>
        </w:rPr>
      </w:r>
      <w:r>
        <w:rPr>
          <w:color w:val="auto"/>
          <w:highlight w:val="none"/>
        </w:rPr>
      </w:r>
    </w:p>
    <w:p>
      <w:pPr>
        <w:pStyle w:val="914"/>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2.3.4 其他格式要求：应按招标文件要求填写，没有缺漏；</w:t>
      </w:r>
      <w:r>
        <w:rPr>
          <w:rFonts w:hint="eastAsia" w:ascii="宋体" w:hAnsi="宋体" w:cs="宋体"/>
          <w:bCs/>
          <w:color w:val="auto"/>
          <w:sz w:val="24"/>
          <w:szCs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2.4 </w:t>
      </w:r>
      <w:r>
        <w:rPr>
          <w:rFonts w:hint="eastAsia" w:ascii="宋体" w:hAnsi="宋体" w:cs="宋体"/>
          <w:color w:val="auto"/>
          <w:sz w:val="24"/>
          <w:highlight w:val="none"/>
        </w:rPr>
        <w:t xml:space="preserve">投标有效期符合招标文件要求</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2.5 本项目不接受联合体投标</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2.6 本项目不接受备选投标方案</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2.7 投标文件没有采购人不能接受的附加条件</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2.8 投标文件没有法律、法规和招标文件规定的其他无效情形</w:t>
      </w:r>
      <w:r>
        <w:rPr>
          <w:rFonts w:hint="eastAsia" w:ascii="宋体" w:hAnsi="宋体" w:cs="宋体"/>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14"/>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技术要求：</w:t>
      </w:r>
      <w:r>
        <w:rPr>
          <w:rFonts w:hint="eastAsia" w:ascii="宋体" w:hAnsi="宋体" w:cs="宋体"/>
          <w:b/>
          <w:bCs/>
          <w:color w:val="auto"/>
          <w:sz w:val="24"/>
          <w:highlight w:val="none"/>
        </w:rPr>
      </w:r>
      <w:r>
        <w:rPr>
          <w:color w:val="auto"/>
          <w:highlight w:val="none"/>
        </w:rPr>
      </w:r>
    </w:p>
    <w:p>
      <w:pPr>
        <w:pStyle w:val="914"/>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3.1 投标文件中的《技术要求响应及偏离表》按照表格要求编制，点对点应答。</w:t>
      </w:r>
      <w:r>
        <w:rPr>
          <w:rFonts w:hint="eastAsia" w:ascii="宋体" w:hAnsi="宋体" w:cs="宋体"/>
          <w:color w:val="auto"/>
          <w:sz w:val="24"/>
          <w:highlight w:val="none"/>
        </w:rPr>
      </w:r>
      <w:r>
        <w:rPr>
          <w:color w:val="auto"/>
          <w:highlight w:val="none"/>
        </w:rPr>
      </w:r>
    </w:p>
    <w:p>
      <w:pPr>
        <w:pStyle w:val="914"/>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政府采购政策功能落实</w:t>
      </w:r>
      <w:r>
        <w:rPr>
          <w:rFonts w:hint="eastAsia" w:ascii="宋体" w:hAnsi="宋体" w:cs="宋体"/>
          <w:b/>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1.小微型企业价格扣除</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b/>
          <w:bCs/>
          <w:color w:val="auto"/>
          <w:sz w:val="24"/>
          <w:szCs w:val="24"/>
          <w:highlight w:val="none"/>
          <w:u w:val="single"/>
        </w:rPr>
        <w:t xml:space="preserve">20%</w:t>
      </w:r>
      <w:r>
        <w:rPr>
          <w:rFonts w:hint="eastAsia" w:ascii="宋体" w:hAnsi="宋体" w:cs="宋体"/>
          <w:color w:val="auto"/>
          <w:sz w:val="24"/>
          <w:szCs w:val="24"/>
          <w:highlight w:val="none"/>
        </w:rPr>
        <w:t xml:space="preserve">的扣除价格，用扣除后的价格参与评审。（2）供应商需按照采购文件的要求提供相应的《小微企业声明函》。</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4"/>
          <w:highlight w:val="none"/>
        </w:rPr>
        <w:t xml:space="preserve">供应商如不提供上述证明文件，价格将不做相应扣除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4.残疾人福利单位、监狱企业属于小型、微型企业的，不重复享受政策。</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36"/>
          <w:szCs w:val="36"/>
          <w:highlight w:val="none"/>
        </w:rPr>
      </w:pPr>
      <w:r>
        <w:rPr>
          <w:rFonts w:hint="eastAsia" w:ascii="宋体" w:hAnsi="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szCs w:val="24"/>
          <w:highlight w:val="none"/>
          <w:u w:val="single"/>
        </w:rPr>
        <w:t xml:space="preserve">6%</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36"/>
          <w:szCs w:val="36"/>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6.联合体各方均为小型、微型企业（残疾人福利单位、监狱企业）的，联合体享受</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价格扣除，用扣除后的价格参与评审。</w:t>
      </w:r>
      <w:r>
        <w:rPr>
          <w:rFonts w:hint="eastAsia" w:ascii="宋体" w:hAnsi="宋体" w:cs="宋体"/>
          <w:color w:val="auto"/>
          <w:sz w:val="24"/>
          <w:szCs w:val="24"/>
          <w:highlight w:val="none"/>
        </w:rPr>
      </w:r>
      <w:r>
        <w:rPr>
          <w:color w:val="auto"/>
          <w:highlight w:val="none"/>
        </w:rPr>
      </w:r>
    </w:p>
    <w:p>
      <w:pPr>
        <w:pStyle w:val="1005"/>
        <w:ind w:firstLine="482"/>
        <w:spacing w:before="290" w:after="0"/>
        <w:rPr>
          <w:rFonts w:hint="eastAsia" w:ascii="宋体" w:hAnsi="宋体" w:cs="宋体"/>
          <w:b/>
          <w:color w:val="auto"/>
          <w:highlight w:val="none"/>
        </w:rPr>
        <w:outlineLvl w:val="2"/>
      </w:pPr>
      <w:r>
        <w:rPr>
          <w:rFonts w:hint="eastAsia" w:ascii="宋体" w:hAnsi="宋体" w:cs="宋体"/>
          <w:b/>
          <w:color w:val="auto"/>
          <w:highlight w:val="none"/>
        </w:rPr>
        <w:t xml:space="preserve">采购本国产品的支持政策</w:t>
      </w:r>
      <w:r>
        <w:rPr>
          <w:rFonts w:hint="eastAsia" w:ascii="宋体" w:hAnsi="宋体" w:cs="宋体"/>
          <w:b/>
          <w:color w:val="auto"/>
          <w:highlight w:val="none"/>
        </w:rPr>
      </w:r>
      <w:r>
        <w:rPr>
          <w:color w:val="auto"/>
          <w:highlight w:val="none"/>
        </w:rPr>
      </w:r>
    </w:p>
    <w:p>
      <w:pPr>
        <w:pStyle w:val="1005"/>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highlight w:val="none"/>
        </w:rPr>
      </w:r>
      <w:r>
        <w:rPr>
          <w:color w:val="auto"/>
          <w:highlight w:val="none"/>
        </w:rPr>
      </w:r>
    </w:p>
    <w:p>
      <w:pPr>
        <w:pStyle w:val="1005"/>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auto"/>
          <w:highlight w:val="none"/>
        </w:rPr>
      </w:r>
      <w:r>
        <w:rPr>
          <w:color w:val="auto"/>
          <w:highlight w:val="none"/>
        </w:rPr>
      </w:r>
    </w:p>
    <w:p>
      <w:pPr>
        <w:pStyle w:val="1005"/>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auto"/>
          <w:highlight w:val="none"/>
        </w:rPr>
      </w:r>
      <w:r>
        <w:rPr>
          <w:color w:val="auto"/>
          <w:highlight w:val="none"/>
        </w:rPr>
      </w:r>
    </w:p>
    <w:p>
      <w:pPr>
        <w:pStyle w:val="1005"/>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auto"/>
          <w:highlight w:val="none"/>
        </w:rPr>
      </w:r>
      <w:r>
        <w:rPr>
          <w:color w:val="auto"/>
          <w:highlight w:val="none"/>
        </w:rPr>
      </w:r>
    </w:p>
    <w:p>
      <w:pPr>
        <w:pStyle w:val="1005"/>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auto"/>
          <w:highlight w:val="none"/>
        </w:rPr>
      </w:r>
      <w:r>
        <w:rPr>
          <w:color w:val="auto"/>
          <w:highlight w:val="none"/>
        </w:rPr>
      </w:r>
    </w:p>
    <w:p>
      <w:pPr>
        <w:pStyle w:val="914"/>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强化政府采购异常低价审查</w:t>
      </w:r>
      <w:r>
        <w:rPr>
          <w:rFonts w:hint="eastAsia" w:ascii="宋体" w:hAnsi="宋体" w:cs="宋体"/>
          <w:b/>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（一）评审过程中出现下列情形之一的，评审委员会应当启动异常低价投标（响应）审查程序：</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auto"/>
          <w:sz w:val="24"/>
          <w:szCs w:val="24"/>
          <w:highlight w:val="none"/>
        </w:rPr>
      </w:r>
      <w:r>
        <w:rPr>
          <w:color w:val="auto"/>
          <w:highlight w:val="none"/>
        </w:rPr>
      </w:r>
    </w:p>
    <w:p>
      <w:pPr>
        <w:pStyle w:val="914"/>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rPr>
      </w:r>
      <w:r>
        <w:rPr>
          <w:color w:val="auto"/>
          <w:highlight w:val="none"/>
        </w:rPr>
      </w:r>
    </w:p>
    <w:p>
      <w:pPr>
        <w:pStyle w:val="916"/>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（三）评标方法与评标标准</w:t>
      </w:r>
      <w:r>
        <w:rPr>
          <w:rFonts w:hint="eastAsia" w:ascii="宋体" w:hAnsi="宋体" w:cs="宋体"/>
          <w:color w:val="auto"/>
          <w:sz w:val="32"/>
          <w:highlight w:val="none"/>
        </w:rPr>
      </w:r>
      <w:r>
        <w:rPr>
          <w:color w:val="auto"/>
          <w:highlight w:val="none"/>
        </w:rPr>
      </w:r>
    </w:p>
    <w:tbl>
      <w:tblPr>
        <w:tblW w:w="8703"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评审因素</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报价</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其他投标人的价格分统一按照下列公式计算：</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投标报价得分=（评标基准价/投标报价）×30（小数点保留两位）。</w:t>
            </w:r>
            <w:r>
              <w:rPr>
                <w:rFonts w:hint="eastAsia" w:ascii="宋体" w:hAnsi="宋体" w:cs="宋体"/>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技术要求响应</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评委根据投标文件中《技术规格响应/偏离表》，结合投标文件提供的佐证材料等进行评审：</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完全响应招标文件《第三部分：采购需求》的技术规格条款要求，得</w:t>
            </w:r>
            <w:r>
              <w:rPr>
                <w:rFonts w:hint="eastAsia" w:ascii="宋体" w:hAnsi="宋体" w:cs="宋体"/>
                <w:color w:val="auto"/>
                <w:sz w:val="24"/>
                <w:szCs w:val="24"/>
                <w:highlight w:val="none"/>
              </w:rPr>
              <w:t xml:space="preserve">45</w:t>
            </w:r>
            <w:r>
              <w:rPr>
                <w:rFonts w:hint="eastAsia" w:ascii="宋体" w:hAnsi="宋体" w:cs="宋体"/>
                <w:color w:val="auto"/>
                <w:sz w:val="24"/>
                <w:szCs w:val="24"/>
                <w:highlight w:val="none"/>
              </w:rPr>
              <w:t xml:space="preserve">分；“★”号指标不允许负偏离，否则投标无效；加注“▲”符号的重要指标有一项负偏离或不满足扣2.6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rPr>
              <w:t xml:space="preserve">个“▲”，共计28.6分</w:t>
            </w:r>
            <w:r>
              <w:rPr>
                <w:rFonts w:hint="eastAsia" w:ascii="宋体" w:hAnsi="宋体" w:cs="宋体"/>
                <w:color w:val="auto"/>
                <w:sz w:val="24"/>
                <w:szCs w:val="24"/>
                <w:highlight w:val="none"/>
              </w:rPr>
              <w:t xml:space="preserve">）；一般指标有一项负偏离或不满足扣0.4分（41</w:t>
            </w:r>
            <w:r>
              <w:rPr>
                <w:rFonts w:hint="eastAsia" w:ascii="宋体" w:hAnsi="宋体" w:cs="宋体"/>
                <w:color w:val="auto"/>
                <w:sz w:val="24"/>
                <w:szCs w:val="24"/>
                <w:highlight w:val="none"/>
              </w:rPr>
              <w:t xml:space="preserve">个一般，共计16.4分</w:t>
            </w:r>
            <w:r>
              <w:rPr>
                <w:rFonts w:hint="eastAsia" w:ascii="宋体" w:hAnsi="宋体" w:cs="宋体"/>
                <w:color w:val="auto"/>
                <w:sz w:val="24"/>
                <w:szCs w:val="24"/>
                <w:highlight w:val="none"/>
              </w:rPr>
              <w:t xml:space="preserve">），扣完为止。</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安装调试方案</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设备到货、安装、调试方案，评委根据投标设备的到货运输、安装、设计方案进行横向对比评审：</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培训方案</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售后服务方案</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投标设备整体配置情况比较</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highlight w:val="none"/>
              </w:rPr>
            </w:pPr>
            <w:r>
              <w:rPr>
                <w:rFonts w:hint="eastAsia" w:ascii="宋体" w:hAnsi="宋体" w:cs="宋体"/>
                <w:color w:val="auto"/>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分；针对本项目的投标产品配置选型一般、且与项目需求的吻合度一般，得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分；针对本项目的投标产品配置选型差、且与项目需求的吻合度差，得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rPr>
                <w:rFonts w:hint="eastAsia" w:ascii="宋体" w:hAnsi="宋体" w:cs="宋体"/>
                <w:color w:val="auto"/>
                <w:highlight w:val="none"/>
                <w:lang w:val="zh-CN"/>
              </w:rPr>
              <w:t xml:space="preserve">其余</w:t>
            </w:r>
            <w:r>
              <w:rPr>
                <w:rFonts w:hint="eastAsia" w:ascii="宋体" w:hAnsi="宋体" w:cs="宋体"/>
                <w:color w:val="auto"/>
                <w:sz w:val="24"/>
                <w:highlight w:val="none"/>
                <w:lang w:val="zh-CN"/>
              </w:rPr>
              <w:t xml:space="preserve">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业绩</w:t>
            </w:r>
            <w:r>
              <w:rPr>
                <w:rFonts w:hint="eastAsia" w:ascii="宋体" w:hAnsi="宋体" w:cs="宋体"/>
                <w:b/>
                <w:color w:val="auto"/>
                <w:sz w:val="24"/>
                <w:szCs w:val="24"/>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5分。</w:t>
            </w:r>
            <w:r>
              <w:rPr>
                <w:rFonts w:hint="eastAsia" w:ascii="宋体" w:hAnsi="宋体" w:cs="宋体"/>
                <w:color w:val="auto"/>
                <w:sz w:val="24"/>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t xml:space="preserve">注：证明资料不全或不符合要求不得分。</w:t>
            </w:r>
            <w:r>
              <w:rPr>
                <w:rFonts w:hint="eastAsia" w:ascii="宋体" w:hAnsi="宋体" w:cs="宋体"/>
                <w:color w:val="auto"/>
                <w:sz w:val="24"/>
                <w:highlight w:val="none"/>
              </w:rPr>
            </w:r>
            <w:r>
              <w:rPr>
                <w:color w:val="auto"/>
                <w:highlight w:val="none"/>
              </w:rPr>
            </w:r>
          </w:p>
        </w:tc>
      </w:tr>
    </w:tbl>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86" w:name="_Toc28055"/>
      <w:r>
        <w:rPr>
          <w:rFonts w:hint="eastAsia" w:ascii="宋体" w:hAnsi="宋体" w:cs="宋体"/>
          <w:color w:val="auto"/>
          <w:sz w:val="44"/>
          <w:szCs w:val="44"/>
          <w:highlight w:val="none"/>
        </w:rPr>
        <w:t xml:space="preserve">第六章  投标</w:t>
      </w:r>
      <w:bookmarkEnd w:id="180"/>
      <w:r>
        <w:rPr>
          <w:color w:val="auto"/>
          <w:highlight w:val="none"/>
        </w:rPr>
      </w:r>
      <w:bookmarkEnd w:id="181"/>
      <w:r>
        <w:rPr>
          <w:color w:val="auto"/>
          <w:highlight w:val="none"/>
        </w:rPr>
      </w:r>
      <w:bookmarkEnd w:id="184"/>
      <w:r>
        <w:rPr>
          <w:rFonts w:hint="eastAsia" w:ascii="宋体" w:hAnsi="宋体" w:cs="宋体"/>
          <w:color w:val="auto"/>
          <w:sz w:val="44"/>
          <w:szCs w:val="44"/>
          <w:highlight w:val="none"/>
        </w:rPr>
        <w:t xml:space="preserve">文件格式</w:t>
      </w:r>
      <w:bookmarkEnd w:id="186"/>
      <w:r>
        <w:rPr>
          <w:rFonts w:hint="eastAsia" w:ascii="宋体" w:hAnsi="宋体" w:cs="宋体"/>
          <w:color w:val="auto"/>
          <w:sz w:val="44"/>
          <w:szCs w:val="44"/>
          <w:highlight w:val="none"/>
        </w:rPr>
        <w:t xml:space="preserve"> </w:t>
      </w:r>
      <w:r>
        <w:rPr>
          <w:rFonts w:hint="eastAsia" w:ascii="宋体" w:hAnsi="宋体" w:cs="宋体"/>
          <w:bCs/>
          <w:color w:val="auto"/>
          <w:sz w:val="44"/>
          <w:szCs w:val="28"/>
          <w:highlight w:val="none"/>
        </w:rPr>
      </w:r>
      <w:r>
        <w:rPr>
          <w:color w:val="auto"/>
          <w:highlight w:val="none"/>
        </w:rPr>
      </w:r>
    </w:p>
    <w:p>
      <w:pPr>
        <w:pStyle w:val="914"/>
        <w:jc w:val="center"/>
        <w:rPr>
          <w:rFonts w:hint="eastAsia" w:ascii="宋体" w:hAnsi="宋体" w:cs="宋体"/>
          <w:b/>
          <w:color w:val="auto"/>
          <w:sz w:val="72"/>
          <w:szCs w:val="21"/>
          <w:highlight w:val="none"/>
        </w:rPr>
      </w:pPr>
      <w:r>
        <w:rPr>
          <w:color w:val="auto"/>
          <w:highlight w:val="none"/>
        </w:rPr>
      </w:r>
      <w:bookmarkStart w:id="187" w:name="_Hlt26955039"/>
      <w:r>
        <w:rPr>
          <w:color w:val="auto"/>
          <w:highlight w:val="none"/>
        </w:rPr>
      </w:r>
      <w:bookmarkEnd w:id="187"/>
      <w:r>
        <w:rPr>
          <w:color w:val="auto"/>
          <w:highlight w:val="none"/>
        </w:rPr>
      </w:r>
      <w:bookmarkStart w:id="188" w:name="_Hlt26671244"/>
      <w:r>
        <w:rPr>
          <w:color w:val="auto"/>
          <w:highlight w:val="none"/>
        </w:rPr>
      </w:r>
      <w:bookmarkEnd w:id="188"/>
      <w:r>
        <w:rPr>
          <w:color w:val="auto"/>
          <w:highlight w:val="none"/>
        </w:rPr>
      </w:r>
      <w:bookmarkStart w:id="189" w:name="_Toc120614282"/>
      <w:r>
        <w:rPr>
          <w:color w:val="auto"/>
          <w:highlight w:val="none"/>
        </w:rPr>
      </w:r>
      <w:bookmarkStart w:id="190" w:name="_Toc26554094"/>
      <w:r>
        <w:rPr>
          <w:color w:val="auto"/>
          <w:highlight w:val="none"/>
        </w:rPr>
      </w:r>
      <w:bookmarkStart w:id="191" w:name="_Toc49090576"/>
      <w:r>
        <w:rPr>
          <w:rFonts w:hint="eastAsia" w:ascii="宋体" w:hAnsi="宋体" w:cs="宋体"/>
          <w:b/>
          <w:color w:val="auto"/>
          <w:sz w:val="72"/>
          <w:szCs w:val="21"/>
          <w:highlight w:val="none"/>
        </w:rPr>
      </w:r>
      <w:r>
        <w:rPr>
          <w:color w:val="auto"/>
          <w:highlight w:val="none"/>
        </w:rPr>
      </w:r>
    </w:p>
    <w:p>
      <w:pPr>
        <w:pStyle w:val="914"/>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投  标  文  件</w:t>
      </w:r>
      <w:r>
        <w:rPr>
          <w:rFonts w:hint="eastAsia" w:ascii="宋体" w:hAnsi="宋体" w:cs="宋体"/>
          <w:b/>
          <w:color w:val="auto"/>
          <w:sz w:val="72"/>
          <w:szCs w:val="21"/>
          <w:highlight w:val="none"/>
        </w:rPr>
      </w:r>
      <w:r>
        <w:rPr>
          <w:color w:val="auto"/>
          <w:highlight w:val="none"/>
        </w:rPr>
      </w:r>
    </w:p>
    <w:p>
      <w:pPr>
        <w:pStyle w:val="914"/>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14"/>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14"/>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14"/>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14"/>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14"/>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14"/>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14"/>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包号及设备名称：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14"/>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投标人名称 ：</w:t>
      </w:r>
      <w:r>
        <w:rPr>
          <w:rFonts w:hint="eastAsia" w:ascii="宋体" w:hAnsi="宋体" w:cs="宋体"/>
          <w:b/>
          <w:color w:val="auto"/>
          <w:sz w:val="36"/>
          <w:szCs w:val="21"/>
          <w:highlight w:val="none"/>
          <w:u w:val="single"/>
        </w:rPr>
        <w:t xml:space="preserve">（加盖CA电子公章）</w:t>
      </w:r>
      <w:r>
        <w:rPr>
          <w:rFonts w:hint="eastAsia" w:ascii="宋体" w:hAnsi="宋体" w:cs="宋体"/>
          <w:b/>
          <w:color w:val="auto"/>
          <w:sz w:val="36"/>
          <w:szCs w:val="21"/>
          <w:highlight w:val="none"/>
          <w:u w:val="single"/>
        </w:rPr>
      </w:r>
      <w:r>
        <w:rPr>
          <w:color w:val="auto"/>
          <w:highlight w:val="none"/>
        </w:rPr>
      </w:r>
    </w:p>
    <w:p>
      <w:pPr>
        <w:pStyle w:val="914"/>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日      期 ：</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14"/>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14"/>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rPr>
          <w:rFonts w:hint="eastAsia" w:ascii="宋体" w:hAnsi="宋体" w:cs="宋体"/>
          <w:b/>
          <w:bCs/>
          <w:color w:val="auto"/>
          <w:sz w:val="32"/>
          <w:szCs w:val="32"/>
          <w:highlight w:val="none"/>
        </w:rPr>
      </w:r>
      <w:r>
        <w:rPr>
          <w:color w:val="auto"/>
          <w:highlight w:val="none"/>
        </w:rPr>
      </w:r>
    </w:p>
    <w:p>
      <w:pPr>
        <w:pStyle w:val="914"/>
        <w:jc w:val="center"/>
        <w:spacing w:line="44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投标文件目录</w:t>
      </w:r>
      <w:r>
        <w:rPr>
          <w:rFonts w:hint="eastAsia" w:ascii="宋体" w:hAnsi="宋体" w:cs="宋体"/>
          <w:b/>
          <w:bCs/>
          <w:color w:val="auto"/>
          <w:sz w:val="32"/>
          <w:szCs w:val="32"/>
          <w:highlight w:val="none"/>
        </w:rPr>
      </w:r>
      <w:r>
        <w:rPr>
          <w:color w:val="auto"/>
          <w:highlight w:val="none"/>
        </w:rPr>
      </w:r>
    </w:p>
    <w:p>
      <w:pPr>
        <w:pStyle w:val="914"/>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投标函</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开标一览表</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投标分项报价表</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技术要求响应及偏离表</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商务要求响应及偏离表</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资格要求的证明文件</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法人授权书</w:t>
      </w:r>
      <w:r>
        <w:rPr>
          <w:rFonts w:hint="eastAsia" w:ascii="宋体" w:hAnsi="宋体" w:cs="宋体"/>
          <w:i/>
          <w:color w:val="auto"/>
          <w:sz w:val="24"/>
          <w:highlight w:val="none"/>
          <w:u w:val="single"/>
        </w:rPr>
      </w:r>
      <w:r>
        <w:rPr>
          <w:color w:val="auto"/>
          <w:highlight w:val="none"/>
        </w:rPr>
      </w:r>
    </w:p>
    <w:p>
      <w:pPr>
        <w:pStyle w:val="914"/>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业绩情况表（如有）</w:t>
      </w:r>
      <w:r>
        <w:rPr>
          <w:rFonts w:hint="eastAsia" w:ascii="宋体" w:hAnsi="宋体" w:cs="宋体"/>
          <w:iCs/>
          <w:color w:val="auto"/>
          <w:sz w:val="24"/>
          <w:highlight w:val="none"/>
        </w:rPr>
      </w:r>
      <w:r>
        <w:rPr>
          <w:color w:val="auto"/>
          <w:highlight w:val="none"/>
        </w:rPr>
      </w:r>
    </w:p>
    <w:p>
      <w:pPr>
        <w:pStyle w:val="914"/>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服务方案（如有）</w:t>
      </w:r>
      <w:r>
        <w:rPr>
          <w:rFonts w:hint="eastAsia" w:ascii="宋体" w:hAnsi="宋体" w:cs="宋体"/>
          <w:iCs/>
          <w:color w:val="auto"/>
          <w:sz w:val="24"/>
          <w:highlight w:val="none"/>
        </w:rPr>
      </w:r>
      <w:r>
        <w:rPr>
          <w:color w:val="auto"/>
          <w:highlight w:val="none"/>
        </w:rPr>
      </w:r>
    </w:p>
    <w:p>
      <w:pPr>
        <w:pStyle w:val="914"/>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价格扣除证明文件（如有）</w:t>
      </w:r>
      <w:r>
        <w:rPr>
          <w:rFonts w:hint="eastAsia" w:ascii="宋体" w:hAnsi="宋体" w:cs="宋体"/>
          <w:iCs/>
          <w:color w:val="auto"/>
          <w:sz w:val="24"/>
          <w:highlight w:val="none"/>
        </w:rPr>
      </w:r>
      <w:r>
        <w:rPr>
          <w:color w:val="auto"/>
          <w:highlight w:val="none"/>
        </w:rPr>
      </w:r>
    </w:p>
    <w:p>
      <w:pPr>
        <w:pStyle w:val="914"/>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投标人认为需要提供的其他材料（如有）</w:t>
      </w:r>
      <w:r>
        <w:rPr>
          <w:rFonts w:hint="eastAsia" w:ascii="宋体" w:hAnsi="宋体" w:cs="宋体"/>
          <w:iCs/>
          <w:color w:val="auto"/>
          <w:sz w:val="24"/>
          <w:highlight w:val="none"/>
        </w:rPr>
      </w:r>
      <w:r>
        <w:rPr>
          <w:color w:val="auto"/>
          <w:highlight w:val="none"/>
        </w:rPr>
      </w:r>
    </w:p>
    <w:p>
      <w:pPr>
        <w:pStyle w:val="914"/>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联合体协议（本项目不适用）</w:t>
      </w:r>
      <w:r>
        <w:rPr>
          <w:rFonts w:hint="eastAsia" w:ascii="宋体" w:hAnsi="宋体" w:cs="宋体"/>
          <w:iCs/>
          <w:color w:val="auto"/>
          <w:sz w:val="24"/>
          <w:highlight w:val="none"/>
        </w:rPr>
      </w:r>
      <w:r>
        <w:rPr>
          <w:color w:val="auto"/>
          <w:highlight w:val="none"/>
        </w:rPr>
      </w:r>
    </w:p>
    <w:p>
      <w:pPr>
        <w:pStyle w:val="914"/>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rPr>
          <w:color w:val="auto"/>
          <w:highlight w:val="none"/>
        </w:rPr>
      </w:r>
    </w:p>
    <w:p>
      <w:pPr>
        <w:pStyle w:val="914"/>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b/>
          <w:i/>
          <w:color w:val="auto"/>
          <w:szCs w:val="32"/>
          <w:highlight w:val="none"/>
          <w:u w:val="single"/>
        </w:rPr>
      </w:pPr>
      <w:r>
        <w:rPr>
          <w:rFonts w:hint="eastAsia" w:ascii="宋体" w:hAnsi="宋体" w:cs="宋体"/>
          <w:i/>
          <w:color w:val="auto"/>
          <w:szCs w:val="32"/>
          <w:highlight w:val="none"/>
          <w:u w:val="single"/>
        </w:rPr>
        <w:br w:type="page" w:clear="all"/>
      </w:r>
      <w:r>
        <w:rPr>
          <w:rFonts w:hint="eastAsia" w:ascii="宋体" w:hAnsi="宋体" w:cs="宋体"/>
          <w:color w:val="auto"/>
          <w:highlight w:val="none"/>
        </w:rPr>
        <w:t xml:space="preserve">投标函</w:t>
      </w:r>
      <w:r>
        <w:rPr>
          <w:rFonts w:hint="eastAsia" w:ascii="宋体" w:hAnsi="宋体" w:cs="宋体"/>
          <w:b/>
          <w:i/>
          <w:color w:val="auto"/>
          <w:szCs w:val="32"/>
          <w:highlight w:val="none"/>
          <w:u w:val="single"/>
        </w:rPr>
      </w:r>
      <w:r>
        <w:rPr>
          <w:color w:val="auto"/>
          <w:highlight w:val="none"/>
        </w:rPr>
      </w:r>
    </w:p>
    <w:p>
      <w:pPr>
        <w:pStyle w:val="914"/>
        <w:jc w:val="left"/>
        <w:spacing w:before="145"/>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致：江苏苏豪创新科技集团高科有限公司</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根据贵方的JSZC-***</w:t>
      </w:r>
      <w:r>
        <w:rPr>
          <w:rFonts w:hint="eastAsia" w:ascii="宋体" w:hAnsi="宋体" w:cs="宋体"/>
          <w:b/>
          <w:color w:val="auto"/>
          <w:sz w:val="36"/>
          <w:szCs w:val="24"/>
          <w:highlight w:val="none"/>
          <w:u w:val="single"/>
        </w:rPr>
        <w:t xml:space="preserve">     </w:t>
      </w:r>
      <w:r>
        <w:rPr>
          <w:rFonts w:hint="eastAsia" w:ascii="宋体" w:hAnsi="宋体" w:cs="宋体"/>
          <w:color w:val="auto"/>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1.按招标文件规定的各项要求，向买方提供所需货物（包含与货物相关的服务）。</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2.我们完全理解贵方不一定将合同授予最低报价的投标人。</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4.我们同意从规定的开标日期起遵循本投标文件，并在规定的投标有效期期满之前均具有约束力。</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auto"/>
          <w:sz w:val="24"/>
          <w:szCs w:val="21"/>
          <w:highlight w:val="none"/>
        </w:rPr>
      </w:r>
      <w:r>
        <w:rPr>
          <w:color w:val="auto"/>
          <w:highlight w:val="none"/>
        </w:rPr>
      </w:r>
    </w:p>
    <w:p>
      <w:pPr>
        <w:pStyle w:val="914"/>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auto"/>
          <w:sz w:val="24"/>
          <w:szCs w:val="21"/>
          <w:highlight w:val="none"/>
        </w:rPr>
      </w:r>
      <w:r>
        <w:rPr>
          <w:color w:val="auto"/>
          <w:highlight w:val="none"/>
        </w:rPr>
      </w:r>
    </w:p>
    <w:p>
      <w:pPr>
        <w:pStyle w:val="914"/>
        <w:ind w:left="425"/>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7.与本投标有关的正式通讯地址为：</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投标人开户行：</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w:t>
      </w:r>
      <w:r>
        <w:rPr>
          <w:rFonts w:hint="eastAsia" w:ascii="宋体" w:hAnsi="宋体" w:cs="宋体"/>
          <w:color w:val="auto"/>
          <w:sz w:val="24"/>
          <w:szCs w:val="21"/>
          <w:highlight w:val="none"/>
        </w:rPr>
      </w:r>
      <w:r>
        <w:rPr>
          <w:color w:val="auto"/>
          <w:highlight w:val="none"/>
        </w:rPr>
      </w:r>
    </w:p>
    <w:p>
      <w:pPr>
        <w:pStyle w:val="914"/>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期：________年____月____日</w:t>
      </w: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sz w:val="24"/>
          <w:szCs w:val="21"/>
          <w:highlight w:val="none"/>
        </w:rPr>
        <w:br w:type="page" w:clear="all"/>
      </w:r>
      <w:bookmarkStart w:id="192" w:name="_Toc30906"/>
      <w:r>
        <w:rPr>
          <w:rFonts w:hint="eastAsia" w:ascii="宋体" w:hAnsi="宋体" w:cs="宋体"/>
          <w:color w:val="auto"/>
          <w:highlight w:val="none"/>
        </w:rPr>
        <w:t xml:space="preserve">开标一览表</w:t>
      </w:r>
      <w:bookmarkEnd w:id="192"/>
      <w:r>
        <w:rPr>
          <w:rFonts w:hint="eastAsia" w:ascii="宋体" w:hAnsi="宋体" w:cs="宋体"/>
          <w:color w:val="auto"/>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招标编号：                                   </w:t>
      </w:r>
      <w:r>
        <w:rPr>
          <w:rFonts w:hint="eastAsia" w:ascii="宋体" w:hAnsi="宋体" w:cs="宋体"/>
          <w:color w:val="auto"/>
          <w:sz w:val="24"/>
          <w:szCs w:val="24"/>
          <w:highlight w:val="none"/>
        </w:rPr>
      </w:r>
      <w:r>
        <w:rPr>
          <w:color w:val="auto"/>
          <w:highlight w:val="none"/>
        </w:rPr>
      </w:r>
    </w:p>
    <w:tbl>
      <w:tblPr>
        <w:tblW w:w="87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hint="eastAsia" w:ascii="宋体" w:hAnsi="宋体" w:cs="宋体"/>
                <w:color w:val="auto"/>
                <w:sz w:val="24"/>
                <w:szCs w:val="24"/>
                <w:highlight w:val="none"/>
              </w:rPr>
            </w:r>
            <w:r>
              <w:rPr>
                <w:color w:val="auto"/>
                <w:highlight w:val="none"/>
              </w:rPr>
            </w:r>
          </w:p>
        </w:tc>
      </w:tr>
      <w:tr>
        <w:trPr>
          <w:cantSplit/>
          <w:trHeight w:val="567"/>
        </w:trPr>
        <w:tc>
          <w:tcPr>
            <w:tcW w:w="8723" w:type="dxa"/>
            <w:vAlign w:val="center"/>
            <w:textDirection w:val="lrTb"/>
            <w:noWrap w:val="false"/>
          </w:tcPr>
          <w:p>
            <w:pPr>
              <w:pStyle w:val="914"/>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小写：                             （人民币：元）</w:t>
            </w:r>
            <w:r>
              <w:rPr>
                <w:rFonts w:hint="eastAsia" w:ascii="宋体" w:hAnsi="宋体" w:cs="宋体"/>
                <w:color w:val="auto"/>
                <w:sz w:val="24"/>
                <w:highlight w:val="none"/>
              </w:rPr>
            </w:r>
            <w:r>
              <w:rPr>
                <w:color w:val="auto"/>
                <w:highlight w:val="none"/>
              </w:rPr>
            </w:r>
          </w:p>
        </w:tc>
      </w:tr>
    </w:tbl>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t xml:space="preserve">投标分项报价表（分包号：***）</w:t>
      </w:r>
      <w:r>
        <w:rPr>
          <w:rFonts w:hint="eastAsia" w:ascii="宋体" w:hAnsi="宋体" w:cs="宋体"/>
          <w:color w:val="auto"/>
          <w:highlight w:val="none"/>
        </w:rPr>
      </w:r>
      <w:r>
        <w:rPr>
          <w:color w:val="auto"/>
          <w:highlight w:val="none"/>
        </w:rPr>
      </w:r>
    </w:p>
    <w:tbl>
      <w:tblPr>
        <w:tblW w:w="867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规格及型号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单价（元）</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制造商</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66"/>
              <w:tabs>
                <w:tab w:val="clear" w:pos="4153" w:leader="none"/>
                <w:tab w:val="clear" w:pos="8306" w:leader="none"/>
              </w:tabs>
              <w:rPr>
                <w:rFonts w:hint="eastAsia" w:ascii="宋体" w:hAnsi="宋体" w:cs="宋体"/>
                <w:color w:val="auto"/>
                <w:sz w:val="24"/>
                <w:szCs w:val="24"/>
                <w:highlight w:val="none"/>
              </w:rPr>
              <w:pBdr>
                <w:bottom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14"/>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总价合计（小写）</w:t>
            </w:r>
            <w:r>
              <w:rPr>
                <w:rFonts w:hint="eastAsia" w:ascii="宋体" w:hAnsi="宋体" w:cs="宋体"/>
                <w:b/>
                <w:bCs/>
                <w:color w:val="auto"/>
                <w:sz w:val="24"/>
                <w:szCs w:val="24"/>
                <w:highlight w:val="none"/>
              </w:rPr>
            </w:r>
            <w:r>
              <w:rPr>
                <w:color w:val="auto"/>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14"/>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14"/>
              <w:rPr>
                <w:rFonts w:hint="eastAsia" w:ascii="宋体" w:hAnsi="宋体" w:cs="宋体"/>
                <w:b/>
                <w:bCs/>
                <w:color w:val="auto"/>
                <w:sz w:val="24"/>
                <w:szCs w:val="24"/>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b/>
                <w:bCs/>
                <w:color w:val="auto"/>
                <w:sz w:val="24"/>
                <w:szCs w:val="24"/>
                <w:highlight w:val="none"/>
              </w:rPr>
            </w:r>
            <w:r>
              <w:rPr>
                <w:color w:val="auto"/>
                <w:highlight w:val="none"/>
              </w:rPr>
            </w:r>
          </w:p>
        </w:tc>
      </w:tr>
    </w:tbl>
    <w:p>
      <w:pPr>
        <w:pStyle w:val="914"/>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14"/>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w:t>
      </w:r>
      <w:r>
        <w:rPr>
          <w:rFonts w:hint="eastAsia" w:ascii="宋体" w:hAnsi="宋体" w:cs="宋体"/>
          <w:color w:val="auto"/>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auto"/>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auto"/>
          <w:sz w:val="24"/>
          <w:szCs w:val="24"/>
          <w:highlight w:val="none"/>
        </w:rPr>
      </w:r>
      <w:r>
        <w:rPr>
          <w:color w:val="auto"/>
          <w:highlight w:val="none"/>
        </w:rPr>
      </w:r>
    </w:p>
    <w:p>
      <w:pPr>
        <w:pStyle w:val="914"/>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“投标分项报价表”中“投标总报价”数额应当与“开标一览表”中“投标总报价”数额一致。</w:t>
      </w:r>
      <w:r>
        <w:rPr>
          <w:rFonts w:hint="eastAsia" w:ascii="宋体" w:hAnsi="宋体" w:cs="宋体"/>
          <w:color w:val="auto"/>
          <w:sz w:val="24"/>
          <w:szCs w:val="24"/>
          <w:highlight w:val="none"/>
        </w:rPr>
      </w:r>
      <w:r>
        <w:rPr>
          <w:color w:val="auto"/>
          <w:highlight w:val="none"/>
        </w:rPr>
      </w:r>
    </w:p>
    <w:p>
      <w:pPr>
        <w:pStyle w:val="914"/>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auto"/>
          <w:sz w:val="24"/>
          <w:szCs w:val="24"/>
          <w:highlight w:val="none"/>
        </w:rPr>
      </w:r>
      <w:r>
        <w:rPr>
          <w:color w:val="auto"/>
          <w:highlight w:val="none"/>
        </w:rPr>
      </w:r>
    </w:p>
    <w:p>
      <w:pPr>
        <w:pStyle w:val="914"/>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投标人需认真填写本报价表，尤其注意规格型号的准确填写。</w:t>
      </w: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color w:val="auto"/>
          <w:highlight w:val="none"/>
        </w:rPr>
      </w:r>
      <w:bookmarkStart w:id="193" w:name="_Toc10084"/>
      <w:r>
        <w:rPr>
          <w:rFonts w:hint="eastAsia" w:ascii="宋体" w:hAnsi="宋体" w:cs="宋体"/>
          <w:color w:val="auto"/>
          <w:highlight w:val="none"/>
        </w:rPr>
        <w:t xml:space="preserve">技术要求响应及偏离表</w:t>
      </w:r>
      <w:bookmarkEnd w:id="193"/>
      <w:r>
        <w:rPr>
          <w:rFonts w:hint="eastAsia" w:ascii="宋体" w:hAnsi="宋体" w:cs="宋体"/>
          <w:color w:val="auto"/>
          <w:highlight w:val="none"/>
        </w:rPr>
      </w:r>
      <w:r>
        <w:rPr>
          <w:color w:val="auto"/>
          <w:highlight w:val="none"/>
        </w:rPr>
      </w:r>
    </w:p>
    <w:tbl>
      <w:tblPr>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300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rPr>
                <w:rFonts w:hint="eastAsia" w:ascii="宋体" w:hAnsi="宋体" w:cs="宋体"/>
                <w:color w:val="auto"/>
                <w:sz w:val="24"/>
                <w:szCs w:val="24"/>
                <w:highlight w:val="none"/>
              </w:rPr>
            </w:r>
            <w:r>
              <w:rPr>
                <w:color w:val="auto"/>
                <w:highlight w:val="none"/>
              </w:rPr>
            </w:r>
          </w:p>
        </w:tc>
        <w:tc>
          <w:tcPr>
            <w:tcW w:w="2697"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36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91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s="宋体"/>
          <w:color w:val="auto"/>
          <w:sz w:val="24"/>
          <w:szCs w:val="24"/>
          <w:highlight w:val="none"/>
        </w:rPr>
      </w:r>
      <w:r>
        <w:rPr>
          <w:color w:val="auto"/>
          <w:highlight w:val="none"/>
        </w:rPr>
      </w:r>
    </w:p>
    <w:p>
      <w:pPr>
        <w:pStyle w:val="914"/>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行数不够，可自行添加；</w:t>
      </w:r>
      <w:r>
        <w:rPr>
          <w:rFonts w:hint="eastAsia" w:ascii="宋体" w:hAnsi="宋体" w:cs="宋体"/>
          <w:color w:val="auto"/>
          <w:sz w:val="24"/>
          <w:szCs w:val="24"/>
          <w:highlight w:val="none"/>
        </w:rPr>
      </w:r>
      <w:r>
        <w:rPr>
          <w:color w:val="auto"/>
          <w:highlight w:val="none"/>
        </w:rPr>
      </w:r>
    </w:p>
    <w:p>
      <w:pPr>
        <w:pStyle w:val="914"/>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auto"/>
          <w:sz w:val="24"/>
          <w:szCs w:val="24"/>
          <w:highlight w:val="none"/>
        </w:rPr>
      </w:r>
      <w:r>
        <w:rPr>
          <w:color w:val="auto"/>
          <w:highlight w:val="none"/>
        </w:rPr>
      </w:r>
    </w:p>
    <w:p>
      <w:pPr>
        <w:pStyle w:val="914"/>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如果招标文件要求提供证明材料，投标人需将证明材料列于该表之下。</w:t>
      </w:r>
      <w:r>
        <w:rPr>
          <w:rFonts w:hint="eastAsia" w:ascii="宋体" w:hAnsi="宋体" w:cs="宋体"/>
          <w:color w:val="auto"/>
          <w:sz w:val="24"/>
          <w:szCs w:val="24"/>
          <w:highlight w:val="none"/>
        </w:rPr>
      </w:r>
      <w:r>
        <w:rPr>
          <w:color w:val="auto"/>
          <w:highlight w:val="none"/>
        </w:rPr>
      </w:r>
    </w:p>
    <w:p>
      <w:pPr>
        <w:pStyle w:val="914"/>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对于技术要求中列明的▲或★参数，投标人须在此表后按顺序进行逐条佐证，</w:t>
      </w:r>
      <w:r>
        <w:rPr>
          <w:rFonts w:hint="eastAsia" w:ascii="宋体" w:hAnsi="宋体" w:cs="宋体"/>
          <w:color w:val="auto"/>
          <w:sz w:val="24"/>
          <w:szCs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并在该表</w:t>
      </w:r>
      <w:r>
        <w:rPr>
          <w:rFonts w:hint="eastAsia" w:ascii="宋体" w:hAnsi="宋体" w:cs="宋体"/>
          <w:b/>
          <w:bCs/>
          <w:color w:val="auto"/>
          <w:sz w:val="24"/>
          <w:szCs w:val="24"/>
          <w:highlight w:val="none"/>
        </w:rPr>
        <w:t xml:space="preserve">证明材料</w:t>
      </w:r>
      <w:r>
        <w:rPr>
          <w:rFonts w:hint="eastAsia" w:ascii="宋体" w:hAnsi="宋体" w:cs="宋体"/>
          <w:color w:val="auto"/>
          <w:sz w:val="24"/>
          <w:szCs w:val="24"/>
          <w:highlight w:val="none"/>
        </w:rPr>
        <w:t xml:space="preserve">栏中标注相应证明文件页码及相关证明条款，</w:t>
      </w:r>
      <w:r>
        <w:rPr>
          <w:rFonts w:hint="eastAsia" w:ascii="宋体" w:hAnsi="宋体" w:cs="宋体"/>
          <w:color w:val="auto"/>
          <w:sz w:val="24"/>
          <w:szCs w:val="24"/>
          <w:highlight w:val="none"/>
        </w:rPr>
        <w:t xml:space="preserve">未提供相关证明材料视为负偏离</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页面或相关材料不清晰或页码标注问题影响评审，评标委员会有权视为负偏离或作无效标处理。</w:t>
      </w:r>
      <w:r>
        <w:rPr>
          <w:rFonts w:hint="eastAsia" w:ascii="宋体" w:hAnsi="宋体" w:cs="宋体"/>
          <w:color w:val="auto"/>
          <w:sz w:val="24"/>
          <w:szCs w:val="24"/>
          <w:highlight w:val="none"/>
        </w:rPr>
      </w:r>
      <w:r>
        <w:rPr>
          <w:color w:val="auto"/>
          <w:highlight w:val="none"/>
        </w:rPr>
      </w:r>
    </w:p>
    <w:p>
      <w:pPr>
        <w:pStyle w:val="914"/>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投标人需确保提供佐证材料的真实性，如被认定提供实质性虚假材料，将会导致无效响应处理。</w:t>
      </w:r>
      <w:r>
        <w:rPr>
          <w:rFonts w:hint="eastAsia" w:ascii="宋体" w:hAnsi="宋体" w:cs="宋体"/>
          <w:color w:val="auto"/>
          <w:sz w:val="24"/>
          <w:szCs w:val="24"/>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t xml:space="preserve">商务要求响应及偏离表</w:t>
      </w:r>
      <w:r>
        <w:rPr>
          <w:rFonts w:hint="eastAsia" w:ascii="宋体" w:hAnsi="宋体" w:cs="宋体"/>
          <w:color w:val="auto"/>
          <w:highlight w:val="none"/>
        </w:rPr>
      </w:r>
      <w:r>
        <w:rPr>
          <w:color w:val="auto"/>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94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rPr>
                <w:rFonts w:hint="eastAsia" w:ascii="宋体" w:hAnsi="宋体" w:cs="宋体"/>
                <w:color w:val="auto"/>
                <w:sz w:val="24"/>
                <w:szCs w:val="24"/>
                <w:highlight w:val="none"/>
              </w:rPr>
            </w:r>
            <w:r>
              <w:rPr>
                <w:color w:val="auto"/>
                <w:highlight w:val="none"/>
              </w:rPr>
            </w:r>
          </w:p>
        </w:tc>
        <w:tc>
          <w:tcPr>
            <w:tcW w:w="2762"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26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1136"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62"/>
        </w:trPr>
        <w:tc>
          <w:tcPr>
            <w:tcW w:w="769"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14"/>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注：</w:t>
      </w:r>
      <w:r>
        <w:rPr>
          <w:rFonts w:hint="eastAsia" w:ascii="宋体" w:hAnsi="宋体" w:cs="宋体"/>
          <w:color w:val="auto"/>
          <w:sz w:val="24"/>
          <w:szCs w:val="21"/>
          <w:highlight w:val="none"/>
        </w:rPr>
      </w:r>
      <w:r>
        <w:rPr>
          <w:color w:val="auto"/>
          <w:highlight w:val="none"/>
        </w:rPr>
      </w:r>
    </w:p>
    <w:p>
      <w:pPr>
        <w:pStyle w:val="914"/>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商务要求不接受任何一项的负偏离或者不满足，允许正偏离，否则投标无效；</w:t>
      </w:r>
      <w:r>
        <w:rPr>
          <w:rFonts w:hint="eastAsia" w:ascii="宋体" w:hAnsi="宋体" w:cs="宋体"/>
          <w:color w:val="auto"/>
          <w:sz w:val="24"/>
          <w:szCs w:val="21"/>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highlight w:val="none"/>
        </w:rPr>
        <w:t xml:space="preserve">投标人对招标文件商务要求条款没有提出修改要求的，可以提供经签署、盖章的空白表格，采购人将视为供应商完全接受招标文件商务要求条款内容。</w:t>
      </w:r>
      <w:r>
        <w:rPr>
          <w:rFonts w:hint="eastAsia" w:ascii="宋体" w:hAnsi="宋体" w:cs="宋体"/>
          <w:color w:val="auto"/>
          <w:sz w:val="24"/>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t xml:space="preserve">资格要求的证明文件</w:t>
      </w:r>
      <w:r>
        <w:rPr>
          <w:rFonts w:hint="eastAsia" w:ascii="宋体" w:hAnsi="宋体" w:cs="宋体"/>
          <w:color w:val="auto"/>
          <w:highlight w:val="non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5.1 法人或者其他组织的营业执照等证明文件，自然人的身份证明；</w:t>
      </w:r>
      <w:r>
        <w:rPr>
          <w:rFonts w:hint="eastAsia" w:ascii="宋体" w:hAnsi="宋体" w:cs="宋体"/>
          <w:i/>
          <w:color w:val="auto"/>
          <w:sz w:val="28"/>
          <w:szCs w:val="28"/>
          <w:highlight w:val="none"/>
          <w:u w:val="singl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5.2 上一年度的财务状况报告（成立不满一年无需提供）；</w:t>
      </w:r>
      <w:r>
        <w:rPr>
          <w:rFonts w:hint="eastAsia" w:ascii="宋体" w:hAnsi="宋体" w:cs="宋体"/>
          <w:i/>
          <w:color w:val="auto"/>
          <w:sz w:val="28"/>
          <w:szCs w:val="28"/>
          <w:highlight w:val="none"/>
          <w:u w:val="single"/>
        </w:rPr>
      </w:r>
      <w:r>
        <w:rPr>
          <w:color w:val="auto"/>
          <w:highlight w:val="none"/>
        </w:rPr>
      </w:r>
    </w:p>
    <w:p>
      <w:pPr>
        <w:pStyle w:val="914"/>
        <w:ind w:firstLine="480"/>
        <w:rPr>
          <w:rFonts w:hint="eastAsia" w:ascii="宋体" w:hAnsi="宋体" w:cs="宋体"/>
          <w:i/>
          <w:color w:val="auto"/>
          <w:sz w:val="32"/>
          <w:szCs w:val="32"/>
          <w:highlight w:val="none"/>
          <w:u w:val="single"/>
        </w:rPr>
      </w:pPr>
      <w:r>
        <w:rPr>
          <w:rFonts w:hint="eastAsia" w:ascii="宋体" w:hAnsi="宋体" w:cs="宋体"/>
          <w:bCs/>
          <w:color w:val="auto"/>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auto"/>
          <w:sz w:val="32"/>
          <w:szCs w:val="32"/>
          <w:highlight w:val="none"/>
          <w:u w:val="singl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5.3依法缴纳税收和社会保障资金的相关材料</w:t>
      </w:r>
      <w:r>
        <w:rPr>
          <w:rFonts w:hint="eastAsia" w:ascii="宋体" w:hAnsi="宋体" w:cs="宋体"/>
          <w:i/>
          <w:color w:val="auto"/>
          <w:sz w:val="28"/>
          <w:szCs w:val="28"/>
          <w:highlight w:val="none"/>
          <w:u w:val="single"/>
        </w:rPr>
      </w:r>
      <w:r>
        <w:rPr>
          <w:color w:val="auto"/>
          <w:highlight w:val="none"/>
        </w:rPr>
      </w:r>
    </w:p>
    <w:p>
      <w:pPr>
        <w:pStyle w:val="914"/>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auto"/>
          <w:sz w:val="24"/>
          <w:szCs w:val="21"/>
          <w:highlight w:val="non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5.4具备履行合同所必需的设备和专业技术能力的书面声明；</w:t>
      </w:r>
      <w:r>
        <w:rPr>
          <w:rFonts w:hint="eastAsia" w:ascii="宋体" w:hAnsi="宋体" w:cs="宋体"/>
          <w:i/>
          <w:color w:val="auto"/>
          <w:sz w:val="28"/>
          <w:szCs w:val="28"/>
          <w:highlight w:val="none"/>
          <w:u w:val="single"/>
        </w:rPr>
      </w:r>
      <w:r>
        <w:rPr>
          <w:color w:val="auto"/>
          <w:highlight w:val="none"/>
        </w:rPr>
      </w:r>
    </w:p>
    <w:p>
      <w:pPr>
        <w:pStyle w:val="914"/>
        <w:jc w:val="center"/>
        <w:spacing w:line="460" w:lineRule="exact"/>
        <w:rPr>
          <w:rFonts w:hint="eastAsia" w:ascii="宋体" w:hAnsi="宋体" w:cs="宋体"/>
          <w:color w:val="auto"/>
          <w:szCs w:val="21"/>
          <w:highlight w:val="none"/>
        </w:rPr>
      </w:pPr>
      <w:r>
        <w:rPr>
          <w:rFonts w:hint="eastAsia" w:ascii="宋体" w:hAnsi="宋体" w:cs="宋体"/>
          <w:bCs/>
          <w:color w:val="auto"/>
          <w:sz w:val="30"/>
          <w:szCs w:val="30"/>
          <w:highlight w:val="none"/>
        </w:rPr>
        <w:t xml:space="preserve">声明</w:t>
      </w:r>
      <w:r>
        <w:rPr>
          <w:rFonts w:hint="eastAsia" w:ascii="宋体" w:hAnsi="宋体" w:cs="宋体"/>
          <w:color w:val="auto"/>
          <w:szCs w:val="21"/>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致：江苏省苏北人民医院</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5.5参加政府采购活动前3年内在经营活动中没有重大违法记录的书面声明</w:t>
      </w:r>
      <w:r>
        <w:rPr>
          <w:rFonts w:hint="eastAsia" w:ascii="宋体" w:hAnsi="宋体" w:cs="宋体"/>
          <w:i/>
          <w:color w:val="auto"/>
          <w:sz w:val="28"/>
          <w:szCs w:val="28"/>
          <w:highlight w:val="none"/>
          <w:u w:val="single"/>
        </w:rPr>
      </w:r>
      <w:r>
        <w:rPr>
          <w:color w:val="auto"/>
          <w:highlight w:val="none"/>
        </w:rPr>
      </w:r>
    </w:p>
    <w:p>
      <w:pPr>
        <w:pStyle w:val="914"/>
        <w:jc w:val="center"/>
        <w:spacing w:line="460" w:lineRule="exact"/>
        <w:rPr>
          <w:rFonts w:hint="eastAsia" w:ascii="宋体" w:hAnsi="宋体" w:cs="宋体"/>
          <w:b/>
          <w:bCs/>
          <w:color w:val="auto"/>
          <w:sz w:val="44"/>
          <w:szCs w:val="44"/>
          <w:highlight w:val="none"/>
        </w:rPr>
      </w:pPr>
      <w:r>
        <w:rPr>
          <w:rFonts w:hint="eastAsia" w:ascii="宋体" w:hAnsi="宋体" w:cs="宋体"/>
          <w:bCs/>
          <w:color w:val="auto"/>
          <w:sz w:val="30"/>
          <w:szCs w:val="30"/>
          <w:highlight w:val="none"/>
        </w:rPr>
        <w:t xml:space="preserve">声明</w:t>
      </w:r>
      <w:r>
        <w:rPr>
          <w:rFonts w:hint="eastAsia" w:ascii="宋体" w:hAnsi="宋体" w:cs="宋体"/>
          <w:b/>
          <w:bCs/>
          <w:color w:val="auto"/>
          <w:sz w:val="44"/>
          <w:szCs w:val="44"/>
          <w:highlight w:val="none"/>
        </w:rPr>
      </w:r>
      <w:r>
        <w:rPr>
          <w:color w:val="auto"/>
          <w:highlight w:val="none"/>
        </w:rPr>
      </w:r>
    </w:p>
    <w:p>
      <w:pPr>
        <w:pStyle w:val="914"/>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auto"/>
          <w:sz w:val="24"/>
          <w:szCs w:val="21"/>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14"/>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5.6供应商信用承诺书</w:t>
      </w:r>
      <w:r>
        <w:rPr>
          <w:rFonts w:hint="eastAsia" w:ascii="宋体" w:hAnsi="宋体" w:cs="宋体"/>
          <w:i/>
          <w:color w:val="auto"/>
          <w:sz w:val="28"/>
          <w:szCs w:val="28"/>
          <w:highlight w:val="none"/>
          <w:u w:val="single"/>
        </w:rPr>
      </w:r>
      <w:r>
        <w:rPr>
          <w:color w:val="auto"/>
          <w:highlight w:val="none"/>
        </w:rPr>
      </w:r>
    </w:p>
    <w:p>
      <w:pPr>
        <w:pStyle w:val="914"/>
        <w:jc w:val="center"/>
        <w:spacing w:line="360" w:lineRule="auto"/>
        <w:rPr>
          <w:rFonts w:hint="eastAsia" w:ascii="宋体" w:hAnsi="宋体" w:cs="宋体"/>
          <w:iCs/>
          <w:color w:val="auto"/>
          <w:szCs w:val="21"/>
          <w:highlight w:val="none"/>
        </w:rPr>
      </w:pPr>
      <w:r>
        <w:rPr>
          <w:rFonts w:hint="eastAsia" w:ascii="宋体" w:hAnsi="宋体" w:cs="宋体"/>
          <w:iCs/>
          <w:color w:val="auto"/>
          <w:sz w:val="32"/>
          <w:szCs w:val="32"/>
          <w:highlight w:val="none"/>
        </w:rPr>
        <w:t xml:space="preserve">供应商信用承诺书</w:t>
      </w:r>
      <w:r>
        <w:rPr>
          <w:rFonts w:hint="eastAsia" w:ascii="宋体" w:hAnsi="宋体" w:cs="宋体"/>
          <w:iCs/>
          <w:color w:val="auto"/>
          <w:szCs w:val="21"/>
          <w:highlight w:val="none"/>
        </w:rPr>
      </w:r>
      <w:r>
        <w:rPr>
          <w:color w:val="auto"/>
          <w:highlight w:val="none"/>
        </w:rPr>
      </w:r>
    </w:p>
    <w:p>
      <w:pPr>
        <w:pStyle w:val="91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rPr>
          <w:rFonts w:hint="eastAsia" w:ascii="宋体" w:hAnsi="宋体" w:cs="宋体"/>
          <w:color w:val="auto"/>
          <w:szCs w:val="21"/>
          <w:highlight w:val="none"/>
        </w:rPr>
      </w:r>
      <w:r>
        <w:rPr>
          <w:color w:val="auto"/>
          <w:highlight w:val="none"/>
        </w:rPr>
      </w:r>
    </w:p>
    <w:p>
      <w:pPr>
        <w:pStyle w:val="91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rPr>
          <w:rFonts w:hint="eastAsia" w:ascii="宋体" w:hAnsi="宋体" w:cs="宋体"/>
          <w:color w:val="auto"/>
          <w:szCs w:val="21"/>
          <w:highlight w:val="none"/>
        </w:rPr>
      </w:r>
      <w:r>
        <w:rPr>
          <w:color w:val="auto"/>
          <w:highlight w:val="none"/>
        </w:rPr>
      </w:r>
    </w:p>
    <w:p>
      <w:pPr>
        <w:pStyle w:val="91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rPr>
          <w:rFonts w:hint="eastAsia" w:ascii="宋体" w:hAnsi="宋体" w:cs="宋体"/>
          <w:color w:val="auto"/>
          <w:szCs w:val="21"/>
          <w:highlight w:val="none"/>
        </w:rPr>
      </w:r>
      <w:r>
        <w:rPr>
          <w:color w:val="auto"/>
          <w:highlight w:val="none"/>
        </w:rPr>
      </w:r>
    </w:p>
    <w:p>
      <w:pPr>
        <w:pStyle w:val="91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rPr>
          <w:rFonts w:hint="eastAsia" w:ascii="宋体" w:hAnsi="宋体" w:cs="宋体"/>
          <w:color w:val="auto"/>
          <w:szCs w:val="21"/>
          <w:highlight w:val="none"/>
        </w:rPr>
      </w:r>
      <w:r>
        <w:rPr>
          <w:color w:val="auto"/>
          <w:highlight w:val="none"/>
        </w:rPr>
      </w:r>
    </w:p>
    <w:p>
      <w:pPr>
        <w:pStyle w:val="91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14"/>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rPr>
          <w:rFonts w:hint="eastAsia" w:ascii="宋体" w:hAnsi="宋体" w:cs="宋体"/>
          <w:color w:val="auto"/>
          <w:szCs w:val="21"/>
          <w:highlight w:val="none"/>
        </w:rPr>
      </w:r>
      <w:r>
        <w:rPr>
          <w:color w:val="auto"/>
          <w:highlight w:val="none"/>
        </w:rPr>
      </w:r>
    </w:p>
    <w:p>
      <w:pPr>
        <w:pStyle w:val="914"/>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rPr>
          <w:rFonts w:hint="eastAsia" w:ascii="宋体" w:hAnsi="宋体" w:cs="宋体"/>
          <w:color w:val="auto"/>
          <w:szCs w:val="21"/>
          <w:highlight w:val="none"/>
        </w:rPr>
      </w:r>
      <w:r>
        <w:rPr>
          <w:color w:val="auto"/>
          <w:highlight w:val="none"/>
        </w:rPr>
      </w:r>
    </w:p>
    <w:p>
      <w:pPr>
        <w:pStyle w:val="914"/>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rPr>
          <w:rFonts w:hint="eastAsia" w:ascii="宋体" w:hAnsi="宋体" w:cs="宋体"/>
          <w:color w:val="auto"/>
          <w:szCs w:val="21"/>
          <w:highlight w:val="none"/>
        </w:rPr>
      </w:r>
      <w:r>
        <w:rPr>
          <w:color w:val="auto"/>
          <w:highlight w:val="none"/>
        </w:rPr>
      </w:r>
    </w:p>
    <w:p>
      <w:pPr>
        <w:pStyle w:val="914"/>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color w:val="auto"/>
          <w:highlight w:val="none"/>
        </w:rPr>
      </w:r>
      <w:bookmarkEnd w:id="189"/>
      <w:r>
        <w:rPr>
          <w:color w:val="auto"/>
          <w:highlight w:val="none"/>
        </w:rPr>
      </w:r>
      <w:bookmarkEnd w:id="190"/>
      <w:r>
        <w:rPr>
          <w:color w:val="auto"/>
          <w:highlight w:val="none"/>
        </w:rPr>
      </w:r>
      <w:bookmarkEnd w:id="191"/>
      <w:r>
        <w:rPr>
          <w:color w:val="auto"/>
          <w:highlight w:val="none"/>
        </w:rPr>
      </w:r>
      <w:bookmarkStart w:id="194" w:name="_Toc120614284"/>
      <w:r>
        <w:rPr>
          <w:rFonts w:hint="eastAsia" w:ascii="宋体" w:hAnsi="宋体" w:cs="宋体"/>
          <w:i/>
          <w:color w:val="auto"/>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auto"/>
          <w:sz w:val="28"/>
          <w:szCs w:val="28"/>
          <w:highlight w:val="none"/>
          <w:u w:val="singl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auto"/>
          <w:sz w:val="28"/>
          <w:szCs w:val="28"/>
          <w:highlight w:val="none"/>
          <w:u w:val="single"/>
        </w:rPr>
      </w:r>
      <w:r>
        <w:rPr>
          <w:color w:val="auto"/>
          <w:highlight w:val="none"/>
        </w:rPr>
      </w:r>
    </w:p>
    <w:p>
      <w:pPr>
        <w:pStyle w:val="914"/>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5.9 本项目接受产品代理商或经销商投标；</w:t>
      </w:r>
      <w:r>
        <w:rPr>
          <w:rFonts w:hint="eastAsia" w:ascii="宋体" w:hAnsi="宋体" w:cs="宋体"/>
          <w:i/>
          <w:color w:val="auto"/>
          <w:sz w:val="28"/>
          <w:szCs w:val="28"/>
          <w:highlight w:val="none"/>
          <w:u w:val="single"/>
        </w:rPr>
      </w:r>
      <w:r>
        <w:rPr>
          <w:color w:val="auto"/>
          <w:highlight w:val="none"/>
        </w:rPr>
      </w:r>
    </w:p>
    <w:p>
      <w:pPr>
        <w:pStyle w:val="914"/>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法人授权</w:t>
      </w:r>
      <w:r>
        <w:rPr>
          <w:rFonts w:hint="eastAsia" w:ascii="宋体" w:hAnsi="宋体" w:cs="宋体"/>
          <w:color w:val="auto"/>
          <w:highlight w:val="none"/>
        </w:rPr>
      </w:r>
      <w:r>
        <w:rPr>
          <w:color w:val="auto"/>
          <w:highlight w:val="none"/>
        </w:rPr>
      </w:r>
    </w:p>
    <w:p>
      <w:pPr>
        <w:pStyle w:val="914"/>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rPr>
          <w:rFonts w:hint="eastAsia" w:ascii="宋体" w:hAnsi="宋体" w:cs="宋体"/>
          <w:color w:val="auto"/>
          <w:sz w:val="24"/>
          <w:szCs w:val="24"/>
          <w:highlight w:val="none"/>
        </w:rPr>
      </w:r>
      <w:r>
        <w:rPr>
          <w:color w:val="auto"/>
          <w:highlight w:val="none"/>
        </w:rPr>
      </w:r>
    </w:p>
    <w:p>
      <w:pPr>
        <w:pStyle w:val="914"/>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rPr>
          <w:rFonts w:hint="eastAsia" w:ascii="宋体" w:hAnsi="宋体" w:cs="宋体"/>
          <w:color w:val="auto"/>
          <w:sz w:val="24"/>
          <w:szCs w:val="24"/>
          <w:highlight w:val="none"/>
        </w:rPr>
      </w:r>
      <w:r>
        <w:rPr>
          <w:color w:val="auto"/>
          <w:highlight w:val="none"/>
        </w:rPr>
      </w:r>
    </w:p>
    <w:p>
      <w:pPr>
        <w:pStyle w:val="914"/>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rPr>
          <w:rFonts w:hint="eastAsia" w:ascii="宋体" w:hAnsi="宋体" w:cs="宋体"/>
          <w:color w:val="auto"/>
          <w:sz w:val="24"/>
          <w:szCs w:val="24"/>
          <w:highlight w:val="none"/>
        </w:rPr>
      </w:r>
      <w:r>
        <w:rPr>
          <w:color w:val="auto"/>
          <w:highlight w:val="none"/>
        </w:rPr>
      </w:r>
    </w:p>
    <w:p>
      <w:pPr>
        <w:pStyle w:val="914"/>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14"/>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（1）本授权委托书之后需附上法定代表人、授权委托人身份证复印件（正反面）；</w:t>
      </w:r>
      <w:r>
        <w:rPr>
          <w:rFonts w:hint="eastAsia" w:ascii="宋体" w:hAnsi="宋体" w:cs="宋体"/>
          <w:color w:val="auto"/>
          <w:sz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（2）如果是法定代表人直接参与响应的可以不提供授权委托书；但必须在营业执照之后附上法定代表人身份证复印件；</w:t>
      </w:r>
      <w:r>
        <w:rPr>
          <w:rFonts w:hint="eastAsia" w:ascii="宋体" w:hAnsi="宋体" w:cs="宋体"/>
          <w:color w:val="auto"/>
          <w:sz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i/>
          <w:color w:val="auto"/>
          <w:sz w:val="24"/>
          <w:highlight w:val="none"/>
          <w:u w:val="single"/>
        </w:rPr>
        <w:t xml:space="preserve">未按上述规定随附身份证复印件的，投标无效。</w:t>
      </w:r>
      <w:r>
        <w:rPr>
          <w:rFonts w:hint="eastAsia" w:ascii="宋体" w:hAnsi="宋体" w:cs="宋体"/>
          <w:color w:val="auto"/>
          <w:sz w:val="24"/>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6"/>
        <w:numPr>
          <w:ilvl w:val="0"/>
          <w:numId w:val="10"/>
        </w:numPr>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highlight w:val="none"/>
        </w:rPr>
        <w:t xml:space="preserve">业绩情况表（如有）</w:t>
      </w:r>
      <w:r>
        <w:rPr>
          <w:rFonts w:hint="eastAsia" w:ascii="宋体" w:hAnsi="宋体" w:cs="宋体"/>
          <w:color w:val="auto"/>
          <w:szCs w:val="21"/>
          <w:highlight w:val="none"/>
        </w:rPr>
      </w:r>
      <w:r>
        <w:rPr>
          <w:color w:val="auto"/>
          <w:highlight w:val="none"/>
        </w:rP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规格型号</w:t>
            </w: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74"/>
        </w:trPr>
        <w:tc>
          <w:tcPr>
            <w:tcW w:w="755"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1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1.投标人须提供上述业绩合同复印件及评分标准中其他资料；</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2.所有合同复印件应清晰，应能体现合同签订时间、双方签名盖章等内容；</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3.投标人应在不涉及商业秘密的前提下尽可能提供详细的合同复印件内容。</w:t>
      </w:r>
      <w:r>
        <w:rPr>
          <w:rFonts w:hint="eastAsia" w:ascii="宋体" w:hAnsi="宋体" w:cs="宋体"/>
          <w:color w:val="auto"/>
          <w:sz w:val="24"/>
          <w:szCs w:val="24"/>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t xml:space="preserve">服务方案（如有）</w:t>
      </w:r>
      <w:r>
        <w:rPr>
          <w:rFonts w:hint="eastAsia" w:ascii="宋体" w:hAnsi="宋体" w:cs="宋体"/>
          <w:color w:val="auto"/>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投标人根据本项目的采购需求及评分标准的要求编制项目服务方案，格式自拟</w:t>
      </w:r>
      <w:r>
        <w:rPr>
          <w:rFonts w:hint="eastAsia" w:ascii="宋体" w:hAnsi="宋体" w:cs="宋体"/>
          <w:bCs/>
          <w:color w:val="auto"/>
          <w:sz w:val="24"/>
          <w:szCs w:val="21"/>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4"/>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rFonts w:hint="eastAsia" w:ascii="宋体" w:hAnsi="宋体" w:cs="宋体"/>
          <w:color w:val="auto"/>
          <w:highlight w:val="none"/>
        </w:rPr>
        <w:t xml:space="preserve">价格扣除证明文件（如有）</w:t>
      </w:r>
      <w:r>
        <w:rPr>
          <w:rFonts w:hint="eastAsia" w:ascii="宋体" w:hAnsi="宋体" w:cs="宋体"/>
          <w:color w:val="auto"/>
          <w:highlight w:val="none"/>
        </w:rPr>
      </w:r>
      <w:r>
        <w:rPr>
          <w:color w:val="auto"/>
          <w:highlight w:val="none"/>
        </w:rPr>
      </w:r>
    </w:p>
    <w:p>
      <w:pPr>
        <w:pStyle w:val="928"/>
        <w:rPr>
          <w:rFonts w:hint="eastAsia" w:ascii="宋体" w:hAnsi="宋体" w:cs="宋体"/>
          <w:bCs/>
          <w:color w:val="auto"/>
          <w:highlight w:val="none"/>
        </w:rPr>
      </w:pPr>
      <w:r>
        <w:rPr>
          <w:rFonts w:hint="eastAsia" w:ascii="宋体" w:hAnsi="宋体" w:cs="宋体"/>
          <w:bCs/>
          <w:color w:val="auto"/>
          <w:highlight w:val="none"/>
        </w:rPr>
      </w:r>
      <w:r>
        <w:rPr>
          <w:color w:val="auto"/>
          <w:highlight w:val="none"/>
        </w:rPr>
      </w:r>
    </w:p>
    <w:p>
      <w:pPr>
        <w:pStyle w:val="914"/>
        <w:jc w:val="cente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（1）小微企业声明函（货物）（分包号：**）</w:t>
      </w:r>
      <w:r>
        <w:rPr>
          <w:rFonts w:hint="eastAsia" w:ascii="宋体" w:hAnsi="宋体" w:cs="宋体"/>
          <w:color w:val="auto"/>
          <w:sz w:val="28"/>
          <w:szCs w:val="28"/>
          <w:highlight w:val="none"/>
        </w:rPr>
      </w:r>
      <w:r>
        <w:rPr>
          <w:color w:val="auto"/>
          <w:highlight w:val="none"/>
        </w:rPr>
      </w:r>
    </w:p>
    <w:p>
      <w:pPr>
        <w:pStyle w:val="914"/>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auto"/>
          <w:sz w:val="24"/>
          <w:szCs w:val="24"/>
          <w:highlight w:val="none"/>
        </w:rPr>
      </w:r>
      <w:r>
        <w:rPr>
          <w:color w:val="auto"/>
          <w:highlight w:val="none"/>
        </w:rPr>
      </w:r>
    </w:p>
    <w:p>
      <w:pPr>
        <w:pStyle w:val="914"/>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14"/>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14"/>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 w:val="24"/>
          <w:szCs w:val="24"/>
          <w:highlight w:val="none"/>
        </w:rPr>
      </w:r>
      <w:r>
        <w:rPr>
          <w:color w:val="auto"/>
          <w:highlight w:val="none"/>
        </w:rPr>
      </w:r>
    </w:p>
    <w:p>
      <w:pPr>
        <w:pStyle w:val="914"/>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rPr>
          <w:rFonts w:hint="eastAsia" w:ascii="宋体" w:hAnsi="宋体" w:cs="宋体"/>
          <w:color w:val="auto"/>
          <w:sz w:val="24"/>
          <w:szCs w:val="24"/>
          <w:highlight w:val="none"/>
        </w:rPr>
      </w:r>
      <w:r>
        <w:rPr>
          <w:color w:val="auto"/>
          <w:highlight w:val="none"/>
        </w:rPr>
      </w:r>
    </w:p>
    <w:p>
      <w:pPr>
        <w:pStyle w:val="914"/>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14"/>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14"/>
        <w:ind w:firstLine="360"/>
        <w:spacing w:line="56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pStyle w:val="914"/>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rPr>
          <w:rFonts w:hint="eastAsia" w:ascii="宋体" w:hAnsi="宋体" w:cs="宋体"/>
          <w:color w:val="auto"/>
          <w:sz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2.供应商如不提供此声明函，价格将不做相应扣除。</w:t>
      </w:r>
      <w:r>
        <w:rPr>
          <w:rFonts w:hint="eastAsia" w:ascii="宋体" w:hAnsi="宋体" w:cs="宋体"/>
          <w:color w:val="auto"/>
          <w:sz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auto"/>
          <w:sz w:val="24"/>
          <w:highlight w:val="none"/>
        </w:rPr>
      </w:r>
      <w:r>
        <w:rPr>
          <w:color w:val="auto"/>
          <w:highlight w:val="none"/>
        </w:rPr>
      </w:r>
    </w:p>
    <w:p>
      <w:pPr>
        <w:pStyle w:val="914"/>
        <w:ind w:firstLine="480"/>
        <w:rPr>
          <w:rFonts w:hint="eastAsia" w:ascii="宋体" w:hAnsi="宋体" w:cs="宋体"/>
          <w:color w:val="auto"/>
          <w:sz w:val="24"/>
          <w:highlight w:val="none"/>
        </w:rPr>
      </w:pPr>
      <w:r>
        <w:rPr>
          <w:rFonts w:hint="eastAsia" w:ascii="宋体" w:hAnsi="宋体" w:cs="宋体"/>
          <w:color w:val="auto"/>
          <w:sz w:val="24"/>
          <w:highlight w:val="none"/>
        </w:rPr>
        <w:t xml:space="preserve">4.此声明函将随中标结果同时公告，接受社会监督</w:t>
      </w:r>
      <w:r>
        <w:rPr>
          <w:rFonts w:hint="eastAsia" w:ascii="宋体" w:hAnsi="宋体" w:cs="宋体"/>
          <w:color w:val="auto"/>
          <w:sz w:val="24"/>
          <w:highlight w:val="none"/>
        </w:rPr>
      </w:r>
      <w:r>
        <w:rPr>
          <w:color w:val="auto"/>
          <w:highlight w:val="none"/>
        </w:rPr>
      </w:r>
    </w:p>
    <w:p>
      <w:pPr>
        <w:pStyle w:val="914"/>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8"/>
          <w:szCs w:val="28"/>
          <w:highlight w:val="none"/>
        </w:rPr>
        <w:outlineLvl w:val="2"/>
      </w:pPr>
      <w:r>
        <w:rPr>
          <w:color w:val="auto"/>
          <w:highlight w:val="none"/>
        </w:rPr>
      </w:r>
      <w:bookmarkStart w:id="195" w:name="_Toc29804"/>
      <w:r>
        <w:rPr>
          <w:rFonts w:hint="eastAsia" w:ascii="宋体" w:hAnsi="宋体" w:cs="宋体"/>
          <w:color w:val="auto"/>
          <w:sz w:val="28"/>
          <w:szCs w:val="28"/>
          <w:highlight w:val="none"/>
        </w:rPr>
        <w:t xml:space="preserve">（2）残疾人福利性单位声明函（如适用）</w:t>
      </w:r>
      <w:bookmarkEnd w:id="195"/>
      <w:r>
        <w:rPr>
          <w:rFonts w:hint="eastAsia" w:ascii="宋体" w:hAnsi="宋体" w:cs="宋体"/>
          <w:color w:val="auto"/>
          <w:sz w:val="28"/>
          <w:szCs w:val="28"/>
          <w:highlight w:val="none"/>
        </w:rPr>
      </w:r>
      <w:r>
        <w:rPr>
          <w:color w:val="auto"/>
          <w:highlight w:val="none"/>
        </w:rPr>
      </w:r>
    </w:p>
    <w:p>
      <w:pPr>
        <w:pStyle w:val="914"/>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auto"/>
          <w:sz w:val="24"/>
          <w:szCs w:val="21"/>
          <w:highlight w:val="none"/>
        </w:rPr>
      </w:r>
      <w:r>
        <w:rPr>
          <w:color w:val="auto"/>
          <w:highlight w:val="none"/>
        </w:rPr>
      </w:r>
    </w:p>
    <w:p>
      <w:pPr>
        <w:pStyle w:val="914"/>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rPr>
          <w:rFonts w:hint="eastAsia" w:ascii="宋体" w:hAnsi="宋体" w:cs="宋体"/>
          <w:color w:val="auto"/>
          <w:sz w:val="24"/>
          <w:szCs w:val="21"/>
          <w:highlight w:val="none"/>
        </w:rPr>
      </w:r>
      <w:r>
        <w:rPr>
          <w:color w:val="auto"/>
          <w:highlight w:val="none"/>
        </w:rPr>
      </w:r>
    </w:p>
    <w:p>
      <w:pPr>
        <w:pStyle w:val="914"/>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4"/>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auto"/>
          <w:sz w:val="24"/>
          <w:szCs w:val="21"/>
          <w:highlight w:val="none"/>
        </w:rPr>
      </w:r>
      <w:r>
        <w:rPr>
          <w:color w:val="auto"/>
          <w:highlight w:val="none"/>
        </w:rPr>
      </w:r>
    </w:p>
    <w:p>
      <w:pPr>
        <w:pStyle w:val="914"/>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14"/>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14"/>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14"/>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jc w:val="cente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（3）关于符合本国产品标准的声明函（采购包号：**）</w:t>
      </w:r>
      <w:r>
        <w:rPr>
          <w:rFonts w:hint="eastAsia" w:ascii="宋体" w:hAnsi="宋体" w:cs="宋体"/>
          <w:color w:val="auto"/>
          <w:sz w:val="28"/>
          <w:szCs w:val="28"/>
          <w:highlight w:val="none"/>
        </w:rPr>
      </w:r>
      <w:r>
        <w:rPr>
          <w:color w:val="auto"/>
          <w:highlight w:val="none"/>
        </w:rPr>
      </w:r>
    </w:p>
    <w:p>
      <w:pPr>
        <w:pStyle w:val="979"/>
        <w:ind w:firstLine="420"/>
        <w:spacing w:before="0" w:beforeAutospacing="0" w:after="0" w:afterAutospacing="0" w:line="0" w:lineRule="atLeast"/>
        <w:rPr>
          <w:rFonts w:hint="eastAsia"/>
          <w:color w:val="auto"/>
          <w:highlight w:val="none"/>
        </w:rPr>
      </w:pPr>
      <w:r>
        <w:rPr>
          <w:rFonts w:hint="eastAsia"/>
          <w:color w:val="auto"/>
          <w:highlight w:val="none"/>
        </w:rPr>
      </w:r>
      <w:r>
        <w:rPr>
          <w:color w:val="auto"/>
          <w:highlight w:val="none"/>
        </w:rPr>
      </w:r>
    </w:p>
    <w:p>
      <w:pPr>
        <w:pStyle w:val="979"/>
        <w:ind w:firstLine="420"/>
        <w:spacing w:before="0" w:beforeAutospacing="0" w:after="0" w:afterAutospacing="0" w:line="0" w:lineRule="atLeas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auto"/>
          <w:highlight w:val="none"/>
        </w:rPr>
      </w:r>
      <w:r>
        <w:rPr>
          <w:color w:val="auto"/>
          <w:highlight w:val="none"/>
        </w:rPr>
      </w:r>
    </w:p>
    <w:p>
      <w:pPr>
        <w:pStyle w:val="979"/>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1.</w:t>
      </w:r>
      <w:r>
        <w:rPr>
          <w:rStyle w:val="991"/>
          <w:rFonts w:hint="eastAsia"/>
          <w:i w:val="0"/>
          <w:color w:val="auto"/>
          <w:highlight w:val="none"/>
          <w:u w:val="single"/>
          <w:shd w:val="clear" w:color="auto" w:fill="ffffff"/>
        </w:rPr>
        <w:t xml:space="preserve">（产品名称1）</w:t>
      </w:r>
      <w:r>
        <w:rPr>
          <w:rStyle w:val="991"/>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91"/>
          <w:rFonts w:hint="eastAsia"/>
          <w:i w:val="0"/>
          <w:color w:val="auto"/>
          <w:highlight w:val="none"/>
          <w:u w:val="single"/>
          <w:shd w:val="clear" w:color="auto" w:fill="ffffff"/>
        </w:rPr>
        <w:t xml:space="preserve">（厂名）</w:t>
      </w:r>
      <w:r>
        <w:rPr>
          <w:rStyle w:val="991"/>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9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91"/>
          <w:rFonts w:hint="eastAsia"/>
          <w:i w:val="0"/>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991"/>
          <w:rFonts w:hint="eastAsia"/>
          <w:i w:val="0"/>
          <w:color w:val="auto"/>
          <w:highlight w:val="none"/>
          <w:u w:val="single"/>
          <w:shd w:val="clear" w:color="auto" w:fill="ffffff"/>
        </w:rPr>
        <w:t xml:space="preserve">（规定比例）</w:t>
      </w:r>
      <w:r>
        <w:rPr>
          <w:rStyle w:val="991"/>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91"/>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1"/>
          <w:rFonts w:hint="eastAsia"/>
          <w:i w:val="0"/>
          <w:color w:val="auto"/>
          <w:highlight w:val="none"/>
          <w:u w:val="single"/>
          <w:shd w:val="clear" w:color="auto" w:fill="ffffff"/>
        </w:rPr>
        <w:t xml:space="preserve">（关键组件）</w:t>
      </w:r>
      <w:r>
        <w:rPr>
          <w:rStyle w:val="991"/>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91"/>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1"/>
          <w:rFonts w:hint="eastAsia"/>
          <w:i w:val="0"/>
          <w:color w:val="auto"/>
          <w:highlight w:val="none"/>
          <w:u w:val="single"/>
          <w:shd w:val="clear" w:color="auto" w:fill="ffffff"/>
        </w:rPr>
        <w:t xml:space="preserve">（关键工序）</w:t>
      </w:r>
      <w:r>
        <w:rPr>
          <w:rStyle w:val="991"/>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9"/>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2.</w:t>
      </w:r>
      <w:r>
        <w:rPr>
          <w:rStyle w:val="991"/>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91"/>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9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91"/>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91"/>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91"/>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91"/>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91"/>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91"/>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9"/>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w:t>
      </w:r>
      <w:r>
        <w:rPr>
          <w:rFonts w:hint="eastAsia"/>
          <w:color w:val="auto"/>
          <w:highlight w:val="none"/>
        </w:rPr>
      </w:r>
      <w:r>
        <w:rPr>
          <w:color w:val="auto"/>
          <w:highlight w:val="none"/>
        </w:rPr>
      </w:r>
    </w:p>
    <w:p>
      <w:pPr>
        <w:pStyle w:val="979"/>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rPr>
          <w:rFonts w:hint="eastAsia"/>
          <w:color w:val="auto"/>
          <w:highlight w:val="none"/>
        </w:rPr>
      </w:r>
      <w:r>
        <w:rPr>
          <w:color w:val="auto"/>
          <w:highlight w:val="none"/>
        </w:rPr>
      </w:r>
    </w:p>
    <w:p>
      <w:pPr>
        <w:pStyle w:val="979"/>
        <w:spacing w:before="30" w:beforeAutospacing="0" w:after="30" w:afterAutospacing="0" w:line="0" w:lineRule="atLeast"/>
        <w:rPr>
          <w:rFonts w:hint="eastAsia"/>
          <w:color w:val="auto"/>
          <w:highlight w:val="none"/>
        </w:rPr>
      </w:pPr>
      <w:r>
        <w:rPr>
          <w:rFonts w:hint="eastAsia"/>
          <w:color w:val="auto"/>
          <w:highlight w:val="none"/>
        </w:rPr>
      </w:r>
      <w:r>
        <w:rPr>
          <w:color w:val="auto"/>
          <w:highlight w:val="none"/>
        </w:rPr>
      </w:r>
    </w:p>
    <w:p>
      <w:pPr>
        <w:pStyle w:val="979"/>
        <w:ind w:right="480" w:firstLine="37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公司（单位）名称（盖章）：　        </w:t>
      </w:r>
      <w:r>
        <w:rPr>
          <w:rFonts w:hint="eastAsia"/>
          <w:color w:val="auto"/>
          <w:highlight w:val="none"/>
        </w:rPr>
      </w:r>
      <w:r>
        <w:rPr>
          <w:color w:val="auto"/>
          <w:highlight w:val="none"/>
        </w:rPr>
      </w:r>
    </w:p>
    <w:p>
      <w:pPr>
        <w:pStyle w:val="979"/>
        <w:jc w:val="center"/>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                                日期：　   年　  月　  日         </w:t>
      </w:r>
      <w:r>
        <w:rPr>
          <w:rFonts w:hint="eastAsia"/>
          <w:color w:val="auto"/>
          <w:highlight w:val="none"/>
        </w:rPr>
      </w:r>
      <w:r>
        <w:rPr>
          <w:color w:val="auto"/>
          <w:highlight w:val="none"/>
        </w:rPr>
      </w:r>
    </w:p>
    <w:p>
      <w:pPr>
        <w:pStyle w:val="979"/>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__________________</w:t>
      </w:r>
      <w:r>
        <w:rPr>
          <w:rFonts w:hint="eastAsia"/>
          <w:color w:val="auto"/>
          <w:highlight w:val="none"/>
        </w:rPr>
      </w:r>
      <w:r>
        <w:rPr>
          <w:color w:val="auto"/>
          <w:highlight w:val="none"/>
        </w:rPr>
      </w:r>
    </w:p>
    <w:p>
      <w:pPr>
        <w:pStyle w:val="979"/>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1.产品如有型号，请在“产品名称”栏一并填写。</w:t>
      </w:r>
      <w:r>
        <w:rPr>
          <w:rFonts w:hint="eastAsia"/>
          <w:color w:val="auto"/>
          <w:sz w:val="22"/>
          <w:highlight w:val="none"/>
        </w:rPr>
      </w:r>
      <w:r>
        <w:rPr>
          <w:color w:val="auto"/>
          <w:highlight w:val="none"/>
        </w:rPr>
      </w:r>
    </w:p>
    <w:p>
      <w:pPr>
        <w:pStyle w:val="979"/>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2.生产厂名与厂址应与生产厂营业执照载明的相关信息保持一致。</w:t>
      </w:r>
      <w:r>
        <w:rPr>
          <w:rFonts w:hint="eastAsia"/>
          <w:color w:val="auto"/>
          <w:sz w:val="22"/>
          <w:highlight w:val="none"/>
        </w:rPr>
      </w:r>
      <w:r>
        <w:rPr>
          <w:color w:val="auto"/>
          <w:highlight w:val="none"/>
        </w:rPr>
      </w:r>
    </w:p>
    <w:p>
      <w:pPr>
        <w:pStyle w:val="979"/>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rPr>
          <w:rFonts w:hint="eastAsia"/>
          <w:color w:val="auto"/>
          <w:sz w:val="22"/>
          <w:highlight w:val="none"/>
        </w:rPr>
      </w:r>
      <w:r>
        <w:rPr>
          <w:color w:val="auto"/>
          <w:highlight w:val="none"/>
        </w:rPr>
      </w:r>
    </w:p>
    <w:p>
      <w:pPr>
        <w:pStyle w:val="979"/>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4.该产品的关键组件要求实施前，“关键组件”栏可不填，下同。</w:t>
      </w:r>
      <w:r>
        <w:rPr>
          <w:rFonts w:hint="eastAsia"/>
          <w:color w:val="auto"/>
          <w:sz w:val="22"/>
          <w:highlight w:val="none"/>
        </w:rPr>
      </w:r>
      <w:r>
        <w:rPr>
          <w:color w:val="auto"/>
          <w:highlight w:val="none"/>
        </w:rPr>
      </w:r>
    </w:p>
    <w:p>
      <w:pPr>
        <w:pStyle w:val="979"/>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rPr>
          <w:rFonts w:hint="eastAsia"/>
          <w:color w:val="auto"/>
          <w:sz w:val="22"/>
          <w:highlight w:val="none"/>
          <w:shd w:val="clear" w:color="auto" w:fill="ffffff"/>
        </w:rPr>
      </w:r>
      <w:r>
        <w:rPr>
          <w:color w:val="auto"/>
          <w:highlight w:val="none"/>
        </w:rPr>
      </w:r>
    </w:p>
    <w:p>
      <w:pPr>
        <w:pStyle w:val="979"/>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rPr>
          <w:rFonts w:hint="eastAsia"/>
          <w:color w:val="auto"/>
          <w:sz w:val="22"/>
          <w:highlight w:val="none"/>
          <w:shd w:val="clear" w:color="auto" w:fill="ffffff"/>
        </w:rPr>
      </w:r>
      <w:r>
        <w:rPr>
          <w:color w:val="auto"/>
          <w:highlight w:val="none"/>
        </w:rPr>
      </w:r>
    </w:p>
    <w:p>
      <w:pPr>
        <w:pStyle w:val="979"/>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r>
      <w:r>
        <w:rPr>
          <w:color w:val="auto"/>
          <w:highlight w:val="none"/>
        </w:rPr>
      </w:r>
    </w:p>
    <w:p>
      <w:pPr>
        <w:pStyle w:val="979"/>
        <w:spacing w:before="30" w:beforeAutospacing="0" w:after="30" w:afterAutospacing="0" w:line="0" w:lineRule="atLeast"/>
        <w:rPr>
          <w:rFonts w:hint="eastAsia"/>
          <w:color w:val="auto"/>
          <w:sz w:val="22"/>
          <w:highlight w:val="none"/>
        </w:rPr>
      </w:pPr>
      <w:r>
        <w:rPr>
          <w:rFonts w:hint="eastAsia"/>
          <w:color w:val="auto"/>
          <w:sz w:val="22"/>
          <w:highlight w:val="none"/>
        </w:rPr>
      </w:r>
      <w:r>
        <w:rPr>
          <w:color w:val="auto"/>
          <w:highlight w:val="none"/>
        </w:rPr>
      </w:r>
    </w:p>
    <w:p>
      <w:pPr>
        <w:pStyle w:val="914"/>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16"/>
        <w:numPr>
          <w:ilvl w:val="0"/>
          <w:numId w:val="10"/>
        </w:numPr>
        <w:rPr>
          <w:rFonts w:hint="eastAsia" w:ascii="宋体" w:hAnsi="宋体" w:cs="宋体"/>
          <w:color w:val="auto"/>
          <w:highlight w:val="none"/>
        </w:rPr>
      </w:pPr>
      <w:r>
        <w:rPr>
          <w:color w:val="auto"/>
          <w:highlight w:val="none"/>
        </w:rPr>
      </w:r>
      <w:bookmarkEnd w:id="178"/>
      <w:r>
        <w:rPr>
          <w:color w:val="auto"/>
          <w:highlight w:val="none"/>
        </w:rPr>
      </w:r>
      <w:bookmarkEnd w:id="179"/>
      <w:r>
        <w:rPr>
          <w:color w:val="auto"/>
          <w:highlight w:val="none"/>
        </w:rPr>
      </w:r>
      <w:bookmarkEnd w:id="194"/>
      <w:r>
        <w:rPr>
          <w:rFonts w:hint="eastAsia" w:ascii="宋体" w:hAnsi="宋体" w:cs="宋体"/>
          <w:b/>
          <w:bCs w:val="0"/>
          <w:color w:val="auto"/>
          <w:sz w:val="32"/>
          <w:szCs w:val="32"/>
          <w:highlight w:val="none"/>
        </w:rPr>
        <w:br w:type="page" w:clear="all"/>
      </w:r>
      <w:r>
        <w:rPr>
          <w:rFonts w:hint="eastAsia" w:ascii="宋体" w:hAnsi="宋体" w:cs="宋体"/>
          <w:color w:val="auto"/>
          <w:highlight w:val="none"/>
        </w:rPr>
        <w:t xml:space="preserve">投标人认为需要提供的其他材料（如有）</w:t>
      </w:r>
      <w:r>
        <w:rPr>
          <w:rFonts w:hint="eastAsia" w:ascii="宋体" w:hAnsi="宋体" w:cs="宋体"/>
          <w:color w:val="auto"/>
          <w:highlight w:val="none"/>
        </w:rPr>
      </w:r>
      <w:r>
        <w:rPr>
          <w:color w:val="auto"/>
          <w:highlight w:val="none"/>
        </w:rPr>
      </w:r>
    </w:p>
    <w:p>
      <w:pPr>
        <w:pStyle w:val="914"/>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请在此文档中增加所需其他相关内容</w:t>
      </w:r>
      <w:r>
        <w:rPr>
          <w:rFonts w:hint="eastAsia" w:ascii="宋体" w:hAnsi="宋体" w:cs="宋体"/>
          <w:color w:val="auto"/>
          <w:sz w:val="28"/>
          <w:szCs w:val="28"/>
          <w:highlight w:val="none"/>
        </w:rPr>
      </w:r>
      <w:r>
        <w:rPr>
          <w:color w:val="auto"/>
          <w:highlight w:val="none"/>
        </w:rPr>
      </w:r>
    </w:p>
    <w:p>
      <w:pPr>
        <w:pStyle w:val="914"/>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auto"/>
          <w:sz w:val="28"/>
          <w:szCs w:val="28"/>
          <w:highlight w:val="none"/>
        </w:rPr>
      </w:r>
      <w:r>
        <w:rPr>
          <w:color w:val="auto"/>
          <w:highlight w:val="none"/>
        </w:rPr>
      </w:r>
    </w:p>
    <w:p>
      <w:pPr>
        <w:pStyle w:val="914"/>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14"/>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rFonts w:hint="eastAsia" w:ascii="宋体" w:hAnsi="宋体" w:cs="宋体"/>
          <w:color w:val="auto"/>
          <w:sz w:val="28"/>
          <w:szCs w:val="28"/>
          <w:highlight w:val="none"/>
        </w:rPr>
      </w:r>
      <w:r>
        <w:rPr>
          <w:color w:val="auto"/>
          <w:highlight w:val="none"/>
        </w:rPr>
      </w:r>
    </w:p>
    <w:p>
      <w:pPr>
        <w:pStyle w:val="914"/>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rFonts w:hint="eastAsia" w:ascii="宋体" w:hAnsi="宋体" w:cs="宋体"/>
          <w:color w:val="auto"/>
          <w:sz w:val="28"/>
          <w:szCs w:val="28"/>
          <w:highlight w:val="none"/>
        </w:rPr>
      </w:r>
      <w:r>
        <w:rPr>
          <w:color w:val="auto"/>
          <w:highlight w:val="none"/>
        </w:rPr>
      </w:r>
    </w:p>
    <w:p>
      <w:pPr>
        <w:pStyle w:val="914"/>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14"/>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rFonts w:hint="eastAsia" w:ascii="宋体" w:hAnsi="宋体" w:cs="宋体"/>
          <w:color w:val="auto"/>
          <w:sz w:val="28"/>
          <w:szCs w:val="28"/>
          <w:highlight w:val="none"/>
        </w:rPr>
      </w:r>
      <w:r>
        <w:rPr>
          <w:color w:val="auto"/>
          <w:highlight w:val="none"/>
        </w:rPr>
      </w:r>
    </w:p>
    <w:p>
      <w:pPr>
        <w:pStyle w:val="914"/>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（免费质保期满后价格）</w:t>
      </w:r>
      <w:r>
        <w:rPr>
          <w:rFonts w:hint="eastAsia" w:ascii="宋体" w:hAnsi="宋体" w:cs="宋体"/>
          <w:b/>
          <w:color w:val="auto"/>
          <w:sz w:val="24"/>
          <w:szCs w:val="24"/>
          <w:highlight w:val="none"/>
        </w:rPr>
      </w:r>
      <w:r>
        <w:rPr>
          <w:color w:val="auto"/>
          <w:highlight w:val="none"/>
        </w:rPr>
      </w:r>
    </w:p>
    <w:tbl>
      <w:tblPr>
        <w:tblW w:w="0" w:type="auto"/>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trHeight w:val="625"/>
        </w:trPr>
        <w:tc>
          <w:tcPr>
            <w:tcMar>
              <w:left w:w="108" w:type="dxa"/>
              <w:top w:w="0" w:type="dxa"/>
              <w:right w:w="108" w:type="dxa"/>
              <w:bottom w:w="0" w:type="dxa"/>
            </w:tcMar>
            <w:tcW w:w="862" w:type="dxa"/>
            <w:vAlign w:val="center"/>
            <w:vMerge w:val="restart"/>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vMerge w:val="restart"/>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vMerge w:val="restart"/>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备件名称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vMerge w:val="restart"/>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vMerge w:val="restart"/>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rPr>
                <w:rFonts w:hint="eastAsia" w:ascii="宋体" w:hAnsi="宋体" w:cs="宋体"/>
                <w:color w:val="auto"/>
                <w:sz w:val="24"/>
                <w:szCs w:val="24"/>
                <w:highlight w:val="none"/>
              </w:rPr>
            </w:r>
            <w:r>
              <w:rPr>
                <w:color w:val="auto"/>
                <w:highlight w:val="none"/>
              </w:rPr>
            </w:r>
          </w:p>
        </w:tc>
        <w:tc>
          <w:tcPr>
            <w:gridSpan w:val="3"/>
            <w:tcMar>
              <w:left w:w="108" w:type="dxa"/>
              <w:top w:w="0" w:type="dxa"/>
              <w:right w:w="108" w:type="dxa"/>
              <w:bottom w:w="0" w:type="dxa"/>
            </w:tcMar>
            <w:tcW w:w="1987"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价格（元）</w:t>
            </w: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gridAfter w:val="1"/>
          <w:trHeight w:val="625"/>
        </w:trPr>
        <w:tc>
          <w:tcPr>
            <w:tcW w:w="862" w:type="dxa"/>
            <w:vAlign w:val="top"/>
            <w:vMerge w:val="continue"/>
            <w:textDirection w:val="lrTb"/>
            <w:noWrap w:val="false"/>
          </w:tcPr>
          <w:p>
            <w:pPr>
              <w:pStyle w:val="914"/>
              <w:rPr>
                <w:rFonts w:hint="eastAsia" w:ascii="宋体" w:hAnsi="宋体" w:cs="宋体"/>
                <w:sz w:val="24"/>
                <w:szCs w:val="24"/>
              </w:rPr>
            </w:pPr>
            <w:r>
              <w:rPr>
                <w:rFonts w:hint="eastAsia" w:ascii="宋体" w:hAnsi="宋体" w:cs="宋体"/>
                <w:sz w:val="24"/>
                <w:szCs w:val="24"/>
              </w:rPr>
            </w:r>
            <w:r/>
          </w:p>
        </w:tc>
        <w:tc>
          <w:tcPr>
            <w:tcW w:w="862" w:type="dxa"/>
            <w:vAlign w:val="top"/>
            <w:vMerge w:val="continue"/>
            <w:textDirection w:val="lrTb"/>
            <w:noWrap w:val="false"/>
          </w:tcPr>
          <w:p>
            <w:pPr>
              <w:pStyle w:val="914"/>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14"/>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14"/>
              <w:rPr>
                <w:rFonts w:hint="eastAsia" w:ascii="宋体" w:hAnsi="宋体" w:cs="宋体"/>
                <w:sz w:val="24"/>
                <w:szCs w:val="24"/>
              </w:rPr>
            </w:pPr>
            <w:r>
              <w:rPr>
                <w:rFonts w:hint="eastAsia" w:ascii="宋体" w:hAnsi="宋体" w:cs="宋体"/>
                <w:sz w:val="24"/>
                <w:szCs w:val="24"/>
              </w:rPr>
            </w:r>
            <w:r/>
          </w:p>
        </w:tc>
        <w:tc>
          <w:tcPr>
            <w:tcW w:w="698" w:type="dxa"/>
            <w:vAlign w:val="top"/>
            <w:vMerge w:val="continue"/>
            <w:textDirection w:val="lrTb"/>
            <w:noWrap w:val="false"/>
          </w:tcPr>
          <w:p>
            <w:pPr>
              <w:pStyle w:val="914"/>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gridSpan w:val="2"/>
            <w:tcW w:w="770" w:type="dxa"/>
            <w:vAlign w:val="top"/>
            <w:textDirection w:val="lrTb"/>
            <w:noWrap w:val="false"/>
          </w:tcPr>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1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bl>
    <w:p>
      <w:pPr>
        <w:pStyle w:val="914"/>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14"/>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14"/>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14"/>
        <w:jc w:val="center"/>
        <w:keepLines/>
        <w:keepNext/>
        <w:spacing w:before="260" w:line="415" w:lineRule="auto"/>
        <w:rPr>
          <w:rFonts w:hint="eastAsia" w:ascii="宋体" w:hAnsi="宋体" w:cs="宋体"/>
          <w:b/>
          <w:bCs/>
          <w:color w:val="auto"/>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质疑函范本</w:t>
      </w:r>
      <w:r>
        <w:rPr>
          <w:rFonts w:hint="eastAsia" w:ascii="宋体" w:hAnsi="宋体" w:cs="宋体"/>
          <w:b/>
          <w:bCs/>
          <w:color w:val="auto"/>
          <w:highlight w:val="none"/>
        </w:rPr>
      </w:r>
      <w:r>
        <w:rPr>
          <w:color w:val="auto"/>
          <w:highlight w:val="none"/>
        </w:rPr>
      </w:r>
    </w:p>
    <w:p>
      <w:pPr>
        <w:pStyle w:val="914"/>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rPr>
          <w:rFonts w:hint="eastAsia" w:ascii="宋体" w:hAnsi="宋体" w:cs="宋体"/>
          <w:bCs/>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rPr>
          <w:rFonts w:hint="eastAsia" w:ascii="宋体" w:hAnsi="宋体" w:cs="宋体"/>
          <w:bCs/>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rPr>
          <w:rFonts w:hint="eastAsia" w:ascii="宋体" w:hAnsi="宋体" w:cs="宋体"/>
          <w:bCs/>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rPr>
          <w:rFonts w:hint="eastAsia" w:ascii="宋体" w:hAnsi="宋体" w:cs="宋体"/>
          <w:color w:val="auto"/>
          <w:sz w:val="24"/>
          <w:szCs w:val="24"/>
          <w:highlight w:val="none"/>
          <w:u w:val="single"/>
        </w:rPr>
      </w:r>
      <w:r>
        <w:rPr>
          <w:color w:val="auto"/>
          <w:highlight w:val="none"/>
        </w:rPr>
      </w:r>
    </w:p>
    <w:p>
      <w:pPr>
        <w:pStyle w:val="9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14"/>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rPr>
          <w:rFonts w:hint="eastAsia" w:ascii="宋体" w:hAnsi="宋体" w:cs="宋体"/>
          <w:bCs/>
          <w:color w:val="auto"/>
          <w:sz w:val="24"/>
          <w:szCs w:val="24"/>
          <w:highlight w:val="none"/>
        </w:rPr>
      </w:r>
      <w:r>
        <w:rPr>
          <w:color w:val="auto"/>
          <w:highlight w:val="none"/>
        </w:rPr>
      </w:r>
    </w:p>
    <w:p>
      <w:pPr>
        <w:pStyle w:val="914"/>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rPr>
          <w:rFonts w:hint="eastAsia" w:ascii="宋体" w:hAnsi="宋体" w:cs="宋体"/>
          <w:color w:val="auto"/>
          <w:sz w:val="24"/>
          <w:szCs w:val="24"/>
          <w:highlight w:val="none"/>
        </w:rPr>
      </w:r>
      <w:r>
        <w:rPr>
          <w:color w:val="auto"/>
          <w:highlight w:val="none"/>
        </w:rPr>
      </w:r>
    </w:p>
    <w:p>
      <w:pPr>
        <w:pStyle w:val="914"/>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rPr>
      </w:r>
      <w:r>
        <w:rPr>
          <w:color w:val="auto"/>
          <w:highlight w:val="none"/>
        </w:rPr>
      </w:r>
    </w:p>
    <w:p>
      <w:pPr>
        <w:pStyle w:val="914"/>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rPr>
          <w:rFonts w:hint="eastAsia" w:ascii="宋体" w:hAnsi="宋体" w:cs="宋体"/>
          <w:b/>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rPr>
          <w:rFonts w:hint="eastAsia" w:ascii="宋体" w:hAnsi="宋体" w:cs="宋体"/>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rPr>
          <w:rFonts w:hint="eastAsia" w:ascii="宋体" w:hAnsi="宋体" w:cs="宋体"/>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rPr>
          <w:rFonts w:hint="eastAsia" w:ascii="宋体" w:hAnsi="宋体" w:cs="宋体"/>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rPr>
          <w:rFonts w:hint="eastAsia" w:ascii="宋体" w:hAnsi="宋体" w:cs="宋体"/>
          <w:color w:val="auto"/>
          <w:sz w:val="24"/>
          <w:szCs w:val="24"/>
          <w:highlight w:val="none"/>
        </w:rPr>
      </w:r>
      <w:r>
        <w:rPr>
          <w:color w:val="auto"/>
          <w:highlight w:val="none"/>
        </w:rPr>
      </w:r>
    </w:p>
    <w:p>
      <w:pPr>
        <w:pStyle w:val="914"/>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 w:val="24"/>
          <w:szCs w:val="24"/>
          <w:highlight w:val="none"/>
        </w:rPr>
      </w:r>
      <w:r>
        <w:rPr>
          <w:color w:val="auto"/>
          <w:highlight w:val="none"/>
        </w:rPr>
      </w:r>
    </w:p>
    <w:p>
      <w:pPr>
        <w:pStyle w:val="914"/>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14"/>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64"/>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64"/>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4"/>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15"/>
      <w:isLgl w:val="false"/>
      <w:suff w:val="nothing"/>
      <w:lvlText w:val="%1、"/>
      <w:lvlJc w:val="left"/>
      <w:pPr>
        <w:pStyle w:val="914"/>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1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14"/>
        <w:ind w:left="720" w:hanging="720"/>
        <w:tabs>
          <w:tab w:val="num" w:pos="720" w:leader="none"/>
        </w:tabs>
      </w:pPr>
    </w:lvl>
    <w:lvl w:ilvl="1">
      <w:start w:val="1"/>
      <w:numFmt w:val="decimal"/>
      <w:pStyle w:val="947"/>
      <w:isLgl w:val="false"/>
      <w:suff w:val="tab"/>
      <w:lvlText w:val="%2、"/>
      <w:lvlJc w:val="left"/>
      <w:pPr>
        <w:pStyle w:val="914"/>
        <w:ind w:left="780" w:hanging="360"/>
        <w:tabs>
          <w:tab w:val="num" w:pos="780" w:leader="none"/>
        </w:tabs>
      </w:pPr>
    </w:lvl>
    <w:lvl w:ilvl="2">
      <w:start w:val="1"/>
      <w:numFmt w:val="lowerRoman"/>
      <w:isLgl w:val="false"/>
      <w:suff w:val="tab"/>
      <w:lvlText w:val="%3."/>
      <w:lvlJc w:val="right"/>
      <w:pPr>
        <w:pStyle w:val="914"/>
        <w:ind w:left="1260" w:hanging="420"/>
        <w:tabs>
          <w:tab w:val="num" w:pos="1260" w:leader="none"/>
        </w:tabs>
      </w:pPr>
    </w:lvl>
    <w:lvl w:ilvl="3">
      <w:start w:val="1"/>
      <w:numFmt w:val="decimal"/>
      <w:isLgl w:val="false"/>
      <w:suff w:val="tab"/>
      <w:lvlText w:val="%4."/>
      <w:lvlJc w:val="left"/>
      <w:pPr>
        <w:pStyle w:val="914"/>
        <w:ind w:left="1680" w:hanging="420"/>
        <w:tabs>
          <w:tab w:val="num" w:pos="1680" w:leader="none"/>
        </w:tabs>
      </w:pPr>
    </w:lvl>
    <w:lvl w:ilvl="4">
      <w:start w:val="1"/>
      <w:numFmt w:val="lowerLetter"/>
      <w:isLgl w:val="false"/>
      <w:suff w:val="tab"/>
      <w:lvlText w:val="%5)"/>
      <w:lvlJc w:val="left"/>
      <w:pPr>
        <w:pStyle w:val="914"/>
        <w:ind w:left="2100" w:hanging="420"/>
        <w:tabs>
          <w:tab w:val="num" w:pos="2100" w:leader="none"/>
        </w:tabs>
      </w:pPr>
    </w:lvl>
    <w:lvl w:ilvl="5">
      <w:start w:val="1"/>
      <w:numFmt w:val="lowerRoman"/>
      <w:isLgl w:val="false"/>
      <w:suff w:val="tab"/>
      <w:lvlText w:val="%6."/>
      <w:lvlJc w:val="right"/>
      <w:pPr>
        <w:pStyle w:val="914"/>
        <w:ind w:left="2520" w:hanging="420"/>
        <w:tabs>
          <w:tab w:val="num" w:pos="2520" w:leader="none"/>
        </w:tabs>
      </w:pPr>
    </w:lvl>
    <w:lvl w:ilvl="6">
      <w:start w:val="1"/>
      <w:numFmt w:val="decimal"/>
      <w:isLgl w:val="false"/>
      <w:suff w:val="tab"/>
      <w:lvlText w:val="%7."/>
      <w:lvlJc w:val="left"/>
      <w:pPr>
        <w:pStyle w:val="914"/>
        <w:ind w:left="2940" w:hanging="420"/>
        <w:tabs>
          <w:tab w:val="num" w:pos="2940" w:leader="none"/>
        </w:tabs>
      </w:pPr>
    </w:lvl>
    <w:lvl w:ilvl="7">
      <w:start w:val="1"/>
      <w:numFmt w:val="lowerLetter"/>
      <w:isLgl w:val="false"/>
      <w:suff w:val="tab"/>
      <w:lvlText w:val="%8)"/>
      <w:lvlJc w:val="left"/>
      <w:pPr>
        <w:pStyle w:val="914"/>
        <w:ind w:left="3360" w:hanging="420"/>
        <w:tabs>
          <w:tab w:val="num" w:pos="3360" w:leader="none"/>
        </w:tabs>
      </w:pPr>
    </w:lvl>
    <w:lvl w:ilvl="8">
      <w:start w:val="1"/>
      <w:numFmt w:val="lowerRoman"/>
      <w:isLgl w:val="false"/>
      <w:suff w:val="tab"/>
      <w:lvlText w:val="%9."/>
      <w:lvlJc w:val="right"/>
      <w:pPr>
        <w:pStyle w:val="914"/>
        <w:ind w:left="3780" w:hanging="420"/>
        <w:tabs>
          <w:tab w:val="num" w:pos="3780" w:leader="none"/>
        </w:tabs>
      </w:pPr>
    </w:lvl>
  </w:abstractNum>
  <w:abstractNum w:abstractNumId="7">
    <w:multiLevelType w:val="hybridMultilevel"/>
    <w:lvl w:ilvl="0">
      <w:start w:val="1"/>
      <w:numFmt w:val="upperLetter"/>
      <w:pStyle w:val="997"/>
      <w:isLgl w:val="false"/>
      <w:suff w:val="tab"/>
      <w:lvlText w:val="附录%1."/>
      <w:lvlJc w:val="left"/>
      <w:pPr>
        <w:pStyle w:val="91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4"/>
      <w:isLgl w:val="false"/>
      <w:suff w:val="tab"/>
      <w:lvlText w:val="%1."/>
      <w:lvlJc w:val="left"/>
      <w:pPr>
        <w:pStyle w:val="914"/>
        <w:ind w:left="709" w:hanging="709"/>
        <w:tabs>
          <w:tab w:val="num" w:pos="709" w:leader="none"/>
        </w:tabs>
      </w:pPr>
      <w:rPr>
        <w:rFonts w:hint="eastAsia"/>
      </w:rPr>
    </w:lvl>
    <w:lvl w:ilvl="1">
      <w:start w:val="1"/>
      <w:numFmt w:val="decimal"/>
      <w:isLgl w:val="false"/>
      <w:suff w:val="tab"/>
      <w:lvlText w:val="%1.%2"/>
      <w:lvlJc w:val="left"/>
      <w:pPr>
        <w:pStyle w:val="914"/>
        <w:ind w:left="709" w:hanging="709"/>
        <w:tabs>
          <w:tab w:val="num" w:pos="709" w:leader="none"/>
        </w:tabs>
      </w:pPr>
      <w:rPr>
        <w:rFonts w:hint="eastAsia"/>
      </w:rPr>
    </w:lvl>
    <w:lvl w:ilvl="2">
      <w:start w:val="1"/>
      <w:numFmt w:val="decimal"/>
      <w:isLgl w:val="false"/>
      <w:suff w:val="tab"/>
      <w:lvlText w:val="%1.%2.%3."/>
      <w:lvlJc w:val="left"/>
      <w:pPr>
        <w:pStyle w:val="914"/>
        <w:ind w:left="425" w:hanging="425"/>
        <w:tabs>
          <w:tab w:val="num" w:pos="425" w:leader="none"/>
        </w:tabs>
      </w:pPr>
      <w:rPr>
        <w:rFonts w:hint="eastAsia"/>
      </w:rPr>
    </w:lvl>
    <w:lvl w:ilvl="3">
      <w:start w:val="1"/>
      <w:numFmt w:val="decimal"/>
      <w:isLgl w:val="false"/>
      <w:suff w:val="tab"/>
      <w:lvlText w:val="%1.%2.%3.%4."/>
      <w:lvlJc w:val="left"/>
      <w:pPr>
        <w:pStyle w:val="914"/>
        <w:ind w:left="851" w:hanging="851"/>
        <w:tabs>
          <w:tab w:val="num" w:pos="851" w:leader="none"/>
        </w:tabs>
      </w:pPr>
      <w:rPr>
        <w:rFonts w:hint="eastAsia"/>
      </w:rPr>
    </w:lvl>
    <w:lvl w:ilvl="4">
      <w:start w:val="1"/>
      <w:numFmt w:val="decimal"/>
      <w:isLgl w:val="false"/>
      <w:suff w:val="tab"/>
      <w:lvlText w:val="%1.%2.%3.%4.%5."/>
      <w:lvlJc w:val="left"/>
      <w:pPr>
        <w:pStyle w:val="914"/>
        <w:ind w:left="992" w:hanging="992"/>
        <w:tabs>
          <w:tab w:val="num" w:pos="992" w:leader="none"/>
        </w:tabs>
      </w:pPr>
      <w:rPr>
        <w:rFonts w:hint="eastAsia"/>
      </w:rPr>
    </w:lvl>
    <w:lvl w:ilvl="5">
      <w:start w:val="1"/>
      <w:numFmt w:val="decimal"/>
      <w:isLgl w:val="false"/>
      <w:suff w:val="tab"/>
      <w:lvlText w:val="%1.%2.%3.%4.%5.%6."/>
      <w:lvlJc w:val="left"/>
      <w:pPr>
        <w:pStyle w:val="914"/>
        <w:ind w:left="1134" w:hanging="1134"/>
        <w:tabs>
          <w:tab w:val="num" w:pos="1134" w:leader="none"/>
        </w:tabs>
      </w:pPr>
      <w:rPr>
        <w:rFonts w:hint="eastAsia"/>
      </w:rPr>
    </w:lvl>
    <w:lvl w:ilvl="6">
      <w:start w:val="1"/>
      <w:numFmt w:val="decimal"/>
      <w:isLgl w:val="false"/>
      <w:suff w:val="tab"/>
      <w:lvlText w:val="%1.%2.%3.%4.%5.%6.%7."/>
      <w:lvlJc w:val="left"/>
      <w:pPr>
        <w:pStyle w:val="914"/>
        <w:ind w:left="1276" w:hanging="1276"/>
        <w:tabs>
          <w:tab w:val="num" w:pos="1276" w:leader="none"/>
        </w:tabs>
      </w:pPr>
      <w:rPr>
        <w:rFonts w:hint="eastAsia"/>
      </w:rPr>
    </w:lvl>
    <w:lvl w:ilvl="7">
      <w:start w:val="1"/>
      <w:numFmt w:val="decimal"/>
      <w:isLgl w:val="false"/>
      <w:suff w:val="tab"/>
      <w:lvlText w:val="%1.%2.%3.%4.%5.%6.%7.%8."/>
      <w:lvlJc w:val="left"/>
      <w:pPr>
        <w:pStyle w:val="914"/>
        <w:ind w:left="1418" w:hanging="1418"/>
        <w:tabs>
          <w:tab w:val="num" w:pos="1418" w:leader="none"/>
        </w:tabs>
      </w:pPr>
      <w:rPr>
        <w:rFonts w:hint="eastAsia"/>
      </w:rPr>
    </w:lvl>
    <w:lvl w:ilvl="8">
      <w:start w:val="1"/>
      <w:numFmt w:val="decimal"/>
      <w:isLgl w:val="false"/>
      <w:suff w:val="tab"/>
      <w:lvlText w:val="%1.%2.%3.%4.%5.%6.%7.%8.%9."/>
      <w:lvlJc w:val="left"/>
      <w:pPr>
        <w:pStyle w:val="914"/>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14"/>
        <w:ind w:left="0" w:firstLine="0"/>
      </w:pPr>
      <w:rPr>
        <w:rFonts w:hint="eastAsia"/>
      </w:rPr>
    </w:lvl>
    <w:lvl w:ilvl="1">
      <w:start w:val="1"/>
      <w:numFmt w:val="decimal"/>
      <w:isLgl w:val="false"/>
      <w:suff w:val="nothing"/>
      <w:lvlText w:val="%2、"/>
      <w:lvlJc w:val="left"/>
      <w:pPr>
        <w:pStyle w:val="914"/>
        <w:ind w:left="0" w:firstLine="0"/>
      </w:pPr>
      <w:rPr>
        <w:rFonts w:hint="eastAsia"/>
      </w:rPr>
    </w:lvl>
    <w:lvl w:ilvl="2">
      <w:start w:val="1"/>
      <w:numFmt w:val="decimal"/>
      <w:isLgl w:val="false"/>
      <w:suff w:val="nothing"/>
      <w:lvlText w:val="%2.%3 "/>
      <w:lvlJc w:val="left"/>
      <w:pPr>
        <w:pStyle w:val="914"/>
        <w:ind w:left="0" w:firstLine="0"/>
      </w:pPr>
      <w:rPr>
        <w:rFonts w:hint="eastAsia"/>
      </w:rPr>
    </w:lvl>
    <w:lvl w:ilvl="3">
      <w:start w:val="1"/>
      <w:numFmt w:val="decimal"/>
      <w:isLgl w:val="false"/>
      <w:suff w:val="nothing"/>
      <w:lvlText w:val="%2.%3.%4 "/>
      <w:lvlJc w:val="left"/>
      <w:pPr>
        <w:pStyle w:val="914"/>
        <w:ind w:left="0" w:firstLine="0"/>
      </w:pPr>
      <w:rPr>
        <w:rFonts w:hint="eastAsia"/>
      </w:rPr>
    </w:lvl>
    <w:lvl w:ilvl="4">
      <w:start w:val="1"/>
      <w:numFmt w:val="decimal"/>
      <w:isLgl w:val="false"/>
      <w:suff w:val="nothing"/>
      <w:lvlText w:val="%2.%3.%4.%5 "/>
      <w:lvlJc w:val="left"/>
      <w:pPr>
        <w:pStyle w:val="914"/>
        <w:ind w:left="0" w:firstLine="0"/>
      </w:pPr>
      <w:rPr>
        <w:rFonts w:hint="eastAsia"/>
      </w:rPr>
    </w:lvl>
    <w:lvl w:ilvl="5">
      <w:start w:val="1"/>
      <w:numFmt w:val="decimal"/>
      <w:pStyle w:val="920"/>
      <w:isLgl w:val="false"/>
      <w:suff w:val="nothing"/>
      <w:lvlText w:val=""/>
      <w:lvlJc w:val="left"/>
      <w:pPr>
        <w:pStyle w:val="914"/>
        <w:ind w:left="0" w:firstLine="0"/>
      </w:pPr>
      <w:rPr>
        <w:rFonts w:hint="eastAsia"/>
      </w:rPr>
    </w:lvl>
    <w:lvl w:ilvl="6">
      <w:start w:val="1"/>
      <w:numFmt w:val="decimal"/>
      <w:pStyle w:val="921"/>
      <w:isLgl w:val="false"/>
      <w:suff w:val="nothing"/>
      <w:lvlText w:val=""/>
      <w:lvlJc w:val="left"/>
      <w:pPr>
        <w:pStyle w:val="914"/>
        <w:ind w:left="0" w:firstLine="0"/>
      </w:pPr>
      <w:rPr>
        <w:rFonts w:hint="eastAsia"/>
      </w:rPr>
    </w:lvl>
    <w:lvl w:ilvl="7">
      <w:start w:val="1"/>
      <w:numFmt w:val="decimal"/>
      <w:pStyle w:val="922"/>
      <w:isLgl w:val="false"/>
      <w:suff w:val="nothing"/>
      <w:lvlText w:val=""/>
      <w:lvlJc w:val="left"/>
      <w:pPr>
        <w:pStyle w:val="914"/>
        <w:ind w:left="0" w:firstLine="0"/>
      </w:pPr>
      <w:rPr>
        <w:rFonts w:hint="eastAsia"/>
      </w:rPr>
    </w:lvl>
    <w:lvl w:ilvl="8">
      <w:start w:val="1"/>
      <w:numFmt w:val="decimal"/>
      <w:pStyle w:val="923"/>
      <w:isLgl w:val="false"/>
      <w:suff w:val="nothing"/>
      <w:lvlText w:val=""/>
      <w:lvlJc w:val="left"/>
      <w:pPr>
        <w:pStyle w:val="914"/>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1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4"/>
    <w:next w:val="914"/>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14"/>
    <w:next w:val="914"/>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14"/>
    <w:next w:val="914"/>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14"/>
    <w:next w:val="914"/>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14"/>
    <w:next w:val="914"/>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14"/>
    <w:next w:val="914"/>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14"/>
    <w:next w:val="914"/>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14"/>
    <w:next w:val="914"/>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14"/>
    <w:next w:val="914"/>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14"/>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14"/>
    <w:next w:val="914"/>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14"/>
    <w:next w:val="914"/>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14"/>
    <w:next w:val="914"/>
    <w:link w:val="761"/>
    <w:uiPriority w:val="29"/>
    <w:qFormat/>
    <w:pPr>
      <w:ind w:left="720" w:right="720"/>
    </w:pPr>
    <w:rPr>
      <w:i/>
    </w:rPr>
  </w:style>
  <w:style w:type="character" w:styleId="761">
    <w:name w:val="Quote Char"/>
    <w:link w:val="760"/>
    <w:uiPriority w:val="29"/>
    <w:rPr>
      <w:i/>
    </w:rPr>
  </w:style>
  <w:style w:type="paragraph" w:styleId="762">
    <w:name w:val="Intense Quote"/>
    <w:basedOn w:val="914"/>
    <w:next w:val="914"/>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4"/>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14"/>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14"/>
    <w:link w:val="914"/>
    <w:qFormat/>
    <w:pPr>
      <w:jc w:val="both"/>
      <w:widowControl w:val="off"/>
    </w:pPr>
    <w:rPr>
      <w:sz w:val="21"/>
      <w:szCs w:val="22"/>
      <w:lang w:val="en-US" w:eastAsia="zh-CN" w:bidi="ar-SA"/>
    </w:rPr>
  </w:style>
  <w:style w:type="paragraph" w:styleId="915">
    <w:name w:val="标题 1"/>
    <w:basedOn w:val="914"/>
    <w:next w:val="914"/>
    <w:link w:val="926"/>
    <w:qFormat/>
    <w:pPr>
      <w:numPr>
        <w:ilvl w:val="0"/>
        <w:numId w:val="1"/>
      </w:numPr>
      <w:jc w:val="center"/>
      <w:keepNext/>
      <w:outlineLvl w:val="0"/>
    </w:pPr>
    <w:rPr>
      <w:rFonts w:ascii="宋体" w:hAnsi="宋体" w:eastAsia="宋体" w:cs="Times New Roman"/>
      <w:sz w:val="36"/>
      <w:szCs w:val="28"/>
    </w:rPr>
  </w:style>
  <w:style w:type="paragraph" w:styleId="916">
    <w:name w:val="标题 2"/>
    <w:basedOn w:val="914"/>
    <w:next w:val="928"/>
    <w:link w:val="927"/>
    <w:qFormat/>
    <w:pPr>
      <w:jc w:val="center"/>
      <w:keepLines/>
      <w:keepNext/>
      <w:spacing w:line="240" w:lineRule="auto"/>
      <w:outlineLvl w:val="1"/>
    </w:pPr>
    <w:rPr>
      <w:rFonts w:ascii="Arial" w:hAnsi="Arial" w:eastAsia="宋体" w:cs="Arial"/>
      <w:bCs/>
      <w:sz w:val="36"/>
      <w:szCs w:val="44"/>
    </w:rPr>
  </w:style>
  <w:style w:type="paragraph" w:styleId="917">
    <w:name w:val="标题 3"/>
    <w:basedOn w:val="914"/>
    <w:next w:val="928"/>
    <w:link w:val="93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8">
    <w:name w:val="标题 4"/>
    <w:basedOn w:val="914"/>
    <w:next w:val="928"/>
    <w:link w:val="931"/>
    <w:qFormat/>
    <w:pPr>
      <w:keepLines/>
      <w:keepNext/>
      <w:spacing w:before="280" w:after="290" w:line="376" w:lineRule="auto"/>
      <w:outlineLvl w:val="3"/>
    </w:pPr>
    <w:rPr>
      <w:rFonts w:ascii="Arial" w:hAnsi="Arial" w:eastAsia="黑体" w:cs="Arial"/>
      <w:b/>
      <w:bCs/>
      <w:sz w:val="28"/>
      <w:szCs w:val="28"/>
    </w:rPr>
  </w:style>
  <w:style w:type="paragraph" w:styleId="919">
    <w:name w:val="标题 5"/>
    <w:basedOn w:val="914"/>
    <w:next w:val="928"/>
    <w:link w:val="932"/>
    <w:qFormat/>
    <w:pPr>
      <w:keepNext/>
      <w:outlineLvl w:val="4"/>
    </w:pPr>
    <w:rPr>
      <w:rFonts w:ascii="宋体" w:hAnsi="Times New Roman" w:eastAsia="宋体" w:cs="Times New Roman"/>
      <w:color w:val="000000"/>
      <w:sz w:val="28"/>
      <w:szCs w:val="28"/>
    </w:rPr>
  </w:style>
  <w:style w:type="paragraph" w:styleId="920">
    <w:name w:val="标题 6"/>
    <w:basedOn w:val="914"/>
    <w:next w:val="914"/>
    <w:link w:val="933"/>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21">
    <w:name w:val="标题 7"/>
    <w:basedOn w:val="914"/>
    <w:next w:val="914"/>
    <w:link w:val="934"/>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22">
    <w:name w:val="标题 8"/>
    <w:basedOn w:val="914"/>
    <w:next w:val="914"/>
    <w:link w:val="935"/>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23">
    <w:name w:val="标题 9"/>
    <w:basedOn w:val="914"/>
    <w:next w:val="914"/>
    <w:link w:val="936"/>
    <w:qFormat/>
    <w:pPr>
      <w:numPr>
        <w:ilvl w:val="8"/>
        <w:numId w:val="2"/>
      </w:numPr>
      <w:keepLines/>
      <w:keepNext/>
      <w:spacing w:before="240" w:after="64" w:line="320" w:lineRule="auto"/>
      <w:outlineLvl w:val="8"/>
    </w:pPr>
    <w:rPr>
      <w:rFonts w:ascii="Arial" w:hAnsi="Arial" w:eastAsia="黑体" w:cs="Times New Roman"/>
      <w:szCs w:val="21"/>
    </w:rPr>
  </w:style>
  <w:style w:type="character" w:styleId="924">
    <w:name w:val="默认段落字体"/>
    <w:next w:val="924"/>
    <w:link w:val="914"/>
    <w:uiPriority w:val="1"/>
    <w:unhideWhenUsed/>
  </w:style>
  <w:style w:type="table" w:styleId="925">
    <w:name w:val="普通表格"/>
    <w:next w:val="925"/>
    <w:link w:val="914"/>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6">
    <w:name w:val="标题 1 字符"/>
    <w:next w:val="926"/>
    <w:link w:val="915"/>
    <w:rPr>
      <w:rFonts w:ascii="宋体" w:hAnsi="宋体" w:eastAsia="宋体" w:cs="Times New Roman"/>
      <w:sz w:val="36"/>
      <w:szCs w:val="28"/>
    </w:rPr>
  </w:style>
  <w:style w:type="character" w:styleId="927">
    <w:name w:val="标题 2 字符"/>
    <w:next w:val="927"/>
    <w:link w:val="916"/>
    <w:rPr>
      <w:rFonts w:ascii="Arial" w:hAnsi="Arial" w:eastAsia="宋体" w:cs="Arial"/>
      <w:b w:val="0"/>
      <w:bCs/>
      <w:sz w:val="36"/>
      <w:szCs w:val="44"/>
    </w:rPr>
  </w:style>
  <w:style w:type="paragraph" w:styleId="928">
    <w:name w:val="正文缩进"/>
    <w:basedOn w:val="914"/>
    <w:next w:val="914"/>
    <w:link w:val="929"/>
    <w:pPr>
      <w:ind w:firstLine="420"/>
    </w:pPr>
    <w:rPr>
      <w:szCs w:val="21"/>
    </w:rPr>
  </w:style>
  <w:style w:type="character" w:styleId="929">
    <w:name w:val="正文缩进 字符"/>
    <w:next w:val="929"/>
    <w:link w:val="928"/>
    <w:rPr>
      <w:szCs w:val="21"/>
    </w:rPr>
  </w:style>
  <w:style w:type="character" w:styleId="930">
    <w:name w:val="标题 3 字符"/>
    <w:next w:val="930"/>
    <w:link w:val="917"/>
    <w:rPr>
      <w:rFonts w:ascii="Times New Roman" w:hAnsi="Times New Roman" w:eastAsia="宋体" w:cs="Times New Roman"/>
      <w:b/>
      <w:bCs/>
      <w:sz w:val="32"/>
      <w:szCs w:val="32"/>
    </w:rPr>
  </w:style>
  <w:style w:type="character" w:styleId="931">
    <w:name w:val="标题 4 字符"/>
    <w:next w:val="931"/>
    <w:link w:val="918"/>
    <w:rPr>
      <w:rFonts w:ascii="Arial" w:hAnsi="Arial" w:eastAsia="黑体" w:cs="Arial"/>
      <w:b/>
      <w:bCs/>
      <w:sz w:val="28"/>
      <w:szCs w:val="28"/>
    </w:rPr>
  </w:style>
  <w:style w:type="character" w:styleId="932">
    <w:name w:val="标题 5 字符"/>
    <w:next w:val="932"/>
    <w:link w:val="919"/>
    <w:rPr>
      <w:rFonts w:ascii="宋体" w:hAnsi="Times New Roman" w:eastAsia="宋体" w:cs="Times New Roman"/>
      <w:color w:val="000000"/>
      <w:sz w:val="28"/>
      <w:szCs w:val="28"/>
    </w:rPr>
  </w:style>
  <w:style w:type="character" w:styleId="933">
    <w:name w:val="标题 6 字符"/>
    <w:next w:val="933"/>
    <w:link w:val="920"/>
    <w:rPr>
      <w:rFonts w:ascii="Arial" w:hAnsi="Arial" w:eastAsia="黑体"/>
      <w:b/>
      <w:bCs/>
      <w:sz w:val="24"/>
      <w:szCs w:val="24"/>
    </w:rPr>
  </w:style>
  <w:style w:type="character" w:styleId="934">
    <w:name w:val="标题 7 字符"/>
    <w:next w:val="934"/>
    <w:link w:val="921"/>
    <w:rPr>
      <w:rFonts w:ascii="Times New Roman" w:hAnsi="Times New Roman"/>
      <w:b/>
      <w:bCs/>
      <w:sz w:val="24"/>
      <w:szCs w:val="24"/>
    </w:rPr>
  </w:style>
  <w:style w:type="character" w:styleId="935">
    <w:name w:val="标题 8 字符"/>
    <w:next w:val="935"/>
    <w:link w:val="922"/>
    <w:rPr>
      <w:rFonts w:ascii="Arial" w:hAnsi="Arial" w:eastAsia="黑体"/>
      <w:sz w:val="24"/>
      <w:szCs w:val="24"/>
    </w:rPr>
  </w:style>
  <w:style w:type="character" w:styleId="936">
    <w:name w:val="标题 9 字符"/>
    <w:next w:val="936"/>
    <w:link w:val="923"/>
    <w:rPr>
      <w:rFonts w:ascii="Arial" w:hAnsi="Arial" w:eastAsia="黑体"/>
      <w:sz w:val="21"/>
      <w:szCs w:val="21"/>
    </w:rPr>
  </w:style>
  <w:style w:type="paragraph" w:styleId="937">
    <w:name w:val="列表 3"/>
    <w:basedOn w:val="914"/>
    <w:next w:val="937"/>
    <w:link w:val="914"/>
    <w:pPr>
      <w:ind w:left="100" w:hanging="200"/>
    </w:pPr>
    <w:rPr>
      <w:rFonts w:ascii="Times New Roman" w:hAnsi="Times New Roman" w:eastAsia="宋体" w:cs="Times New Roman"/>
      <w:szCs w:val="21"/>
    </w:rPr>
  </w:style>
  <w:style w:type="paragraph" w:styleId="938">
    <w:name w:val="目录 7"/>
    <w:basedOn w:val="914"/>
    <w:next w:val="914"/>
    <w:link w:val="914"/>
    <w:semiHidden/>
    <w:pPr>
      <w:ind w:left="1260"/>
      <w:jc w:val="left"/>
    </w:pPr>
    <w:rPr>
      <w:rFonts w:ascii="Times New Roman" w:hAnsi="Times New Roman" w:eastAsia="宋体" w:cs="Times New Roman"/>
      <w:szCs w:val="21"/>
    </w:rPr>
  </w:style>
  <w:style w:type="paragraph" w:styleId="939">
    <w:name w:val="文档结构图"/>
    <w:basedOn w:val="914"/>
    <w:next w:val="939"/>
    <w:link w:val="940"/>
    <w:semiHidden/>
    <w:pPr>
      <w:shd w:val="clear" w:color="auto" w:fill="000080"/>
    </w:pPr>
    <w:rPr>
      <w:rFonts w:ascii="Times New Roman" w:hAnsi="Times New Roman" w:eastAsia="宋体" w:cs="Times New Roman"/>
      <w:szCs w:val="21"/>
    </w:rPr>
  </w:style>
  <w:style w:type="character" w:styleId="940">
    <w:name w:val="文档结构图 字符"/>
    <w:next w:val="940"/>
    <w:link w:val="939"/>
    <w:semiHidden/>
    <w:rPr>
      <w:rFonts w:ascii="Times New Roman" w:hAnsi="Times New Roman" w:eastAsia="宋体" w:cs="Times New Roman"/>
      <w:szCs w:val="21"/>
      <w:shd w:val="clear" w:color="auto" w:fill="000080"/>
    </w:rPr>
  </w:style>
  <w:style w:type="paragraph" w:styleId="941">
    <w:name w:val="批注文字"/>
    <w:basedOn w:val="914"/>
    <w:next w:val="941"/>
    <w:link w:val="942"/>
    <w:unhideWhenUsed/>
    <w:pPr>
      <w:jc w:val="left"/>
    </w:pPr>
  </w:style>
  <w:style w:type="character" w:styleId="942">
    <w:name w:val="批注文字 字符"/>
    <w:next w:val="942"/>
    <w:link w:val="941"/>
    <w:uiPriority w:val="99"/>
    <w:semiHidden/>
  </w:style>
  <w:style w:type="paragraph" w:styleId="943">
    <w:name w:val="正文文本 3"/>
    <w:basedOn w:val="914"/>
    <w:next w:val="943"/>
    <w:link w:val="944"/>
    <w:rPr>
      <w:rFonts w:ascii="仿宋_GB2312" w:hAnsi="Arial" w:eastAsia="仿宋_GB2312" w:cs="Times New Roman"/>
      <w:sz w:val="32"/>
      <w:szCs w:val="32"/>
    </w:rPr>
  </w:style>
  <w:style w:type="character" w:styleId="944">
    <w:name w:val="正文文本 3 字符"/>
    <w:next w:val="944"/>
    <w:link w:val="943"/>
    <w:rPr>
      <w:rFonts w:ascii="仿宋_GB2312" w:hAnsi="Arial" w:eastAsia="仿宋_GB2312" w:cs="Times New Roman"/>
      <w:sz w:val="32"/>
      <w:szCs w:val="32"/>
    </w:rPr>
  </w:style>
  <w:style w:type="paragraph" w:styleId="945">
    <w:name w:val="正文文本"/>
    <w:basedOn w:val="914"/>
    <w:next w:val="947"/>
    <w:link w:val="946"/>
    <w:rPr>
      <w:rFonts w:ascii="楷体_GB2312" w:hAnsi="Arial" w:eastAsia="楷体_GB2312" w:cs="Times New Roman"/>
      <w:sz w:val="28"/>
      <w:szCs w:val="28"/>
    </w:rPr>
  </w:style>
  <w:style w:type="character" w:styleId="946">
    <w:name w:val="正文文本 字符"/>
    <w:next w:val="946"/>
    <w:link w:val="945"/>
    <w:rPr>
      <w:rFonts w:ascii="楷体_GB2312" w:hAnsi="Arial" w:eastAsia="楷体_GB2312" w:cs="Times New Roman"/>
      <w:sz w:val="28"/>
      <w:szCs w:val="28"/>
    </w:rPr>
  </w:style>
  <w:style w:type="paragraph" w:styleId="947">
    <w:name w:val="一级条标题"/>
    <w:basedOn w:val="948"/>
    <w:next w:val="949"/>
    <w:link w:val="914"/>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8">
    <w:name w:val="章标题"/>
    <w:next w:val="914"/>
    <w:link w:val="91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9">
    <w:name w:val="段"/>
    <w:basedOn w:val="914"/>
    <w:next w:val="914"/>
    <w:link w:val="914"/>
    <w:qFormat/>
    <w:pPr>
      <w:ind w:firstLine="200"/>
      <w:widowControl/>
    </w:pPr>
    <w:rPr>
      <w:rFonts w:hint="eastAsia" w:ascii="宋体"/>
      <w:szCs w:val="20"/>
    </w:rPr>
  </w:style>
  <w:style w:type="paragraph" w:styleId="950">
    <w:name w:val="正文文本缩进"/>
    <w:basedOn w:val="914"/>
    <w:next w:val="950"/>
    <w:link w:val="951"/>
    <w:unhideWhenUsed/>
    <w:pPr>
      <w:ind w:left="420"/>
      <w:spacing w:after="120"/>
    </w:pPr>
  </w:style>
  <w:style w:type="character" w:styleId="951">
    <w:name w:val="正文文本缩进 字符"/>
    <w:next w:val="951"/>
    <w:link w:val="950"/>
    <w:uiPriority w:val="99"/>
    <w:semiHidden/>
  </w:style>
  <w:style w:type="paragraph" w:styleId="952">
    <w:name w:val="列表 2"/>
    <w:basedOn w:val="914"/>
    <w:next w:val="952"/>
    <w:link w:val="914"/>
    <w:pPr>
      <w:ind w:left="100" w:hanging="200"/>
    </w:pPr>
    <w:rPr>
      <w:rFonts w:ascii="Times New Roman" w:hAnsi="Times New Roman" w:eastAsia="宋体" w:cs="Times New Roman"/>
      <w:szCs w:val="21"/>
    </w:rPr>
  </w:style>
  <w:style w:type="paragraph" w:styleId="953">
    <w:name w:val="目录 5"/>
    <w:basedOn w:val="914"/>
    <w:next w:val="914"/>
    <w:link w:val="914"/>
    <w:semiHidden/>
    <w:pPr>
      <w:ind w:left="840"/>
      <w:jc w:val="left"/>
    </w:pPr>
    <w:rPr>
      <w:rFonts w:ascii="Times New Roman" w:hAnsi="Times New Roman" w:eastAsia="宋体" w:cs="Times New Roman"/>
      <w:szCs w:val="21"/>
    </w:rPr>
  </w:style>
  <w:style w:type="paragraph" w:styleId="954">
    <w:name w:val="目录 3"/>
    <w:basedOn w:val="914"/>
    <w:next w:val="914"/>
    <w:link w:val="914"/>
    <w:semiHidden/>
    <w:pPr>
      <w:ind w:left="420"/>
      <w:jc w:val="left"/>
    </w:pPr>
    <w:rPr>
      <w:rFonts w:ascii="Times New Roman" w:hAnsi="Times New Roman" w:eastAsia="宋体" w:cs="Times New Roman"/>
      <w:i/>
      <w:iCs/>
      <w:szCs w:val="24"/>
    </w:rPr>
  </w:style>
  <w:style w:type="paragraph" w:styleId="955">
    <w:name w:val="纯文本"/>
    <w:basedOn w:val="914"/>
    <w:next w:val="955"/>
    <w:link w:val="956"/>
    <w:rPr>
      <w:rFonts w:ascii="宋体" w:hAnsi="Courier New" w:eastAsia="宋体" w:cs="Courier New"/>
      <w:szCs w:val="21"/>
    </w:rPr>
  </w:style>
  <w:style w:type="character" w:styleId="956">
    <w:name w:val="纯文本 字符"/>
    <w:next w:val="956"/>
    <w:link w:val="955"/>
    <w:rPr>
      <w:rFonts w:ascii="宋体" w:hAnsi="Courier New" w:eastAsia="宋体" w:cs="Courier New"/>
      <w:szCs w:val="21"/>
    </w:rPr>
  </w:style>
  <w:style w:type="paragraph" w:styleId="957">
    <w:name w:val="目录 8"/>
    <w:basedOn w:val="914"/>
    <w:next w:val="914"/>
    <w:link w:val="914"/>
    <w:semiHidden/>
    <w:pPr>
      <w:ind w:left="1470"/>
      <w:jc w:val="left"/>
    </w:pPr>
    <w:rPr>
      <w:rFonts w:ascii="Times New Roman" w:hAnsi="Times New Roman" w:eastAsia="宋体" w:cs="Times New Roman"/>
      <w:szCs w:val="21"/>
    </w:rPr>
  </w:style>
  <w:style w:type="paragraph" w:styleId="958">
    <w:name w:val="日期"/>
    <w:basedOn w:val="914"/>
    <w:next w:val="914"/>
    <w:link w:val="959"/>
    <w:rPr>
      <w:rFonts w:ascii="Times New Roman" w:hAnsi="Times New Roman" w:eastAsia="宋体" w:cs="Times New Roman"/>
      <w:sz w:val="24"/>
      <w:szCs w:val="24"/>
    </w:rPr>
  </w:style>
  <w:style w:type="character" w:styleId="959">
    <w:name w:val="日期 字符"/>
    <w:next w:val="959"/>
    <w:link w:val="958"/>
    <w:rPr>
      <w:rFonts w:ascii="Times New Roman" w:hAnsi="Times New Roman" w:eastAsia="宋体" w:cs="Times New Roman"/>
      <w:sz w:val="24"/>
      <w:szCs w:val="24"/>
    </w:rPr>
  </w:style>
  <w:style w:type="paragraph" w:styleId="960">
    <w:name w:val="正文文本缩进 2"/>
    <w:basedOn w:val="914"/>
    <w:next w:val="960"/>
    <w:link w:val="961"/>
    <w:pPr>
      <w:ind w:left="630" w:firstLine="645"/>
    </w:pPr>
    <w:rPr>
      <w:rFonts w:ascii="Arial" w:hAnsi="Arial" w:eastAsia="仿宋_GB2312" w:cs="Arial"/>
      <w:sz w:val="32"/>
      <w:szCs w:val="32"/>
    </w:rPr>
  </w:style>
  <w:style w:type="character" w:styleId="961">
    <w:name w:val="正文文本缩进 2 字符"/>
    <w:next w:val="961"/>
    <w:link w:val="960"/>
    <w:rPr>
      <w:rFonts w:ascii="Arial" w:hAnsi="Arial" w:eastAsia="仿宋_GB2312" w:cs="Arial"/>
      <w:sz w:val="32"/>
      <w:szCs w:val="32"/>
    </w:rPr>
  </w:style>
  <w:style w:type="paragraph" w:styleId="962">
    <w:name w:val="批注框文本"/>
    <w:basedOn w:val="914"/>
    <w:next w:val="962"/>
    <w:link w:val="963"/>
    <w:semiHidden/>
    <w:rPr>
      <w:rFonts w:ascii="Times New Roman" w:hAnsi="Times New Roman" w:eastAsia="宋体" w:cs="Times New Roman"/>
      <w:sz w:val="18"/>
      <w:szCs w:val="18"/>
    </w:rPr>
  </w:style>
  <w:style w:type="character" w:styleId="963">
    <w:name w:val="批注框文本 字符"/>
    <w:next w:val="963"/>
    <w:link w:val="962"/>
    <w:semiHidden/>
    <w:rPr>
      <w:rFonts w:ascii="Times New Roman" w:hAnsi="Times New Roman" w:eastAsia="宋体" w:cs="Times New Roman"/>
      <w:sz w:val="18"/>
      <w:szCs w:val="18"/>
    </w:rPr>
  </w:style>
  <w:style w:type="paragraph" w:styleId="964">
    <w:name w:val="页脚"/>
    <w:basedOn w:val="914"/>
    <w:next w:val="964"/>
    <w:link w:val="965"/>
    <w:pPr>
      <w:jc w:val="left"/>
      <w:tabs>
        <w:tab w:val="center" w:pos="4153" w:leader="none"/>
        <w:tab w:val="right" w:pos="8306" w:leader="none"/>
      </w:tabs>
    </w:pPr>
    <w:rPr>
      <w:rFonts w:ascii="Times New Roman" w:hAnsi="Times New Roman" w:eastAsia="宋体" w:cs="Times New Roman"/>
      <w:sz w:val="18"/>
      <w:szCs w:val="18"/>
    </w:rPr>
  </w:style>
  <w:style w:type="character" w:styleId="965">
    <w:name w:val="页脚 字符"/>
    <w:next w:val="965"/>
    <w:link w:val="964"/>
    <w:rPr>
      <w:rFonts w:ascii="Times New Roman" w:hAnsi="Times New Roman" w:eastAsia="宋体" w:cs="Times New Roman"/>
      <w:sz w:val="18"/>
      <w:szCs w:val="18"/>
    </w:rPr>
  </w:style>
  <w:style w:type="paragraph" w:styleId="966">
    <w:name w:val="页眉"/>
    <w:basedOn w:val="914"/>
    <w:next w:val="966"/>
    <w:link w:val="96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7">
    <w:name w:val="页眉 字符"/>
    <w:next w:val="967"/>
    <w:link w:val="966"/>
    <w:rPr>
      <w:rFonts w:ascii="Times New Roman" w:hAnsi="Times New Roman" w:eastAsia="宋体" w:cs="Times New Roman"/>
      <w:sz w:val="18"/>
      <w:szCs w:val="18"/>
    </w:rPr>
  </w:style>
  <w:style w:type="paragraph" w:styleId="968">
    <w:name w:val="目录 1"/>
    <w:basedOn w:val="914"/>
    <w:next w:val="914"/>
    <w:link w:val="91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9">
    <w:name w:val="目录 4"/>
    <w:basedOn w:val="914"/>
    <w:next w:val="914"/>
    <w:link w:val="914"/>
    <w:semiHidden/>
    <w:pPr>
      <w:ind w:left="630"/>
      <w:jc w:val="left"/>
    </w:pPr>
    <w:rPr>
      <w:rFonts w:ascii="Times New Roman" w:hAnsi="Times New Roman" w:eastAsia="宋体" w:cs="Times New Roman"/>
      <w:szCs w:val="21"/>
    </w:rPr>
  </w:style>
  <w:style w:type="paragraph" w:styleId="970">
    <w:name w:val="列表"/>
    <w:basedOn w:val="914"/>
    <w:next w:val="970"/>
    <w:link w:val="914"/>
    <w:pPr>
      <w:ind w:left="200" w:hanging="200"/>
    </w:pPr>
    <w:rPr>
      <w:rFonts w:ascii="Times New Roman" w:hAnsi="Times New Roman" w:eastAsia="宋体" w:cs="Times New Roman"/>
      <w:szCs w:val="21"/>
    </w:rPr>
  </w:style>
  <w:style w:type="paragraph" w:styleId="971">
    <w:name w:val="目录 6"/>
    <w:basedOn w:val="914"/>
    <w:next w:val="914"/>
    <w:link w:val="914"/>
    <w:semiHidden/>
    <w:pPr>
      <w:ind w:left="1050"/>
      <w:jc w:val="left"/>
    </w:pPr>
    <w:rPr>
      <w:rFonts w:ascii="Times New Roman" w:hAnsi="Times New Roman" w:eastAsia="宋体" w:cs="Times New Roman"/>
      <w:szCs w:val="21"/>
    </w:rPr>
  </w:style>
  <w:style w:type="paragraph" w:styleId="972">
    <w:name w:val="正文文本缩进 3"/>
    <w:basedOn w:val="914"/>
    <w:next w:val="972"/>
    <w:link w:val="973"/>
    <w:pPr>
      <w:ind w:left="645" w:firstLine="645"/>
    </w:pPr>
    <w:rPr>
      <w:rFonts w:ascii="Arial" w:hAnsi="Arial" w:eastAsia="仿宋_GB2312" w:cs="Arial"/>
      <w:color w:val="ffff00"/>
      <w:sz w:val="32"/>
      <w:szCs w:val="32"/>
    </w:rPr>
  </w:style>
  <w:style w:type="character" w:styleId="973">
    <w:name w:val="正文文本缩进 3 字符"/>
    <w:next w:val="973"/>
    <w:link w:val="972"/>
    <w:rPr>
      <w:rFonts w:ascii="Arial" w:hAnsi="Arial" w:eastAsia="仿宋_GB2312" w:cs="Arial"/>
      <w:color w:val="ffff00"/>
      <w:sz w:val="32"/>
      <w:szCs w:val="32"/>
    </w:rPr>
  </w:style>
  <w:style w:type="paragraph" w:styleId="974">
    <w:name w:val="图表目录"/>
    <w:basedOn w:val="914"/>
    <w:next w:val="914"/>
    <w:link w:val="914"/>
    <w:semiHidden/>
    <w:pPr>
      <w:ind w:left="840" w:hanging="420"/>
    </w:pPr>
    <w:rPr>
      <w:rFonts w:ascii="Times New Roman" w:hAnsi="Times New Roman" w:eastAsia="宋体" w:cs="Times New Roman"/>
      <w:szCs w:val="21"/>
    </w:rPr>
  </w:style>
  <w:style w:type="paragraph" w:styleId="975">
    <w:name w:val="目录 2"/>
    <w:basedOn w:val="914"/>
    <w:next w:val="914"/>
    <w:link w:val="914"/>
    <w:semiHidden/>
    <w:pPr>
      <w:ind w:left="210"/>
      <w:jc w:val="left"/>
    </w:pPr>
    <w:rPr>
      <w:rFonts w:ascii="Times New Roman" w:hAnsi="Times New Roman" w:eastAsia="宋体" w:cs="Times New Roman"/>
      <w:smallCaps/>
      <w:szCs w:val="24"/>
    </w:rPr>
  </w:style>
  <w:style w:type="paragraph" w:styleId="976">
    <w:name w:val="目录 9"/>
    <w:basedOn w:val="914"/>
    <w:next w:val="914"/>
    <w:link w:val="914"/>
    <w:semiHidden/>
    <w:pPr>
      <w:ind w:left="1680"/>
      <w:jc w:val="left"/>
    </w:pPr>
    <w:rPr>
      <w:rFonts w:ascii="Times New Roman" w:hAnsi="Times New Roman" w:eastAsia="宋体" w:cs="Times New Roman"/>
      <w:szCs w:val="21"/>
    </w:rPr>
  </w:style>
  <w:style w:type="paragraph" w:styleId="977">
    <w:name w:val="正文文本 2"/>
    <w:basedOn w:val="914"/>
    <w:next w:val="977"/>
    <w:link w:val="978"/>
    <w:pPr>
      <w:jc w:val="center"/>
      <w:widowControl/>
    </w:pPr>
    <w:rPr>
      <w:rFonts w:ascii="楷体_GB2312" w:hAnsi="Times New Roman" w:eastAsia="楷体_GB2312" w:cs="Times New Roman"/>
      <w:sz w:val="28"/>
      <w:szCs w:val="28"/>
    </w:rPr>
  </w:style>
  <w:style w:type="character" w:styleId="978">
    <w:name w:val="正文文本 2 字符"/>
    <w:next w:val="978"/>
    <w:link w:val="977"/>
    <w:rPr>
      <w:rFonts w:ascii="楷体_GB2312" w:hAnsi="Times New Roman" w:eastAsia="楷体_GB2312" w:cs="Times New Roman"/>
      <w:sz w:val="28"/>
      <w:szCs w:val="28"/>
    </w:rPr>
  </w:style>
  <w:style w:type="paragraph" w:styleId="979">
    <w:name w:val="普通(网站)"/>
    <w:basedOn w:val="914"/>
    <w:next w:val="979"/>
    <w:link w:val="914"/>
    <w:uiPriority w:val="99"/>
    <w:pPr>
      <w:jc w:val="left"/>
      <w:spacing w:before="100" w:beforeAutospacing="1" w:after="100" w:afterAutospacing="1"/>
      <w:widowControl/>
    </w:pPr>
    <w:rPr>
      <w:rFonts w:ascii="宋体" w:hAnsi="宋体" w:eastAsia="宋体" w:cs="宋体"/>
      <w:sz w:val="24"/>
      <w:szCs w:val="24"/>
    </w:rPr>
  </w:style>
  <w:style w:type="paragraph" w:styleId="980">
    <w:name w:val="索引 1"/>
    <w:basedOn w:val="914"/>
    <w:next w:val="914"/>
    <w:link w:val="914"/>
    <w:semiHidden/>
    <w:pPr>
      <w:spacing w:line="240" w:lineRule="atLeast"/>
    </w:pPr>
    <w:rPr>
      <w:rFonts w:ascii="Times New Roman" w:hAnsi="Times New Roman" w:eastAsia="宋体" w:cs="Times New Roman"/>
      <w:b/>
      <w:bCs/>
      <w:szCs w:val="21"/>
    </w:rPr>
  </w:style>
  <w:style w:type="paragraph" w:styleId="981">
    <w:name w:val="批注主题"/>
    <w:basedOn w:val="941"/>
    <w:next w:val="941"/>
    <w:link w:val="982"/>
    <w:semiHidden/>
    <w:rPr>
      <w:rFonts w:ascii="Times New Roman" w:hAnsi="Times New Roman" w:eastAsia="宋体" w:cs="Times New Roman"/>
      <w:b/>
      <w:bCs/>
      <w:szCs w:val="21"/>
    </w:rPr>
  </w:style>
  <w:style w:type="character" w:styleId="982">
    <w:name w:val="批注主题 字符"/>
    <w:next w:val="982"/>
    <w:link w:val="981"/>
    <w:semiHidden/>
    <w:rPr>
      <w:rFonts w:ascii="Times New Roman" w:hAnsi="Times New Roman" w:eastAsia="宋体" w:cs="Times New Roman"/>
      <w:b/>
      <w:bCs/>
      <w:szCs w:val="21"/>
    </w:rPr>
  </w:style>
  <w:style w:type="paragraph" w:styleId="983">
    <w:name w:val="正文首行缩进"/>
    <w:basedOn w:val="914"/>
    <w:next w:val="983"/>
    <w:link w:val="984"/>
    <w:pPr>
      <w:ind w:firstLine="200"/>
      <w:spacing w:line="360" w:lineRule="auto"/>
    </w:pPr>
    <w:rPr>
      <w:rFonts w:ascii="仿宋_GB2312" w:hAnsi="Times New Roman" w:eastAsia="仿宋_GB2312" w:cs="Times New Roman"/>
      <w:sz w:val="30"/>
      <w:szCs w:val="30"/>
    </w:rPr>
  </w:style>
  <w:style w:type="character" w:styleId="984">
    <w:name w:val="正文文本首行缩进 字符"/>
    <w:next w:val="984"/>
    <w:link w:val="983"/>
    <w:rPr>
      <w:rFonts w:ascii="仿宋_GB2312" w:hAnsi="Times New Roman" w:eastAsia="仿宋_GB2312" w:cs="Times New Roman"/>
      <w:sz w:val="30"/>
      <w:szCs w:val="30"/>
    </w:rPr>
  </w:style>
  <w:style w:type="paragraph" w:styleId="985">
    <w:name w:val="正文首行缩进 2"/>
    <w:basedOn w:val="950"/>
    <w:next w:val="985"/>
    <w:link w:val="986"/>
    <w:pPr>
      <w:ind w:left="0" w:firstLine="420"/>
      <w:spacing w:after="0" w:line="360" w:lineRule="auto"/>
    </w:pPr>
    <w:rPr>
      <w:rFonts w:ascii="宋体" w:hAnsi="宋体" w:eastAsia="宋体" w:cs="Times New Roman"/>
      <w:szCs w:val="20"/>
    </w:rPr>
  </w:style>
  <w:style w:type="character" w:styleId="986">
    <w:name w:val="正文文本首行缩进 2 字符"/>
    <w:next w:val="986"/>
    <w:link w:val="985"/>
    <w:rPr>
      <w:rFonts w:ascii="宋体" w:hAnsi="宋体" w:eastAsia="宋体" w:cs="Times New Roman"/>
      <w:szCs w:val="20"/>
    </w:rPr>
  </w:style>
  <w:style w:type="table" w:styleId="987">
    <w:name w:val="网格型"/>
    <w:basedOn w:val="925"/>
    <w:next w:val="987"/>
    <w:link w:val="914"/>
    <w:uiPriority w:val="59"/>
    <w:pPr>
      <w:jc w:val="both"/>
      <w:widowControl w:val="off"/>
    </w:pPr>
    <w:rPr>
      <w:rFonts w:ascii="Times New Roman" w:hAnsi="Times New Roman" w:eastAsia="宋体" w:cs="Times New Roman"/>
      <w:sz w:val="20"/>
      <w:szCs w:val="20"/>
    </w:rPr>
    <w:tblPr/>
  </w:style>
  <w:style w:type="character" w:styleId="988">
    <w:name w:val="要点"/>
    <w:next w:val="988"/>
    <w:link w:val="914"/>
    <w:qFormat/>
    <w:rPr>
      <w:b/>
      <w:bCs/>
    </w:rPr>
  </w:style>
  <w:style w:type="character" w:styleId="989">
    <w:name w:val="页码"/>
    <w:next w:val="989"/>
    <w:link w:val="914"/>
  </w:style>
  <w:style w:type="character" w:styleId="990">
    <w:name w:val="已访问的超链接"/>
    <w:next w:val="990"/>
    <w:link w:val="914"/>
    <w:rPr>
      <w:color w:val="800080"/>
      <w:u w:val="single"/>
    </w:rPr>
  </w:style>
  <w:style w:type="character" w:styleId="991">
    <w:name w:val="强调"/>
    <w:next w:val="991"/>
    <w:link w:val="914"/>
    <w:qFormat/>
    <w:rPr>
      <w:i/>
    </w:rPr>
  </w:style>
  <w:style w:type="character" w:styleId="992">
    <w:name w:val="超链接"/>
    <w:next w:val="992"/>
    <w:link w:val="914"/>
    <w:rPr>
      <w:color w:val="0000ff"/>
      <w:u w:val="single"/>
    </w:rPr>
  </w:style>
  <w:style w:type="character" w:styleId="993">
    <w:name w:val="批注引用"/>
    <w:next w:val="993"/>
    <w:link w:val="914"/>
    <w:semiHidden/>
    <w:rPr>
      <w:sz w:val="21"/>
      <w:szCs w:val="21"/>
    </w:rPr>
  </w:style>
  <w:style w:type="paragraph" w:styleId="994">
    <w:name w:val="标题 31"/>
    <w:basedOn w:val="914"/>
    <w:next w:val="914"/>
    <w:link w:val="914"/>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95">
    <w:name w:val="font5 Char"/>
    <w:next w:val="995"/>
    <w:link w:val="914"/>
    <w:rPr>
      <w:rFonts w:ascii="宋体" w:hAnsi="宋体" w:eastAsia="宋体"/>
      <w:sz w:val="28"/>
      <w:szCs w:val="28"/>
      <w:lang w:val="en-US" w:eastAsia="zh-CN" w:bidi="ar-SA"/>
    </w:rPr>
  </w:style>
  <w:style w:type="character" w:styleId="996">
    <w:name w:val="二级目录 Char"/>
    <w:next w:val="996"/>
    <w:link w:val="997"/>
    <w:rPr>
      <w:b/>
      <w:sz w:val="30"/>
      <w:szCs w:val="28"/>
    </w:rPr>
  </w:style>
  <w:style w:type="paragraph" w:styleId="997">
    <w:name w:val="二级目录"/>
    <w:next w:val="914"/>
    <w:link w:val="996"/>
    <w:pPr>
      <w:numPr>
        <w:ilvl w:val="0"/>
        <w:numId w:val="4"/>
      </w:numPr>
      <w:tabs>
        <w:tab w:val="left" w:pos="907" w:leader="none"/>
        <w:tab w:val="left" w:pos="1145" w:leader="none"/>
      </w:tabs>
      <w:outlineLvl w:val="1"/>
    </w:pPr>
    <w:rPr>
      <w:b/>
      <w:sz w:val="30"/>
      <w:szCs w:val="28"/>
      <w:lang w:val="en-US" w:eastAsia="zh-CN" w:bidi="ar-SA"/>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4"/>
    <w:next w:val="999"/>
    <w:link w:val="998"/>
    <w:qFormat/>
    <w:pPr>
      <w:contextualSpacing/>
      <w:ind w:left="720"/>
      <w:jc w:val="left"/>
      <w:widowControl/>
    </w:pPr>
    <w:rPr>
      <w:rFonts w:ascii="Calibri" w:hAnsi="Calibri"/>
      <w:sz w:val="24"/>
      <w:szCs w:val="24"/>
      <w:lang w:eastAsia="en-US" w:bidi="en-US"/>
    </w:rPr>
  </w:style>
  <w:style w:type="paragraph" w:styleId="1000">
    <w:name w:val="Body Text(ch)"/>
    <w:basedOn w:val="914"/>
    <w:next w:val="945"/>
    <w:link w:val="914"/>
    <w:pPr>
      <w:spacing w:after="120"/>
    </w:pPr>
    <w:rPr>
      <w:rFonts w:ascii="宋体" w:hAnsi="Arial" w:eastAsia="宋体" w:cs="Times New Roman"/>
      <w:bCs/>
      <w:iCs/>
      <w:szCs w:val="24"/>
    </w:rPr>
  </w:style>
  <w:style w:type="paragraph" w:styleId="1001">
    <w:name w:val="xl27"/>
    <w:basedOn w:val="914"/>
    <w:next w:val="1001"/>
    <w:link w:val="9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6"/>
    <w:basedOn w:val="914"/>
    <w:next w:val="100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Char"/>
    <w:basedOn w:val="914"/>
    <w:next w:val="1003"/>
    <w:link w:val="914"/>
    <w:pPr>
      <w:ind w:firstLine="200"/>
      <w:tabs>
        <w:tab w:val="left" w:pos="360" w:leader="none"/>
      </w:tabs>
    </w:pPr>
    <w:rPr>
      <w:rFonts w:ascii="Times New Roman" w:hAnsi="Times New Roman" w:eastAsia="宋体" w:cs="Times New Roman"/>
      <w:sz w:val="28"/>
      <w:szCs w:val="30"/>
    </w:rPr>
  </w:style>
  <w:style w:type="paragraph" w:styleId="1004">
    <w:name w:val=" Char"/>
    <w:basedOn w:val="939"/>
    <w:next w:val="1004"/>
    <w:link w:val="914"/>
    <w:rPr>
      <w:rFonts w:ascii="Tahoma" w:hAnsi="Tahoma"/>
      <w:sz w:val="24"/>
      <w:szCs w:val="24"/>
    </w:rPr>
  </w:style>
  <w:style w:type="paragraph" w:styleId="1005">
    <w:name w:val="普通正文"/>
    <w:basedOn w:val="914"/>
    <w:next w:val="1005"/>
    <w:link w:val="914"/>
    <w:qFormat/>
    <w:pPr>
      <w:ind w:firstLine="480"/>
      <w:jc w:val="left"/>
      <w:spacing w:before="120" w:after="120" w:line="360" w:lineRule="auto"/>
    </w:pPr>
    <w:rPr>
      <w:rFonts w:ascii="Arial" w:hAnsi="Arial" w:eastAsia="宋体" w:cs="Times New Roman"/>
      <w:sz w:val="24"/>
      <w:szCs w:val="24"/>
    </w:rPr>
  </w:style>
  <w:style w:type="paragraph" w:styleId="1006">
    <w:name w:val="table_lines"/>
    <w:basedOn w:val="914"/>
    <w:next w:val="1006"/>
    <w:link w:val="914"/>
    <w:pPr>
      <w:jc w:val="left"/>
      <w:widowControl/>
    </w:pPr>
    <w:rPr>
      <w:rFonts w:ascii="Times New Roman" w:hAnsi="Times New Roman" w:eastAsia="宋体" w:cs="Times New Roman"/>
      <w:sz w:val="20"/>
      <w:szCs w:val="20"/>
      <w:lang w:val="de-DE" w:eastAsia="de-DE"/>
    </w:rPr>
  </w:style>
  <w:style w:type="paragraph" w:styleId="1007">
    <w:name w:val="附录1"/>
    <w:next w:val="1007"/>
    <w:link w:val="914"/>
    <w:pPr>
      <w:numPr>
        <w:ilvl w:val="0"/>
        <w:numId w:val="4"/>
      </w:numPr>
      <w:spacing w:before="240" w:line="600" w:lineRule="atLeast"/>
      <w:tabs>
        <w:tab w:val="left" w:pos="907" w:leader="none"/>
      </w:tabs>
    </w:pPr>
    <w:rPr>
      <w:b/>
      <w:i/>
      <w:sz w:val="28"/>
      <w:lang w:val="en-US" w:eastAsia="zh-CN" w:bidi="ar-SA"/>
    </w:rPr>
  </w:style>
  <w:style w:type="paragraph" w:styleId="1008">
    <w:name w:val="font7"/>
    <w:basedOn w:val="914"/>
    <w:next w:val="1008"/>
    <w:link w:val="914"/>
    <w:pPr>
      <w:jc w:val="left"/>
      <w:spacing w:before="100" w:beforeAutospacing="1" w:after="100" w:afterAutospacing="1"/>
      <w:widowControl/>
    </w:pPr>
    <w:rPr>
      <w:rFonts w:hint="eastAsia" w:ascii="宋体" w:hAnsi="宋体" w:eastAsia="宋体" w:cs="Times New Roman"/>
      <w:sz w:val="18"/>
      <w:szCs w:val="18"/>
    </w:rPr>
  </w:style>
  <w:style w:type="paragraph" w:styleId="1009">
    <w:name w:val=" Char Char Char Char"/>
    <w:basedOn w:val="939"/>
    <w:next w:val="1009"/>
    <w:link w:val="914"/>
    <w:pPr>
      <w:spacing w:line="360" w:lineRule="auto"/>
    </w:pPr>
    <w:rPr>
      <w:rFonts w:ascii="Tahoma" w:hAnsi="Tahoma"/>
      <w:sz w:val="24"/>
      <w:szCs w:val="24"/>
    </w:rPr>
  </w:style>
  <w:style w:type="paragraph" w:styleId="1010">
    <w:name w:val="列表段落"/>
    <w:basedOn w:val="914"/>
    <w:next w:val="1010"/>
    <w:link w:val="914"/>
    <w:uiPriority w:val="34"/>
    <w:qFormat/>
    <w:pPr>
      <w:contextualSpacing/>
      <w:ind w:left="720"/>
      <w:jc w:val="left"/>
      <w:widowControl/>
    </w:pPr>
    <w:rPr>
      <w:rFonts w:ascii="Calibri" w:hAnsi="Calibri" w:eastAsia="宋体" w:cs="Times New Roman"/>
      <w:sz w:val="24"/>
      <w:szCs w:val="24"/>
      <w:lang w:eastAsia="en-US" w:bidi="en-US"/>
    </w:rPr>
  </w:style>
  <w:style w:type="paragraph" w:styleId="1011">
    <w:name w:val="4"/>
    <w:basedOn w:val="914"/>
    <w:next w:val="972"/>
    <w:link w:val="914"/>
    <w:pPr>
      <w:ind w:firstLine="420"/>
      <w:spacing w:line="360" w:lineRule="auto"/>
    </w:pPr>
    <w:rPr>
      <w:rFonts w:ascii="Times New Roman" w:hAnsi="Times New Roman" w:eastAsia="宋体" w:cs="Times New Roman"/>
      <w:color w:val="ff0000"/>
      <w:sz w:val="24"/>
      <w:szCs w:val="24"/>
    </w:rPr>
  </w:style>
  <w:style w:type="paragraph" w:styleId="1012">
    <w:name w:val="普通 (Web)"/>
    <w:basedOn w:val="914"/>
    <w:next w:val="1012"/>
    <w:link w:val="914"/>
    <w:pPr>
      <w:jc w:val="left"/>
      <w:spacing w:before="100" w:beforeAutospacing="1" w:after="100" w:afterAutospacing="1"/>
      <w:widowControl/>
    </w:pPr>
    <w:rPr>
      <w:rFonts w:ascii="宋体" w:hAnsi="宋体" w:eastAsia="宋体" w:cs="Times New Roman"/>
      <w:sz w:val="24"/>
      <w:szCs w:val="24"/>
    </w:rPr>
  </w:style>
  <w:style w:type="paragraph" w:styleId="1013">
    <w:name w:val=" Char Char Char Char Char Char Char Char Char Char"/>
    <w:basedOn w:val="914"/>
    <w:next w:val="1013"/>
    <w:link w:val="914"/>
    <w:pPr>
      <w:spacing w:line="360" w:lineRule="auto"/>
    </w:pPr>
    <w:rPr>
      <w:rFonts w:ascii="Times New Roman" w:hAnsi="Times New Roman" w:eastAsia="宋体" w:cs="Times New Roman"/>
      <w:sz w:val="24"/>
      <w:szCs w:val="20"/>
    </w:rPr>
  </w:style>
  <w:style w:type="paragraph" w:styleId="1014">
    <w:name w:val="样式1"/>
    <w:basedOn w:val="914"/>
    <w:next w:val="1014"/>
    <w:link w:val="914"/>
    <w:pPr>
      <w:numPr>
        <w:ilvl w:val="0"/>
        <w:numId w:val="5"/>
      </w:numPr>
      <w:tabs>
        <w:tab w:val="left" w:pos="709" w:leader="none"/>
      </w:tabs>
    </w:pPr>
    <w:rPr>
      <w:rFonts w:ascii="宋体" w:hAnsi="宋体" w:eastAsia="宋体" w:cs="Times New Roman"/>
      <w:szCs w:val="21"/>
    </w:rPr>
  </w:style>
  <w:style w:type="paragraph" w:styleId="1015">
    <w:name w:val="font6"/>
    <w:basedOn w:val="914"/>
    <w:next w:val="1015"/>
    <w:link w:val="914"/>
    <w:pPr>
      <w:jc w:val="left"/>
      <w:spacing w:before="100" w:beforeAutospacing="1" w:after="100" w:afterAutospacing="1"/>
      <w:widowControl/>
    </w:pPr>
    <w:rPr>
      <w:rFonts w:hint="eastAsia" w:ascii="宋体" w:hAnsi="宋体" w:eastAsia="宋体" w:cs="Times New Roman"/>
      <w:sz w:val="28"/>
      <w:szCs w:val="28"/>
      <w:u w:val="single"/>
    </w:rPr>
  </w:style>
  <w:style w:type="paragraph" w:styleId="1016">
    <w:name w:val="xl25"/>
    <w:basedOn w:val="914"/>
    <w:next w:val="1016"/>
    <w:link w:val="9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914"/>
    <w:next w:val="914"/>
    <w:link w:val="91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8">
    <w:name w:val="标题3"/>
    <w:basedOn w:val="914"/>
    <w:next w:val="914"/>
    <w:link w:val="914"/>
    <w:pPr>
      <w:ind w:firstLine="624"/>
      <w:spacing w:line="590" w:lineRule="atLeast"/>
    </w:pPr>
    <w:rPr>
      <w:rFonts w:ascii="方正黑体_GBK" w:hAnsi="Times New Roman" w:eastAsia="方正黑体_GBK" w:cs="Times New Roman"/>
      <w:sz w:val="32"/>
      <w:szCs w:val="32"/>
    </w:rPr>
  </w:style>
  <w:style w:type="paragraph" w:styleId="1019">
    <w:name w:val="xl24"/>
    <w:basedOn w:val="914"/>
    <w:next w:val="1019"/>
    <w:link w:val="9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xl29"/>
    <w:basedOn w:val="914"/>
    <w:next w:val="1020"/>
    <w:link w:val="91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1">
    <w:name w:val="Char Char Char Char Char Char Char Char"/>
    <w:basedOn w:val="914"/>
    <w:next w:val="1021"/>
    <w:link w:val="914"/>
    <w:pPr>
      <w:jc w:val="left"/>
      <w:spacing w:after="160" w:line="240" w:lineRule="exact"/>
      <w:widowControl/>
    </w:pPr>
    <w:rPr>
      <w:rFonts w:ascii="Verdana" w:hAnsi="Verdana" w:eastAsia="宋体" w:cs="Times New Roman"/>
      <w:sz w:val="20"/>
      <w:szCs w:val="20"/>
      <w:lang w:eastAsia="en-US"/>
    </w:rPr>
  </w:style>
  <w:style w:type="paragraph" w:styleId="1022">
    <w:name w:val="xl28"/>
    <w:basedOn w:val="914"/>
    <w:next w:val="1022"/>
    <w:link w:val="91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3">
    <w:name w:val=" Char Char Char Char Char Char Char Char"/>
    <w:basedOn w:val="914"/>
    <w:next w:val="1023"/>
    <w:link w:val="914"/>
    <w:pPr>
      <w:jc w:val="left"/>
      <w:spacing w:after="160" w:line="240" w:lineRule="exact"/>
      <w:widowControl/>
    </w:pPr>
    <w:rPr>
      <w:rFonts w:ascii="Verdana" w:hAnsi="Verdana" w:eastAsia="宋体" w:cs="Times New Roman"/>
      <w:sz w:val="20"/>
      <w:szCs w:val="20"/>
      <w:lang w:eastAsia="en-US"/>
    </w:rPr>
  </w:style>
  <w:style w:type="paragraph" w:styleId="1024">
    <w:name w:val="xl30"/>
    <w:basedOn w:val="914"/>
    <w:next w:val="1024"/>
    <w:link w:val="914"/>
    <w:pPr>
      <w:jc w:val="center"/>
      <w:spacing w:before="100" w:beforeAutospacing="1" w:after="100" w:afterAutospacing="1"/>
      <w:widowControl/>
    </w:pPr>
    <w:rPr>
      <w:rFonts w:ascii="宋体" w:hAnsi="宋体" w:eastAsia="宋体" w:cs="Times New Roman"/>
      <w:b/>
      <w:bCs/>
      <w:sz w:val="36"/>
      <w:szCs w:val="36"/>
    </w:rPr>
  </w:style>
  <w:style w:type="paragraph" w:styleId="1025">
    <w:name w:val="Char Char Char Char"/>
    <w:basedOn w:val="939"/>
    <w:next w:val="1025"/>
    <w:link w:val="914"/>
    <w:pPr>
      <w:spacing w:line="360" w:lineRule="auto"/>
    </w:pPr>
    <w:rPr>
      <w:rFonts w:ascii="Tahoma" w:hAnsi="Tahoma"/>
      <w:sz w:val="24"/>
      <w:szCs w:val="24"/>
    </w:rPr>
  </w:style>
  <w:style w:type="paragraph" w:styleId="1026">
    <w:name w:val="table_1stline"/>
    <w:basedOn w:val="914"/>
    <w:next w:val="1026"/>
    <w:link w:val="914"/>
    <w:pPr>
      <w:jc w:val="left"/>
      <w:spacing w:before="120"/>
      <w:widowControl/>
    </w:pPr>
    <w:rPr>
      <w:rFonts w:ascii="Times New Roman" w:hAnsi="Times New Roman" w:eastAsia="宋体" w:cs="Times New Roman"/>
      <w:bCs/>
      <w:sz w:val="20"/>
      <w:szCs w:val="20"/>
      <w:lang w:val="de-DE" w:eastAsia="de-DE"/>
    </w:rPr>
  </w:style>
  <w:style w:type="paragraph" w:styleId="1027">
    <w:name w:val="font5"/>
    <w:basedOn w:val="914"/>
    <w:next w:val="1027"/>
    <w:link w:val="914"/>
    <w:pPr>
      <w:jc w:val="left"/>
      <w:spacing w:before="100" w:beforeAutospacing="1" w:after="100" w:afterAutospacing="1"/>
      <w:widowControl/>
    </w:pPr>
    <w:rPr>
      <w:rFonts w:hint="eastAsia" w:ascii="宋体" w:hAnsi="宋体" w:eastAsia="宋体" w:cs="Times New Roman"/>
      <w:sz w:val="28"/>
      <w:szCs w:val="28"/>
    </w:rPr>
  </w:style>
  <w:style w:type="paragraph" w:styleId="1028">
    <w:name w:val="标题1"/>
    <w:basedOn w:val="914"/>
    <w:next w:val="914"/>
    <w:link w:val="91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9">
    <w:name w:val="修订"/>
    <w:next w:val="1029"/>
    <w:link w:val="914"/>
    <w:uiPriority w:val="99"/>
    <w:semiHidden/>
    <w:rPr>
      <w:sz w:val="21"/>
      <w:szCs w:val="21"/>
      <w:lang w:val="en-US" w:eastAsia="zh-CN" w:bidi="ar-SA"/>
    </w:rPr>
  </w:style>
  <w:style w:type="paragraph" w:styleId="1030">
    <w:name w:val="无间隔"/>
    <w:next w:val="1030"/>
    <w:link w:val="914"/>
    <w:uiPriority w:val="99"/>
    <w:qFormat/>
    <w:pPr>
      <w:jc w:val="both"/>
      <w:widowControl w:val="off"/>
    </w:pPr>
    <w:rPr>
      <w:sz w:val="21"/>
      <w:szCs w:val="21"/>
      <w:lang w:val="en-US" w:eastAsia="zh-CN" w:bidi="ar-SA"/>
    </w:rPr>
  </w:style>
  <w:style w:type="paragraph" w:styleId="1031">
    <w:name w:val="正文1"/>
    <w:next w:val="1031"/>
    <w:link w:val="914"/>
    <w:uiPriority w:val="99"/>
    <w:qFormat/>
    <w:pPr>
      <w:contextualSpacing/>
      <w:ind w:firstLine="200"/>
      <w:spacing w:before="120" w:after="120" w:line="180" w:lineRule="auto"/>
    </w:pPr>
    <w:rPr>
      <w:rFonts w:eastAsia="Adobe 仿宋 Std R"/>
      <w:sz w:val="21"/>
      <w:szCs w:val="21"/>
      <w:lang w:val="en-US" w:eastAsia="zh-CN" w:bidi="ar-SA"/>
    </w:rPr>
  </w:style>
  <w:style w:type="paragraph" w:styleId="1032">
    <w:name w:val="正文文本缩进2"/>
    <w:basedOn w:val="914"/>
    <w:next w:val="1032"/>
    <w:link w:val="914"/>
    <w:uiPriority w:val="99"/>
    <w:qFormat/>
    <w:pPr>
      <w:ind w:firstLine="301"/>
      <w:spacing w:line="200" w:lineRule="exact"/>
    </w:pPr>
    <w:rPr>
      <w:rFonts w:ascii="宋体" w:hAnsi="Courier New"/>
      <w:spacing w:val="-4"/>
      <w:sz w:val="18"/>
      <w:szCs w:val="24"/>
    </w:rPr>
  </w:style>
  <w:style w:type="paragraph" w:styleId="1033">
    <w:name w:val="正文文本11"/>
    <w:basedOn w:val="914"/>
    <w:next w:val="914"/>
    <w:link w:val="914"/>
    <w:qFormat/>
    <w:rPr>
      <w:rFonts w:ascii="楷体_GB2312" w:hAnsi="Arial" w:eastAsia="楷体_GB2312"/>
      <w:sz w:val="28"/>
      <w:szCs w:val="28"/>
    </w:rPr>
  </w:style>
  <w:style w:type="character" w:styleId="1034">
    <w:name w:val="font31"/>
    <w:next w:val="1034"/>
    <w:link w:val="914"/>
    <w:qFormat/>
    <w:rPr>
      <w:rFonts w:hint="eastAsia" w:ascii="宋体" w:hAnsi="宋体" w:eastAsia="宋体" w:cs="宋体"/>
      <w:color w:val="000000"/>
      <w:sz w:val="24"/>
      <w:szCs w:val="24"/>
      <w:u w:val="none"/>
    </w:rPr>
  </w:style>
  <w:style w:type="character" w:styleId="1035">
    <w:name w:val="bot_zi"/>
    <w:next w:val="1035"/>
    <w:link w:val="914"/>
    <w:qFormat/>
  </w:style>
  <w:style w:type="character" w:styleId="1036">
    <w:name w:val="font21"/>
    <w:next w:val="1036"/>
    <w:link w:val="914"/>
    <w:rPr>
      <w:rFonts w:hint="eastAsia" w:ascii="微软雅黑" w:hAnsi="微软雅黑" w:eastAsia="微软雅黑" w:cs="微软雅黑"/>
      <w:i w:val="0"/>
      <w:iCs w:val="0"/>
      <w:color w:val="000000"/>
      <w:sz w:val="21"/>
      <w:szCs w:val="21"/>
      <w:u w:val="none"/>
    </w:rPr>
  </w:style>
  <w:style w:type="character" w:styleId="1037">
    <w:name w:val="font51"/>
    <w:next w:val="1037"/>
    <w:link w:val="914"/>
    <w:rPr>
      <w:rFonts w:hint="eastAsia" w:ascii="微软雅黑" w:hAnsi="微软雅黑" w:eastAsia="微软雅黑" w:cs="微软雅黑"/>
      <w:i w:val="0"/>
      <w:iCs w:val="0"/>
      <w:color w:val="ff0000"/>
      <w:sz w:val="21"/>
      <w:szCs w:val="21"/>
      <w:u w:val="none"/>
    </w:rPr>
  </w:style>
  <w:style w:type="character" w:styleId="1038">
    <w:name w:val="font41"/>
    <w:next w:val="1038"/>
    <w:link w:val="914"/>
    <w:rPr>
      <w:rFonts w:hint="eastAsia" w:ascii="微软雅黑" w:hAnsi="微软雅黑" w:eastAsia="微软雅黑" w:cs="微软雅黑"/>
      <w:i w:val="0"/>
      <w:iCs w:val="0"/>
      <w:color w:val="000000"/>
      <w:sz w:val="21"/>
      <w:szCs w:val="21"/>
      <w:u w:val="none"/>
    </w:rPr>
  </w:style>
  <w:style w:type="character" w:styleId="1039">
    <w:name w:val="font11"/>
    <w:next w:val="1039"/>
    <w:link w:val="914"/>
    <w:rPr>
      <w:rFonts w:hint="eastAsia" w:ascii="幼圆" w:hAnsi="幼圆" w:eastAsia="幼圆" w:cs="幼圆"/>
      <w:b/>
      <w:bCs/>
      <w:i w:val="0"/>
      <w:iCs w:val="0"/>
      <w:color w:val="000000"/>
      <w:sz w:val="24"/>
      <w:szCs w:val="24"/>
      <w:u w:val="none"/>
    </w:rPr>
  </w:style>
  <w:style w:type="paragraph" w:styleId="1040">
    <w:name w:val="Default"/>
    <w:next w:val="914"/>
    <w:link w:val="914"/>
    <w:qFormat/>
    <w:pPr>
      <w:widowControl w:val="off"/>
    </w:pPr>
    <w:rPr>
      <w:rFonts w:ascii="宋体" w:cs="宋体"/>
      <w:color w:val="000000"/>
      <w:sz w:val="24"/>
      <w:szCs w:val="24"/>
      <w:lang w:val="en-US" w:eastAsia="zh-CN" w:bidi="ar-SA"/>
    </w:rPr>
  </w:style>
  <w:style w:type="character" w:styleId="1041">
    <w:name w:val="font01"/>
    <w:next w:val="1041"/>
    <w:link w:val="914"/>
    <w:rPr>
      <w:rFonts w:hint="eastAsia" w:ascii="宋体" w:hAnsi="宋体" w:eastAsia="宋体" w:cs="宋体"/>
      <w:i w:val="0"/>
      <w:iCs w:val="0"/>
      <w:color w:val="000000"/>
      <w:sz w:val="22"/>
      <w:szCs w:val="22"/>
      <w:u w:val="none"/>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丁一</cp:lastModifiedBy>
  <cp:revision>7</cp:revision>
  <dcterms:created xsi:type="dcterms:W3CDTF">2023-12-18T06:54:00Z</dcterms:created>
  <dcterms:modified xsi:type="dcterms:W3CDTF">2026-03-30T07:24:23Z</dcterms:modified>
</cp:coreProperties>
</file>