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5F2C4B">
      <w:pPr>
        <w:rPr>
          <w:color w:val="auto"/>
          <w:highlight w:val="none"/>
        </w:rPr>
      </w:pPr>
      <w:bookmarkStart w:id="0" w:name="EBaddf5a20ddec4a45badb628643bc3e2d"/>
      <w:r>
        <w:rPr>
          <w:rFonts w:hint="eastAsia" w:ascii="华文琥珀" w:eastAsia="华文琥珀"/>
          <w:color w:val="auto"/>
          <w:sz w:val="44"/>
          <w:szCs w:val="44"/>
          <w:highlight w:val="none"/>
        </w:rPr>
        <w:drawing>
          <wp:anchor distT="0" distB="0" distL="114300" distR="114300" simplePos="0" relativeHeight="251659264" behindDoc="1" locked="0" layoutInCell="1" allowOverlap="1">
            <wp:simplePos x="0" y="0"/>
            <wp:positionH relativeFrom="column">
              <wp:posOffset>-122555</wp:posOffset>
            </wp:positionH>
            <wp:positionV relativeFrom="paragraph">
              <wp:posOffset>-104140</wp:posOffset>
            </wp:positionV>
            <wp:extent cx="1889760" cy="1434465"/>
            <wp:effectExtent l="0" t="0" r="0" b="0"/>
            <wp:wrapTight wrapText="bothSides">
              <wp:wrapPolygon>
                <wp:start x="1394" y="7573"/>
                <wp:lineTo x="523" y="10097"/>
                <wp:lineTo x="348" y="13079"/>
                <wp:lineTo x="1916" y="13769"/>
                <wp:lineTo x="5574" y="14228"/>
                <wp:lineTo x="19684" y="14228"/>
                <wp:lineTo x="19510" y="7802"/>
                <wp:lineTo x="18290" y="7573"/>
                <wp:lineTo x="1394" y="7573"/>
              </wp:wrapPolygon>
            </wp:wrapTight>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9"/>
                    <a:stretch>
                      <a:fillRect/>
                    </a:stretch>
                  </pic:blipFill>
                  <pic:spPr>
                    <a:xfrm>
                      <a:off x="0" y="0"/>
                      <a:ext cx="1889760" cy="1434465"/>
                    </a:xfrm>
                    <a:prstGeom prst="rect">
                      <a:avLst/>
                    </a:prstGeom>
                    <a:noFill/>
                    <a:ln>
                      <a:noFill/>
                    </a:ln>
                  </pic:spPr>
                </pic:pic>
              </a:graphicData>
            </a:graphic>
          </wp:anchor>
        </w:drawing>
      </w:r>
      <w:r>
        <w:rPr>
          <w:rFonts w:hint="eastAsia"/>
          <w:color w:val="auto"/>
          <w:sz w:val="20"/>
          <w:highlight w:val="none"/>
        </w:rPr>
        <w:t xml:space="preserve"> </w:t>
      </w:r>
      <w:bookmarkEnd w:id="0"/>
      <w:bookmarkStart w:id="1" w:name="EBc1c964fd06f847058d3fdc2c2ed70bc5"/>
      <w:r>
        <w:rPr>
          <w:rFonts w:hint="eastAsia"/>
          <w:color w:val="auto"/>
          <w:sz w:val="20"/>
          <w:highlight w:val="none"/>
        </w:rPr>
        <w:t xml:space="preserve"> </w:t>
      </w:r>
      <w:bookmarkEnd w:id="1"/>
    </w:p>
    <w:p w14:paraId="427F2788">
      <w:pPr>
        <w:rPr>
          <w:color w:val="auto"/>
          <w:highlight w:val="none"/>
        </w:rPr>
      </w:pPr>
      <w:bookmarkStart w:id="2" w:name="EB8a959db76ce743f891661327323463ab"/>
      <w:r>
        <w:rPr>
          <w:rFonts w:hint="eastAsia"/>
          <w:color w:val="auto"/>
          <w:sz w:val="20"/>
          <w:highlight w:val="none"/>
        </w:rPr>
        <w:t xml:space="preserve"> </w:t>
      </w:r>
      <w:bookmarkEnd w:id="2"/>
    </w:p>
    <w:p w14:paraId="672F8BB7">
      <w:pPr>
        <w:rPr>
          <w:color w:val="auto"/>
          <w:highlight w:val="none"/>
        </w:rPr>
      </w:pPr>
    </w:p>
    <w:p w14:paraId="0762C64D">
      <w:pPr>
        <w:jc w:val="right"/>
        <w:rPr>
          <w:rFonts w:ascii="华文琥珀" w:eastAsia="华文琥珀"/>
          <w:color w:val="auto"/>
          <w:sz w:val="44"/>
          <w:szCs w:val="44"/>
          <w:highlight w:val="none"/>
        </w:rPr>
      </w:pPr>
    </w:p>
    <w:p w14:paraId="11387D2D">
      <w:pPr>
        <w:rPr>
          <w:rFonts w:ascii="华文琥珀" w:eastAsia="华文琥珀"/>
          <w:color w:val="auto"/>
          <w:sz w:val="36"/>
          <w:szCs w:val="36"/>
          <w:highlight w:val="none"/>
        </w:rPr>
      </w:pPr>
    </w:p>
    <w:p w14:paraId="072B048B">
      <w:pPr>
        <w:rPr>
          <w:rFonts w:ascii="华文琥珀" w:eastAsia="华文琥珀"/>
          <w:color w:val="auto"/>
          <w:sz w:val="36"/>
          <w:szCs w:val="36"/>
          <w:highlight w:val="none"/>
        </w:rPr>
      </w:pPr>
    </w:p>
    <w:p w14:paraId="13FF64E7">
      <w:pPr>
        <w:spacing w:line="360" w:lineRule="auto"/>
        <w:ind w:right="120"/>
        <w:jc w:val="center"/>
        <w:rPr>
          <w:rFonts w:hint="eastAsia" w:ascii="仿宋" w:hAnsi="仿宋" w:eastAsia="仿宋" w:cs="仿宋"/>
          <w:b/>
          <w:bCs/>
          <w:color w:val="auto"/>
          <w:sz w:val="52"/>
          <w:szCs w:val="52"/>
          <w:highlight w:val="none"/>
          <w:lang w:eastAsia="zh-CN"/>
        </w:rPr>
      </w:pPr>
      <w:r>
        <w:rPr>
          <w:rFonts w:hint="eastAsia" w:ascii="仿宋" w:hAnsi="仿宋" w:eastAsia="仿宋" w:cs="仿宋"/>
          <w:b/>
          <w:bCs/>
          <w:color w:val="auto"/>
          <w:sz w:val="52"/>
          <w:szCs w:val="52"/>
          <w:highlight w:val="none"/>
          <w:lang w:eastAsia="zh-CN"/>
        </w:rPr>
        <w:t>扬州市中医院（文昌路院区）</w:t>
      </w:r>
    </w:p>
    <w:p w14:paraId="25293DB3">
      <w:pPr>
        <w:spacing w:line="360" w:lineRule="auto"/>
        <w:ind w:right="120"/>
        <w:jc w:val="center"/>
        <w:rPr>
          <w:rFonts w:hint="eastAsia" w:ascii="仿宋" w:hAnsi="仿宋" w:eastAsia="仿宋" w:cs="仿宋"/>
          <w:b/>
          <w:bCs/>
          <w:color w:val="auto"/>
          <w:sz w:val="52"/>
          <w:szCs w:val="52"/>
          <w:highlight w:val="none"/>
          <w:lang w:eastAsia="zh-CN"/>
        </w:rPr>
      </w:pPr>
      <w:r>
        <w:rPr>
          <w:rFonts w:hint="eastAsia" w:ascii="仿宋" w:hAnsi="仿宋" w:eastAsia="仿宋" w:cs="仿宋"/>
          <w:b/>
          <w:bCs/>
          <w:color w:val="auto"/>
          <w:sz w:val="52"/>
          <w:szCs w:val="52"/>
          <w:highlight w:val="none"/>
          <w:lang w:eastAsia="zh-CN"/>
        </w:rPr>
        <w:t>能源托管服务</w:t>
      </w:r>
    </w:p>
    <w:p w14:paraId="40874D77">
      <w:pPr>
        <w:spacing w:line="360" w:lineRule="auto"/>
        <w:ind w:right="120"/>
        <w:jc w:val="center"/>
        <w:rPr>
          <w:rFonts w:hint="eastAsia" w:ascii="仿宋" w:hAnsi="仿宋" w:eastAsia="仿宋" w:cs="仿宋"/>
          <w:b/>
          <w:bCs/>
          <w:color w:val="auto"/>
          <w:sz w:val="48"/>
          <w:szCs w:val="48"/>
          <w:highlight w:val="none"/>
          <w:lang w:eastAsia="zh-CN"/>
        </w:rPr>
      </w:pPr>
    </w:p>
    <w:p w14:paraId="7FFA433B">
      <w:pPr>
        <w:spacing w:line="360" w:lineRule="auto"/>
        <w:ind w:right="120"/>
        <w:jc w:val="center"/>
        <w:rPr>
          <w:rFonts w:hint="eastAsia" w:ascii="仿宋" w:hAnsi="仿宋" w:eastAsia="仿宋" w:cs="仿宋"/>
          <w:b/>
          <w:bCs/>
          <w:color w:val="auto"/>
          <w:sz w:val="72"/>
          <w:szCs w:val="72"/>
          <w:highlight w:val="none"/>
        </w:rPr>
      </w:pPr>
      <w:r>
        <w:rPr>
          <w:rFonts w:hint="eastAsia" w:ascii="仿宋" w:hAnsi="仿宋" w:eastAsia="仿宋" w:cs="仿宋"/>
          <w:b/>
          <w:bCs/>
          <w:color w:val="auto"/>
          <w:sz w:val="72"/>
          <w:szCs w:val="72"/>
          <w:highlight w:val="none"/>
        </w:rPr>
        <w:t>招标文件</w:t>
      </w:r>
    </w:p>
    <w:p w14:paraId="2E55BE21">
      <w:pPr>
        <w:spacing w:line="360" w:lineRule="auto"/>
        <w:ind w:right="120"/>
        <w:jc w:val="center"/>
        <w:rPr>
          <w:rFonts w:hint="default" w:ascii="仿宋" w:hAnsi="仿宋" w:eastAsia="仿宋" w:cs="仿宋"/>
          <w:color w:val="auto"/>
          <w:sz w:val="40"/>
          <w:szCs w:val="40"/>
          <w:highlight w:val="none"/>
          <w:lang w:val="en-US" w:eastAsia="zh-CN"/>
        </w:rPr>
      </w:pPr>
      <w:r>
        <w:rPr>
          <w:rFonts w:hint="eastAsia" w:ascii="仿宋" w:hAnsi="仿宋" w:eastAsia="仿宋" w:cs="仿宋"/>
          <w:color w:val="auto"/>
          <w:sz w:val="40"/>
          <w:szCs w:val="40"/>
          <w:highlight w:val="none"/>
        </w:rPr>
        <w:t>项目编号：</w:t>
      </w:r>
      <w:r>
        <w:rPr>
          <w:rFonts w:hint="eastAsia" w:ascii="仿宋" w:hAnsi="仿宋" w:eastAsia="仿宋" w:cs="仿宋"/>
          <w:color w:val="auto"/>
          <w:sz w:val="40"/>
          <w:szCs w:val="40"/>
          <w:highlight w:val="none"/>
          <w:lang w:eastAsia="zh-CN"/>
        </w:rPr>
        <w:t>JSZC-321000-NJXD-G2026-0020</w:t>
      </w:r>
    </w:p>
    <w:p w14:paraId="67AF3D58">
      <w:pPr>
        <w:spacing w:line="360" w:lineRule="auto"/>
        <w:ind w:right="120"/>
        <w:jc w:val="center"/>
        <w:rPr>
          <w:rFonts w:hint="default" w:ascii="仿宋" w:hAnsi="仿宋" w:eastAsia="仿宋" w:cs="仿宋"/>
          <w:color w:val="auto"/>
          <w:sz w:val="40"/>
          <w:szCs w:val="40"/>
          <w:highlight w:val="none"/>
          <w:lang w:val="en-US" w:eastAsia="zh-CN"/>
        </w:rPr>
      </w:pPr>
      <w:r>
        <w:rPr>
          <w:rFonts w:hint="default" w:ascii="仿宋" w:hAnsi="仿宋" w:eastAsia="仿宋" w:cs="仿宋"/>
          <w:color w:val="auto"/>
          <w:sz w:val="40"/>
          <w:szCs w:val="40"/>
          <w:highlight w:val="none"/>
          <w:lang w:val="en-US" w:eastAsia="zh-CN"/>
        </w:rPr>
        <w:t>（</w:t>
      </w:r>
      <w:r>
        <w:rPr>
          <w:rFonts w:hint="eastAsia" w:ascii="仿宋" w:hAnsi="仿宋" w:eastAsia="仿宋" w:cs="仿宋"/>
          <w:color w:val="auto"/>
          <w:sz w:val="40"/>
          <w:szCs w:val="40"/>
          <w:highlight w:val="none"/>
          <w:lang w:val="en-US" w:eastAsia="zh-CN"/>
        </w:rPr>
        <w:t>服务</w:t>
      </w:r>
      <w:r>
        <w:rPr>
          <w:rFonts w:hint="default" w:ascii="仿宋" w:hAnsi="仿宋" w:eastAsia="仿宋" w:cs="仿宋"/>
          <w:color w:val="auto"/>
          <w:sz w:val="40"/>
          <w:szCs w:val="40"/>
          <w:highlight w:val="none"/>
          <w:lang w:val="en-US" w:eastAsia="zh-CN"/>
        </w:rPr>
        <w:t>类项目，</w:t>
      </w:r>
      <w:r>
        <w:rPr>
          <w:rFonts w:hint="default" w:ascii="仿宋" w:hAnsi="仿宋" w:eastAsia="仿宋" w:cs="仿宋"/>
          <w:color w:val="auto"/>
          <w:sz w:val="40"/>
          <w:szCs w:val="40"/>
          <w:highlight w:val="none"/>
          <w:u w:val="single"/>
          <w:lang w:val="en-US" w:eastAsia="zh-CN"/>
        </w:rPr>
        <w:t xml:space="preserve"> </w:t>
      </w:r>
      <w:r>
        <w:rPr>
          <w:rFonts w:hint="eastAsia" w:ascii="仿宋" w:hAnsi="仿宋" w:eastAsia="仿宋" w:cs="仿宋"/>
          <w:color w:val="auto"/>
          <w:sz w:val="40"/>
          <w:szCs w:val="40"/>
          <w:highlight w:val="none"/>
          <w:u w:val="single"/>
          <w:lang w:val="en-US" w:eastAsia="zh-CN"/>
        </w:rPr>
        <w:t>非</w:t>
      </w:r>
      <w:r>
        <w:rPr>
          <w:rFonts w:hint="default" w:ascii="仿宋" w:hAnsi="仿宋" w:eastAsia="仿宋" w:cs="仿宋"/>
          <w:color w:val="auto"/>
          <w:sz w:val="40"/>
          <w:szCs w:val="40"/>
          <w:highlight w:val="none"/>
          <w:u w:val="single"/>
          <w:lang w:val="en-US" w:eastAsia="zh-CN"/>
        </w:rPr>
        <w:t xml:space="preserve"> </w:t>
      </w:r>
      <w:r>
        <w:rPr>
          <w:rFonts w:hint="default" w:ascii="仿宋" w:hAnsi="仿宋" w:eastAsia="仿宋" w:cs="仿宋"/>
          <w:color w:val="auto"/>
          <w:sz w:val="40"/>
          <w:szCs w:val="40"/>
          <w:highlight w:val="none"/>
          <w:lang w:val="en-US" w:eastAsia="zh-CN"/>
        </w:rPr>
        <w:t>专门面向中小企业）</w:t>
      </w:r>
    </w:p>
    <w:p w14:paraId="55124A04">
      <w:pPr>
        <w:spacing w:line="360" w:lineRule="auto"/>
        <w:ind w:right="120"/>
        <w:jc w:val="center"/>
        <w:rPr>
          <w:rFonts w:hint="default" w:ascii="仿宋" w:hAnsi="仿宋" w:eastAsia="仿宋" w:cs="仿宋"/>
          <w:color w:val="auto"/>
          <w:sz w:val="40"/>
          <w:szCs w:val="40"/>
          <w:highlight w:val="none"/>
          <w:lang w:val="en-US" w:eastAsia="zh-CN"/>
        </w:rPr>
      </w:pPr>
      <w:r>
        <w:rPr>
          <w:rFonts w:hint="eastAsia" w:ascii="仿宋" w:hAnsi="仿宋" w:eastAsia="仿宋" w:cs="仿宋"/>
          <w:b/>
          <w:bCs/>
          <w:color w:val="FFFFFF" w:themeColor="background1"/>
          <w:sz w:val="72"/>
          <w:szCs w:val="72"/>
          <w:highlight w:val="none"/>
          <w:lang w:eastAsia="zh-CN"/>
          <w14:textFill>
            <w14:solidFill>
              <w14:schemeClr w14:val="bg1"/>
            </w14:solidFill>
          </w14:textFill>
        </w:rPr>
        <w:drawing>
          <wp:anchor distT="0" distB="0" distL="114300" distR="114300" simplePos="0" relativeHeight="251661312" behindDoc="0" locked="0" layoutInCell="1" allowOverlap="1">
            <wp:simplePos x="0" y="0"/>
            <wp:positionH relativeFrom="column">
              <wp:posOffset>-59690</wp:posOffset>
            </wp:positionH>
            <wp:positionV relativeFrom="page">
              <wp:posOffset>6356985</wp:posOffset>
            </wp:positionV>
            <wp:extent cx="5662930" cy="2211070"/>
            <wp:effectExtent l="0" t="0" r="13970" b="17780"/>
            <wp:wrapNone/>
            <wp:docPr id="89" name="图片 89" descr="05911ef592e8551b45b99a8c91f07f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05911ef592e8551b45b99a8c91f07f5a"/>
                    <pic:cNvPicPr>
                      <a:picLocks noChangeAspect="1"/>
                    </pic:cNvPicPr>
                  </pic:nvPicPr>
                  <pic:blipFill>
                    <a:blip r:embed="rId10"/>
                    <a:srcRect t="19049" b="15582"/>
                    <a:stretch>
                      <a:fillRect/>
                    </a:stretch>
                  </pic:blipFill>
                  <pic:spPr>
                    <a:xfrm>
                      <a:off x="0" y="0"/>
                      <a:ext cx="5662930" cy="2211070"/>
                    </a:xfrm>
                    <a:prstGeom prst="rect">
                      <a:avLst/>
                    </a:prstGeom>
                  </pic:spPr>
                </pic:pic>
              </a:graphicData>
            </a:graphic>
          </wp:anchor>
        </w:drawing>
      </w:r>
    </w:p>
    <w:p w14:paraId="748697C4">
      <w:pPr>
        <w:spacing w:line="360" w:lineRule="auto"/>
        <w:ind w:right="120"/>
        <w:jc w:val="center"/>
        <w:rPr>
          <w:rFonts w:hint="default" w:ascii="仿宋" w:hAnsi="仿宋" w:eastAsia="仿宋" w:cs="仿宋"/>
          <w:color w:val="auto"/>
          <w:sz w:val="40"/>
          <w:szCs w:val="40"/>
          <w:highlight w:val="none"/>
          <w:lang w:val="en-US" w:eastAsia="zh-CN"/>
        </w:rPr>
      </w:pPr>
    </w:p>
    <w:p w14:paraId="5668605E">
      <w:pPr>
        <w:spacing w:line="360" w:lineRule="auto"/>
        <w:ind w:right="120"/>
        <w:jc w:val="center"/>
        <w:rPr>
          <w:rFonts w:hint="default" w:ascii="仿宋" w:hAnsi="仿宋" w:eastAsia="仿宋" w:cs="仿宋"/>
          <w:color w:val="auto"/>
          <w:sz w:val="40"/>
          <w:szCs w:val="40"/>
          <w:highlight w:val="none"/>
          <w:lang w:val="en-US" w:eastAsia="zh-CN"/>
        </w:rPr>
      </w:pPr>
    </w:p>
    <w:p w14:paraId="2824322A">
      <w:pPr>
        <w:spacing w:line="500" w:lineRule="exact"/>
        <w:ind w:firstLine="0"/>
        <w:jc w:val="left"/>
        <w:rPr>
          <w:rFonts w:ascii="仿宋" w:hAnsi="仿宋" w:eastAsia="仿宋" w:cs="仿宋"/>
          <w:b/>
          <w:bCs/>
          <w:color w:val="auto"/>
          <w:sz w:val="36"/>
          <w:szCs w:val="36"/>
          <w:highlight w:val="none"/>
        </w:rPr>
      </w:pPr>
    </w:p>
    <w:p w14:paraId="6D7E5E78">
      <w:pPr>
        <w:spacing w:line="500" w:lineRule="exact"/>
        <w:ind w:firstLine="0"/>
        <w:jc w:val="left"/>
        <w:rPr>
          <w:rFonts w:ascii="仿宋" w:hAnsi="仿宋" w:eastAsia="仿宋" w:cs="仿宋"/>
          <w:b/>
          <w:bCs/>
          <w:color w:val="auto"/>
          <w:sz w:val="36"/>
          <w:szCs w:val="36"/>
          <w:highlight w:val="none"/>
        </w:rPr>
      </w:pPr>
    </w:p>
    <w:p w14:paraId="2A9627CA">
      <w:pPr>
        <w:spacing w:line="500" w:lineRule="exact"/>
        <w:ind w:firstLine="0"/>
        <w:jc w:val="left"/>
        <w:rPr>
          <w:rFonts w:ascii="仿宋" w:hAnsi="仿宋" w:eastAsia="仿宋" w:cs="仿宋"/>
          <w:b/>
          <w:bCs/>
          <w:color w:val="auto"/>
          <w:sz w:val="36"/>
          <w:szCs w:val="36"/>
          <w:highlight w:val="none"/>
        </w:rPr>
      </w:pPr>
    </w:p>
    <w:p w14:paraId="6EADE126">
      <w:pPr>
        <w:rPr>
          <w:rFonts w:ascii="仿宋" w:hAnsi="仿宋" w:eastAsia="仿宋" w:cs="仿宋"/>
          <w:b/>
          <w:bCs/>
          <w:color w:val="auto"/>
          <w:sz w:val="20"/>
          <w:highlight w:val="none"/>
        </w:rPr>
      </w:pPr>
    </w:p>
    <w:p w14:paraId="176249C7">
      <w:pPr>
        <w:spacing w:line="360" w:lineRule="auto"/>
        <w:jc w:val="center"/>
        <w:rPr>
          <w:rFonts w:ascii="仿宋" w:hAnsi="仿宋" w:eastAsia="仿宋" w:cs="仿宋"/>
          <w:color w:val="auto"/>
          <w:sz w:val="36"/>
          <w:szCs w:val="36"/>
          <w:highlight w:val="none"/>
        </w:rPr>
      </w:pPr>
      <w:bookmarkStart w:id="3" w:name="EB5363b5248a06437789e99aa307b1adaa"/>
      <w:r>
        <w:rPr>
          <w:rFonts w:hint="eastAsia" w:ascii="仿宋" w:hAnsi="仿宋" w:eastAsia="仿宋" w:cs="仿宋"/>
          <w:color w:val="auto"/>
          <w:sz w:val="36"/>
          <w:szCs w:val="36"/>
          <w:highlight w:val="none"/>
          <w:lang w:val="en-US" w:eastAsia="zh-CN"/>
        </w:rPr>
        <w:t xml:space="preserve"> </w:t>
      </w:r>
      <w:bookmarkEnd w:id="3"/>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代理机构</w:t>
      </w:r>
      <w:r>
        <w:rPr>
          <w:rFonts w:hint="eastAsia" w:ascii="仿宋" w:hAnsi="仿宋" w:eastAsia="仿宋" w:cs="仿宋"/>
          <w:color w:val="auto"/>
          <w:sz w:val="36"/>
          <w:szCs w:val="36"/>
          <w:highlight w:val="none"/>
          <w:lang w:eastAsia="zh-CN"/>
        </w:rPr>
        <w:t>：</w:t>
      </w:r>
      <w:r>
        <w:rPr>
          <w:rFonts w:hint="eastAsia" w:ascii="仿宋" w:hAnsi="仿宋" w:eastAsia="仿宋" w:cs="仿宋"/>
          <w:color w:val="auto"/>
          <w:sz w:val="36"/>
          <w:szCs w:val="36"/>
          <w:highlight w:val="none"/>
        </w:rPr>
        <w:t>南京相度工程咨询有限公司</w:t>
      </w:r>
    </w:p>
    <w:p w14:paraId="50B9FED6">
      <w:pPr>
        <w:jc w:val="center"/>
        <w:rPr>
          <w:rFonts w:ascii="仿宋" w:hAnsi="仿宋" w:eastAsia="仿宋" w:cs="仿宋"/>
          <w:color w:val="auto"/>
          <w:highlight w:val="none"/>
        </w:rPr>
      </w:pPr>
      <w:r>
        <w:rPr>
          <w:rFonts w:hint="eastAsia" w:ascii="仿宋" w:hAnsi="仿宋" w:eastAsia="仿宋" w:cs="仿宋"/>
          <w:color w:val="auto"/>
          <w:sz w:val="36"/>
          <w:szCs w:val="36"/>
          <w:highlight w:val="none"/>
        </w:rPr>
        <w:t>日期</w:t>
      </w:r>
      <w:r>
        <w:rPr>
          <w:rFonts w:hint="eastAsia" w:ascii="仿宋" w:hAnsi="仿宋" w:eastAsia="仿宋" w:cs="仿宋"/>
          <w:color w:val="auto"/>
          <w:sz w:val="36"/>
          <w:szCs w:val="36"/>
          <w:highlight w:val="none"/>
          <w:lang w:eastAsia="zh-CN"/>
        </w:rPr>
        <w:t>：</w:t>
      </w:r>
      <w:r>
        <w:rPr>
          <w:rFonts w:hint="eastAsia" w:ascii="仿宋" w:hAnsi="仿宋" w:eastAsia="仿宋" w:cs="仿宋"/>
          <w:color w:val="auto"/>
          <w:sz w:val="36"/>
          <w:szCs w:val="36"/>
          <w:highlight w:val="none"/>
        </w:rPr>
        <w:t>202</w:t>
      </w:r>
      <w:r>
        <w:rPr>
          <w:rFonts w:hint="eastAsia" w:ascii="仿宋" w:hAnsi="仿宋" w:eastAsia="仿宋" w:cs="仿宋"/>
          <w:color w:val="auto"/>
          <w:sz w:val="36"/>
          <w:szCs w:val="36"/>
          <w:highlight w:val="none"/>
          <w:lang w:val="en-US" w:eastAsia="zh-CN"/>
        </w:rPr>
        <w:t>6</w:t>
      </w:r>
      <w:r>
        <w:rPr>
          <w:rFonts w:hint="eastAsia" w:ascii="仿宋" w:hAnsi="仿宋" w:eastAsia="仿宋" w:cs="仿宋"/>
          <w:color w:val="auto"/>
          <w:sz w:val="36"/>
          <w:szCs w:val="36"/>
          <w:highlight w:val="none"/>
        </w:rPr>
        <w:t>年</w:t>
      </w:r>
      <w:r>
        <w:rPr>
          <w:rFonts w:hint="eastAsia" w:ascii="仿宋" w:hAnsi="仿宋" w:eastAsia="仿宋" w:cs="仿宋"/>
          <w:color w:val="auto"/>
          <w:sz w:val="36"/>
          <w:szCs w:val="36"/>
          <w:highlight w:val="none"/>
          <w:lang w:val="en-US" w:eastAsia="zh-CN"/>
        </w:rPr>
        <w:t>4</w:t>
      </w:r>
      <w:r>
        <w:rPr>
          <w:rFonts w:hint="eastAsia" w:ascii="仿宋" w:hAnsi="仿宋" w:eastAsia="仿宋" w:cs="仿宋"/>
          <w:color w:val="auto"/>
          <w:sz w:val="36"/>
          <w:szCs w:val="36"/>
          <w:highlight w:val="none"/>
        </w:rPr>
        <w:t>月</w:t>
      </w:r>
    </w:p>
    <w:p w14:paraId="327F7DDD">
      <w:pPr>
        <w:spacing w:before="312" w:after="312"/>
        <w:jc w:val="center"/>
        <w:rPr>
          <w:rFonts w:ascii="宋体" w:hAnsi="Calibri"/>
          <w:b/>
          <w:color w:val="auto"/>
          <w:sz w:val="52"/>
          <w:szCs w:val="22"/>
          <w:highlight w:val="none"/>
        </w:rPr>
      </w:pPr>
      <w:r>
        <w:rPr>
          <w:rFonts w:hint="eastAsia" w:ascii="宋体"/>
          <w:b/>
          <w:color w:val="auto"/>
          <w:sz w:val="52"/>
          <w:highlight w:val="none"/>
        </w:rPr>
        <w:br w:type="page" w:clear="all"/>
      </w:r>
      <w:r>
        <w:rPr>
          <w:rFonts w:hint="eastAsia" w:ascii="黑体" w:hAnsi="黑体" w:eastAsia="黑体" w:cs="黑体"/>
          <w:b/>
          <w:color w:val="auto"/>
          <w:sz w:val="44"/>
          <w:szCs w:val="44"/>
          <w:highlight w:val="none"/>
        </w:rPr>
        <w:t>目  录</w:t>
      </w:r>
      <w:r>
        <w:rPr>
          <w:rFonts w:ascii="宋体" w:hAnsi="宋体"/>
          <w:b/>
          <w:color w:val="auto"/>
          <w:sz w:val="32"/>
          <w:szCs w:val="32"/>
          <w:highlight w:val="none"/>
        </w:rPr>
        <w:fldChar w:fldCharType="begin"/>
      </w:r>
      <w:r>
        <w:rPr>
          <w:rFonts w:ascii="宋体" w:hAnsi="宋体"/>
          <w:b/>
          <w:color w:val="auto"/>
          <w:sz w:val="32"/>
          <w:szCs w:val="32"/>
          <w:highlight w:val="none"/>
        </w:rPr>
        <w:instrText xml:space="preserve"> </w:instrText>
      </w:r>
      <w:r>
        <w:rPr>
          <w:rFonts w:hint="eastAsia" w:ascii="宋体" w:hAnsi="宋体"/>
          <w:b/>
          <w:color w:val="auto"/>
          <w:sz w:val="32"/>
          <w:szCs w:val="32"/>
          <w:highlight w:val="none"/>
        </w:rPr>
        <w:instrText xml:space="preserve">TOC \o "1-3" \h \z \u</w:instrText>
      </w:r>
      <w:r>
        <w:rPr>
          <w:rFonts w:ascii="宋体" w:hAnsi="宋体"/>
          <w:b/>
          <w:color w:val="auto"/>
          <w:sz w:val="32"/>
          <w:szCs w:val="32"/>
          <w:highlight w:val="none"/>
        </w:rPr>
        <w:instrText xml:space="preserve"> </w:instrText>
      </w:r>
      <w:r>
        <w:rPr>
          <w:rFonts w:ascii="宋体" w:hAnsi="宋体"/>
          <w:b/>
          <w:color w:val="auto"/>
          <w:sz w:val="32"/>
          <w:szCs w:val="32"/>
          <w:highlight w:val="none"/>
        </w:rPr>
        <w:fldChar w:fldCharType="separate"/>
      </w:r>
    </w:p>
    <w:p w14:paraId="68C1DEF5">
      <w:pPr>
        <w:spacing w:before="312" w:after="312"/>
        <w:rPr>
          <w:color w:val="auto"/>
          <w:highlight w:val="none"/>
        </w:rPr>
      </w:pPr>
      <w:r>
        <w:rPr>
          <w:rFonts w:ascii="宋体"/>
          <w:b/>
          <w:color w:val="auto"/>
          <w:sz w:val="52"/>
          <w:highlight w:val="none"/>
        </w:rPr>
        <w:fldChar w:fldCharType="end"/>
      </w:r>
    </w:p>
    <w:sdt>
      <w:sdtPr>
        <w:rPr>
          <w:rFonts w:ascii="宋体" w:hAnsi="宋体" w:eastAsia="宋体"/>
          <w:color w:val="auto"/>
          <w:sz w:val="21"/>
          <w:highlight w:val="none"/>
        </w:rPr>
        <w:id w:val="147469067"/>
        <w15:color w:val="DBDBDB"/>
        <w:docPartObj>
          <w:docPartGallery w:val="Table of Contents"/>
          <w:docPartUnique/>
        </w:docPartObj>
      </w:sdtPr>
      <w:sdtEndPr>
        <w:rPr>
          <w:rFonts w:hint="eastAsia" w:ascii="仿宋" w:hAnsi="仿宋" w:eastAsia="仿宋" w:cs="仿宋"/>
          <w:color w:val="auto"/>
          <w:sz w:val="28"/>
          <w:szCs w:val="28"/>
          <w:highlight w:val="none"/>
        </w:rPr>
      </w:sdtEndPr>
      <w:sdtContent>
        <w:p w14:paraId="722580F1">
          <w:pPr>
            <w:spacing w:before="312" w:after="312"/>
            <w:rPr>
              <w:color w:val="auto"/>
              <w:highlight w:val="none"/>
            </w:rPr>
          </w:pPr>
        </w:p>
        <w:p w14:paraId="2D8711D4">
          <w:pPr>
            <w:pStyle w:val="26"/>
            <w:keepNext w:val="0"/>
            <w:keepLines w:val="0"/>
            <w:pageBreakBefore w:val="0"/>
            <w:widowControl w:val="0"/>
            <w:tabs>
              <w:tab w:val="right" w:leader="dot" w:pos="8844"/>
            </w:tabs>
            <w:kinsoku/>
            <w:wordWrap/>
            <w:overflowPunct/>
            <w:topLinePunct w:val="0"/>
            <w:autoSpaceDE/>
            <w:autoSpaceDN/>
            <w:bidi w:val="0"/>
            <w:adjustRightInd/>
            <w:snapToGrid/>
            <w:spacing w:after="0" w:line="360" w:lineRule="auto"/>
            <w:textAlignment w:val="auto"/>
            <w:rPr>
              <w:rFonts w:hint="eastAsia" w:ascii="仿宋" w:hAnsi="仿宋" w:eastAsia="仿宋" w:cs="仿宋"/>
              <w:sz w:val="28"/>
              <w:szCs w:val="28"/>
              <w:highlight w:val="none"/>
            </w:rPr>
          </w:pPr>
          <w:r>
            <w:rPr>
              <w:rFonts w:hint="eastAsia" w:ascii="仿宋" w:hAnsi="仿宋" w:eastAsia="仿宋" w:cs="仿宋"/>
              <w:b/>
              <w:color w:val="auto"/>
              <w:sz w:val="28"/>
              <w:szCs w:val="28"/>
              <w:highlight w:val="none"/>
            </w:rPr>
            <w:fldChar w:fldCharType="begin"/>
          </w:r>
          <w:r>
            <w:rPr>
              <w:rFonts w:hint="eastAsia" w:ascii="仿宋" w:hAnsi="仿宋" w:eastAsia="仿宋" w:cs="仿宋"/>
              <w:b/>
              <w:color w:val="auto"/>
              <w:sz w:val="28"/>
              <w:szCs w:val="28"/>
              <w:highlight w:val="none"/>
            </w:rPr>
            <w:instrText xml:space="preserve">TOC \o "1-1" \h \u </w:instrText>
          </w:r>
          <w:r>
            <w:rPr>
              <w:rFonts w:hint="eastAsia" w:ascii="仿宋" w:hAnsi="仿宋" w:eastAsia="仿宋" w:cs="仿宋"/>
              <w:b/>
              <w:color w:val="auto"/>
              <w:sz w:val="28"/>
              <w:szCs w:val="28"/>
              <w:highlight w:val="none"/>
            </w:rPr>
            <w:fldChar w:fldCharType="separate"/>
          </w:r>
          <w:r>
            <w:rPr>
              <w:rFonts w:hint="eastAsia" w:ascii="仿宋" w:hAnsi="仿宋" w:eastAsia="仿宋" w:cs="仿宋"/>
              <w:color w:val="auto"/>
              <w:sz w:val="28"/>
              <w:szCs w:val="28"/>
              <w:highlight w:val="none"/>
            </w:rPr>
            <w:fldChar w:fldCharType="begin"/>
          </w:r>
          <w:r>
            <w:rPr>
              <w:rFonts w:hint="eastAsia" w:ascii="仿宋" w:hAnsi="仿宋" w:eastAsia="仿宋" w:cs="仿宋"/>
              <w:sz w:val="28"/>
              <w:szCs w:val="28"/>
              <w:highlight w:val="none"/>
            </w:rPr>
            <w:instrText xml:space="preserve"> HYPERLINK \l _Toc24951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第一部分  招标公告</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_Toc24951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1</w:t>
          </w:r>
          <w:r>
            <w:rPr>
              <w:rFonts w:hint="eastAsia" w:ascii="仿宋" w:hAnsi="仿宋" w:eastAsia="仿宋" w:cs="仿宋"/>
              <w:sz w:val="28"/>
              <w:szCs w:val="28"/>
              <w:highlight w:val="none"/>
            </w:rPr>
            <w:fldChar w:fldCharType="end"/>
          </w:r>
          <w:r>
            <w:rPr>
              <w:rFonts w:hint="eastAsia" w:ascii="仿宋" w:hAnsi="仿宋" w:eastAsia="仿宋" w:cs="仿宋"/>
              <w:color w:val="auto"/>
              <w:sz w:val="28"/>
              <w:szCs w:val="28"/>
              <w:highlight w:val="none"/>
            </w:rPr>
            <w:fldChar w:fldCharType="end"/>
          </w:r>
        </w:p>
        <w:p w14:paraId="56718068">
          <w:pPr>
            <w:pStyle w:val="26"/>
            <w:keepNext w:val="0"/>
            <w:keepLines w:val="0"/>
            <w:pageBreakBefore w:val="0"/>
            <w:widowControl w:val="0"/>
            <w:tabs>
              <w:tab w:val="right" w:leader="dot" w:pos="8844"/>
            </w:tabs>
            <w:kinsoku/>
            <w:wordWrap/>
            <w:overflowPunct/>
            <w:topLinePunct w:val="0"/>
            <w:autoSpaceDE/>
            <w:autoSpaceDN/>
            <w:bidi w:val="0"/>
            <w:adjustRightInd/>
            <w:snapToGrid/>
            <w:spacing w:after="0" w:line="360" w:lineRule="auto"/>
            <w:textAlignment w:val="auto"/>
            <w:rPr>
              <w:rFonts w:hint="eastAsia" w:ascii="仿宋" w:hAnsi="仿宋" w:eastAsia="仿宋" w:cs="仿宋"/>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sz w:val="28"/>
              <w:szCs w:val="28"/>
              <w:highlight w:val="none"/>
            </w:rPr>
            <w:instrText xml:space="preserve"> HYPERLINK \l _Toc10141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 xml:space="preserve">第二部分  </w:t>
          </w:r>
          <w:r>
            <w:rPr>
              <w:rFonts w:hint="eastAsia" w:ascii="仿宋" w:hAnsi="仿宋" w:eastAsia="仿宋" w:cs="仿宋"/>
              <w:sz w:val="28"/>
              <w:szCs w:val="28"/>
              <w:highlight w:val="none"/>
              <w:lang w:val="en-US" w:eastAsia="zh-CN"/>
            </w:rPr>
            <w:t>投标人</w:t>
          </w:r>
          <w:r>
            <w:rPr>
              <w:rFonts w:hint="eastAsia" w:ascii="仿宋" w:hAnsi="仿宋" w:eastAsia="仿宋" w:cs="仿宋"/>
              <w:sz w:val="28"/>
              <w:szCs w:val="28"/>
              <w:highlight w:val="none"/>
            </w:rPr>
            <w:t>须知</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_Toc10141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7</w:t>
          </w:r>
          <w:r>
            <w:rPr>
              <w:rFonts w:hint="eastAsia" w:ascii="仿宋" w:hAnsi="仿宋" w:eastAsia="仿宋" w:cs="仿宋"/>
              <w:sz w:val="28"/>
              <w:szCs w:val="28"/>
              <w:highlight w:val="none"/>
            </w:rPr>
            <w:fldChar w:fldCharType="end"/>
          </w:r>
          <w:r>
            <w:rPr>
              <w:rFonts w:hint="eastAsia" w:ascii="仿宋" w:hAnsi="仿宋" w:eastAsia="仿宋" w:cs="仿宋"/>
              <w:color w:val="auto"/>
              <w:sz w:val="28"/>
              <w:szCs w:val="28"/>
              <w:highlight w:val="none"/>
            </w:rPr>
            <w:fldChar w:fldCharType="end"/>
          </w:r>
        </w:p>
        <w:p w14:paraId="00000602">
          <w:pPr>
            <w:pStyle w:val="26"/>
            <w:keepNext w:val="0"/>
            <w:keepLines w:val="0"/>
            <w:pageBreakBefore w:val="0"/>
            <w:widowControl w:val="0"/>
            <w:tabs>
              <w:tab w:val="right" w:leader="dot" w:pos="8844"/>
            </w:tabs>
            <w:kinsoku/>
            <w:wordWrap/>
            <w:overflowPunct/>
            <w:topLinePunct w:val="0"/>
            <w:autoSpaceDE/>
            <w:autoSpaceDN/>
            <w:bidi w:val="0"/>
            <w:adjustRightInd/>
            <w:snapToGrid/>
            <w:spacing w:after="0" w:line="360" w:lineRule="auto"/>
            <w:textAlignment w:val="auto"/>
            <w:rPr>
              <w:rFonts w:hint="eastAsia" w:ascii="仿宋" w:hAnsi="仿宋" w:eastAsia="仿宋" w:cs="仿宋"/>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sz w:val="28"/>
              <w:szCs w:val="28"/>
              <w:highlight w:val="none"/>
            </w:rPr>
            <w:instrText xml:space="preserve"> HYPERLINK \l _Toc24088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第</w:t>
          </w:r>
          <w:r>
            <w:rPr>
              <w:rFonts w:hint="eastAsia" w:ascii="仿宋" w:hAnsi="仿宋" w:eastAsia="仿宋" w:cs="仿宋"/>
              <w:sz w:val="28"/>
              <w:szCs w:val="28"/>
              <w:highlight w:val="none"/>
              <w:lang w:val="en-US" w:eastAsia="zh-CN"/>
            </w:rPr>
            <w:t>三</w:t>
          </w:r>
          <w:r>
            <w:rPr>
              <w:rFonts w:hint="eastAsia" w:ascii="仿宋" w:hAnsi="仿宋" w:eastAsia="仿宋" w:cs="仿宋"/>
              <w:sz w:val="28"/>
              <w:szCs w:val="28"/>
              <w:highlight w:val="none"/>
            </w:rPr>
            <w:t>部分  合同</w:t>
          </w:r>
          <w:r>
            <w:rPr>
              <w:rFonts w:hint="eastAsia" w:ascii="仿宋" w:hAnsi="仿宋" w:eastAsia="仿宋" w:cs="仿宋"/>
              <w:sz w:val="28"/>
              <w:szCs w:val="28"/>
              <w:highlight w:val="none"/>
              <w:lang w:val="en-US" w:eastAsia="zh-CN"/>
            </w:rPr>
            <w:t>文本</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_Toc24088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31</w:t>
          </w:r>
          <w:r>
            <w:rPr>
              <w:rFonts w:hint="eastAsia" w:ascii="仿宋" w:hAnsi="仿宋" w:eastAsia="仿宋" w:cs="仿宋"/>
              <w:sz w:val="28"/>
              <w:szCs w:val="28"/>
              <w:highlight w:val="none"/>
            </w:rPr>
            <w:fldChar w:fldCharType="end"/>
          </w:r>
          <w:r>
            <w:rPr>
              <w:rFonts w:hint="eastAsia" w:ascii="仿宋" w:hAnsi="仿宋" w:eastAsia="仿宋" w:cs="仿宋"/>
              <w:color w:val="auto"/>
              <w:sz w:val="28"/>
              <w:szCs w:val="28"/>
              <w:highlight w:val="none"/>
            </w:rPr>
            <w:fldChar w:fldCharType="end"/>
          </w:r>
        </w:p>
        <w:p w14:paraId="66299655">
          <w:pPr>
            <w:pStyle w:val="26"/>
            <w:keepNext w:val="0"/>
            <w:keepLines w:val="0"/>
            <w:pageBreakBefore w:val="0"/>
            <w:widowControl w:val="0"/>
            <w:tabs>
              <w:tab w:val="right" w:leader="dot" w:pos="8844"/>
            </w:tabs>
            <w:kinsoku/>
            <w:wordWrap/>
            <w:overflowPunct/>
            <w:topLinePunct w:val="0"/>
            <w:autoSpaceDE/>
            <w:autoSpaceDN/>
            <w:bidi w:val="0"/>
            <w:adjustRightInd/>
            <w:snapToGrid/>
            <w:spacing w:after="0" w:line="360" w:lineRule="auto"/>
            <w:textAlignment w:val="auto"/>
            <w:rPr>
              <w:rFonts w:hint="eastAsia" w:ascii="仿宋" w:hAnsi="仿宋" w:eastAsia="仿宋" w:cs="仿宋"/>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sz w:val="28"/>
              <w:szCs w:val="28"/>
              <w:highlight w:val="none"/>
            </w:rPr>
            <w:instrText xml:space="preserve"> HYPERLINK \l _Toc25166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第四部分  采购需求</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_Toc25166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45</w:t>
          </w:r>
          <w:r>
            <w:rPr>
              <w:rFonts w:hint="eastAsia" w:ascii="仿宋" w:hAnsi="仿宋" w:eastAsia="仿宋" w:cs="仿宋"/>
              <w:sz w:val="28"/>
              <w:szCs w:val="28"/>
              <w:highlight w:val="none"/>
            </w:rPr>
            <w:fldChar w:fldCharType="end"/>
          </w:r>
          <w:r>
            <w:rPr>
              <w:rFonts w:hint="eastAsia" w:ascii="仿宋" w:hAnsi="仿宋" w:eastAsia="仿宋" w:cs="仿宋"/>
              <w:color w:val="auto"/>
              <w:sz w:val="28"/>
              <w:szCs w:val="28"/>
              <w:highlight w:val="none"/>
            </w:rPr>
            <w:fldChar w:fldCharType="end"/>
          </w:r>
        </w:p>
        <w:p w14:paraId="5185F916">
          <w:pPr>
            <w:pStyle w:val="26"/>
            <w:keepNext w:val="0"/>
            <w:keepLines w:val="0"/>
            <w:pageBreakBefore w:val="0"/>
            <w:widowControl w:val="0"/>
            <w:tabs>
              <w:tab w:val="right" w:leader="dot" w:pos="8844"/>
            </w:tabs>
            <w:kinsoku/>
            <w:wordWrap/>
            <w:overflowPunct/>
            <w:topLinePunct w:val="0"/>
            <w:autoSpaceDE/>
            <w:autoSpaceDN/>
            <w:bidi w:val="0"/>
            <w:adjustRightInd/>
            <w:snapToGrid/>
            <w:spacing w:after="0" w:line="360" w:lineRule="auto"/>
            <w:textAlignment w:val="auto"/>
            <w:rPr>
              <w:rFonts w:hint="eastAsia" w:ascii="仿宋" w:hAnsi="仿宋" w:eastAsia="仿宋" w:cs="仿宋"/>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sz w:val="28"/>
              <w:szCs w:val="28"/>
              <w:highlight w:val="none"/>
            </w:rPr>
            <w:instrText xml:space="preserve"> HYPERLINK \l _Toc22378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第</w:t>
          </w:r>
          <w:r>
            <w:rPr>
              <w:rFonts w:hint="eastAsia" w:ascii="仿宋" w:hAnsi="仿宋" w:eastAsia="仿宋" w:cs="仿宋"/>
              <w:sz w:val="28"/>
              <w:szCs w:val="28"/>
              <w:highlight w:val="none"/>
              <w:lang w:val="en-US" w:eastAsia="zh-CN"/>
            </w:rPr>
            <w:t>五</w:t>
          </w:r>
          <w:r>
            <w:rPr>
              <w:rFonts w:hint="eastAsia" w:ascii="仿宋" w:hAnsi="仿宋" w:eastAsia="仿宋" w:cs="仿宋"/>
              <w:sz w:val="28"/>
              <w:szCs w:val="28"/>
              <w:highlight w:val="none"/>
            </w:rPr>
            <w:t>部分  评标方法</w:t>
          </w:r>
          <w:r>
            <w:rPr>
              <w:rFonts w:hint="eastAsia" w:ascii="仿宋" w:hAnsi="仿宋" w:eastAsia="仿宋" w:cs="仿宋"/>
              <w:sz w:val="28"/>
              <w:szCs w:val="28"/>
              <w:highlight w:val="none"/>
              <w:lang w:val="en-US" w:eastAsia="zh-CN"/>
            </w:rPr>
            <w:t>和</w:t>
          </w:r>
          <w:r>
            <w:rPr>
              <w:rFonts w:hint="eastAsia" w:ascii="仿宋" w:hAnsi="仿宋" w:eastAsia="仿宋" w:cs="仿宋"/>
              <w:sz w:val="28"/>
              <w:szCs w:val="28"/>
              <w:highlight w:val="none"/>
            </w:rPr>
            <w:t>标准</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_Toc22378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78</w:t>
          </w:r>
          <w:r>
            <w:rPr>
              <w:rFonts w:hint="eastAsia" w:ascii="仿宋" w:hAnsi="仿宋" w:eastAsia="仿宋" w:cs="仿宋"/>
              <w:sz w:val="28"/>
              <w:szCs w:val="28"/>
              <w:highlight w:val="none"/>
            </w:rPr>
            <w:fldChar w:fldCharType="end"/>
          </w:r>
          <w:r>
            <w:rPr>
              <w:rFonts w:hint="eastAsia" w:ascii="仿宋" w:hAnsi="仿宋" w:eastAsia="仿宋" w:cs="仿宋"/>
              <w:color w:val="auto"/>
              <w:sz w:val="28"/>
              <w:szCs w:val="28"/>
              <w:highlight w:val="none"/>
            </w:rPr>
            <w:fldChar w:fldCharType="end"/>
          </w:r>
        </w:p>
        <w:p w14:paraId="7C1106D5">
          <w:pPr>
            <w:pStyle w:val="26"/>
            <w:keepNext w:val="0"/>
            <w:keepLines w:val="0"/>
            <w:pageBreakBefore w:val="0"/>
            <w:widowControl w:val="0"/>
            <w:tabs>
              <w:tab w:val="right" w:leader="dot" w:pos="8844"/>
            </w:tabs>
            <w:kinsoku/>
            <w:wordWrap/>
            <w:overflowPunct/>
            <w:topLinePunct w:val="0"/>
            <w:autoSpaceDE/>
            <w:autoSpaceDN/>
            <w:bidi w:val="0"/>
            <w:adjustRightInd/>
            <w:snapToGrid/>
            <w:spacing w:after="0" w:line="360" w:lineRule="auto"/>
            <w:textAlignment w:val="auto"/>
            <w:rPr>
              <w:rFonts w:hint="eastAsia" w:ascii="仿宋" w:hAnsi="仿宋" w:eastAsia="仿宋" w:cs="仿宋"/>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sz w:val="28"/>
              <w:szCs w:val="28"/>
              <w:highlight w:val="none"/>
            </w:rPr>
            <w:instrText xml:space="preserve"> HYPERLINK \l _Toc18639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第六部分  投标文件格式</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_Toc18639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85</w:t>
          </w:r>
          <w:r>
            <w:rPr>
              <w:rFonts w:hint="eastAsia" w:ascii="仿宋" w:hAnsi="仿宋" w:eastAsia="仿宋" w:cs="仿宋"/>
              <w:sz w:val="28"/>
              <w:szCs w:val="28"/>
              <w:highlight w:val="none"/>
            </w:rPr>
            <w:fldChar w:fldCharType="end"/>
          </w:r>
          <w:r>
            <w:rPr>
              <w:rFonts w:hint="eastAsia" w:ascii="仿宋" w:hAnsi="仿宋" w:eastAsia="仿宋" w:cs="仿宋"/>
              <w:color w:val="auto"/>
              <w:sz w:val="28"/>
              <w:szCs w:val="28"/>
              <w:highlight w:val="none"/>
            </w:rPr>
            <w:fldChar w:fldCharType="end"/>
          </w:r>
        </w:p>
        <w:p w14:paraId="1B29EFFA">
          <w:pPr>
            <w:pStyle w:val="26"/>
            <w:tabs>
              <w:tab w:val="right" w:leader="dot" w:pos="8844"/>
            </w:tabs>
            <w:rPr>
              <w:highlight w:val="none"/>
            </w:rPr>
          </w:pPr>
        </w:p>
        <w:p w14:paraId="6CAC507A">
          <w:pPr>
            <w:keepNext w:val="0"/>
            <w:keepLines w:val="0"/>
            <w:pageBreakBefore w:val="0"/>
            <w:widowControl w:val="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color w:val="auto"/>
              <w:szCs w:val="28"/>
              <w:highlight w:val="none"/>
            </w:rPr>
            <w:fldChar w:fldCharType="end"/>
          </w:r>
        </w:p>
      </w:sdtContent>
    </w:sdt>
    <w:p w14:paraId="7DE24D87">
      <w:pPr>
        <w:pStyle w:val="228"/>
        <w:spacing w:line="360" w:lineRule="auto"/>
        <w:jc w:val="center"/>
        <w:rPr>
          <w:rFonts w:hint="eastAsia" w:ascii="仿宋" w:hAnsi="仿宋" w:eastAsia="仿宋" w:cs="仿宋"/>
          <w:color w:val="auto"/>
          <w:sz w:val="28"/>
          <w:szCs w:val="28"/>
          <w:highlight w:val="none"/>
        </w:rPr>
        <w:sectPr>
          <w:footerReference r:id="rId4" w:type="default"/>
          <w:pgSz w:w="11906" w:h="16838"/>
          <w:pgMar w:top="1440" w:right="1474" w:bottom="1440" w:left="1588" w:header="851" w:footer="992" w:gutter="0"/>
          <w:pgNumType w:start="1"/>
          <w:cols w:space="1701" w:num="1"/>
          <w:docGrid w:linePitch="360" w:charSpace="0"/>
        </w:sectPr>
      </w:pPr>
      <w:bookmarkStart w:id="4" w:name="_Toc8061"/>
    </w:p>
    <w:p w14:paraId="15B3B6FE">
      <w:pPr>
        <w:pStyle w:val="228"/>
        <w:spacing w:line="240" w:lineRule="auto"/>
        <w:jc w:val="center"/>
        <w:rPr>
          <w:color w:val="auto"/>
          <w:highlight w:val="none"/>
        </w:rPr>
      </w:pPr>
      <w:bookmarkStart w:id="5" w:name="_Toc24951"/>
      <w:r>
        <w:rPr>
          <w:rFonts w:hint="eastAsia"/>
          <w:color w:val="auto"/>
          <w:highlight w:val="none"/>
        </w:rPr>
        <w:t xml:space="preserve">第一部分  </w:t>
      </w:r>
      <w:bookmarkEnd w:id="4"/>
      <w:r>
        <w:rPr>
          <w:rFonts w:hint="eastAsia"/>
          <w:color w:val="auto"/>
          <w:highlight w:val="none"/>
        </w:rPr>
        <w:t>招标公告</w:t>
      </w:r>
      <w:bookmarkEnd w:id="5"/>
    </w:p>
    <w:p w14:paraId="44C041BF">
      <w:pPr>
        <w:pBdr>
          <w:top w:val="single" w:color="000000" w:sz="4" w:space="1"/>
          <w:left w:val="single" w:color="000000" w:sz="4" w:space="4"/>
          <w:bottom w:val="single" w:color="000000" w:sz="4" w:space="1"/>
          <w:right w:val="single" w:color="000000" w:sz="4" w:space="4"/>
        </w:pBdr>
        <w:spacing w:line="500" w:lineRule="exact"/>
        <w:ind w:firstLine="480"/>
        <w:rPr>
          <w:rFonts w:ascii="仿宋" w:hAnsi="仿宋" w:eastAsia="仿宋" w:cs="仿宋"/>
          <w:color w:val="auto"/>
          <w:highlight w:val="none"/>
        </w:rPr>
      </w:pPr>
      <w:r>
        <w:rPr>
          <w:rFonts w:hint="eastAsia" w:ascii="仿宋" w:hAnsi="仿宋" w:eastAsia="仿宋" w:cs="仿宋"/>
          <w:bCs/>
          <w:iCs/>
          <w:color w:val="auto"/>
          <w:highlight w:val="none"/>
        </w:rPr>
        <w:t>项目概况</w:t>
      </w:r>
    </w:p>
    <w:p w14:paraId="592CFFFE">
      <w:pPr>
        <w:pBdr>
          <w:top w:val="single" w:color="000000" w:sz="4" w:space="1"/>
          <w:left w:val="single" w:color="000000" w:sz="4" w:space="4"/>
          <w:bottom w:val="single" w:color="000000" w:sz="4" w:space="1"/>
          <w:right w:val="single" w:color="000000" w:sz="4" w:space="4"/>
        </w:pBdr>
        <w:spacing w:line="500" w:lineRule="exact"/>
        <w:ind w:firstLine="480"/>
        <w:rPr>
          <w:rFonts w:ascii="仿宋" w:hAnsi="仿宋" w:eastAsia="仿宋" w:cs="仿宋"/>
          <w:color w:val="auto"/>
          <w:highlight w:val="none"/>
        </w:rPr>
      </w:pPr>
      <w:r>
        <w:rPr>
          <w:rFonts w:hint="eastAsia" w:ascii="仿宋" w:hAnsi="仿宋" w:eastAsia="仿宋" w:cs="仿宋"/>
          <w:bCs/>
          <w:iCs/>
          <w:color w:val="auto"/>
          <w:highlight w:val="none"/>
          <w:lang w:eastAsia="zh-CN"/>
        </w:rPr>
        <w:t>扬州市中医院（文昌路院区）能源托管服务</w:t>
      </w:r>
      <w:r>
        <w:rPr>
          <w:rFonts w:hint="eastAsia" w:ascii="仿宋" w:hAnsi="仿宋" w:eastAsia="仿宋" w:cs="仿宋"/>
          <w:color w:val="auto"/>
          <w:highlight w:val="none"/>
          <w:lang w:eastAsia="zh-CN"/>
        </w:rPr>
        <w:t>JSZC-321000-NJXD-G2026-0020</w:t>
      </w:r>
      <w:r>
        <w:rPr>
          <w:rFonts w:hint="eastAsia" w:ascii="仿宋" w:hAnsi="仿宋" w:eastAsia="仿宋" w:cs="仿宋"/>
          <w:bCs/>
          <w:iCs/>
          <w:color w:val="auto"/>
          <w:highlight w:val="none"/>
        </w:rPr>
        <w:t xml:space="preserve"> 招标项目的潜在投标人应在</w:t>
      </w:r>
      <w:r>
        <w:rPr>
          <w:rFonts w:hint="eastAsia" w:ascii="仿宋" w:hAnsi="仿宋" w:eastAsia="仿宋" w:cs="仿宋"/>
          <w:bCs/>
          <w:iCs/>
          <w:color w:val="auto"/>
          <w:highlight w:val="none"/>
          <w:lang w:eastAsia="zh-CN"/>
        </w:rPr>
        <w:t>“</w:t>
      </w:r>
      <w:r>
        <w:rPr>
          <w:rFonts w:hint="eastAsia" w:ascii="仿宋" w:hAnsi="仿宋" w:eastAsia="仿宋" w:cs="仿宋"/>
          <w:bCs/>
          <w:iCs/>
          <w:color w:val="auto"/>
          <w:highlight w:val="none"/>
          <w:lang w:val="en-US" w:eastAsia="zh-CN"/>
        </w:rPr>
        <w:t>苏采云</w:t>
      </w:r>
      <w:r>
        <w:rPr>
          <w:rFonts w:hint="eastAsia" w:ascii="仿宋" w:hAnsi="仿宋" w:eastAsia="仿宋" w:cs="仿宋"/>
          <w:bCs/>
          <w:iCs/>
          <w:color w:val="auto"/>
          <w:highlight w:val="none"/>
          <w:lang w:eastAsia="zh-CN"/>
        </w:rPr>
        <w:t>”</w:t>
      </w:r>
      <w:r>
        <w:rPr>
          <w:rFonts w:hint="eastAsia" w:ascii="仿宋" w:hAnsi="仿宋" w:eastAsia="仿宋" w:cs="仿宋"/>
          <w:bCs/>
          <w:iCs/>
          <w:color w:val="auto"/>
          <w:highlight w:val="none"/>
          <w:lang w:val="en-US" w:eastAsia="zh-CN"/>
        </w:rPr>
        <w:t>系统内免费下载</w:t>
      </w:r>
      <w:r>
        <w:rPr>
          <w:rFonts w:hint="eastAsia" w:ascii="仿宋" w:hAnsi="仿宋" w:eastAsia="仿宋" w:cs="仿宋"/>
          <w:bCs/>
          <w:iCs/>
          <w:color w:val="auto"/>
          <w:highlight w:val="none"/>
          <w:lang w:eastAsia="zh-CN"/>
        </w:rPr>
        <w:t>（</w:t>
      </w:r>
      <w:r>
        <w:rPr>
          <w:rFonts w:hint="eastAsia" w:ascii="仿宋" w:hAnsi="仿宋" w:eastAsia="仿宋" w:cs="仿宋"/>
          <w:bCs/>
          <w:iCs/>
          <w:color w:val="auto"/>
          <w:highlight w:val="none"/>
          <w:lang w:val="en-US" w:eastAsia="zh-CN"/>
        </w:rPr>
        <w:t>投标人必须在苏采云系统中获取采购文件，方能参与政府采购项目</w:t>
      </w:r>
      <w:r>
        <w:rPr>
          <w:rFonts w:hint="eastAsia" w:ascii="仿宋" w:hAnsi="仿宋" w:eastAsia="仿宋" w:cs="仿宋"/>
          <w:bCs/>
          <w:iCs/>
          <w:color w:val="auto"/>
          <w:highlight w:val="none"/>
          <w:lang w:eastAsia="zh-CN"/>
        </w:rPr>
        <w:t>）</w:t>
      </w:r>
      <w:r>
        <w:rPr>
          <w:rFonts w:hint="eastAsia" w:ascii="仿宋" w:hAnsi="仿宋" w:eastAsia="仿宋" w:cs="仿宋"/>
          <w:bCs/>
          <w:iCs/>
          <w:color w:val="auto"/>
          <w:highlight w:val="none"/>
          <w:lang w:val="en-US" w:eastAsia="zh-CN"/>
        </w:rPr>
        <w:t>获取招标文件</w:t>
      </w:r>
      <w:r>
        <w:rPr>
          <w:rFonts w:hint="eastAsia" w:ascii="仿宋" w:hAnsi="仿宋" w:eastAsia="仿宋" w:cs="仿宋"/>
          <w:bCs/>
          <w:iCs/>
          <w:color w:val="auto"/>
          <w:highlight w:val="none"/>
        </w:rPr>
        <w:t>，并于</w:t>
      </w:r>
      <w:r>
        <w:rPr>
          <w:rFonts w:hint="eastAsia" w:ascii="仿宋" w:hAnsi="仿宋" w:eastAsia="仿宋" w:cs="仿宋"/>
          <w:bCs/>
          <w:iCs/>
          <w:color w:val="auto"/>
          <w:highlight w:val="none"/>
          <w:lang w:eastAsia="zh-CN"/>
        </w:rPr>
        <w:t>202</w:t>
      </w:r>
      <w:r>
        <w:rPr>
          <w:rFonts w:hint="eastAsia" w:ascii="仿宋" w:hAnsi="仿宋" w:eastAsia="仿宋" w:cs="仿宋"/>
          <w:bCs/>
          <w:iCs/>
          <w:color w:val="auto"/>
          <w:highlight w:val="none"/>
          <w:lang w:val="en-US" w:eastAsia="zh-CN"/>
        </w:rPr>
        <w:t>6</w:t>
      </w:r>
      <w:r>
        <w:rPr>
          <w:rFonts w:hint="eastAsia" w:ascii="仿宋" w:hAnsi="仿宋" w:eastAsia="仿宋" w:cs="仿宋"/>
          <w:bCs/>
          <w:iCs/>
          <w:color w:val="auto"/>
          <w:highlight w:val="none"/>
          <w:lang w:eastAsia="zh-CN"/>
        </w:rPr>
        <w:t>年</w:t>
      </w:r>
      <w:r>
        <w:rPr>
          <w:rFonts w:hint="eastAsia" w:ascii="仿宋" w:hAnsi="仿宋" w:eastAsia="仿宋" w:cs="仿宋"/>
          <w:bCs/>
          <w:iCs/>
          <w:color w:val="auto"/>
          <w:highlight w:val="none"/>
          <w:lang w:val="en-US" w:eastAsia="zh-CN"/>
        </w:rPr>
        <w:t>4月29日09:30</w:t>
      </w:r>
      <w:r>
        <w:rPr>
          <w:rFonts w:hint="eastAsia" w:ascii="仿宋" w:hAnsi="仿宋" w:eastAsia="仿宋" w:cs="仿宋"/>
          <w:bCs/>
          <w:iCs/>
          <w:color w:val="auto"/>
          <w:highlight w:val="none"/>
        </w:rPr>
        <w:t>（北京时间）前递交投标文件。</w:t>
      </w:r>
    </w:p>
    <w:p w14:paraId="5488B091">
      <w:pPr>
        <w:spacing w:line="500" w:lineRule="exact"/>
        <w:ind w:firstLine="482"/>
        <w:rPr>
          <w:rFonts w:ascii="仿宋" w:hAnsi="仿宋" w:eastAsia="仿宋" w:cs="仿宋"/>
          <w:b/>
          <w:color w:val="auto"/>
          <w:highlight w:val="none"/>
        </w:rPr>
      </w:pPr>
      <w:r>
        <w:rPr>
          <w:rFonts w:hint="eastAsia" w:ascii="仿宋" w:hAnsi="仿宋" w:eastAsia="仿宋" w:cs="仿宋"/>
          <w:b/>
          <w:color w:val="auto"/>
          <w:highlight w:val="none"/>
        </w:rPr>
        <w:t>一、项目基本情况</w:t>
      </w:r>
    </w:p>
    <w:p w14:paraId="388DEA94">
      <w:pPr>
        <w:spacing w:line="500" w:lineRule="exact"/>
        <w:ind w:firstLine="480"/>
        <w:rPr>
          <w:rFonts w:hint="default" w:ascii="仿宋" w:hAnsi="仿宋" w:eastAsia="仿宋" w:cs="仿宋"/>
          <w:color w:val="auto"/>
          <w:highlight w:val="none"/>
          <w:lang w:val="en-US" w:eastAsia="zh-CN"/>
        </w:rPr>
      </w:pPr>
      <w:r>
        <w:rPr>
          <w:rFonts w:hint="eastAsia" w:ascii="仿宋" w:hAnsi="仿宋" w:eastAsia="仿宋" w:cs="仿宋"/>
          <w:color w:val="auto"/>
          <w:highlight w:val="none"/>
        </w:rPr>
        <w:t>（一）项目编号：</w:t>
      </w:r>
      <w:r>
        <w:rPr>
          <w:rFonts w:hint="eastAsia" w:ascii="仿宋" w:hAnsi="仿宋" w:eastAsia="仿宋" w:cs="仿宋"/>
          <w:color w:val="auto"/>
          <w:highlight w:val="none"/>
          <w:lang w:eastAsia="zh-CN"/>
        </w:rPr>
        <w:t>JSZC-321000-NJXD-G2026-0020</w:t>
      </w:r>
    </w:p>
    <w:p w14:paraId="4917A27B">
      <w:pPr>
        <w:spacing w:line="500" w:lineRule="exact"/>
        <w:ind w:firstLine="480"/>
        <w:rPr>
          <w:rFonts w:hint="eastAsia" w:ascii="仿宋" w:hAnsi="仿宋" w:eastAsia="仿宋" w:cs="仿宋"/>
          <w:color w:val="auto"/>
          <w:highlight w:val="none"/>
          <w:lang w:eastAsia="zh-CN"/>
        </w:rPr>
      </w:pPr>
      <w:r>
        <w:rPr>
          <w:rFonts w:hint="eastAsia" w:ascii="仿宋" w:hAnsi="仿宋" w:eastAsia="仿宋" w:cs="仿宋"/>
          <w:color w:val="auto"/>
          <w:highlight w:val="none"/>
        </w:rPr>
        <w:t>（二）项目名称：</w:t>
      </w:r>
      <w:r>
        <w:rPr>
          <w:rFonts w:hint="eastAsia" w:ascii="仿宋" w:hAnsi="仿宋" w:eastAsia="仿宋" w:cs="仿宋"/>
          <w:bCs/>
          <w:iCs/>
          <w:color w:val="auto"/>
          <w:highlight w:val="none"/>
          <w:lang w:eastAsia="zh-CN"/>
        </w:rPr>
        <w:t>扬州市中医院（文昌路院区）能源托管服务</w:t>
      </w:r>
    </w:p>
    <w:p w14:paraId="489CA50D">
      <w:pPr>
        <w:spacing w:line="500" w:lineRule="exact"/>
        <w:ind w:firstLine="480"/>
        <w:rPr>
          <w:rFonts w:ascii="仿宋" w:hAnsi="仿宋" w:eastAsia="仿宋" w:cs="仿宋"/>
          <w:color w:val="auto"/>
          <w:highlight w:val="none"/>
        </w:rPr>
      </w:pPr>
      <w:r>
        <w:rPr>
          <w:rFonts w:hint="eastAsia" w:ascii="仿宋" w:hAnsi="仿宋" w:eastAsia="仿宋" w:cs="仿宋"/>
          <w:color w:val="auto"/>
          <w:highlight w:val="none"/>
        </w:rPr>
        <w:t>（三）预算金额：</w:t>
      </w:r>
      <w:bookmarkStart w:id="6" w:name="EB839e973c1f9b45a6b4f805f81d6f9994"/>
      <w:bookmarkEnd w:id="6"/>
      <w:r>
        <w:rPr>
          <w:rFonts w:hint="eastAsia" w:ascii="仿宋" w:hAnsi="仿宋" w:eastAsia="仿宋" w:cs="仿宋"/>
        </w:rPr>
        <w:t>6147.2万元/10年</w:t>
      </w:r>
    </w:p>
    <w:p w14:paraId="63E2E820">
      <w:pPr>
        <w:spacing w:line="500" w:lineRule="exact"/>
        <w:ind w:firstLine="480"/>
        <w:rPr>
          <w:rFonts w:ascii="仿宋" w:hAnsi="仿宋" w:eastAsia="仿宋" w:cs="仿宋"/>
          <w:color w:val="auto"/>
          <w:highlight w:val="none"/>
        </w:rPr>
      </w:pPr>
      <w:r>
        <w:rPr>
          <w:rFonts w:hint="eastAsia" w:ascii="仿宋" w:hAnsi="仿宋" w:eastAsia="仿宋" w:cs="仿宋"/>
          <w:color w:val="auto"/>
          <w:highlight w:val="none"/>
        </w:rPr>
        <w:t>（四）最高限价（如有）：</w:t>
      </w:r>
      <w:r>
        <w:rPr>
          <w:rFonts w:hint="eastAsia" w:ascii="仿宋" w:hAnsi="仿宋" w:eastAsia="仿宋" w:cs="仿宋"/>
        </w:rPr>
        <w:t>6147.2万元/10年</w:t>
      </w:r>
    </w:p>
    <w:p w14:paraId="1AEB4069">
      <w:pPr>
        <w:spacing w:line="500" w:lineRule="exact"/>
        <w:ind w:firstLine="480"/>
        <w:rPr>
          <w:rFonts w:ascii="仿宋" w:hAnsi="仿宋" w:eastAsia="仿宋" w:cs="仿宋"/>
          <w:color w:val="auto"/>
          <w:highlight w:val="none"/>
        </w:rPr>
      </w:pPr>
      <w:r>
        <w:rPr>
          <w:rFonts w:hint="eastAsia" w:ascii="仿宋" w:hAnsi="仿宋" w:eastAsia="仿宋" w:cs="仿宋"/>
          <w:color w:val="auto"/>
          <w:highlight w:val="none"/>
        </w:rPr>
        <w:t>（五）采购需求：</w:t>
      </w:r>
      <w:r>
        <w:rPr>
          <w:rFonts w:hint="eastAsia" w:ascii="仿宋" w:hAnsi="仿宋" w:eastAsia="仿宋" w:cs="仿宋"/>
          <w:sz w:val="24"/>
          <w:szCs w:val="24"/>
        </w:rPr>
        <w:t>扬州市中医院（文昌路院区）</w:t>
      </w:r>
      <w:r>
        <w:rPr>
          <w:rFonts w:hint="eastAsia" w:ascii="仿宋" w:hAnsi="仿宋" w:eastAsia="仿宋" w:cs="仿宋"/>
          <w:bCs/>
          <w:iCs/>
          <w:color w:val="000000"/>
          <w:highlight w:val="none"/>
        </w:rPr>
        <w:t>采购所需</w:t>
      </w:r>
      <w:r>
        <w:rPr>
          <w:rFonts w:hint="eastAsia" w:ascii="仿宋" w:hAnsi="仿宋" w:eastAsia="仿宋" w:cs="仿宋"/>
          <w:sz w:val="24"/>
          <w:szCs w:val="24"/>
        </w:rPr>
        <w:t>能源托管服务项目，具体要求见招标文件。</w:t>
      </w:r>
    </w:p>
    <w:p w14:paraId="709A901B">
      <w:pPr>
        <w:spacing w:line="52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（六）合同履行期限：</w:t>
      </w:r>
    </w:p>
    <w:p w14:paraId="640E291C">
      <w:pPr>
        <w:spacing w:line="520" w:lineRule="exact"/>
        <w:ind w:firstLine="420"/>
        <w:rPr>
          <w:rFonts w:hint="eastAsia" w:ascii="仿宋" w:hAnsi="仿宋" w:eastAsia="仿宋" w:cs="仿宋"/>
          <w:highlight w:val="none"/>
        </w:rPr>
      </w:pPr>
      <w:r>
        <w:rPr>
          <w:rFonts w:hint="eastAsia" w:ascii="仿宋" w:hAnsi="仿宋" w:eastAsia="仿宋" w:cs="仿宋"/>
          <w:highlight w:val="none"/>
          <w:lang w:val="en-US" w:eastAsia="zh-CN"/>
        </w:rPr>
        <w:t>1.</w:t>
      </w:r>
      <w:r>
        <w:rPr>
          <w:rFonts w:ascii="仿宋" w:hAnsi="仿宋" w:eastAsia="仿宋" w:cs="仿宋"/>
          <w:highlight w:val="none"/>
        </w:rPr>
        <w:t>项目建设期：</w:t>
      </w:r>
      <w:r>
        <w:rPr>
          <w:rFonts w:hint="default" w:ascii="仿宋" w:hAnsi="仿宋" w:eastAsia="仿宋" w:cs="仿宋"/>
          <w:bCs w:val="0"/>
          <w:highlight w:val="none"/>
        </w:rPr>
        <w:t>合同生效之日起</w:t>
      </w:r>
      <w:r>
        <w:rPr>
          <w:rFonts w:ascii="仿宋" w:hAnsi="仿宋" w:eastAsia="仿宋" w:cs="仿宋"/>
          <w:bCs w:val="0"/>
          <w:highlight w:val="none"/>
        </w:rPr>
        <w:t>365</w:t>
      </w:r>
      <w:r>
        <w:rPr>
          <w:rFonts w:hint="default" w:ascii="仿宋" w:hAnsi="仿宋" w:eastAsia="仿宋" w:cs="仿宋"/>
          <w:bCs w:val="0"/>
          <w:highlight w:val="none"/>
        </w:rPr>
        <w:t>个日历天，完成节能改造内容（含设备调试），</w:t>
      </w:r>
      <w:r>
        <w:rPr>
          <w:rFonts w:hint="default" w:ascii="仿宋" w:hAnsi="仿宋" w:eastAsia="仿宋" w:cs="仿宋"/>
          <w:b w:val="0"/>
          <w:bCs w:val="0"/>
          <w:highlight w:val="none"/>
        </w:rPr>
        <w:t>其中高效冷站系统建设应在</w:t>
      </w:r>
      <w:r>
        <w:rPr>
          <w:rFonts w:hint="eastAsia" w:ascii="仿宋" w:hAnsi="仿宋" w:eastAsia="仿宋" w:cs="仿宋"/>
          <w:b w:val="0"/>
          <w:bCs w:val="0"/>
          <w:color w:val="FF0000"/>
          <w:highlight w:val="none"/>
          <w:lang w:val="en-US" w:eastAsia="zh-CN"/>
        </w:rPr>
        <w:t>合同生效之日起50日内</w:t>
      </w:r>
      <w:r>
        <w:rPr>
          <w:rFonts w:hint="default" w:ascii="仿宋" w:hAnsi="仿宋" w:eastAsia="仿宋" w:cs="仿宋"/>
          <w:b w:val="0"/>
          <w:bCs w:val="0"/>
          <w:highlight w:val="none"/>
        </w:rPr>
        <w:t>完成</w:t>
      </w:r>
      <w:r>
        <w:rPr>
          <w:rFonts w:hint="default" w:ascii="仿宋" w:hAnsi="仿宋" w:eastAsia="仿宋" w:cs="仿宋"/>
          <w:b w:val="0"/>
          <w:bCs w:val="0"/>
          <w:highlight w:val="none"/>
          <w:lang w:val="en-US" w:eastAsia="zh-CN"/>
        </w:rPr>
        <w:t>并运行</w:t>
      </w:r>
      <w:r>
        <w:rPr>
          <w:rFonts w:hint="default" w:ascii="仿宋" w:hAnsi="仿宋" w:eastAsia="仿宋" w:cs="仿宋"/>
          <w:b w:val="0"/>
          <w:bCs w:val="0"/>
          <w:highlight w:val="none"/>
        </w:rPr>
        <w:t>（含设备调试）</w:t>
      </w:r>
      <w:r>
        <w:rPr>
          <w:rFonts w:hint="default" w:ascii="仿宋" w:hAnsi="仿宋" w:eastAsia="仿宋" w:cs="仿宋"/>
          <w:bCs w:val="0"/>
          <w:highlight w:val="none"/>
        </w:rPr>
        <w:t>。</w:t>
      </w:r>
      <w:r>
        <w:rPr>
          <w:rFonts w:ascii="仿宋" w:hAnsi="仿宋" w:eastAsia="仿宋" w:cs="仿宋"/>
          <w:highlight w:val="none"/>
        </w:rPr>
        <w:t>经验收合格后次月1号进入能源托管服务期。</w:t>
      </w:r>
    </w:p>
    <w:p w14:paraId="45CF3423">
      <w:pPr>
        <w:spacing w:line="500" w:lineRule="exact"/>
        <w:ind w:firstLine="480"/>
        <w:rPr>
          <w:rFonts w:hint="eastAsia" w:ascii="仿宋" w:hAnsi="仿宋" w:eastAsia="仿宋" w:cs="仿宋"/>
          <w:b/>
          <w:bCs/>
          <w:color w:val="auto"/>
          <w:highlight w:val="none"/>
          <w:lang w:val="en-US" w:eastAsia="zh-CN"/>
        </w:rPr>
      </w:pPr>
      <w:r>
        <w:rPr>
          <w:rFonts w:hint="eastAsia" w:ascii="仿宋" w:hAnsi="仿宋" w:eastAsia="仿宋" w:cs="仿宋"/>
          <w:highlight w:val="none"/>
          <w:lang w:val="en-US" w:eastAsia="zh-CN"/>
        </w:rPr>
        <w:t>2.</w:t>
      </w:r>
      <w:r>
        <w:rPr>
          <w:rFonts w:ascii="仿宋" w:hAnsi="仿宋" w:eastAsia="仿宋" w:cs="仿宋"/>
          <w:highlight w:val="none"/>
        </w:rPr>
        <w:t>项目能源托管服务期限：本项目合同分为两部分，其中能源托管内容服务合作期限 10 年，</w:t>
      </w:r>
      <w:r>
        <w:rPr>
          <w:rFonts w:ascii="仿宋" w:hAnsi="仿宋" w:eastAsia="仿宋" w:cs="仿宋"/>
          <w:color w:val="auto"/>
          <w:highlight w:val="none"/>
        </w:rPr>
        <w:t>光储充发电内容合作期限2</w:t>
      </w:r>
      <w:r>
        <w:rPr>
          <w:rFonts w:hint="eastAsia" w:ascii="仿宋" w:hAnsi="仿宋" w:eastAsia="仿宋" w:cs="仿宋"/>
          <w:color w:val="auto"/>
          <w:highlight w:val="none"/>
          <w:lang w:val="en-US" w:eastAsia="zh-CN"/>
        </w:rPr>
        <w:t>5</w:t>
      </w:r>
      <w:r>
        <w:rPr>
          <w:rFonts w:ascii="仿宋" w:hAnsi="仿宋" w:eastAsia="仿宋" w:cs="仿宋"/>
          <w:color w:val="auto"/>
          <w:highlight w:val="none"/>
        </w:rPr>
        <w:t>年，项目从验收</w:t>
      </w:r>
      <w:r>
        <w:rPr>
          <w:rFonts w:ascii="仿宋" w:hAnsi="仿宋" w:eastAsia="仿宋" w:cs="仿宋"/>
          <w:highlight w:val="none"/>
        </w:rPr>
        <w:t>后的次月1号进入托管服务期，能源托管服务期共10年，至合同结束且双方履行完毕各自权利与义务之日止。</w:t>
      </w:r>
    </w:p>
    <w:p w14:paraId="6271F568">
      <w:pPr>
        <w:spacing w:line="52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（七）本项目</w:t>
      </w:r>
      <w:r>
        <w:rPr>
          <w:rFonts w:hint="eastAsia" w:ascii="仿宋" w:hAnsi="仿宋" w:eastAsia="仿宋" w:cs="仿宋"/>
          <w:szCs w:val="22"/>
          <w:highlight w:val="none"/>
        </w:rPr>
        <w:t>接受联合体</w:t>
      </w:r>
      <w:r>
        <w:rPr>
          <w:rFonts w:hint="eastAsia" w:ascii="仿宋" w:hAnsi="仿宋" w:eastAsia="仿宋" w:cs="仿宋"/>
          <w:szCs w:val="22"/>
          <w:highlight w:val="none"/>
          <w:lang w:eastAsia="zh-CN"/>
        </w:rPr>
        <w:t>，</w:t>
      </w:r>
      <w:r>
        <w:rPr>
          <w:rFonts w:hint="eastAsia" w:ascii="仿宋" w:hAnsi="仿宋" w:eastAsia="仿宋" w:cs="仿宋"/>
          <w:color w:val="auto"/>
          <w:highlight w:val="none"/>
        </w:rPr>
        <w:t>允许最多2家单位组成联合体参加投标。</w:t>
      </w:r>
    </w:p>
    <w:p w14:paraId="556A7620">
      <w:pPr>
        <w:spacing w:line="500" w:lineRule="exact"/>
        <w:ind w:firstLine="482"/>
        <w:rPr>
          <w:rFonts w:ascii="仿宋" w:hAnsi="仿宋" w:eastAsia="仿宋" w:cs="仿宋"/>
          <w:b/>
          <w:color w:val="auto"/>
          <w:highlight w:val="none"/>
        </w:rPr>
      </w:pPr>
      <w:r>
        <w:rPr>
          <w:rFonts w:hint="eastAsia" w:ascii="仿宋" w:hAnsi="仿宋" w:eastAsia="仿宋" w:cs="仿宋"/>
          <w:b/>
          <w:color w:val="auto"/>
          <w:highlight w:val="none"/>
        </w:rPr>
        <w:t>二、申请人的资格要求</w:t>
      </w:r>
    </w:p>
    <w:p w14:paraId="0A753195">
      <w:pPr>
        <w:spacing w:line="500" w:lineRule="exact"/>
        <w:ind w:firstLine="480"/>
        <w:rPr>
          <w:rFonts w:ascii="仿宋" w:hAnsi="仿宋" w:eastAsia="仿宋" w:cs="仿宋"/>
          <w:i/>
          <w:iCs/>
          <w:color w:val="auto"/>
          <w:highlight w:val="none"/>
          <w:u w:val="single"/>
        </w:rPr>
      </w:pPr>
      <w:r>
        <w:rPr>
          <w:rFonts w:hint="eastAsia" w:ascii="仿宋" w:hAnsi="仿宋" w:eastAsia="仿宋" w:cs="仿宋"/>
          <w:i/>
          <w:iCs/>
          <w:color w:val="auto"/>
          <w:highlight w:val="none"/>
          <w:u w:val="single"/>
        </w:rPr>
        <w:t>（一）基本资格条件：</w:t>
      </w:r>
    </w:p>
    <w:p w14:paraId="5F0F2529">
      <w:pPr>
        <w:spacing w:line="500" w:lineRule="exact"/>
        <w:ind w:firstLine="480"/>
        <w:rPr>
          <w:rFonts w:hint="eastAsia" w:ascii="仿宋" w:hAnsi="仿宋" w:eastAsia="仿宋" w:cs="仿宋"/>
          <w:i/>
          <w:iCs/>
          <w:color w:val="auto"/>
          <w:highlight w:val="none"/>
          <w:u w:val="single"/>
        </w:rPr>
      </w:pPr>
      <w:r>
        <w:rPr>
          <w:rFonts w:hint="eastAsia" w:ascii="仿宋" w:hAnsi="仿宋" w:eastAsia="仿宋" w:cs="仿宋"/>
          <w:i/>
          <w:iCs/>
          <w:color w:val="auto"/>
          <w:highlight w:val="none"/>
          <w:u w:val="single"/>
        </w:rPr>
        <w:t>1.具有独立承担民事责任的能力（提供法人或者其他组织的营业执照；投标人为自然人的，提供其身份证）；</w:t>
      </w:r>
    </w:p>
    <w:p w14:paraId="090FFA9C">
      <w:pPr>
        <w:spacing w:line="500" w:lineRule="exact"/>
        <w:ind w:firstLine="480"/>
        <w:rPr>
          <w:rFonts w:hint="eastAsia" w:ascii="仿宋" w:hAnsi="仿宋" w:eastAsia="仿宋" w:cs="仿宋"/>
          <w:i/>
          <w:iCs/>
          <w:color w:val="auto"/>
          <w:highlight w:val="none"/>
          <w:u w:val="single"/>
        </w:rPr>
      </w:pPr>
      <w:r>
        <w:rPr>
          <w:rFonts w:hint="eastAsia" w:ascii="仿宋" w:hAnsi="仿宋" w:eastAsia="仿宋" w:cs="仿宋"/>
          <w:i/>
          <w:iCs/>
          <w:color w:val="auto"/>
          <w:highlight w:val="none"/>
          <w:u w:val="single"/>
        </w:rPr>
        <w:t>2.具有良好的商业信誉和健全的财务会计制度（提供2024年度或2025</w:t>
      </w:r>
      <w:r>
        <w:rPr>
          <w:rFonts w:hint="eastAsia" w:ascii="仿宋" w:hAnsi="仿宋" w:eastAsia="仿宋" w:cs="仿宋"/>
          <w:i/>
          <w:iCs/>
          <w:color w:val="auto"/>
          <w:highlight w:val="none"/>
          <w:u w:val="single"/>
          <w:lang w:val="en-US" w:eastAsia="zh-CN"/>
        </w:rPr>
        <w:t>年度</w:t>
      </w:r>
      <w:r>
        <w:rPr>
          <w:rFonts w:hint="eastAsia" w:ascii="仿宋" w:hAnsi="仿宋" w:eastAsia="仿宋" w:cs="仿宋"/>
          <w:i/>
          <w:iCs/>
          <w:color w:val="auto"/>
          <w:highlight w:val="none"/>
          <w:u w:val="single"/>
        </w:rPr>
        <w:t>财务报告，至少包含资产负债表、利润表，或投标截止时间前六个月内银行出具的资信证明，或财政部门认可的政府采购专业担保机构出具的投标担保函）；</w:t>
      </w:r>
    </w:p>
    <w:p w14:paraId="33ED6B7A">
      <w:pPr>
        <w:spacing w:line="500" w:lineRule="exact"/>
        <w:ind w:firstLine="480"/>
        <w:rPr>
          <w:rFonts w:hint="eastAsia" w:ascii="仿宋" w:hAnsi="仿宋" w:eastAsia="仿宋" w:cs="仿宋"/>
          <w:i/>
          <w:iCs/>
          <w:color w:val="auto"/>
          <w:highlight w:val="none"/>
          <w:u w:val="single"/>
        </w:rPr>
      </w:pPr>
      <w:r>
        <w:rPr>
          <w:rFonts w:hint="eastAsia" w:ascii="仿宋" w:hAnsi="仿宋" w:eastAsia="仿宋" w:cs="仿宋"/>
          <w:i/>
          <w:iCs/>
          <w:color w:val="auto"/>
          <w:highlight w:val="none"/>
          <w:u w:val="single"/>
        </w:rPr>
        <w:t>3.具有履行合同所必需的设备和专业技术能力（投标人根据履行采购项目合同需要，提供履行合同所必需的设备和专业技术能力的声明函或证明材料）；</w:t>
      </w:r>
    </w:p>
    <w:p w14:paraId="78D1A1EB">
      <w:pPr>
        <w:spacing w:line="500" w:lineRule="exact"/>
        <w:ind w:firstLine="480"/>
        <w:rPr>
          <w:rFonts w:hint="eastAsia" w:ascii="仿宋" w:hAnsi="仿宋" w:eastAsia="仿宋" w:cs="仿宋"/>
          <w:i/>
          <w:iCs/>
          <w:color w:val="auto"/>
          <w:highlight w:val="none"/>
          <w:u w:val="single"/>
        </w:rPr>
      </w:pPr>
      <w:r>
        <w:rPr>
          <w:rFonts w:hint="eastAsia" w:ascii="仿宋" w:hAnsi="仿宋" w:eastAsia="仿宋" w:cs="仿宋"/>
          <w:i/>
          <w:iCs/>
          <w:color w:val="auto"/>
          <w:highlight w:val="none"/>
          <w:u w:val="single"/>
        </w:rPr>
        <w:t>4.有依法缴纳税收和社会保障资金的良好记录（提供2025年</w:t>
      </w:r>
      <w:r>
        <w:rPr>
          <w:rFonts w:hint="eastAsia" w:ascii="仿宋" w:hAnsi="仿宋" w:eastAsia="仿宋" w:cs="仿宋"/>
          <w:i/>
          <w:iCs/>
          <w:color w:val="auto"/>
          <w:highlight w:val="none"/>
          <w:u w:val="single"/>
          <w:lang w:val="en-US" w:eastAsia="zh-CN"/>
        </w:rPr>
        <w:t>9</w:t>
      </w:r>
      <w:r>
        <w:rPr>
          <w:rFonts w:hint="eastAsia" w:ascii="仿宋" w:hAnsi="仿宋" w:eastAsia="仿宋" w:cs="仿宋"/>
          <w:i/>
          <w:iCs/>
          <w:color w:val="auto"/>
          <w:highlight w:val="none"/>
          <w:u w:val="single"/>
        </w:rPr>
        <w:t>月至今）中任一月份的依法缴纳税收和社会保险费的相关材料（提供相关主管部门证明或银行代扣证明的复印件，根据国家相关政策免缴或迟缴的需提供相关证明材料；新成立企业距投标截止日不足30日的，可不提供，以新办企业营业执照发放日期为准）；</w:t>
      </w:r>
    </w:p>
    <w:p w14:paraId="4B62A842">
      <w:pPr>
        <w:spacing w:line="500" w:lineRule="exact"/>
        <w:ind w:firstLine="480"/>
        <w:rPr>
          <w:rFonts w:hint="eastAsia" w:ascii="仿宋" w:hAnsi="仿宋" w:eastAsia="仿宋" w:cs="仿宋"/>
          <w:i/>
          <w:iCs/>
          <w:color w:val="auto"/>
          <w:highlight w:val="none"/>
          <w:u w:val="single"/>
        </w:rPr>
      </w:pPr>
      <w:r>
        <w:rPr>
          <w:rFonts w:hint="eastAsia" w:ascii="仿宋" w:hAnsi="仿宋" w:eastAsia="仿宋" w:cs="仿宋"/>
          <w:i/>
          <w:iCs/>
          <w:color w:val="auto"/>
          <w:highlight w:val="none"/>
          <w:u w:val="single"/>
        </w:rPr>
        <w:t>5.参加政府采购活动前三年内，在经营活动中没有重大违法记录（提供承诺书）；</w:t>
      </w:r>
    </w:p>
    <w:p w14:paraId="096B9D60">
      <w:pPr>
        <w:spacing w:line="500" w:lineRule="exact"/>
        <w:ind w:firstLine="480"/>
        <w:rPr>
          <w:rFonts w:hint="eastAsia" w:ascii="仿宋" w:hAnsi="仿宋" w:eastAsia="仿宋" w:cs="仿宋"/>
          <w:i/>
          <w:iCs/>
          <w:color w:val="auto"/>
          <w:highlight w:val="none"/>
          <w:u w:val="single"/>
        </w:rPr>
      </w:pPr>
      <w:r>
        <w:rPr>
          <w:rFonts w:hint="eastAsia" w:ascii="仿宋" w:hAnsi="仿宋" w:eastAsia="仿宋" w:cs="仿宋"/>
          <w:i/>
          <w:iCs/>
          <w:color w:val="auto"/>
          <w:highlight w:val="none"/>
          <w:u w:val="single"/>
        </w:rPr>
        <w:t>6.投标人信用承诺书（提供承诺书）；</w:t>
      </w:r>
    </w:p>
    <w:p w14:paraId="45365B66">
      <w:pPr>
        <w:spacing w:line="500" w:lineRule="exact"/>
        <w:ind w:firstLine="480"/>
        <w:rPr>
          <w:rFonts w:ascii="仿宋" w:hAnsi="仿宋" w:eastAsia="仿宋" w:cs="仿宋"/>
          <w:i/>
          <w:iCs/>
          <w:color w:val="auto"/>
          <w:highlight w:val="none"/>
          <w:u w:val="single"/>
        </w:rPr>
      </w:pPr>
      <w:r>
        <w:rPr>
          <w:rFonts w:hint="eastAsia" w:ascii="仿宋" w:hAnsi="仿宋" w:eastAsia="仿宋" w:cs="仿宋"/>
          <w:i/>
          <w:iCs/>
          <w:color w:val="auto"/>
          <w:highlight w:val="none"/>
          <w:u w:val="single"/>
        </w:rPr>
        <w:t>7.法律、行政法规规定的其他条件：无。</w:t>
      </w:r>
    </w:p>
    <w:p w14:paraId="34E87372">
      <w:pPr>
        <w:spacing w:line="500" w:lineRule="exact"/>
        <w:ind w:firstLine="480"/>
        <w:rPr>
          <w:rFonts w:ascii="仿宋" w:hAnsi="仿宋" w:eastAsia="仿宋" w:cs="仿宋"/>
          <w:color w:val="auto"/>
          <w:highlight w:val="none"/>
        </w:rPr>
      </w:pPr>
      <w:r>
        <w:rPr>
          <w:rFonts w:hint="eastAsia" w:ascii="仿宋" w:hAnsi="仿宋" w:eastAsia="仿宋" w:cs="仿宋"/>
          <w:color w:val="auto"/>
          <w:highlight w:val="none"/>
        </w:rPr>
        <w:t>（二）落实政府采购政策需满足的资格要求：本项目无落实政府采购政策需满足的资格要求。</w:t>
      </w:r>
    </w:p>
    <w:p w14:paraId="74E06BA9">
      <w:pPr>
        <w:spacing w:line="500" w:lineRule="exact"/>
        <w:ind w:firstLine="482"/>
        <w:rPr>
          <w:rFonts w:hint="eastAsia" w:ascii="仿宋" w:hAnsi="仿宋" w:eastAsia="仿宋" w:cs="仿宋"/>
          <w:color w:val="auto"/>
          <w:highlight w:val="none"/>
        </w:rPr>
      </w:pPr>
      <w:r>
        <w:rPr>
          <w:rFonts w:hint="eastAsia" w:ascii="仿宋" w:hAnsi="仿宋" w:eastAsia="仿宋" w:cs="仿宋"/>
          <w:color w:val="auto"/>
          <w:highlight w:val="none"/>
        </w:rPr>
        <w:t>（三）本项目的特定资格要求：</w:t>
      </w:r>
    </w:p>
    <w:p w14:paraId="09BCDEEC">
      <w:pPr>
        <w:spacing w:line="500" w:lineRule="exact"/>
        <w:ind w:firstLine="482"/>
        <w:rPr>
          <w:rFonts w:hint="eastAsia" w:ascii="仿宋" w:hAnsi="仿宋" w:eastAsia="仿宋" w:cs="仿宋"/>
          <w:i/>
          <w:iCs/>
          <w:color w:val="000000"/>
          <w:highlight w:val="none"/>
          <w:u w:val="single"/>
          <w:lang w:val="en-US" w:eastAsia="zh-CN"/>
        </w:rPr>
      </w:pPr>
      <w:r>
        <w:rPr>
          <w:rFonts w:hint="eastAsia" w:ascii="仿宋" w:hAnsi="仿宋" w:eastAsia="仿宋" w:cs="仿宋"/>
          <w:i/>
          <w:iCs/>
          <w:color w:val="000000"/>
          <w:highlight w:val="none"/>
          <w:u w:val="single"/>
          <w:lang w:val="en-US" w:eastAsia="zh-CN"/>
        </w:rPr>
        <w:t>1.未被“信用中国”网、“中国政府采购”网、江苏政府采购网列入失信被执行人、重大税收违法案件当事人名单、政府采购严重失信行为记录名单；</w:t>
      </w:r>
    </w:p>
    <w:p w14:paraId="41F03132">
      <w:pPr>
        <w:spacing w:line="500" w:lineRule="exact"/>
        <w:ind w:firstLine="482"/>
        <w:rPr>
          <w:rFonts w:hint="eastAsia" w:ascii="仿宋" w:hAnsi="仿宋" w:eastAsia="仿宋" w:cs="仿宋"/>
          <w:i/>
          <w:iCs/>
          <w:color w:val="000000"/>
          <w:highlight w:val="none"/>
          <w:u w:val="single"/>
          <w:lang w:val="en-US" w:eastAsia="zh-CN"/>
        </w:rPr>
      </w:pPr>
      <w:r>
        <w:rPr>
          <w:rFonts w:hint="eastAsia" w:ascii="仿宋" w:hAnsi="仿宋" w:eastAsia="仿宋" w:cs="仿宋"/>
          <w:i/>
          <w:iCs/>
          <w:color w:val="000000"/>
          <w:highlight w:val="none"/>
          <w:u w:val="single"/>
          <w:lang w:val="en-US" w:eastAsia="zh-CN"/>
        </w:rPr>
        <w:t>2.单位负责人为同一人或者存在直接控股、管理关系的不同供应商，不得参加同一合同项下的政府采购活动。为采购项目提供整体设计、规范编制或者项目管理、监理、检测等服务的供应商，不得参加本项目的采购活动。</w:t>
      </w:r>
    </w:p>
    <w:p w14:paraId="6F85FEED">
      <w:pPr>
        <w:spacing w:line="500" w:lineRule="exact"/>
        <w:ind w:firstLine="482"/>
        <w:rPr>
          <w:rFonts w:hint="eastAsia" w:ascii="仿宋" w:hAnsi="仿宋" w:eastAsia="仿宋" w:cs="仿宋"/>
          <w:i/>
          <w:iCs/>
          <w:color w:val="000000"/>
          <w:highlight w:val="none"/>
          <w:u w:val="single"/>
          <w:lang w:val="en-US" w:eastAsia="zh-CN"/>
        </w:rPr>
      </w:pPr>
      <w:r>
        <w:rPr>
          <w:rFonts w:hint="eastAsia" w:ascii="仿宋" w:hAnsi="仿宋" w:eastAsia="仿宋" w:cs="仿宋"/>
          <w:i/>
          <w:iCs/>
          <w:color w:val="000000"/>
          <w:highlight w:val="none"/>
          <w:u w:val="single"/>
          <w:lang w:val="en-US" w:eastAsia="zh-CN"/>
        </w:rPr>
        <w:t>3.本项目接受联合体投标，</w:t>
      </w:r>
      <w:r>
        <w:rPr>
          <w:rFonts w:hint="eastAsia" w:ascii="仿宋" w:hAnsi="仿宋" w:eastAsia="仿宋" w:cs="仿宋"/>
          <w:bCs w:val="0"/>
          <w:i/>
          <w:iCs/>
          <w:color w:val="000000"/>
          <w:sz w:val="24"/>
          <w:szCs w:val="24"/>
          <w:highlight w:val="none"/>
          <w:u w:val="single"/>
        </w:rPr>
        <w:t>以联合体形式</w:t>
      </w:r>
      <w:r>
        <w:rPr>
          <w:rFonts w:hint="eastAsia" w:ascii="仿宋" w:hAnsi="仿宋" w:eastAsia="仿宋" w:cs="仿宋"/>
          <w:bCs w:val="0"/>
          <w:i/>
          <w:iCs/>
          <w:color w:val="000000"/>
          <w:sz w:val="24"/>
          <w:szCs w:val="24"/>
          <w:highlight w:val="none"/>
          <w:u w:val="single"/>
          <w:lang w:val="en-US" w:eastAsia="zh-CN"/>
        </w:rPr>
        <w:t>参与本项目的</w:t>
      </w:r>
      <w:r>
        <w:rPr>
          <w:rFonts w:hint="eastAsia" w:ascii="仿宋" w:hAnsi="仿宋" w:eastAsia="仿宋" w:cs="仿宋"/>
          <w:i/>
          <w:iCs/>
          <w:color w:val="000000"/>
          <w:highlight w:val="none"/>
          <w:u w:val="single"/>
          <w:lang w:val="en-US" w:eastAsia="zh-CN"/>
        </w:rPr>
        <w:t>，参加联合体的供应商均应满足本项目资格要求，均应按照要求提供证明材料，并须向采购人提交联合体协议，明确联合体牵头人，</w:t>
      </w:r>
      <w:r>
        <w:rPr>
          <w:rFonts w:hint="eastAsia" w:ascii="仿宋" w:hAnsi="仿宋" w:eastAsia="仿宋" w:cs="仿宋"/>
          <w:bCs w:val="0"/>
          <w:i/>
          <w:iCs/>
          <w:color w:val="000000"/>
          <w:sz w:val="24"/>
          <w:szCs w:val="24"/>
          <w:highlight w:val="none"/>
          <w:u w:val="single"/>
        </w:rPr>
        <w:t>载明联合体各方承担的工作和义务</w:t>
      </w:r>
      <w:r>
        <w:rPr>
          <w:rFonts w:hint="eastAsia" w:ascii="仿宋" w:hAnsi="仿宋" w:eastAsia="仿宋" w:cs="仿宋"/>
          <w:bCs w:val="0"/>
          <w:i/>
          <w:iCs/>
          <w:color w:val="000000"/>
          <w:sz w:val="24"/>
          <w:szCs w:val="24"/>
          <w:highlight w:val="none"/>
          <w:u w:val="single"/>
          <w:lang w:eastAsia="zh-CN"/>
        </w:rPr>
        <w:t>。</w:t>
      </w:r>
      <w:r>
        <w:rPr>
          <w:rFonts w:hint="eastAsia" w:ascii="仿宋" w:hAnsi="仿宋" w:eastAsia="仿宋" w:cs="仿宋"/>
          <w:i/>
          <w:iCs/>
          <w:color w:val="000000"/>
          <w:highlight w:val="none"/>
          <w:u w:val="single"/>
          <w:lang w:val="en-US" w:eastAsia="zh-CN"/>
        </w:rPr>
        <w:t>联合体全部成员最多不得超过2家。</w:t>
      </w:r>
    </w:p>
    <w:p w14:paraId="629AD97B">
      <w:pPr>
        <w:spacing w:line="500" w:lineRule="exact"/>
        <w:ind w:firstLine="482"/>
        <w:rPr>
          <w:rFonts w:ascii="仿宋" w:hAnsi="仿宋" w:eastAsia="仿宋" w:cs="仿宋"/>
          <w:b/>
          <w:color w:val="auto"/>
          <w:highlight w:val="none"/>
        </w:rPr>
      </w:pPr>
      <w:r>
        <w:rPr>
          <w:rFonts w:hint="eastAsia" w:ascii="仿宋" w:hAnsi="仿宋" w:eastAsia="仿宋" w:cs="仿宋"/>
          <w:b/>
          <w:color w:val="auto"/>
          <w:highlight w:val="none"/>
        </w:rPr>
        <w:t>三、获取招标文件</w:t>
      </w:r>
    </w:p>
    <w:p w14:paraId="301711BE">
      <w:pPr>
        <w:spacing w:line="500" w:lineRule="exact"/>
        <w:ind w:firstLine="480"/>
        <w:rPr>
          <w:rFonts w:ascii="仿宋" w:hAnsi="仿宋" w:eastAsia="仿宋" w:cs="仿宋"/>
          <w:bCs/>
          <w:color w:val="auto"/>
          <w:highlight w:val="none"/>
        </w:rPr>
      </w:pPr>
      <w:r>
        <w:rPr>
          <w:rFonts w:hint="eastAsia" w:ascii="仿宋" w:hAnsi="仿宋" w:eastAsia="仿宋" w:cs="仿宋"/>
          <w:bCs/>
          <w:color w:val="auto"/>
          <w:highlight w:val="none"/>
        </w:rPr>
        <w:t>（一）时间：</w:t>
      </w:r>
      <w:r>
        <w:rPr>
          <w:rFonts w:hint="eastAsia" w:ascii="仿宋" w:hAnsi="仿宋" w:eastAsia="仿宋" w:cs="仿宋"/>
          <w:bCs/>
          <w:color w:val="000000"/>
          <w:highlight w:val="none"/>
        </w:rPr>
        <w:t>自招标文件公告发布之日起5个工作日（202</w:t>
      </w:r>
      <w:r>
        <w:rPr>
          <w:rFonts w:hint="eastAsia" w:ascii="仿宋" w:hAnsi="仿宋" w:eastAsia="仿宋" w:cs="仿宋"/>
          <w:bCs/>
          <w:color w:val="000000"/>
          <w:highlight w:val="none"/>
          <w:lang w:val="en-US" w:eastAsia="zh-CN"/>
        </w:rPr>
        <w:t>6</w:t>
      </w:r>
      <w:r>
        <w:rPr>
          <w:rFonts w:hint="eastAsia" w:ascii="仿宋" w:hAnsi="仿宋" w:eastAsia="仿宋" w:cs="仿宋"/>
          <w:bCs/>
          <w:color w:val="000000"/>
          <w:highlight w:val="none"/>
        </w:rPr>
        <w:t>年</w:t>
      </w:r>
      <w:r>
        <w:rPr>
          <w:rFonts w:hint="eastAsia" w:ascii="仿宋" w:hAnsi="仿宋" w:eastAsia="仿宋" w:cs="仿宋"/>
          <w:bCs/>
          <w:color w:val="000000"/>
          <w:highlight w:val="none"/>
          <w:lang w:val="en-US" w:eastAsia="zh-CN"/>
        </w:rPr>
        <w:t>4</w:t>
      </w:r>
      <w:r>
        <w:rPr>
          <w:rFonts w:hint="eastAsia" w:ascii="仿宋" w:hAnsi="仿宋" w:eastAsia="仿宋" w:cs="仿宋"/>
          <w:bCs/>
          <w:color w:val="000000"/>
          <w:highlight w:val="none"/>
        </w:rPr>
        <w:t>月</w:t>
      </w:r>
      <w:r>
        <w:rPr>
          <w:rFonts w:hint="eastAsia" w:ascii="仿宋" w:hAnsi="仿宋" w:eastAsia="仿宋" w:cs="仿宋"/>
          <w:bCs/>
          <w:color w:val="000000"/>
          <w:highlight w:val="none"/>
          <w:lang w:val="en-US" w:eastAsia="zh-CN"/>
        </w:rPr>
        <w:t>8</w:t>
      </w:r>
      <w:r>
        <w:rPr>
          <w:rFonts w:hint="eastAsia" w:ascii="仿宋" w:hAnsi="仿宋" w:eastAsia="仿宋" w:cs="仿宋"/>
          <w:bCs/>
          <w:color w:val="000000"/>
          <w:highlight w:val="none"/>
        </w:rPr>
        <w:t>日</w:t>
      </w:r>
      <w:r>
        <w:rPr>
          <w:rFonts w:hint="eastAsia" w:ascii="仿宋" w:hAnsi="仿宋" w:eastAsia="仿宋" w:cs="仿宋"/>
          <w:bCs/>
          <w:color w:val="000000"/>
          <w:highlight w:val="none"/>
          <w:lang w:val="en-US" w:eastAsia="zh-CN"/>
        </w:rPr>
        <w:t>17:</w:t>
      </w:r>
      <w:r>
        <w:rPr>
          <w:rFonts w:hint="eastAsia" w:ascii="仿宋" w:hAnsi="仿宋" w:eastAsia="仿宋" w:cs="仿宋"/>
          <w:bCs/>
          <w:color w:val="000000"/>
          <w:highlight w:val="none"/>
        </w:rPr>
        <w:t>00至202</w:t>
      </w:r>
      <w:r>
        <w:rPr>
          <w:rFonts w:hint="eastAsia" w:ascii="仿宋" w:hAnsi="仿宋" w:eastAsia="仿宋" w:cs="仿宋"/>
          <w:bCs/>
          <w:color w:val="000000"/>
          <w:highlight w:val="none"/>
          <w:lang w:val="en-US" w:eastAsia="zh-CN"/>
        </w:rPr>
        <w:t>6</w:t>
      </w:r>
      <w:r>
        <w:rPr>
          <w:rFonts w:hint="eastAsia" w:ascii="仿宋" w:hAnsi="仿宋" w:eastAsia="仿宋" w:cs="仿宋"/>
          <w:bCs/>
          <w:color w:val="000000"/>
          <w:highlight w:val="none"/>
        </w:rPr>
        <w:t>年</w:t>
      </w:r>
      <w:r>
        <w:rPr>
          <w:rFonts w:hint="eastAsia" w:ascii="仿宋" w:hAnsi="仿宋" w:eastAsia="仿宋" w:cs="仿宋"/>
          <w:bCs/>
          <w:color w:val="000000"/>
          <w:highlight w:val="none"/>
          <w:lang w:val="en-US" w:eastAsia="zh-CN"/>
        </w:rPr>
        <w:t>4</w:t>
      </w:r>
      <w:r>
        <w:rPr>
          <w:rFonts w:hint="eastAsia" w:ascii="仿宋" w:hAnsi="仿宋" w:eastAsia="仿宋" w:cs="仿宋"/>
          <w:bCs/>
          <w:color w:val="000000"/>
          <w:highlight w:val="none"/>
        </w:rPr>
        <w:t>月</w:t>
      </w:r>
      <w:r>
        <w:rPr>
          <w:rFonts w:hint="eastAsia" w:ascii="仿宋" w:hAnsi="仿宋" w:eastAsia="仿宋" w:cs="仿宋"/>
          <w:bCs/>
          <w:color w:val="000000"/>
          <w:highlight w:val="none"/>
          <w:lang w:val="en-US" w:eastAsia="zh-CN"/>
        </w:rPr>
        <w:t>15</w:t>
      </w:r>
      <w:r>
        <w:rPr>
          <w:rFonts w:hint="eastAsia" w:ascii="仿宋" w:hAnsi="仿宋" w:eastAsia="仿宋" w:cs="仿宋"/>
          <w:bCs/>
          <w:color w:val="000000"/>
          <w:highlight w:val="none"/>
        </w:rPr>
        <w:t>日</w:t>
      </w:r>
      <w:r>
        <w:rPr>
          <w:rFonts w:hint="eastAsia" w:ascii="仿宋" w:hAnsi="仿宋" w:eastAsia="仿宋" w:cs="仿宋"/>
          <w:bCs/>
          <w:color w:val="000000"/>
          <w:highlight w:val="none"/>
          <w:lang w:val="en-US" w:eastAsia="zh-CN"/>
        </w:rPr>
        <w:t>23:59</w:t>
      </w:r>
      <w:r>
        <w:rPr>
          <w:rFonts w:hint="eastAsia" w:ascii="仿宋" w:hAnsi="仿宋" w:eastAsia="仿宋" w:cs="仿宋"/>
          <w:bCs/>
          <w:color w:val="000000"/>
          <w:highlight w:val="none"/>
        </w:rPr>
        <w:t>）</w:t>
      </w:r>
    </w:p>
    <w:p w14:paraId="3BA933B8">
      <w:pPr>
        <w:spacing w:line="500" w:lineRule="exact"/>
        <w:ind w:firstLine="480"/>
        <w:rPr>
          <w:rFonts w:hint="default" w:ascii="仿宋" w:hAnsi="仿宋" w:eastAsia="仿宋" w:cs="仿宋"/>
          <w:bCs/>
          <w:color w:val="auto"/>
          <w:highlight w:val="none"/>
          <w:lang w:val="en-US" w:eastAsia="zh-CN"/>
        </w:rPr>
      </w:pPr>
      <w:r>
        <w:rPr>
          <w:rFonts w:hint="eastAsia" w:ascii="仿宋" w:hAnsi="仿宋" w:eastAsia="仿宋" w:cs="仿宋"/>
          <w:bCs/>
          <w:color w:val="auto"/>
          <w:highlight w:val="none"/>
        </w:rPr>
        <w:t>（二）地点：</w:t>
      </w:r>
      <w:r>
        <w:rPr>
          <w:rFonts w:hint="eastAsia" w:ascii="仿宋" w:hAnsi="仿宋" w:eastAsia="仿宋" w:cs="仿宋"/>
          <w:bCs/>
          <w:color w:val="auto"/>
          <w:highlight w:val="none"/>
          <w:lang w:eastAsia="zh-CN"/>
        </w:rPr>
        <w:t>“</w:t>
      </w:r>
      <w:r>
        <w:rPr>
          <w:rFonts w:hint="eastAsia" w:ascii="仿宋" w:hAnsi="仿宋" w:eastAsia="仿宋" w:cs="仿宋"/>
          <w:bCs/>
          <w:color w:val="auto"/>
          <w:highlight w:val="none"/>
          <w:lang w:val="en-US" w:eastAsia="zh-CN"/>
        </w:rPr>
        <w:t>苏采云</w:t>
      </w:r>
      <w:r>
        <w:rPr>
          <w:rFonts w:hint="eastAsia" w:ascii="仿宋" w:hAnsi="仿宋" w:eastAsia="仿宋" w:cs="仿宋"/>
          <w:bCs/>
          <w:color w:val="auto"/>
          <w:highlight w:val="none"/>
          <w:lang w:eastAsia="zh-CN"/>
        </w:rPr>
        <w:t>”</w:t>
      </w:r>
      <w:r>
        <w:rPr>
          <w:rFonts w:hint="eastAsia" w:ascii="仿宋" w:hAnsi="仿宋" w:eastAsia="仿宋" w:cs="仿宋"/>
          <w:bCs/>
          <w:color w:val="auto"/>
          <w:highlight w:val="none"/>
          <w:lang w:val="en-US" w:eastAsia="zh-CN"/>
        </w:rPr>
        <w:t>系统内免费下载（投标人必须在苏采云系统中获取采购文件，方能参与政府采购项目）</w:t>
      </w:r>
    </w:p>
    <w:p w14:paraId="59C0906A">
      <w:pPr>
        <w:spacing w:line="500" w:lineRule="exact"/>
        <w:ind w:firstLine="480"/>
        <w:rPr>
          <w:rFonts w:ascii="仿宋" w:hAnsi="仿宋" w:eastAsia="仿宋" w:cs="仿宋"/>
          <w:bCs/>
          <w:color w:val="auto"/>
          <w:highlight w:val="none"/>
        </w:rPr>
      </w:pPr>
      <w:r>
        <w:rPr>
          <w:rFonts w:hint="eastAsia" w:ascii="仿宋" w:hAnsi="仿宋" w:eastAsia="仿宋" w:cs="仿宋"/>
          <w:bCs/>
          <w:color w:val="auto"/>
          <w:highlight w:val="none"/>
        </w:rPr>
        <w:t>（三）方式：</w:t>
      </w:r>
      <w:r>
        <w:rPr>
          <w:rFonts w:hint="eastAsia" w:ascii="仿宋" w:hAnsi="仿宋" w:eastAsia="仿宋" w:cs="仿宋"/>
          <w:bCs/>
          <w:color w:val="auto"/>
          <w:highlight w:val="none"/>
          <w:lang w:eastAsia="zh-CN"/>
        </w:rPr>
        <w:t>投标人</w:t>
      </w:r>
      <w:r>
        <w:rPr>
          <w:rFonts w:hint="eastAsia" w:ascii="仿宋" w:hAnsi="仿宋" w:eastAsia="仿宋" w:cs="仿宋"/>
          <w:bCs/>
          <w:color w:val="auto"/>
          <w:highlight w:val="none"/>
          <w:lang w:val="en-US" w:eastAsia="zh-CN"/>
        </w:rPr>
        <w:t>登录</w:t>
      </w:r>
      <w:r>
        <w:rPr>
          <w:rFonts w:hint="eastAsia" w:ascii="仿宋" w:hAnsi="仿宋" w:eastAsia="仿宋" w:cs="仿宋"/>
          <w:bCs/>
          <w:color w:val="auto"/>
          <w:highlight w:val="none"/>
        </w:rPr>
        <w:t>“江苏政府采购网”，在网站首页点击“苏采云”→使用CA锁登录系统(新用户需进行“平台用户注册”)→“项目参与”进行登记，在“可参与项目”中选择“我要参与”，参与成功后到“已参与项目”界面中找到该项目下载文件并进行操作。</w:t>
      </w:r>
    </w:p>
    <w:p w14:paraId="6D472FE2">
      <w:pPr>
        <w:spacing w:line="500" w:lineRule="exact"/>
        <w:ind w:firstLine="480"/>
        <w:rPr>
          <w:rFonts w:ascii="仿宋" w:hAnsi="仿宋" w:eastAsia="仿宋" w:cs="仿宋"/>
          <w:bCs/>
          <w:color w:val="auto"/>
          <w:highlight w:val="none"/>
        </w:rPr>
      </w:pPr>
      <w:r>
        <w:rPr>
          <w:rFonts w:hint="eastAsia" w:ascii="仿宋" w:hAnsi="仿宋" w:eastAsia="仿宋" w:cs="仿宋"/>
          <w:bCs/>
          <w:color w:val="auto"/>
          <w:highlight w:val="none"/>
        </w:rPr>
        <w:t>（四）售</w:t>
      </w:r>
      <w:r>
        <w:rPr>
          <w:rFonts w:hint="eastAsia" w:ascii="仿宋" w:hAnsi="仿宋" w:eastAsia="仿宋" w:cs="仿宋"/>
          <w:color w:val="auto"/>
          <w:highlight w:val="none"/>
        </w:rPr>
        <w:t>价：0.00元</w:t>
      </w:r>
      <w:r>
        <w:rPr>
          <w:rFonts w:hint="eastAsia" w:ascii="仿宋" w:hAnsi="仿宋" w:eastAsia="仿宋" w:cs="仿宋"/>
          <w:bCs/>
          <w:color w:val="auto"/>
          <w:highlight w:val="none"/>
        </w:rPr>
        <w:t>。</w:t>
      </w:r>
    </w:p>
    <w:p w14:paraId="5967AE9E">
      <w:pPr>
        <w:spacing w:line="500" w:lineRule="exact"/>
        <w:ind w:firstLine="482"/>
        <w:rPr>
          <w:rFonts w:ascii="仿宋" w:hAnsi="仿宋" w:eastAsia="仿宋" w:cs="仿宋"/>
          <w:b/>
          <w:color w:val="auto"/>
          <w:highlight w:val="none"/>
        </w:rPr>
      </w:pPr>
      <w:r>
        <w:rPr>
          <w:rFonts w:hint="eastAsia" w:ascii="仿宋" w:hAnsi="仿宋" w:eastAsia="仿宋" w:cs="仿宋"/>
          <w:b/>
          <w:color w:val="auto"/>
          <w:highlight w:val="none"/>
        </w:rPr>
        <w:t>四、提交投标文件截止时间、开标时间和地点</w:t>
      </w:r>
    </w:p>
    <w:p w14:paraId="0016B11F">
      <w:pPr>
        <w:spacing w:line="500" w:lineRule="exact"/>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（一）时间：</w:t>
      </w:r>
      <w:bookmarkStart w:id="7" w:name="EB32f26f7a56ea4234ac2c058c48587799"/>
      <w:bookmarkEnd w:id="7"/>
      <w:r>
        <w:rPr>
          <w:rFonts w:hint="eastAsia" w:ascii="仿宋" w:hAnsi="仿宋" w:eastAsia="仿宋" w:cs="仿宋"/>
          <w:bCs/>
          <w:iCs/>
          <w:color w:val="auto"/>
          <w:highlight w:val="none"/>
          <w:lang w:eastAsia="zh-CN"/>
        </w:rPr>
        <w:t>2026年</w:t>
      </w:r>
      <w:r>
        <w:rPr>
          <w:rFonts w:hint="eastAsia" w:ascii="仿宋" w:hAnsi="仿宋" w:eastAsia="仿宋" w:cs="仿宋"/>
          <w:bCs/>
          <w:color w:val="000000"/>
          <w:highlight w:val="none"/>
          <w:lang w:val="en-US" w:eastAsia="zh-CN"/>
        </w:rPr>
        <w:t>4</w:t>
      </w:r>
      <w:r>
        <w:rPr>
          <w:rFonts w:hint="eastAsia" w:ascii="仿宋" w:hAnsi="仿宋" w:eastAsia="仿宋" w:cs="仿宋"/>
          <w:bCs/>
          <w:color w:val="000000"/>
          <w:highlight w:val="none"/>
        </w:rPr>
        <w:t>月</w:t>
      </w:r>
      <w:r>
        <w:rPr>
          <w:rFonts w:hint="eastAsia" w:ascii="仿宋" w:hAnsi="仿宋" w:eastAsia="仿宋" w:cs="仿宋"/>
          <w:bCs/>
          <w:color w:val="000000"/>
          <w:highlight w:val="none"/>
          <w:lang w:val="en-US" w:eastAsia="zh-CN"/>
        </w:rPr>
        <w:t>29</w:t>
      </w:r>
      <w:r>
        <w:rPr>
          <w:rFonts w:hint="eastAsia" w:ascii="仿宋" w:hAnsi="仿宋" w:eastAsia="仿宋" w:cs="仿宋"/>
          <w:bCs/>
          <w:color w:val="000000"/>
          <w:highlight w:val="none"/>
        </w:rPr>
        <w:t>日</w:t>
      </w:r>
      <w:r>
        <w:rPr>
          <w:rFonts w:hint="eastAsia" w:ascii="仿宋" w:hAnsi="仿宋" w:eastAsia="仿宋" w:cs="仿宋"/>
          <w:bCs/>
          <w:color w:val="000000"/>
          <w:highlight w:val="none"/>
          <w:lang w:val="en-US" w:eastAsia="zh-CN"/>
        </w:rPr>
        <w:t>09:3</w:t>
      </w:r>
      <w:r>
        <w:rPr>
          <w:rFonts w:hint="eastAsia" w:ascii="仿宋" w:hAnsi="仿宋" w:eastAsia="仿宋" w:cs="仿宋"/>
          <w:bCs/>
          <w:color w:val="000000"/>
          <w:highlight w:val="none"/>
        </w:rPr>
        <w:t>0</w:t>
      </w:r>
      <w:r>
        <w:rPr>
          <w:rFonts w:hint="eastAsia" w:ascii="仿宋" w:hAnsi="仿宋" w:eastAsia="仿宋" w:cs="仿宋"/>
          <w:bCs/>
          <w:iCs/>
          <w:color w:val="auto"/>
          <w:highlight w:val="none"/>
        </w:rPr>
        <w:t>（北京时间）</w:t>
      </w:r>
      <w:r>
        <w:rPr>
          <w:rFonts w:hint="eastAsia" w:ascii="仿宋" w:hAnsi="仿宋" w:eastAsia="仿宋" w:cs="仿宋"/>
          <w:bCs/>
          <w:iCs/>
          <w:color w:val="auto"/>
          <w:highlight w:val="none"/>
          <w:lang w:eastAsia="zh-CN"/>
        </w:rPr>
        <w:t>。</w:t>
      </w:r>
    </w:p>
    <w:p w14:paraId="4755860D">
      <w:pPr>
        <w:spacing w:line="500" w:lineRule="exact"/>
        <w:ind w:firstLine="480"/>
        <w:rPr>
          <w:rFonts w:ascii="仿宋" w:hAnsi="仿宋" w:eastAsia="仿宋" w:cs="仿宋"/>
          <w:color w:val="auto"/>
          <w:highlight w:val="none"/>
        </w:rPr>
      </w:pPr>
      <w:r>
        <w:rPr>
          <w:rFonts w:hint="eastAsia" w:ascii="仿宋" w:hAnsi="仿宋" w:eastAsia="仿宋" w:cs="仿宋"/>
          <w:color w:val="auto"/>
          <w:highlight w:val="none"/>
        </w:rPr>
        <w:t>（二）地点：</w:t>
      </w:r>
      <w:bookmarkStart w:id="8" w:name="EB5915918a541e40afa5d8d4e64ad5179a"/>
      <w:r>
        <w:rPr>
          <w:rFonts w:hint="eastAsia" w:ascii="仿宋" w:hAnsi="仿宋" w:eastAsia="仿宋" w:cs="仿宋"/>
          <w:color w:val="auto"/>
          <w:highlight w:val="none"/>
        </w:rPr>
        <w:t>江苏省政府采购交易系统(苏采云系统)网上开标大厅。</w:t>
      </w:r>
      <w:bookmarkEnd w:id="8"/>
    </w:p>
    <w:p w14:paraId="4833106C">
      <w:pPr>
        <w:spacing w:line="500" w:lineRule="exact"/>
        <w:ind w:firstLine="482"/>
        <w:rPr>
          <w:rFonts w:ascii="仿宋" w:hAnsi="仿宋" w:eastAsia="仿宋" w:cs="仿宋"/>
          <w:b/>
          <w:bCs/>
          <w:iCs/>
          <w:color w:val="auto"/>
          <w:highlight w:val="none"/>
        </w:rPr>
      </w:pPr>
      <w:r>
        <w:rPr>
          <w:rFonts w:hint="eastAsia" w:ascii="仿宋" w:hAnsi="仿宋" w:eastAsia="仿宋" w:cs="仿宋"/>
          <w:b/>
          <w:bCs/>
          <w:iCs/>
          <w:color w:val="auto"/>
          <w:highlight w:val="none"/>
        </w:rPr>
        <w:t>五、公告期限</w:t>
      </w:r>
    </w:p>
    <w:p w14:paraId="525E8BBE">
      <w:pPr>
        <w:spacing w:line="500" w:lineRule="exact"/>
        <w:ind w:firstLine="480"/>
        <w:rPr>
          <w:rFonts w:ascii="仿宋" w:hAnsi="仿宋" w:eastAsia="仿宋" w:cs="仿宋"/>
          <w:color w:val="auto"/>
          <w:highlight w:val="none"/>
        </w:rPr>
      </w:pPr>
      <w:r>
        <w:rPr>
          <w:rFonts w:hint="eastAsia" w:ascii="仿宋" w:hAnsi="仿宋" w:eastAsia="仿宋" w:cs="仿宋"/>
          <w:color w:val="auto"/>
          <w:highlight w:val="none"/>
        </w:rPr>
        <w:t>自公告发布之日起5个工作日。</w:t>
      </w:r>
    </w:p>
    <w:p w14:paraId="7F1F7907">
      <w:pPr>
        <w:spacing w:line="500" w:lineRule="exact"/>
        <w:ind w:firstLine="482"/>
        <w:rPr>
          <w:rFonts w:ascii="仿宋" w:hAnsi="仿宋" w:eastAsia="仿宋" w:cs="仿宋"/>
          <w:b/>
          <w:bCs/>
          <w:iCs/>
          <w:color w:val="auto"/>
          <w:highlight w:val="none"/>
        </w:rPr>
      </w:pPr>
      <w:r>
        <w:rPr>
          <w:rFonts w:hint="eastAsia" w:ascii="仿宋" w:hAnsi="仿宋" w:eastAsia="仿宋" w:cs="仿宋"/>
          <w:b/>
          <w:bCs/>
          <w:iCs/>
          <w:color w:val="auto"/>
          <w:highlight w:val="none"/>
        </w:rPr>
        <w:t>六、其他补充事宜</w:t>
      </w:r>
    </w:p>
    <w:p w14:paraId="0A76A9BF">
      <w:pPr>
        <w:spacing w:line="500" w:lineRule="exact"/>
        <w:ind w:firstLine="480"/>
        <w:rPr>
          <w:rFonts w:hint="eastAsia" w:ascii="仿宋" w:hAnsi="仿宋" w:eastAsia="仿宋" w:cs="仿宋"/>
          <w:b/>
          <w:bCs/>
          <w:color w:val="auto"/>
          <w:highlight w:val="none"/>
        </w:rPr>
      </w:pPr>
      <w:r>
        <w:rPr>
          <w:rFonts w:hint="eastAsia" w:ascii="仿宋" w:hAnsi="仿宋" w:eastAsia="仿宋" w:cs="仿宋"/>
          <w:b w:val="0"/>
          <w:bCs w:val="0"/>
          <w:color w:val="auto"/>
          <w:highlight w:val="none"/>
          <w:lang w:eastAsia="zh-CN"/>
        </w:rPr>
        <w:t>（</w:t>
      </w:r>
      <w:r>
        <w:rPr>
          <w:rFonts w:hint="eastAsia" w:ascii="仿宋" w:hAnsi="仿宋" w:eastAsia="仿宋" w:cs="仿宋"/>
          <w:b w:val="0"/>
          <w:bCs w:val="0"/>
          <w:color w:val="auto"/>
          <w:highlight w:val="none"/>
          <w:lang w:val="en-US" w:eastAsia="zh-CN"/>
        </w:rPr>
        <w:t>一</w:t>
      </w:r>
      <w:r>
        <w:rPr>
          <w:rFonts w:hint="eastAsia" w:ascii="仿宋" w:hAnsi="仿宋" w:eastAsia="仿宋" w:cs="仿宋"/>
          <w:b w:val="0"/>
          <w:bCs w:val="0"/>
          <w:color w:val="auto"/>
          <w:highlight w:val="none"/>
          <w:lang w:eastAsia="zh-CN"/>
        </w:rPr>
        <w:t>）</w:t>
      </w:r>
      <w:r>
        <w:rPr>
          <w:rFonts w:hint="eastAsia" w:ascii="仿宋" w:hAnsi="仿宋" w:eastAsia="仿宋" w:cs="仿宋"/>
          <w:b w:val="0"/>
          <w:bCs w:val="0"/>
          <w:color w:val="auto"/>
          <w:highlight w:val="none"/>
          <w:lang w:val="en-US" w:eastAsia="zh-CN"/>
        </w:rPr>
        <w:t>参与方式</w:t>
      </w:r>
    </w:p>
    <w:p w14:paraId="35D2A12C">
      <w:pPr>
        <w:spacing w:line="500" w:lineRule="exact"/>
        <w:ind w:firstLine="480"/>
        <w:rPr>
          <w:rFonts w:ascii="仿宋" w:hAnsi="仿宋" w:eastAsia="仿宋" w:cs="仿宋"/>
          <w:b/>
          <w:bCs/>
          <w:color w:val="auto"/>
          <w:highlight w:val="none"/>
        </w:rPr>
      </w:pPr>
      <w:r>
        <w:rPr>
          <w:rFonts w:hint="eastAsia" w:ascii="仿宋" w:hAnsi="仿宋" w:eastAsia="仿宋" w:cs="仿宋"/>
          <w:b/>
          <w:bCs/>
          <w:color w:val="auto"/>
          <w:highlight w:val="none"/>
        </w:rPr>
        <w:t>1.</w:t>
      </w:r>
      <w:r>
        <w:rPr>
          <w:rFonts w:hint="eastAsia" w:ascii="仿宋" w:hAnsi="仿宋" w:eastAsia="仿宋" w:cs="仿宋"/>
          <w:b/>
          <w:bCs/>
          <w:color w:val="auto"/>
          <w:highlight w:val="none"/>
          <w:lang w:eastAsia="zh-CN"/>
        </w:rPr>
        <w:t>投标人</w:t>
      </w:r>
      <w:r>
        <w:rPr>
          <w:rFonts w:hint="eastAsia" w:ascii="仿宋" w:hAnsi="仿宋" w:eastAsia="仿宋" w:cs="仿宋"/>
          <w:b/>
          <w:bCs/>
          <w:color w:val="auto"/>
          <w:highlight w:val="none"/>
        </w:rPr>
        <w:t>通过苏采云系统参与政府采购项目，需要办理江苏省政府采购数字证书及电子公章，具体详见苏采云系统登录页“新CA办理指南”。《苏采云系统</w:t>
      </w:r>
      <w:r>
        <w:rPr>
          <w:rFonts w:hint="eastAsia" w:ascii="仿宋" w:hAnsi="仿宋" w:eastAsia="仿宋" w:cs="仿宋"/>
          <w:b/>
          <w:bCs/>
          <w:color w:val="auto"/>
          <w:highlight w:val="none"/>
          <w:lang w:eastAsia="zh-CN"/>
        </w:rPr>
        <w:t>投标人</w:t>
      </w:r>
      <w:r>
        <w:rPr>
          <w:rFonts w:hint="eastAsia" w:ascii="仿宋" w:hAnsi="仿宋" w:eastAsia="仿宋" w:cs="仿宋"/>
          <w:b/>
          <w:bCs/>
          <w:color w:val="auto"/>
          <w:highlight w:val="none"/>
        </w:rPr>
        <w:t>操作手册》（以下简称《操作手册》）可至江苏政府采购网―办事指南</w:t>
      </w:r>
      <w:r>
        <w:rPr>
          <w:rFonts w:hint="eastAsia" w:ascii="仿宋" w:hAnsi="仿宋" w:eastAsia="仿宋" w:cs="仿宋"/>
          <w:b/>
          <w:bCs/>
          <w:color w:val="auto"/>
          <w:highlight w:val="none"/>
          <w:lang w:eastAsia="zh-CN"/>
        </w:rPr>
        <w:t>－</w:t>
      </w:r>
      <w:r>
        <w:rPr>
          <w:rFonts w:hint="eastAsia" w:ascii="仿宋" w:hAnsi="仿宋" w:eastAsia="仿宋" w:cs="仿宋"/>
          <w:b/>
          <w:bCs/>
          <w:color w:val="auto"/>
          <w:highlight w:val="none"/>
        </w:rPr>
        <w:t>资料下载中心下载，</w:t>
      </w:r>
      <w:r>
        <w:rPr>
          <w:rFonts w:hint="eastAsia" w:ascii="仿宋" w:hAnsi="仿宋" w:eastAsia="仿宋" w:cs="仿宋"/>
          <w:b/>
          <w:bCs/>
          <w:color w:val="auto"/>
          <w:highlight w:val="none"/>
          <w:lang w:eastAsia="zh-CN"/>
        </w:rPr>
        <w:t>投标人</w:t>
      </w:r>
      <w:r>
        <w:rPr>
          <w:rFonts w:hint="eastAsia" w:ascii="仿宋" w:hAnsi="仿宋" w:eastAsia="仿宋" w:cs="仿宋"/>
          <w:b/>
          <w:bCs/>
          <w:color w:val="auto"/>
          <w:highlight w:val="none"/>
        </w:rPr>
        <w:t>按《操作手册》进行注册、制作、上传电子投标文件。</w:t>
      </w:r>
    </w:p>
    <w:p w14:paraId="5977577E">
      <w:pPr>
        <w:spacing w:line="500" w:lineRule="exact"/>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2.潜在</w:t>
      </w:r>
      <w:r>
        <w:rPr>
          <w:rFonts w:hint="eastAsia" w:ascii="仿宋" w:hAnsi="仿宋" w:eastAsia="仿宋" w:cs="仿宋"/>
          <w:b/>
          <w:bCs/>
          <w:color w:val="auto"/>
          <w:highlight w:val="none"/>
          <w:lang w:eastAsia="zh-CN"/>
        </w:rPr>
        <w:t>投标人</w:t>
      </w:r>
      <w:r>
        <w:rPr>
          <w:rFonts w:hint="eastAsia" w:ascii="仿宋" w:hAnsi="仿宋" w:eastAsia="仿宋" w:cs="仿宋"/>
          <w:b/>
          <w:bCs/>
          <w:color w:val="auto"/>
          <w:highlight w:val="none"/>
        </w:rPr>
        <w:t>访问政府采购管理交易系统（苏采云）的网络地址和方法：</w:t>
      </w:r>
    </w:p>
    <w:p w14:paraId="06B2CE38">
      <w:pPr>
        <w:spacing w:line="500" w:lineRule="exact"/>
        <w:ind w:firstLine="480"/>
        <w:rPr>
          <w:rFonts w:hint="eastAsia" w:ascii="仿宋" w:hAnsi="仿宋" w:eastAsia="仿宋" w:cs="仿宋"/>
          <w:b w:val="0"/>
          <w:bCs w:val="0"/>
          <w:color w:val="auto"/>
          <w:highlight w:val="none"/>
        </w:rPr>
      </w:pPr>
      <w:r>
        <w:rPr>
          <w:rFonts w:hint="eastAsia" w:ascii="仿宋" w:hAnsi="仿宋" w:eastAsia="仿宋" w:cs="仿宋"/>
          <w:b w:val="0"/>
          <w:bCs w:val="0"/>
          <w:color w:val="auto"/>
          <w:highlight w:val="none"/>
        </w:rPr>
        <w:t>（1）潜在</w:t>
      </w:r>
      <w:r>
        <w:rPr>
          <w:rFonts w:hint="eastAsia" w:ascii="仿宋" w:hAnsi="仿宋" w:eastAsia="仿宋" w:cs="仿宋"/>
          <w:b w:val="0"/>
          <w:bCs w:val="0"/>
          <w:color w:val="auto"/>
          <w:highlight w:val="none"/>
          <w:lang w:eastAsia="zh-CN"/>
        </w:rPr>
        <w:t>投标人</w:t>
      </w:r>
      <w:r>
        <w:rPr>
          <w:rFonts w:hint="eastAsia" w:ascii="仿宋" w:hAnsi="仿宋" w:eastAsia="仿宋" w:cs="仿宋"/>
          <w:b w:val="0"/>
          <w:bCs w:val="0"/>
          <w:color w:val="auto"/>
          <w:highlight w:val="none"/>
        </w:rPr>
        <w:t>访问政府采购管理交易系统（苏采云）的方法：“苏采云”系统用户注册</w:t>
      </w:r>
      <w:r>
        <w:rPr>
          <w:rFonts w:hint="eastAsia" w:ascii="仿宋" w:hAnsi="仿宋" w:eastAsia="仿宋" w:cs="仿宋"/>
          <w:b w:val="0"/>
          <w:bCs w:val="0"/>
          <w:color w:val="auto"/>
          <w:highlight w:val="none"/>
          <w:lang w:eastAsia="zh-CN"/>
        </w:rPr>
        <w:t>－－</w:t>
      </w:r>
      <w:r>
        <w:rPr>
          <w:rFonts w:hint="eastAsia" w:ascii="仿宋" w:hAnsi="仿宋" w:eastAsia="仿宋" w:cs="仿宋"/>
          <w:b w:val="0"/>
          <w:bCs w:val="0"/>
          <w:color w:val="auto"/>
          <w:highlight w:val="none"/>
        </w:rPr>
        <w:t>获取“CA数字证书”--CA绑定与登录--网上报名</w:t>
      </w:r>
      <w:r>
        <w:rPr>
          <w:rFonts w:hint="eastAsia" w:ascii="仿宋" w:hAnsi="仿宋" w:eastAsia="仿宋" w:cs="仿宋"/>
          <w:b w:val="0"/>
          <w:bCs w:val="0"/>
          <w:color w:val="auto"/>
          <w:highlight w:val="none"/>
          <w:lang w:eastAsia="zh-CN"/>
        </w:rPr>
        <w:t>－－</w:t>
      </w:r>
      <w:r>
        <w:rPr>
          <w:rFonts w:hint="eastAsia" w:ascii="仿宋" w:hAnsi="仿宋" w:eastAsia="仿宋" w:cs="仿宋"/>
          <w:b w:val="0"/>
          <w:bCs w:val="0"/>
          <w:color w:val="auto"/>
          <w:highlight w:val="none"/>
        </w:rPr>
        <w:t>下载采购文件（后缀名为“.kedt”）--将后缀名为“.kedt”的采购文件导入政府采购客户端工具</w:t>
      </w:r>
      <w:r>
        <w:rPr>
          <w:rFonts w:hint="eastAsia" w:ascii="仿宋" w:hAnsi="仿宋" w:eastAsia="仿宋" w:cs="仿宋"/>
          <w:b w:val="0"/>
          <w:bCs w:val="0"/>
          <w:color w:val="auto"/>
          <w:highlight w:val="none"/>
          <w:lang w:eastAsia="zh-CN"/>
        </w:rPr>
        <w:t>－－</w:t>
      </w:r>
      <w:r>
        <w:rPr>
          <w:rFonts w:hint="eastAsia" w:ascii="仿宋" w:hAnsi="仿宋" w:eastAsia="仿宋" w:cs="仿宋"/>
          <w:b w:val="0"/>
          <w:bCs w:val="0"/>
          <w:color w:val="auto"/>
          <w:highlight w:val="none"/>
        </w:rPr>
        <w:t>制作投标文件</w:t>
      </w:r>
      <w:r>
        <w:rPr>
          <w:rFonts w:hint="eastAsia" w:ascii="仿宋" w:hAnsi="仿宋" w:eastAsia="仿宋" w:cs="仿宋"/>
          <w:b w:val="0"/>
          <w:bCs w:val="0"/>
          <w:color w:val="auto"/>
          <w:highlight w:val="none"/>
          <w:lang w:eastAsia="zh-CN"/>
        </w:rPr>
        <w:t>－－</w:t>
      </w:r>
      <w:r>
        <w:rPr>
          <w:rFonts w:hint="eastAsia" w:ascii="仿宋" w:hAnsi="仿宋" w:eastAsia="仿宋" w:cs="仿宋"/>
          <w:b w:val="0"/>
          <w:bCs w:val="0"/>
          <w:color w:val="auto"/>
          <w:highlight w:val="none"/>
        </w:rPr>
        <w:t>导出加密的投标文件（后缀名为zip）--通过“苏采云”系统上传投标文件。</w:t>
      </w:r>
    </w:p>
    <w:p w14:paraId="2AB7B19C">
      <w:pPr>
        <w:spacing w:line="500" w:lineRule="exact"/>
        <w:ind w:firstLine="480"/>
        <w:rPr>
          <w:rFonts w:hint="eastAsia" w:ascii="仿宋" w:hAnsi="仿宋" w:eastAsia="仿宋" w:cs="仿宋"/>
          <w:b w:val="0"/>
          <w:bCs w:val="0"/>
          <w:color w:val="auto"/>
          <w:highlight w:val="none"/>
        </w:rPr>
      </w:pPr>
      <w:r>
        <w:rPr>
          <w:rFonts w:hint="eastAsia" w:ascii="仿宋" w:hAnsi="仿宋" w:eastAsia="仿宋" w:cs="仿宋"/>
          <w:b w:val="0"/>
          <w:bCs w:val="0"/>
          <w:color w:val="auto"/>
          <w:highlight w:val="none"/>
        </w:rPr>
        <w:t>（2）“CA数字证书”的获取：</w:t>
      </w:r>
      <w:r>
        <w:rPr>
          <w:rFonts w:hint="eastAsia" w:ascii="仿宋" w:hAnsi="仿宋" w:eastAsia="仿宋" w:cs="仿宋"/>
          <w:b w:val="0"/>
          <w:bCs w:val="0"/>
          <w:color w:val="auto"/>
          <w:highlight w:val="none"/>
          <w:lang w:eastAsia="zh-CN"/>
        </w:rPr>
        <w:t>投标人</w:t>
      </w:r>
      <w:r>
        <w:rPr>
          <w:rFonts w:hint="eastAsia" w:ascii="仿宋" w:hAnsi="仿宋" w:eastAsia="仿宋" w:cs="仿宋"/>
          <w:b w:val="0"/>
          <w:bCs w:val="0"/>
          <w:color w:val="auto"/>
          <w:highlight w:val="none"/>
        </w:rPr>
        <w:t>需办理CA锁，“苏采云”系统目前仅支持“苏采云”系统下的政务CA，省内各地区办理的“苏采云”系统下的政务CA全省通用。</w:t>
      </w:r>
    </w:p>
    <w:p w14:paraId="7E6247FB">
      <w:pPr>
        <w:spacing w:line="500" w:lineRule="exact"/>
        <w:ind w:firstLine="480"/>
        <w:rPr>
          <w:rFonts w:hint="eastAsia" w:ascii="仿宋" w:hAnsi="仿宋" w:eastAsia="仿宋" w:cs="仿宋"/>
          <w:b w:val="0"/>
          <w:bCs w:val="0"/>
          <w:color w:val="auto"/>
          <w:highlight w:val="none"/>
        </w:rPr>
      </w:pPr>
      <w:r>
        <w:rPr>
          <w:rFonts w:hint="eastAsia" w:ascii="仿宋" w:hAnsi="仿宋" w:eastAsia="仿宋" w:cs="仿宋"/>
          <w:b w:val="0"/>
          <w:bCs w:val="0"/>
          <w:color w:val="auto"/>
          <w:highlight w:val="none"/>
        </w:rPr>
        <w:t>（3）“CA数字证书”的办理材料以及</w:t>
      </w:r>
      <w:r>
        <w:rPr>
          <w:rFonts w:hint="eastAsia" w:ascii="仿宋" w:hAnsi="仿宋" w:eastAsia="仿宋" w:cs="仿宋"/>
          <w:b w:val="0"/>
          <w:bCs w:val="0"/>
          <w:color w:val="auto"/>
          <w:highlight w:val="none"/>
          <w:lang w:eastAsia="zh-CN"/>
        </w:rPr>
        <w:t>投标人</w:t>
      </w:r>
      <w:r>
        <w:rPr>
          <w:rFonts w:hint="eastAsia" w:ascii="仿宋" w:hAnsi="仿宋" w:eastAsia="仿宋" w:cs="仿宋"/>
          <w:b w:val="0"/>
          <w:bCs w:val="0"/>
          <w:color w:val="auto"/>
          <w:highlight w:val="none"/>
        </w:rPr>
        <w:t>操作手册详见：http://jsxcmm.com/help/gys.html。</w:t>
      </w:r>
    </w:p>
    <w:p w14:paraId="11DEB752">
      <w:pPr>
        <w:spacing w:line="500" w:lineRule="exact"/>
        <w:ind w:firstLine="480"/>
        <w:rPr>
          <w:rFonts w:hint="eastAsia" w:ascii="仿宋" w:hAnsi="仿宋" w:eastAsia="仿宋" w:cs="仿宋"/>
          <w:b w:val="0"/>
          <w:bCs w:val="0"/>
          <w:color w:val="auto"/>
          <w:highlight w:val="none"/>
        </w:rPr>
      </w:pPr>
      <w:r>
        <w:rPr>
          <w:rFonts w:hint="eastAsia" w:ascii="仿宋" w:hAnsi="仿宋" w:eastAsia="仿宋" w:cs="仿宋"/>
          <w:b w:val="0"/>
          <w:bCs w:val="0"/>
          <w:color w:val="auto"/>
          <w:highlight w:val="none"/>
        </w:rPr>
        <w:t>（4）潜在</w:t>
      </w:r>
      <w:r>
        <w:rPr>
          <w:rFonts w:hint="eastAsia" w:ascii="仿宋" w:hAnsi="仿宋" w:eastAsia="仿宋" w:cs="仿宋"/>
          <w:b w:val="0"/>
          <w:bCs w:val="0"/>
          <w:color w:val="auto"/>
          <w:highlight w:val="none"/>
          <w:lang w:eastAsia="zh-CN"/>
        </w:rPr>
        <w:t>投标人</w:t>
      </w:r>
      <w:r>
        <w:rPr>
          <w:rFonts w:hint="eastAsia" w:ascii="仿宋" w:hAnsi="仿宋" w:eastAsia="仿宋" w:cs="仿宋"/>
          <w:b w:val="0"/>
          <w:bCs w:val="0"/>
          <w:color w:val="auto"/>
          <w:highlight w:val="none"/>
        </w:rPr>
        <w:t>访问“苏采云”系统的网络地址和方法：“苏采云”系统的网址：http://jszfcg.jsczt.cn/jszc/login。</w:t>
      </w:r>
    </w:p>
    <w:p w14:paraId="2FEF535E">
      <w:pPr>
        <w:spacing w:line="500" w:lineRule="exact"/>
        <w:ind w:firstLine="480"/>
        <w:rPr>
          <w:rFonts w:hint="eastAsia" w:ascii="仿宋" w:hAnsi="仿宋" w:eastAsia="仿宋" w:cs="仿宋"/>
          <w:b w:val="0"/>
          <w:bCs w:val="0"/>
          <w:color w:val="auto"/>
          <w:highlight w:val="none"/>
        </w:rPr>
      </w:pPr>
      <w:r>
        <w:rPr>
          <w:rFonts w:hint="eastAsia" w:ascii="仿宋" w:hAnsi="仿宋" w:eastAsia="仿宋" w:cs="仿宋"/>
          <w:b w:val="0"/>
          <w:bCs w:val="0"/>
          <w:color w:val="auto"/>
          <w:highlight w:val="none"/>
        </w:rPr>
        <w:t>（5）采购文件（后缀名为“.kedt”）、</w:t>
      </w:r>
      <w:r>
        <w:rPr>
          <w:rFonts w:hint="eastAsia" w:ascii="仿宋" w:hAnsi="仿宋" w:eastAsia="仿宋" w:cs="仿宋"/>
          <w:b w:val="0"/>
          <w:bCs w:val="0"/>
          <w:color w:val="auto"/>
          <w:highlight w:val="none"/>
          <w:lang w:eastAsia="zh-CN"/>
        </w:rPr>
        <w:t>投标人</w:t>
      </w:r>
      <w:r>
        <w:rPr>
          <w:rFonts w:hint="eastAsia" w:ascii="仿宋" w:hAnsi="仿宋" w:eastAsia="仿宋" w:cs="仿宋"/>
          <w:b w:val="0"/>
          <w:bCs w:val="0"/>
          <w:color w:val="auto"/>
          <w:highlight w:val="none"/>
        </w:rPr>
        <w:t>操作手册及政府采购客户端工具也可通过“苏采云”系统</w:t>
      </w:r>
      <w:r>
        <w:rPr>
          <w:rFonts w:hint="eastAsia" w:ascii="仿宋" w:hAnsi="仿宋" w:eastAsia="仿宋" w:cs="仿宋"/>
          <w:b w:val="0"/>
          <w:bCs w:val="0"/>
          <w:color w:val="auto"/>
          <w:highlight w:val="none"/>
          <w:lang w:eastAsia="zh-CN"/>
        </w:rPr>
        <w:t>－－</w:t>
      </w:r>
      <w:r>
        <w:rPr>
          <w:rFonts w:hint="eastAsia" w:ascii="仿宋" w:hAnsi="仿宋" w:eastAsia="仿宋" w:cs="仿宋"/>
          <w:b w:val="0"/>
          <w:bCs w:val="0"/>
          <w:color w:val="auto"/>
          <w:highlight w:val="none"/>
        </w:rPr>
        <w:t>已报名项目</w:t>
      </w:r>
      <w:r>
        <w:rPr>
          <w:rFonts w:hint="eastAsia" w:ascii="仿宋" w:hAnsi="仿宋" w:eastAsia="仿宋" w:cs="仿宋"/>
          <w:b w:val="0"/>
          <w:bCs w:val="0"/>
          <w:color w:val="auto"/>
          <w:highlight w:val="none"/>
          <w:lang w:eastAsia="zh-CN"/>
        </w:rPr>
        <w:t>－－</w:t>
      </w:r>
      <w:r>
        <w:rPr>
          <w:rFonts w:hint="eastAsia" w:ascii="仿宋" w:hAnsi="仿宋" w:eastAsia="仿宋" w:cs="仿宋"/>
          <w:b w:val="0"/>
          <w:bCs w:val="0"/>
          <w:color w:val="auto"/>
          <w:highlight w:val="none"/>
        </w:rPr>
        <w:t>报名详情页面内相应链接进行下载。</w:t>
      </w:r>
    </w:p>
    <w:p w14:paraId="4781BF4A">
      <w:pPr>
        <w:spacing w:line="500" w:lineRule="exact"/>
        <w:ind w:firstLine="480"/>
        <w:rPr>
          <w:rFonts w:hint="eastAsia" w:ascii="仿宋" w:hAnsi="仿宋" w:eastAsia="仿宋" w:cs="仿宋"/>
          <w:b w:val="0"/>
          <w:bCs w:val="0"/>
          <w:color w:val="auto"/>
          <w:highlight w:val="none"/>
        </w:rPr>
      </w:pPr>
      <w:r>
        <w:rPr>
          <w:rFonts w:hint="eastAsia" w:ascii="仿宋" w:hAnsi="仿宋" w:eastAsia="仿宋" w:cs="仿宋"/>
          <w:b w:val="0"/>
          <w:bCs w:val="0"/>
          <w:color w:val="auto"/>
          <w:highlight w:val="none"/>
        </w:rPr>
        <w:t>（6）招标代理机构（采购代理机构）将数据电文形式的采购文件加载至“苏采云”系统，供潜在</w:t>
      </w:r>
      <w:r>
        <w:rPr>
          <w:rFonts w:hint="eastAsia" w:ascii="仿宋" w:hAnsi="仿宋" w:eastAsia="仿宋" w:cs="仿宋"/>
          <w:b w:val="0"/>
          <w:bCs w:val="0"/>
          <w:color w:val="auto"/>
          <w:highlight w:val="none"/>
          <w:lang w:eastAsia="zh-CN"/>
        </w:rPr>
        <w:t>投标人</w:t>
      </w:r>
      <w:r>
        <w:rPr>
          <w:rFonts w:hint="eastAsia" w:ascii="仿宋" w:hAnsi="仿宋" w:eastAsia="仿宋" w:cs="仿宋"/>
          <w:b w:val="0"/>
          <w:bCs w:val="0"/>
          <w:color w:val="auto"/>
          <w:highlight w:val="none"/>
        </w:rPr>
        <w:t>下载或者查阅。</w:t>
      </w:r>
    </w:p>
    <w:p w14:paraId="6E8197B5">
      <w:pPr>
        <w:spacing w:line="500" w:lineRule="exact"/>
        <w:ind w:firstLine="480"/>
        <w:rPr>
          <w:rFonts w:hint="eastAsia" w:ascii="仿宋" w:hAnsi="仿宋" w:eastAsia="仿宋" w:cs="仿宋"/>
          <w:b w:val="0"/>
          <w:bCs w:val="0"/>
          <w:color w:val="auto"/>
          <w:highlight w:val="none"/>
        </w:rPr>
      </w:pPr>
      <w:r>
        <w:rPr>
          <w:rFonts w:hint="eastAsia" w:ascii="仿宋" w:hAnsi="仿宋" w:eastAsia="仿宋" w:cs="仿宋"/>
          <w:b w:val="0"/>
          <w:bCs w:val="0"/>
          <w:color w:val="auto"/>
          <w:highlight w:val="none"/>
        </w:rPr>
        <w:t>（7）苏采云系统使用谷歌浏览器参与不见面开标。</w:t>
      </w:r>
    </w:p>
    <w:p w14:paraId="2FFE4687">
      <w:pPr>
        <w:spacing w:line="500" w:lineRule="exact"/>
        <w:ind w:firstLine="480"/>
        <w:rPr>
          <w:rFonts w:hint="eastAsia" w:ascii="仿宋" w:hAnsi="仿宋" w:eastAsia="仿宋" w:cs="仿宋"/>
          <w:b w:val="0"/>
          <w:bCs w:val="0"/>
          <w:color w:val="auto"/>
          <w:highlight w:val="none"/>
          <w:lang w:val="en-US" w:eastAsia="zh-CN"/>
        </w:rPr>
      </w:pPr>
      <w:r>
        <w:rPr>
          <w:rFonts w:hint="eastAsia" w:ascii="仿宋" w:hAnsi="仿宋" w:eastAsia="仿宋" w:cs="仿宋"/>
          <w:b w:val="0"/>
          <w:bCs w:val="0"/>
          <w:color w:val="auto"/>
          <w:highlight w:val="none"/>
        </w:rPr>
        <w:t>（8）“苏采云”扬州地区客服热线0514-82087119、13813140731。</w:t>
      </w:r>
    </w:p>
    <w:p w14:paraId="437B0024">
      <w:pPr>
        <w:spacing w:line="500" w:lineRule="exact"/>
        <w:ind w:firstLine="480"/>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3.</w:t>
      </w:r>
      <w:r>
        <w:rPr>
          <w:rFonts w:hint="eastAsia" w:ascii="仿宋" w:hAnsi="仿宋" w:eastAsia="仿宋" w:cs="仿宋"/>
          <w:b/>
          <w:bCs/>
          <w:color w:val="auto"/>
          <w:highlight w:val="none"/>
        </w:rPr>
        <w:t>投标文件的解密：</w:t>
      </w:r>
      <w:r>
        <w:rPr>
          <w:rFonts w:hint="eastAsia" w:ascii="仿宋" w:hAnsi="仿宋" w:eastAsia="仿宋" w:cs="仿宋"/>
          <w:color w:val="auto"/>
          <w:highlight w:val="none"/>
        </w:rPr>
        <w:t>开标当天各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及时登录不见面开标大厅，投标文件递交截止时间后，采购人将在系统内公布</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名单，然后通过开标会议区发出投标文件解密的指令，</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在开标室按规定时间自行实施远程解密，</w:t>
      </w:r>
      <w:r>
        <w:rPr>
          <w:rFonts w:hint="eastAsia" w:ascii="仿宋" w:hAnsi="仿宋" w:eastAsia="仿宋" w:cs="仿宋"/>
          <w:b/>
          <w:bCs/>
          <w:color w:val="auto"/>
          <w:highlight w:val="none"/>
          <w:lang w:eastAsia="zh-CN"/>
        </w:rPr>
        <w:t>投标人</w:t>
      </w:r>
      <w:r>
        <w:rPr>
          <w:rFonts w:hint="eastAsia" w:ascii="仿宋" w:hAnsi="仿宋" w:eastAsia="仿宋" w:cs="仿宋"/>
          <w:b/>
          <w:bCs/>
          <w:color w:val="auto"/>
          <w:highlight w:val="none"/>
        </w:rPr>
        <w:t>解密限定在开标后30分钟之内完成</w:t>
      </w:r>
      <w:r>
        <w:rPr>
          <w:rFonts w:hint="eastAsia" w:ascii="仿宋" w:hAnsi="仿宋" w:eastAsia="仿宋" w:cs="仿宋"/>
          <w:color w:val="auto"/>
          <w:highlight w:val="none"/>
        </w:rPr>
        <w:t>。因</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网络与电源不稳定、未按操作手册要求配置软硬件、解密锁发生故障或用错、故意不在要求时限内完成解密等自身原因，导致</w:t>
      </w:r>
      <w:r>
        <w:rPr>
          <w:rFonts w:hint="eastAsia" w:ascii="仿宋" w:hAnsi="仿宋" w:eastAsia="仿宋" w:cs="仿宋"/>
          <w:color w:val="auto"/>
          <w:highlight w:val="none"/>
          <w:lang w:eastAsia="zh-CN"/>
        </w:rPr>
        <w:t>投标文件</w:t>
      </w:r>
      <w:r>
        <w:rPr>
          <w:rFonts w:hint="eastAsia" w:ascii="仿宋" w:hAnsi="仿宋" w:eastAsia="仿宋" w:cs="仿宋"/>
          <w:color w:val="auto"/>
          <w:highlight w:val="none"/>
        </w:rPr>
        <w:t>在规定时间内未能解密、解密失败或解密超时，视为</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撤销其</w:t>
      </w:r>
      <w:r>
        <w:rPr>
          <w:rFonts w:hint="eastAsia" w:ascii="仿宋" w:hAnsi="仿宋" w:eastAsia="仿宋" w:cs="仿宋"/>
          <w:color w:val="auto"/>
          <w:highlight w:val="none"/>
          <w:lang w:eastAsia="zh-CN"/>
        </w:rPr>
        <w:t>投标文件</w:t>
      </w:r>
      <w:r>
        <w:rPr>
          <w:rFonts w:hint="eastAsia" w:ascii="仿宋" w:hAnsi="仿宋" w:eastAsia="仿宋" w:cs="仿宋"/>
          <w:color w:val="auto"/>
          <w:highlight w:val="none"/>
        </w:rPr>
        <w:t>，系统内投标文件将被退回；因采购人（或采购代理机构）原因或网上招投标平台发生故障，导致无法按时完成投标文件解密或开、评标工作无法进行的，可根据实际情况相应延迟解密时间或调整开、评标时间。</w:t>
      </w:r>
    </w:p>
    <w:p w14:paraId="3EB80B63">
      <w:pPr>
        <w:spacing w:line="500" w:lineRule="exact"/>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二</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线上融资</w:t>
      </w:r>
    </w:p>
    <w:p w14:paraId="7C4C01DC">
      <w:pPr>
        <w:spacing w:line="500" w:lineRule="exact"/>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为提升政府采购投标人的融资可得性，解决中小企业融资难问题，中国人民银行、市财政局、市公共资源交易中心推出了政府采购线上应收账款融资模式。各投标人如果有融资需求，可以凭借政府采购中标（成交）通知书或政府采购合同，通过中国人民银行征信中心“中征应收账款融资服务平台（https://www.crcrfsp.com）”向参与政府采购融资业务的金融机构申请线上融资，相关事宜可向市人民银行咨询，联系电话：0514-87936653。</w:t>
      </w:r>
    </w:p>
    <w:p w14:paraId="79A0DFF4">
      <w:pPr>
        <w:spacing w:line="500" w:lineRule="exact"/>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（三）其他</w:t>
      </w:r>
    </w:p>
    <w:p w14:paraId="1FEA3396">
      <w:pPr>
        <w:spacing w:line="500" w:lineRule="exact"/>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本次采购采用“政府采购管理交易系统（苏采云）”，招标、投标、评标和中标结果发布全程电子化，开标方式为不见面开标。投标人应当按照《“苏采云”系统供应商操作手册》参加投标活动。如投标人未按要求操作，由此所产生的风险由投标人自行承担。</w:t>
      </w:r>
    </w:p>
    <w:p w14:paraId="11B25E30">
      <w:pPr>
        <w:spacing w:line="500" w:lineRule="exact"/>
        <w:ind w:firstLine="48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2.投标人如确定参加投标，可自行下载采购文件及有关资料，按照《操作手册》进行注册，领取CA和办理电子签章，并按《操作手册》要求制作、上传电子投标文件，技术支持联系方式：13813140731。</w:t>
      </w:r>
    </w:p>
    <w:p w14:paraId="01F6B29E">
      <w:pPr>
        <w:spacing w:line="500" w:lineRule="exact"/>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w:t>
      </w:r>
      <w:r>
        <w:rPr>
          <w:rFonts w:hint="default" w:ascii="仿宋" w:hAnsi="仿宋" w:eastAsia="仿宋" w:cs="仿宋"/>
          <w:color w:val="auto"/>
          <w:highlight w:val="none"/>
          <w:lang w:val="en-US" w:eastAsia="zh-CN"/>
        </w:rPr>
        <w:t>严格执行政府采购关于支持节能产品、环境标志产品的相关政策规定。如本次采购的产品属于财政部、国家发展改革委、生态环境部、市场监管总局等部门发布的节能产品、环境标志产品品目清单政府强制采购范围的，投标人必须在响应文件中提供所投产品的相关证书</w:t>
      </w:r>
      <w:r>
        <w:rPr>
          <w:rFonts w:hint="eastAsia" w:ascii="仿宋" w:hAnsi="仿宋" w:eastAsia="仿宋" w:cs="仿宋"/>
          <w:color w:val="auto"/>
          <w:highlight w:val="none"/>
          <w:lang w:val="en-US" w:eastAsia="zh-CN"/>
        </w:rPr>
        <w:t>（</w:t>
      </w:r>
      <w:r>
        <w:rPr>
          <w:rFonts w:hint="default" w:ascii="仿宋" w:hAnsi="仿宋" w:eastAsia="仿宋" w:cs="仿宋"/>
          <w:color w:val="auto"/>
          <w:highlight w:val="none"/>
          <w:lang w:val="en-US" w:eastAsia="zh-CN"/>
        </w:rPr>
        <w:t>由国家确定的认证机构出具的、处于有效期之内的节能产品、环境标志产品认证证书</w:t>
      </w:r>
      <w:r>
        <w:rPr>
          <w:rFonts w:hint="eastAsia" w:ascii="仿宋" w:hAnsi="仿宋" w:eastAsia="仿宋" w:cs="仿宋"/>
          <w:color w:val="auto"/>
          <w:highlight w:val="none"/>
          <w:lang w:val="en-US" w:eastAsia="zh-CN"/>
        </w:rPr>
        <w:t>）</w:t>
      </w:r>
      <w:r>
        <w:rPr>
          <w:rFonts w:hint="default" w:ascii="仿宋" w:hAnsi="仿宋" w:eastAsia="仿宋" w:cs="仿宋"/>
          <w:color w:val="auto"/>
          <w:highlight w:val="none"/>
          <w:lang w:val="en-US" w:eastAsia="zh-CN"/>
        </w:rPr>
        <w:t>。节能产品、环境标志产品品目清单以递交响应文件截止时已正式公布的最近一期信息为准，如属政府强制采购产品未提供认证证书的或认证证书提供不全的将视为未实质性响应采购要求。其他条件相同情况下，应当优先采购节能产品、环境标志产品。</w:t>
      </w:r>
    </w:p>
    <w:p w14:paraId="1B94E4E6">
      <w:pPr>
        <w:spacing w:line="500" w:lineRule="exact"/>
        <w:ind w:firstLine="48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w:t>
      </w:r>
      <w:r>
        <w:rPr>
          <w:rFonts w:hint="default" w:ascii="仿宋" w:hAnsi="仿宋" w:eastAsia="仿宋" w:cs="仿宋"/>
          <w:color w:val="auto"/>
          <w:highlight w:val="none"/>
          <w:lang w:val="en-US" w:eastAsia="zh-CN"/>
        </w:rPr>
        <w:t>落实好政府采购履约资金扶持政策。中标/成交投标人可凭政府采购合同办理融资贷款，详见江苏政府采购网“政采贷”专栏。</w:t>
      </w:r>
    </w:p>
    <w:p w14:paraId="79DD509C">
      <w:pPr>
        <w:spacing w:line="500" w:lineRule="exact"/>
        <w:ind w:firstLine="48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w:t>
      </w:r>
      <w:r>
        <w:rPr>
          <w:rFonts w:hint="default" w:ascii="仿宋" w:hAnsi="仿宋" w:eastAsia="仿宋" w:cs="仿宋"/>
          <w:color w:val="auto"/>
          <w:highlight w:val="none"/>
          <w:lang w:val="en-US" w:eastAsia="zh-CN"/>
        </w:rPr>
        <w:t>本次招标不收取投标保证金。</w:t>
      </w:r>
    </w:p>
    <w:p w14:paraId="43FC591D">
      <w:pPr>
        <w:spacing w:line="500" w:lineRule="exact"/>
        <w:ind w:firstLine="48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6.</w:t>
      </w:r>
      <w:r>
        <w:rPr>
          <w:rFonts w:hint="default" w:ascii="仿宋" w:hAnsi="仿宋" w:eastAsia="仿宋" w:cs="仿宋"/>
          <w:color w:val="auto"/>
          <w:highlight w:val="none"/>
          <w:lang w:val="en-US" w:eastAsia="zh-CN"/>
        </w:rPr>
        <w:t>有关本次招标的事项若存在变动或修改，敬请及时关注“扬州市政府采购网</w:t>
      </w:r>
      <w:r>
        <w:rPr>
          <w:rFonts w:hint="eastAsia" w:ascii="仿宋" w:hAnsi="仿宋" w:eastAsia="仿宋" w:cs="仿宋"/>
          <w:color w:val="auto"/>
          <w:highlight w:val="none"/>
          <w:lang w:val="en-US" w:eastAsia="zh-CN"/>
        </w:rPr>
        <w:t>”“</w:t>
      </w:r>
      <w:r>
        <w:rPr>
          <w:rFonts w:hint="default" w:ascii="仿宋" w:hAnsi="仿宋" w:eastAsia="仿宋" w:cs="仿宋"/>
          <w:color w:val="auto"/>
          <w:highlight w:val="none"/>
          <w:lang w:val="en-US" w:eastAsia="zh-CN"/>
        </w:rPr>
        <w:t>江苏省政府采购网”发布的信息。</w:t>
      </w:r>
    </w:p>
    <w:p w14:paraId="06294680">
      <w:pPr>
        <w:spacing w:line="500" w:lineRule="exact"/>
        <w:ind w:firstLine="480"/>
        <w:rPr>
          <w:rFonts w:hint="default" w:ascii="仿宋" w:hAnsi="仿宋" w:eastAsia="仿宋" w:cs="仿宋"/>
          <w:color w:val="auto"/>
          <w:highlight w:val="none"/>
          <w:lang w:val="en-US" w:eastAsia="zh-CN"/>
        </w:rPr>
      </w:pPr>
      <w:r>
        <w:rPr>
          <w:rFonts w:hint="eastAsia" w:ascii="仿宋" w:hAnsi="仿宋" w:eastAsia="仿宋" w:cs="仿宋"/>
          <w:i/>
          <w:iCs/>
          <w:color w:val="auto"/>
          <w:highlight w:val="none"/>
          <w:u w:val="single"/>
          <w:lang w:val="en-US" w:eastAsia="zh-CN"/>
        </w:rPr>
        <w:t>7.</w:t>
      </w:r>
      <w:r>
        <w:rPr>
          <w:rFonts w:hint="default" w:ascii="仿宋" w:hAnsi="仿宋" w:eastAsia="仿宋" w:cs="仿宋"/>
          <w:i/>
          <w:iCs/>
          <w:color w:val="auto"/>
          <w:highlight w:val="none"/>
          <w:u w:val="single"/>
          <w:lang w:val="en-US" w:eastAsia="zh-CN"/>
        </w:rPr>
        <w:t>本项目招标文件中所有斜体下划线部分为实质性条款，如不满足，则为无效投标。</w:t>
      </w:r>
    </w:p>
    <w:p w14:paraId="41BFB2D1">
      <w:pPr>
        <w:spacing w:line="500" w:lineRule="exact"/>
        <w:ind w:firstLine="48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8.</w:t>
      </w:r>
      <w:r>
        <w:rPr>
          <w:rFonts w:hint="default" w:ascii="仿宋" w:hAnsi="仿宋" w:eastAsia="仿宋" w:cs="仿宋"/>
          <w:color w:val="auto"/>
          <w:highlight w:val="none"/>
          <w:lang w:val="en-US" w:eastAsia="zh-CN"/>
        </w:rPr>
        <w:t>投标人对于投标产品的包装应按照“财办库〔2020〕123号《关于印发《商品包装政府采购需求标准（试行）</w:t>
      </w:r>
      <w:r>
        <w:rPr>
          <w:rFonts w:hint="eastAsia" w:ascii="仿宋" w:hAnsi="仿宋" w:eastAsia="仿宋" w:cs="仿宋"/>
          <w:color w:val="auto"/>
          <w:highlight w:val="none"/>
          <w:lang w:val="en-US" w:eastAsia="zh-CN"/>
        </w:rPr>
        <w:t>》《</w:t>
      </w:r>
      <w:r>
        <w:rPr>
          <w:rFonts w:hint="default" w:ascii="仿宋" w:hAnsi="仿宋" w:eastAsia="仿宋" w:cs="仿宋"/>
          <w:color w:val="auto"/>
          <w:highlight w:val="none"/>
          <w:lang w:val="en-US" w:eastAsia="zh-CN"/>
        </w:rPr>
        <w:t>快递包装政府采购需求标准（试行）》的通知》”执行。</w:t>
      </w:r>
    </w:p>
    <w:p w14:paraId="7380D94B">
      <w:pPr>
        <w:spacing w:line="500" w:lineRule="exact"/>
        <w:ind w:firstLine="48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9.</w:t>
      </w:r>
      <w:r>
        <w:rPr>
          <w:rFonts w:hint="default" w:ascii="仿宋" w:hAnsi="仿宋" w:eastAsia="仿宋" w:cs="仿宋"/>
          <w:color w:val="auto"/>
          <w:highlight w:val="none"/>
          <w:lang w:val="en-US" w:eastAsia="zh-CN"/>
        </w:rPr>
        <w:t>供应商插入CA证书登录“苏采云”系统后选择具体项目，点击“我要参与”并签章提交《投标供应商确认函》，提交《投标供应商确认函》日期视同为依法获取招标文件日期。供应商须打印、保留《投标供应商确认函》，质疑时《投标供应商确认函》与质疑函一并提交；未依照招标公告要求提交《投标供应商确认函》的供应商，视为未参与该项目政府采购活动，不具备对该政府采购项目提出质疑的法定权利，但因供应商资格条件或获取招标文件时间设定不符合有关法律法规规定等原因使供应商权益受损的除外。</w:t>
      </w:r>
    </w:p>
    <w:p w14:paraId="3733F58E">
      <w:pPr>
        <w:spacing w:line="500" w:lineRule="exact"/>
        <w:ind w:firstLine="482"/>
        <w:rPr>
          <w:rFonts w:ascii="仿宋" w:hAnsi="仿宋" w:eastAsia="仿宋" w:cs="仿宋"/>
          <w:b/>
          <w:bCs/>
          <w:iCs/>
          <w:color w:val="auto"/>
          <w:highlight w:val="none"/>
        </w:rPr>
      </w:pPr>
      <w:r>
        <w:rPr>
          <w:rFonts w:hint="eastAsia" w:ascii="仿宋" w:hAnsi="仿宋" w:eastAsia="仿宋" w:cs="仿宋"/>
          <w:b/>
          <w:bCs/>
          <w:iCs/>
          <w:color w:val="auto"/>
          <w:highlight w:val="none"/>
        </w:rPr>
        <w:t>七、对本次采购提出询问，请按以下方式联系。</w:t>
      </w:r>
    </w:p>
    <w:p w14:paraId="2D155093">
      <w:pPr>
        <w:spacing w:line="500" w:lineRule="exact"/>
        <w:ind w:firstLine="480"/>
        <w:rPr>
          <w:rFonts w:ascii="仿宋" w:hAnsi="仿宋" w:eastAsia="仿宋" w:cs="仿宋"/>
          <w:color w:val="auto"/>
          <w:highlight w:val="none"/>
        </w:rPr>
      </w:pPr>
      <w:bookmarkStart w:id="9" w:name="EB6c5d4254c80a4b9cbed1a4ace593426e"/>
      <w:r>
        <w:rPr>
          <w:rFonts w:hint="eastAsia" w:ascii="仿宋" w:hAnsi="仿宋" w:eastAsia="仿宋" w:cs="仿宋"/>
          <w:color w:val="auto"/>
          <w:highlight w:val="none"/>
        </w:rPr>
        <w:t>1.采购人信息</w:t>
      </w:r>
    </w:p>
    <w:p w14:paraId="17556D05">
      <w:pPr>
        <w:spacing w:line="500" w:lineRule="exact"/>
        <w:ind w:firstLine="480"/>
        <w:rPr>
          <w:rFonts w:hint="eastAsia" w:ascii="仿宋" w:hAnsi="仿宋" w:eastAsia="仿宋" w:cs="仿宋"/>
          <w:color w:val="auto"/>
          <w:highlight w:val="none"/>
          <w:lang w:eastAsia="zh-CN"/>
        </w:rPr>
      </w:pPr>
      <w:r>
        <w:rPr>
          <w:rFonts w:hint="eastAsia" w:ascii="仿宋" w:hAnsi="仿宋" w:eastAsia="仿宋" w:cs="仿宋"/>
          <w:color w:val="auto"/>
          <w:highlight w:val="none"/>
        </w:rPr>
        <w:t>单位名称：</w:t>
      </w:r>
      <w:r>
        <w:rPr>
          <w:rFonts w:hint="eastAsia" w:ascii="仿宋" w:hAnsi="仿宋" w:eastAsia="仿宋" w:cs="仿宋"/>
          <w:color w:val="auto"/>
          <w:highlight w:val="none"/>
          <w:lang w:eastAsia="zh-CN"/>
        </w:rPr>
        <w:t>扬州市中医院</w:t>
      </w:r>
    </w:p>
    <w:p w14:paraId="68E891C3">
      <w:pPr>
        <w:spacing w:line="500" w:lineRule="exact"/>
        <w:ind w:firstLine="480"/>
        <w:rPr>
          <w:rFonts w:hint="default" w:ascii="仿宋" w:hAnsi="仿宋" w:eastAsia="仿宋" w:cs="仿宋"/>
          <w:color w:val="auto"/>
          <w:highlight w:val="none"/>
          <w:lang w:val="en-US" w:eastAsia="zh-CN"/>
        </w:rPr>
      </w:pPr>
      <w:r>
        <w:rPr>
          <w:rFonts w:hint="eastAsia" w:ascii="仿宋" w:hAnsi="仿宋" w:eastAsia="仿宋" w:cs="仿宋"/>
          <w:color w:val="auto"/>
          <w:highlight w:val="none"/>
        </w:rPr>
        <w:t>单位地址：扬州市邗江区文昌中路577号</w:t>
      </w:r>
    </w:p>
    <w:p w14:paraId="2FBB1F96">
      <w:pPr>
        <w:spacing w:line="500" w:lineRule="exact"/>
        <w:ind w:firstLine="480"/>
        <w:rPr>
          <w:rFonts w:hint="default" w:ascii="仿宋" w:hAnsi="仿宋" w:eastAsia="仿宋" w:cs="仿宋"/>
          <w:color w:val="auto"/>
          <w:highlight w:val="none"/>
          <w:lang w:val="en-US"/>
        </w:rPr>
      </w:pPr>
      <w:r>
        <w:rPr>
          <w:rFonts w:hint="eastAsia" w:ascii="仿宋" w:hAnsi="仿宋" w:eastAsia="仿宋" w:cs="仿宋"/>
          <w:color w:val="auto"/>
          <w:highlight w:val="none"/>
          <w:lang w:val="en-US" w:eastAsia="zh-CN"/>
        </w:rPr>
        <w:t>联系人：王老师</w:t>
      </w:r>
    </w:p>
    <w:p w14:paraId="1CD88811">
      <w:pPr>
        <w:spacing w:line="500" w:lineRule="exact"/>
        <w:ind w:firstLine="480"/>
        <w:rPr>
          <w:rFonts w:ascii="仿宋" w:hAnsi="仿宋" w:eastAsia="仿宋" w:cs="仿宋"/>
          <w:color w:val="auto"/>
          <w:highlight w:val="none"/>
        </w:rPr>
      </w:pPr>
      <w:r>
        <w:rPr>
          <w:rFonts w:hint="eastAsia" w:ascii="仿宋" w:hAnsi="仿宋" w:eastAsia="仿宋" w:cs="仿宋"/>
          <w:color w:val="auto"/>
          <w:highlight w:val="none"/>
        </w:rPr>
        <w:t>联系方式：0514-87326203</w:t>
      </w:r>
    </w:p>
    <w:p w14:paraId="4601420C">
      <w:pPr>
        <w:spacing w:line="500" w:lineRule="exact"/>
        <w:ind w:firstLine="480"/>
        <w:rPr>
          <w:rFonts w:ascii="仿宋" w:hAnsi="仿宋" w:eastAsia="仿宋" w:cs="仿宋"/>
          <w:color w:val="auto"/>
          <w:highlight w:val="none"/>
        </w:rPr>
      </w:pPr>
      <w:r>
        <w:rPr>
          <w:rFonts w:hint="eastAsia" w:ascii="仿宋" w:hAnsi="仿宋" w:eastAsia="仿宋" w:cs="仿宋"/>
          <w:color w:val="auto"/>
          <w:highlight w:val="none"/>
        </w:rPr>
        <w:t>2.采购代理机构信息</w:t>
      </w:r>
    </w:p>
    <w:p w14:paraId="376EADC8">
      <w:pPr>
        <w:spacing w:line="500" w:lineRule="exact"/>
        <w:ind w:firstLine="480"/>
        <w:rPr>
          <w:rFonts w:ascii="仿宋" w:hAnsi="仿宋" w:eastAsia="仿宋" w:cs="仿宋"/>
          <w:color w:val="auto"/>
          <w:highlight w:val="none"/>
        </w:rPr>
      </w:pPr>
      <w:r>
        <w:rPr>
          <w:rFonts w:hint="eastAsia" w:ascii="仿宋" w:hAnsi="仿宋" w:eastAsia="仿宋" w:cs="仿宋"/>
          <w:color w:val="auto"/>
          <w:highlight w:val="none"/>
        </w:rPr>
        <w:t>名称：南京相度工程咨询有限公司</w:t>
      </w:r>
    </w:p>
    <w:p w14:paraId="691B4C19">
      <w:pPr>
        <w:spacing w:line="500" w:lineRule="exact"/>
        <w:ind w:firstLine="480"/>
        <w:rPr>
          <w:rFonts w:ascii="仿宋" w:hAnsi="仿宋" w:eastAsia="仿宋" w:cs="仿宋"/>
          <w:color w:val="auto"/>
          <w:highlight w:val="none"/>
        </w:rPr>
      </w:pPr>
      <w:r>
        <w:rPr>
          <w:rFonts w:hint="eastAsia" w:ascii="仿宋" w:hAnsi="仿宋" w:eastAsia="仿宋" w:cs="仿宋"/>
          <w:color w:val="auto"/>
          <w:highlight w:val="none"/>
        </w:rPr>
        <w:t>地址：南京市中山南路414号投资大厦A层（13层）</w:t>
      </w:r>
      <w:r>
        <w:rPr>
          <w:rFonts w:hint="eastAsia" w:ascii="仿宋" w:hAnsi="仿宋" w:eastAsia="仿宋" w:cs="仿宋"/>
          <w:color w:val="auto"/>
          <w:highlight w:val="none"/>
          <w:lang w:val="en-US" w:eastAsia="zh-CN"/>
        </w:rPr>
        <w:t>1301</w:t>
      </w:r>
      <w:r>
        <w:rPr>
          <w:rFonts w:hint="eastAsia" w:ascii="仿宋" w:hAnsi="仿宋" w:eastAsia="仿宋" w:cs="仿宋"/>
          <w:color w:val="auto"/>
          <w:highlight w:val="none"/>
        </w:rPr>
        <w:t>室</w:t>
      </w:r>
    </w:p>
    <w:p w14:paraId="558DA8B8">
      <w:pPr>
        <w:spacing w:line="500" w:lineRule="exact"/>
        <w:ind w:firstLine="480"/>
        <w:rPr>
          <w:rFonts w:hint="default" w:ascii="仿宋" w:hAnsi="仿宋" w:eastAsia="仿宋" w:cs="仿宋"/>
          <w:color w:val="auto"/>
          <w:highlight w:val="none"/>
          <w:lang w:val="en-US" w:eastAsia="zh-CN"/>
        </w:rPr>
      </w:pPr>
      <w:r>
        <w:rPr>
          <w:rFonts w:hint="eastAsia" w:ascii="仿宋" w:hAnsi="仿宋" w:eastAsia="仿宋" w:cs="仿宋"/>
          <w:color w:val="auto"/>
          <w:highlight w:val="none"/>
        </w:rPr>
        <w:t>联系人：</w:t>
      </w:r>
      <w:r>
        <w:rPr>
          <w:rFonts w:hint="eastAsia" w:ascii="仿宋" w:hAnsi="仿宋" w:eastAsia="仿宋" w:cs="仿宋"/>
          <w:color w:val="auto"/>
          <w:highlight w:val="none"/>
          <w:lang w:val="en-US" w:eastAsia="zh-CN"/>
        </w:rPr>
        <w:t>阮登湖</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项目负责人</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万晗晓、周超</w:t>
      </w:r>
    </w:p>
    <w:p w14:paraId="3567ACC0">
      <w:pPr>
        <w:spacing w:line="500" w:lineRule="exact"/>
        <w:ind w:firstLine="480"/>
        <w:rPr>
          <w:rFonts w:ascii="仿宋" w:hAnsi="仿宋" w:eastAsia="仿宋" w:cs="仿宋"/>
          <w:color w:val="auto"/>
          <w:highlight w:val="none"/>
        </w:rPr>
      </w:pPr>
      <w:r>
        <w:rPr>
          <w:rFonts w:hint="eastAsia" w:ascii="仿宋" w:hAnsi="仿宋" w:eastAsia="仿宋" w:cs="仿宋"/>
          <w:color w:val="auto"/>
          <w:highlight w:val="none"/>
        </w:rPr>
        <w:t>联系方式：025-85507079</w:t>
      </w:r>
    </w:p>
    <w:p w14:paraId="0E387258">
      <w:pPr>
        <w:spacing w:line="500" w:lineRule="exact"/>
        <w:ind w:firstLine="480"/>
        <w:rPr>
          <w:rFonts w:ascii="仿宋" w:hAnsi="仿宋" w:eastAsia="仿宋" w:cs="仿宋"/>
          <w:color w:val="auto"/>
          <w:highlight w:val="none"/>
        </w:rPr>
      </w:pPr>
      <w:r>
        <w:rPr>
          <w:rFonts w:hint="eastAsia" w:ascii="仿宋" w:hAnsi="仿宋" w:eastAsia="仿宋" w:cs="仿宋"/>
          <w:color w:val="auto"/>
          <w:highlight w:val="none"/>
        </w:rPr>
        <w:t>3.项目联系方式</w:t>
      </w:r>
    </w:p>
    <w:p w14:paraId="04613DE5">
      <w:pPr>
        <w:spacing w:line="500" w:lineRule="exact"/>
        <w:ind w:firstLine="480"/>
        <w:rPr>
          <w:rFonts w:hint="default" w:ascii="仿宋" w:hAnsi="仿宋" w:eastAsia="仿宋" w:cs="仿宋"/>
          <w:color w:val="auto"/>
          <w:highlight w:val="none"/>
          <w:lang w:val="en-US" w:eastAsia="zh-CN"/>
        </w:rPr>
      </w:pPr>
      <w:r>
        <w:rPr>
          <w:rFonts w:hint="eastAsia" w:ascii="仿宋" w:hAnsi="仿宋" w:eastAsia="仿宋" w:cs="仿宋"/>
          <w:color w:val="auto"/>
          <w:highlight w:val="none"/>
        </w:rPr>
        <w:t>项目联系人：</w:t>
      </w:r>
      <w:r>
        <w:rPr>
          <w:rFonts w:hint="eastAsia" w:ascii="仿宋" w:hAnsi="仿宋" w:eastAsia="仿宋" w:cs="仿宋"/>
          <w:color w:val="auto"/>
          <w:highlight w:val="none"/>
          <w:lang w:val="en-US" w:eastAsia="zh-CN"/>
        </w:rPr>
        <w:t>阮登湖</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项目负责人</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万晗晓、周超</w:t>
      </w:r>
    </w:p>
    <w:p w14:paraId="64CF2A90">
      <w:pPr>
        <w:spacing w:line="500" w:lineRule="exact"/>
        <w:ind w:firstLine="480"/>
        <w:rPr>
          <w:rFonts w:ascii="仿宋" w:hAnsi="仿宋" w:eastAsia="仿宋" w:cs="仿宋"/>
          <w:color w:val="auto"/>
          <w:highlight w:val="none"/>
        </w:rPr>
      </w:pPr>
      <w:r>
        <w:rPr>
          <w:rFonts w:hint="eastAsia" w:ascii="仿宋" w:hAnsi="仿宋" w:eastAsia="仿宋" w:cs="仿宋"/>
          <w:color w:val="auto"/>
          <w:highlight w:val="none"/>
        </w:rPr>
        <w:t>电话：025-85507079</w:t>
      </w:r>
    </w:p>
    <w:p w14:paraId="7EB3C6AF">
      <w:pPr>
        <w:rPr>
          <w:color w:val="auto"/>
          <w:highlight w:val="none"/>
        </w:rPr>
      </w:pPr>
      <w:r>
        <w:rPr>
          <w:rFonts w:hint="eastAsia"/>
          <w:color w:val="auto"/>
          <w:sz w:val="20"/>
          <w:highlight w:val="none"/>
        </w:rPr>
        <w:t xml:space="preserve"> </w:t>
      </w:r>
      <w:bookmarkEnd w:id="9"/>
    </w:p>
    <w:p w14:paraId="29CBF483">
      <w:pPr>
        <w:rPr>
          <w:color w:val="auto"/>
          <w:highlight w:val="none"/>
        </w:rPr>
      </w:pPr>
      <w:r>
        <w:rPr>
          <w:color w:val="auto"/>
          <w:highlight w:val="none"/>
        </w:rPr>
        <w:br w:type="page" w:clear="all"/>
      </w:r>
    </w:p>
    <w:p w14:paraId="0A77B8D7">
      <w:pPr>
        <w:pStyle w:val="228"/>
        <w:spacing w:line="240" w:lineRule="auto"/>
        <w:jc w:val="center"/>
        <w:rPr>
          <w:color w:val="auto"/>
          <w:highlight w:val="none"/>
        </w:rPr>
      </w:pPr>
      <w:bookmarkStart w:id="10" w:name="_Toc10141"/>
      <w:bookmarkStart w:id="11" w:name="_Toc4509"/>
      <w:r>
        <w:rPr>
          <w:rFonts w:hint="eastAsia"/>
          <w:color w:val="auto"/>
          <w:highlight w:val="none"/>
        </w:rPr>
        <w:t xml:space="preserve">第二部分  </w:t>
      </w:r>
      <w:r>
        <w:rPr>
          <w:rFonts w:hint="eastAsia"/>
          <w:color w:val="auto"/>
          <w:highlight w:val="none"/>
          <w:lang w:val="en-US" w:eastAsia="zh-CN"/>
        </w:rPr>
        <w:t>投标人</w:t>
      </w:r>
      <w:r>
        <w:rPr>
          <w:rFonts w:hint="eastAsia"/>
          <w:color w:val="auto"/>
          <w:highlight w:val="none"/>
        </w:rPr>
        <w:t>须知</w:t>
      </w:r>
      <w:bookmarkEnd w:id="10"/>
      <w:bookmarkEnd w:id="11"/>
    </w:p>
    <w:p w14:paraId="0DDF27B9">
      <w:pPr>
        <w:pStyle w:val="229"/>
        <w:spacing w:before="0" w:after="0" w:line="240" w:lineRule="auto"/>
        <w:rPr>
          <w:color w:val="auto"/>
          <w:highlight w:val="none"/>
        </w:rPr>
      </w:pPr>
      <w:bookmarkStart w:id="12" w:name="_Toc921"/>
      <w:r>
        <w:rPr>
          <w:rFonts w:hint="eastAsia"/>
          <w:color w:val="auto"/>
          <w:highlight w:val="none"/>
          <w:lang w:val="en-US" w:eastAsia="zh-CN"/>
        </w:rPr>
        <w:t>投标人</w:t>
      </w:r>
      <w:r>
        <w:rPr>
          <w:rFonts w:hint="eastAsia"/>
          <w:color w:val="auto"/>
          <w:highlight w:val="none"/>
        </w:rPr>
        <w:t>须知前附表：</w:t>
      </w:r>
      <w:bookmarkEnd w:id="12"/>
    </w:p>
    <w:tbl>
      <w:tblPr>
        <w:tblStyle w:val="38"/>
        <w:tblW w:w="963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0"/>
        <w:gridCol w:w="2013"/>
        <w:gridCol w:w="6859"/>
      </w:tblGrid>
      <w:tr w14:paraId="40C5F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8" w:hRule="atLeast"/>
        </w:trPr>
        <w:tc>
          <w:tcPr>
            <w:tcW w:w="760" w:type="dxa"/>
            <w:noWrap w:val="0"/>
            <w:vAlign w:val="center"/>
          </w:tcPr>
          <w:p w14:paraId="5480A30B">
            <w:pPr>
              <w:spacing w:line="500" w:lineRule="exact"/>
              <w:jc w:val="center"/>
              <w:rPr>
                <w:rFonts w:ascii="仿宋" w:hAnsi="仿宋" w:eastAsia="仿宋" w:cs="仿宋"/>
                <w:b/>
                <w:bCs/>
                <w:color w:val="auto"/>
                <w:highlight w:val="none"/>
              </w:rPr>
            </w:pPr>
            <w:bookmarkStart w:id="13" w:name="EBc9d8a0a6c333409599b28034cbc893d2"/>
            <w:r>
              <w:rPr>
                <w:rFonts w:hint="eastAsia" w:ascii="仿宋" w:hAnsi="仿宋" w:eastAsia="仿宋" w:cs="仿宋"/>
                <w:b/>
                <w:bCs/>
                <w:color w:val="auto"/>
                <w:highlight w:val="none"/>
              </w:rPr>
              <w:t>序号</w:t>
            </w:r>
          </w:p>
        </w:tc>
        <w:tc>
          <w:tcPr>
            <w:tcW w:w="2013" w:type="dxa"/>
            <w:noWrap w:val="0"/>
            <w:vAlign w:val="center"/>
          </w:tcPr>
          <w:p w14:paraId="0EDBC5F7">
            <w:pPr>
              <w:spacing w:line="500" w:lineRule="exact"/>
              <w:jc w:val="center"/>
              <w:rPr>
                <w:rFonts w:ascii="仿宋" w:hAnsi="仿宋" w:eastAsia="仿宋" w:cs="仿宋"/>
                <w:b/>
                <w:color w:val="auto"/>
                <w:highlight w:val="none"/>
              </w:rPr>
            </w:pPr>
            <w:r>
              <w:rPr>
                <w:rFonts w:hint="eastAsia" w:ascii="仿宋" w:hAnsi="仿宋" w:eastAsia="仿宋" w:cs="仿宋"/>
                <w:b/>
                <w:color w:val="auto"/>
                <w:highlight w:val="none"/>
              </w:rPr>
              <w:t>内容</w:t>
            </w:r>
          </w:p>
        </w:tc>
        <w:tc>
          <w:tcPr>
            <w:tcW w:w="6859" w:type="dxa"/>
            <w:noWrap w:val="0"/>
            <w:vAlign w:val="center"/>
          </w:tcPr>
          <w:p w14:paraId="15124D52">
            <w:pPr>
              <w:spacing w:line="500" w:lineRule="exact"/>
              <w:jc w:val="center"/>
              <w:rPr>
                <w:rFonts w:ascii="仿宋" w:hAnsi="仿宋" w:eastAsia="仿宋" w:cs="仿宋"/>
                <w:b/>
                <w:bCs/>
                <w:color w:val="auto"/>
                <w:highlight w:val="none"/>
              </w:rPr>
            </w:pPr>
            <w:r>
              <w:rPr>
                <w:rFonts w:hint="eastAsia" w:ascii="仿宋" w:hAnsi="仿宋" w:eastAsia="仿宋" w:cs="仿宋"/>
                <w:b/>
                <w:bCs/>
                <w:color w:val="auto"/>
                <w:highlight w:val="none"/>
              </w:rPr>
              <w:t>说明及要求</w:t>
            </w:r>
          </w:p>
        </w:tc>
      </w:tr>
      <w:tr w14:paraId="383E5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dxa"/>
            <w:noWrap w:val="0"/>
            <w:vAlign w:val="center"/>
          </w:tcPr>
          <w:p w14:paraId="09BB643E">
            <w:pPr>
              <w:spacing w:line="500" w:lineRule="exact"/>
              <w:jc w:val="center"/>
              <w:rPr>
                <w:rFonts w:ascii="仿宋" w:hAnsi="仿宋" w:eastAsia="仿宋" w:cs="仿宋"/>
                <w:color w:val="auto"/>
                <w:highlight w:val="none"/>
              </w:rPr>
            </w:pPr>
            <w:r>
              <w:rPr>
                <w:rFonts w:hint="eastAsia" w:ascii="仿宋" w:hAnsi="仿宋" w:eastAsia="仿宋" w:cs="仿宋"/>
                <w:color w:val="auto"/>
                <w:highlight w:val="none"/>
              </w:rPr>
              <w:t>1</w:t>
            </w:r>
          </w:p>
        </w:tc>
        <w:tc>
          <w:tcPr>
            <w:tcW w:w="2013" w:type="dxa"/>
            <w:noWrap w:val="0"/>
            <w:vAlign w:val="center"/>
          </w:tcPr>
          <w:p w14:paraId="7166FCE1">
            <w:pPr>
              <w:spacing w:line="500" w:lineRule="exact"/>
              <w:jc w:val="left"/>
              <w:rPr>
                <w:rFonts w:ascii="仿宋" w:hAnsi="仿宋" w:eastAsia="仿宋" w:cs="仿宋"/>
                <w:color w:val="auto"/>
                <w:highlight w:val="none"/>
              </w:rPr>
            </w:pPr>
            <w:r>
              <w:rPr>
                <w:rFonts w:hint="eastAsia" w:ascii="仿宋" w:hAnsi="仿宋" w:eastAsia="仿宋" w:cs="仿宋"/>
                <w:color w:val="auto"/>
                <w:highlight w:val="none"/>
              </w:rPr>
              <w:t>特别说明</w:t>
            </w:r>
          </w:p>
        </w:tc>
        <w:tc>
          <w:tcPr>
            <w:tcW w:w="6859" w:type="dxa"/>
            <w:noWrap w:val="0"/>
            <w:vAlign w:val="center"/>
          </w:tcPr>
          <w:p w14:paraId="3D588BCB">
            <w:pPr>
              <w:spacing w:line="500" w:lineRule="exact"/>
              <w:rPr>
                <w:rFonts w:ascii="仿宋" w:hAnsi="仿宋" w:eastAsia="仿宋" w:cs="仿宋"/>
                <w:color w:val="auto"/>
                <w:highlight w:val="none"/>
                <w:shd w:val="clear" w:color="auto" w:fill="FFC000"/>
              </w:rPr>
            </w:pPr>
            <w:r>
              <w:rPr>
                <w:rFonts w:hint="eastAsia" w:ascii="仿宋" w:hAnsi="仿宋" w:eastAsia="仿宋" w:cs="仿宋"/>
                <w:color w:val="auto"/>
                <w:highlight w:val="none"/>
              </w:rPr>
              <w:t>若有内容与投标人须知前附表内容不一致时，以投标人须知前附表为准。</w:t>
            </w:r>
          </w:p>
        </w:tc>
      </w:tr>
      <w:tr w14:paraId="52B32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dxa"/>
            <w:noWrap w:val="0"/>
            <w:vAlign w:val="center"/>
          </w:tcPr>
          <w:p w14:paraId="509E7637">
            <w:pPr>
              <w:spacing w:line="500" w:lineRule="exact"/>
              <w:jc w:val="center"/>
              <w:rPr>
                <w:rFonts w:ascii="仿宋" w:hAnsi="仿宋" w:eastAsia="仿宋" w:cs="仿宋"/>
                <w:color w:val="auto"/>
                <w:highlight w:val="none"/>
              </w:rPr>
            </w:pPr>
            <w:r>
              <w:rPr>
                <w:rFonts w:hint="eastAsia" w:ascii="仿宋" w:hAnsi="仿宋" w:eastAsia="仿宋" w:cs="仿宋"/>
                <w:color w:val="auto"/>
                <w:highlight w:val="none"/>
              </w:rPr>
              <w:t>2</w:t>
            </w:r>
          </w:p>
        </w:tc>
        <w:tc>
          <w:tcPr>
            <w:tcW w:w="2013" w:type="dxa"/>
            <w:noWrap w:val="0"/>
            <w:vAlign w:val="center"/>
          </w:tcPr>
          <w:p w14:paraId="54787357">
            <w:pPr>
              <w:spacing w:line="500" w:lineRule="exact"/>
              <w:jc w:val="left"/>
              <w:rPr>
                <w:rFonts w:ascii="仿宋" w:hAnsi="仿宋" w:eastAsia="仿宋" w:cs="仿宋"/>
                <w:color w:val="auto"/>
                <w:highlight w:val="none"/>
              </w:rPr>
            </w:pPr>
            <w:r>
              <w:rPr>
                <w:rFonts w:hint="eastAsia" w:ascii="仿宋" w:hAnsi="仿宋" w:eastAsia="仿宋" w:cs="仿宋"/>
                <w:color w:val="auto"/>
                <w:highlight w:val="none"/>
              </w:rPr>
              <w:t>投标保证金</w:t>
            </w:r>
          </w:p>
        </w:tc>
        <w:tc>
          <w:tcPr>
            <w:tcW w:w="6859" w:type="dxa"/>
            <w:noWrap w:val="0"/>
            <w:vAlign w:val="center"/>
          </w:tcPr>
          <w:p w14:paraId="256B89AD">
            <w:pPr>
              <w:spacing w:line="500" w:lineRule="exact"/>
              <w:rPr>
                <w:rFonts w:ascii="仿宋" w:hAnsi="仿宋" w:eastAsia="仿宋" w:cs="仿宋"/>
                <w:color w:val="auto"/>
                <w:highlight w:val="none"/>
              </w:rPr>
            </w:pPr>
            <w:r>
              <w:rPr>
                <w:rFonts w:hint="eastAsia" w:ascii="仿宋" w:hAnsi="仿宋" w:eastAsia="仿宋" w:cs="仿宋"/>
                <w:color w:val="auto"/>
                <w:highlight w:val="none"/>
              </w:rPr>
              <w:t>本项目不收取投标保证金。</w:t>
            </w:r>
          </w:p>
        </w:tc>
      </w:tr>
      <w:tr w14:paraId="1E91D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dxa"/>
            <w:noWrap w:val="0"/>
            <w:vAlign w:val="center"/>
          </w:tcPr>
          <w:p w14:paraId="1782DA77">
            <w:pPr>
              <w:spacing w:line="500" w:lineRule="exact"/>
              <w:jc w:val="center"/>
              <w:rPr>
                <w:rFonts w:ascii="仿宋" w:hAnsi="仿宋" w:eastAsia="仿宋" w:cs="仿宋"/>
                <w:color w:val="auto"/>
                <w:highlight w:val="none"/>
              </w:rPr>
            </w:pPr>
            <w:r>
              <w:rPr>
                <w:rFonts w:hint="eastAsia" w:ascii="仿宋" w:hAnsi="仿宋" w:eastAsia="仿宋" w:cs="仿宋"/>
                <w:color w:val="auto"/>
                <w:highlight w:val="none"/>
              </w:rPr>
              <w:t>3</w:t>
            </w:r>
          </w:p>
        </w:tc>
        <w:tc>
          <w:tcPr>
            <w:tcW w:w="2013" w:type="dxa"/>
            <w:noWrap w:val="0"/>
            <w:vAlign w:val="center"/>
          </w:tcPr>
          <w:p w14:paraId="48C68B28">
            <w:pPr>
              <w:spacing w:line="500" w:lineRule="exact"/>
              <w:jc w:val="left"/>
              <w:rPr>
                <w:rFonts w:ascii="仿宋" w:hAnsi="仿宋" w:eastAsia="仿宋" w:cs="仿宋"/>
                <w:color w:val="auto"/>
                <w:highlight w:val="none"/>
              </w:rPr>
            </w:pPr>
            <w:r>
              <w:rPr>
                <w:rFonts w:hint="eastAsia" w:ascii="仿宋" w:hAnsi="仿宋" w:eastAsia="仿宋" w:cs="仿宋"/>
                <w:color w:val="auto"/>
                <w:highlight w:val="none"/>
              </w:rPr>
              <w:t>投标有效期</w:t>
            </w:r>
          </w:p>
        </w:tc>
        <w:tc>
          <w:tcPr>
            <w:tcW w:w="6859" w:type="dxa"/>
            <w:noWrap w:val="0"/>
            <w:vAlign w:val="center"/>
          </w:tcPr>
          <w:p w14:paraId="251747BE">
            <w:pPr>
              <w:spacing w:line="500" w:lineRule="exact"/>
              <w:rPr>
                <w:rFonts w:ascii="仿宋" w:hAnsi="仿宋" w:eastAsia="仿宋" w:cs="仿宋"/>
                <w:color w:val="auto"/>
                <w:highlight w:val="none"/>
              </w:rPr>
            </w:pPr>
            <w:r>
              <w:rPr>
                <w:rFonts w:hint="eastAsia" w:ascii="仿宋" w:hAnsi="仿宋" w:eastAsia="仿宋" w:cs="仿宋"/>
                <w:color w:val="auto"/>
                <w:highlight w:val="none"/>
              </w:rPr>
              <w:t>90日（从提交投标文件截止之日起算）</w:t>
            </w:r>
          </w:p>
        </w:tc>
      </w:tr>
      <w:tr w14:paraId="08A4F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dxa"/>
            <w:noWrap w:val="0"/>
            <w:vAlign w:val="center"/>
          </w:tcPr>
          <w:p w14:paraId="680B41B8">
            <w:pPr>
              <w:spacing w:line="500" w:lineRule="exact"/>
              <w:jc w:val="center"/>
              <w:rPr>
                <w:rFonts w:ascii="仿宋" w:hAnsi="仿宋" w:eastAsia="仿宋" w:cs="仿宋"/>
                <w:color w:val="auto"/>
                <w:highlight w:val="none"/>
              </w:rPr>
            </w:pPr>
            <w:r>
              <w:rPr>
                <w:rFonts w:hint="eastAsia" w:ascii="仿宋" w:hAnsi="仿宋" w:eastAsia="仿宋" w:cs="仿宋"/>
                <w:color w:val="auto"/>
                <w:highlight w:val="none"/>
              </w:rPr>
              <w:t>4</w:t>
            </w:r>
          </w:p>
        </w:tc>
        <w:tc>
          <w:tcPr>
            <w:tcW w:w="2013" w:type="dxa"/>
            <w:shd w:val="clear" w:color="auto" w:fill="auto"/>
            <w:noWrap w:val="0"/>
            <w:vAlign w:val="center"/>
          </w:tcPr>
          <w:p w14:paraId="174E4FA8">
            <w:pPr>
              <w:spacing w:line="500" w:lineRule="exact"/>
              <w:jc w:val="left"/>
              <w:rPr>
                <w:rFonts w:ascii="仿宋" w:hAnsi="仿宋" w:eastAsia="仿宋" w:cs="仿宋"/>
                <w:color w:val="auto"/>
                <w:highlight w:val="none"/>
              </w:rPr>
            </w:pPr>
            <w:r>
              <w:rPr>
                <w:rFonts w:hint="eastAsia" w:ascii="仿宋" w:hAnsi="仿宋" w:eastAsia="仿宋" w:cs="仿宋"/>
                <w:color w:val="auto"/>
                <w:highlight w:val="none"/>
              </w:rPr>
              <w:t>评标方法和标准</w:t>
            </w:r>
          </w:p>
        </w:tc>
        <w:tc>
          <w:tcPr>
            <w:tcW w:w="6859" w:type="dxa"/>
            <w:shd w:val="clear" w:color="auto" w:fill="auto"/>
            <w:noWrap w:val="0"/>
            <w:vAlign w:val="center"/>
          </w:tcPr>
          <w:p w14:paraId="55C64B83">
            <w:pPr>
              <w:pStyle w:val="252"/>
              <w:spacing w:line="500" w:lineRule="exact"/>
              <w:jc w:val="both"/>
              <w:rPr>
                <w:rFonts w:ascii="仿宋" w:hAnsi="仿宋" w:eastAsia="仿宋" w:cs="仿宋"/>
                <w:color w:val="auto"/>
                <w:sz w:val="21"/>
                <w:highlight w:val="none"/>
              </w:rPr>
            </w:pPr>
            <w:bookmarkStart w:id="14" w:name="EBf2540e281f614ac8b4efc83b6e64d4d2"/>
            <w:bookmarkEnd w:id="14"/>
            <w:r>
              <w:rPr>
                <w:rFonts w:hint="eastAsia" w:ascii="仿宋" w:hAnsi="仿宋" w:eastAsia="仿宋" w:cs="仿宋"/>
                <w:color w:val="auto"/>
                <w:szCs w:val="24"/>
                <w:highlight w:val="none"/>
              </w:rPr>
              <w:t>综合评分法。具体细则详见招标文件评标方法和标准部分。</w:t>
            </w:r>
          </w:p>
        </w:tc>
      </w:tr>
      <w:tr w14:paraId="77FC4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dxa"/>
            <w:noWrap w:val="0"/>
            <w:vAlign w:val="center"/>
          </w:tcPr>
          <w:p w14:paraId="5A60BB82">
            <w:pPr>
              <w:spacing w:line="500" w:lineRule="exact"/>
              <w:jc w:val="center"/>
              <w:rPr>
                <w:rFonts w:ascii="仿宋" w:hAnsi="仿宋" w:eastAsia="仿宋" w:cs="仿宋"/>
                <w:color w:val="auto"/>
                <w:highlight w:val="none"/>
              </w:rPr>
            </w:pPr>
            <w:r>
              <w:rPr>
                <w:rFonts w:hint="eastAsia" w:ascii="仿宋" w:hAnsi="仿宋" w:eastAsia="仿宋" w:cs="仿宋"/>
                <w:color w:val="auto"/>
                <w:highlight w:val="none"/>
              </w:rPr>
              <w:t>5</w:t>
            </w:r>
          </w:p>
        </w:tc>
        <w:tc>
          <w:tcPr>
            <w:tcW w:w="2013" w:type="dxa"/>
            <w:shd w:val="clear" w:color="auto" w:fill="auto"/>
            <w:noWrap w:val="0"/>
            <w:vAlign w:val="center"/>
          </w:tcPr>
          <w:p w14:paraId="79E86DF6">
            <w:pPr>
              <w:spacing w:line="500" w:lineRule="exact"/>
              <w:jc w:val="left"/>
              <w:rPr>
                <w:rFonts w:ascii="仿宋" w:hAnsi="仿宋" w:eastAsia="仿宋" w:cs="仿宋"/>
                <w:color w:val="auto"/>
                <w:highlight w:val="none"/>
              </w:rPr>
            </w:pPr>
            <w:r>
              <w:rPr>
                <w:rFonts w:hint="eastAsia" w:ascii="仿宋" w:hAnsi="仿宋" w:eastAsia="仿宋" w:cs="仿宋"/>
                <w:color w:val="auto"/>
                <w:highlight w:val="none"/>
              </w:rPr>
              <w:t>分包、转包要求</w:t>
            </w:r>
          </w:p>
        </w:tc>
        <w:tc>
          <w:tcPr>
            <w:tcW w:w="6859" w:type="dxa"/>
            <w:shd w:val="clear" w:color="auto" w:fill="auto"/>
            <w:noWrap w:val="0"/>
            <w:vAlign w:val="center"/>
          </w:tcPr>
          <w:p w14:paraId="30C938B5">
            <w:pPr>
              <w:spacing w:line="500" w:lineRule="exact"/>
              <w:rPr>
                <w:rFonts w:ascii="仿宋" w:hAnsi="仿宋" w:eastAsia="仿宋" w:cs="仿宋"/>
                <w:color w:val="auto"/>
                <w:sz w:val="21"/>
                <w:szCs w:val="22"/>
                <w:highlight w:val="none"/>
              </w:rPr>
            </w:pPr>
            <w:r>
              <w:rPr>
                <w:rFonts w:hint="eastAsia" w:ascii="仿宋" w:hAnsi="仿宋" w:eastAsia="仿宋" w:cs="仿宋"/>
                <w:color w:val="auto"/>
                <w:highlight w:val="none"/>
              </w:rPr>
              <w:t>本项目不允许分包、转包。</w:t>
            </w:r>
          </w:p>
        </w:tc>
      </w:tr>
      <w:tr w14:paraId="1303B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dxa"/>
            <w:noWrap w:val="0"/>
            <w:vAlign w:val="center"/>
          </w:tcPr>
          <w:p w14:paraId="056278B6">
            <w:pPr>
              <w:spacing w:line="500" w:lineRule="exact"/>
              <w:jc w:val="center"/>
              <w:rPr>
                <w:rFonts w:ascii="仿宋" w:hAnsi="仿宋" w:eastAsia="仿宋" w:cs="仿宋"/>
                <w:color w:val="auto"/>
                <w:highlight w:val="none"/>
              </w:rPr>
            </w:pPr>
            <w:r>
              <w:rPr>
                <w:rFonts w:hint="eastAsia" w:ascii="仿宋" w:hAnsi="仿宋" w:eastAsia="仿宋" w:cs="仿宋"/>
                <w:color w:val="auto"/>
                <w:highlight w:val="none"/>
              </w:rPr>
              <w:t>6</w:t>
            </w:r>
          </w:p>
        </w:tc>
        <w:tc>
          <w:tcPr>
            <w:tcW w:w="2013" w:type="dxa"/>
            <w:shd w:val="clear" w:color="auto" w:fill="auto"/>
            <w:noWrap w:val="0"/>
            <w:vAlign w:val="center"/>
          </w:tcPr>
          <w:p w14:paraId="0998359C">
            <w:pPr>
              <w:spacing w:line="500" w:lineRule="exact"/>
              <w:jc w:val="left"/>
              <w:rPr>
                <w:rFonts w:ascii="仿宋" w:hAnsi="仿宋" w:eastAsia="仿宋" w:cs="仿宋"/>
                <w:color w:val="auto"/>
                <w:highlight w:val="none"/>
              </w:rPr>
            </w:pPr>
            <w:r>
              <w:rPr>
                <w:rFonts w:hint="eastAsia" w:ascii="仿宋" w:hAnsi="仿宋" w:eastAsia="仿宋" w:cs="仿宋"/>
                <w:color w:val="auto"/>
                <w:highlight w:val="none"/>
              </w:rPr>
              <w:t>代理费用收取方式及标准</w:t>
            </w:r>
          </w:p>
        </w:tc>
        <w:tc>
          <w:tcPr>
            <w:tcW w:w="6859" w:type="dxa"/>
            <w:shd w:val="clear" w:color="auto" w:fill="auto"/>
            <w:noWrap w:val="0"/>
            <w:vAlign w:val="center"/>
          </w:tcPr>
          <w:p w14:paraId="5C09FEFC">
            <w:pPr>
              <w:tabs>
                <w:tab w:val="left" w:pos="851"/>
                <w:tab w:val="left" w:pos="1134"/>
              </w:tabs>
              <w:spacing w:line="500" w:lineRule="exact"/>
              <w:rPr>
                <w:rFonts w:hint="eastAsia" w:ascii="仿宋" w:hAnsi="仿宋" w:eastAsia="仿宋" w:cs="仿宋"/>
                <w:color w:val="auto"/>
                <w:highlight w:val="none"/>
              </w:rPr>
            </w:pPr>
            <w:r>
              <w:rPr>
                <w:rFonts w:hint="eastAsia" w:ascii="仿宋" w:hAnsi="仿宋" w:eastAsia="仿宋" w:cs="仿宋"/>
                <w:sz w:val="24"/>
                <w:szCs w:val="24"/>
              </w:rPr>
              <w:t>本项目采购代理服务费参照计价格〔2002〕1980号文标准收取，在领取中标通知书前一次性缴纳。</w:t>
            </w:r>
          </w:p>
          <w:p w14:paraId="5A466DB8">
            <w:pPr>
              <w:tabs>
                <w:tab w:val="left" w:pos="851"/>
                <w:tab w:val="left" w:pos="1134"/>
              </w:tabs>
              <w:spacing w:line="500" w:lineRule="exact"/>
              <w:rPr>
                <w:rFonts w:ascii="仿宋" w:hAnsi="仿宋" w:eastAsia="仿宋" w:cs="仿宋"/>
                <w:color w:val="auto"/>
                <w:highlight w:val="none"/>
              </w:rPr>
            </w:pPr>
            <w:r>
              <w:rPr>
                <w:rFonts w:hint="eastAsia" w:ascii="仿宋" w:hAnsi="仿宋" w:eastAsia="仿宋" w:cs="仿宋"/>
                <w:color w:val="auto"/>
                <w:highlight w:val="none"/>
              </w:rPr>
              <w:t>账户信息：</w:t>
            </w:r>
          </w:p>
          <w:p w14:paraId="0BB859EF">
            <w:pPr>
              <w:tabs>
                <w:tab w:val="left" w:pos="851"/>
                <w:tab w:val="left" w:pos="1134"/>
              </w:tabs>
              <w:spacing w:line="500" w:lineRule="exact"/>
              <w:rPr>
                <w:rFonts w:ascii="仿宋" w:hAnsi="仿宋" w:eastAsia="仿宋" w:cs="仿宋"/>
                <w:color w:val="auto"/>
                <w:highlight w:val="none"/>
              </w:rPr>
            </w:pPr>
            <w:r>
              <w:rPr>
                <w:rFonts w:hint="eastAsia" w:ascii="仿宋" w:hAnsi="仿宋" w:eastAsia="仿宋" w:cs="仿宋"/>
                <w:color w:val="auto"/>
                <w:highlight w:val="none"/>
              </w:rPr>
              <w:t>账户名称：南京相度工程咨询有限公司</w:t>
            </w:r>
          </w:p>
          <w:p w14:paraId="31087769">
            <w:pPr>
              <w:tabs>
                <w:tab w:val="left" w:pos="851"/>
                <w:tab w:val="left" w:pos="1134"/>
              </w:tabs>
              <w:spacing w:line="500" w:lineRule="exact"/>
              <w:rPr>
                <w:rFonts w:ascii="仿宋" w:hAnsi="仿宋" w:eastAsia="仿宋" w:cs="仿宋"/>
                <w:color w:val="auto"/>
                <w:highlight w:val="none"/>
              </w:rPr>
            </w:pPr>
            <w:r>
              <w:rPr>
                <w:rFonts w:hint="eastAsia" w:ascii="仿宋" w:hAnsi="仿宋" w:eastAsia="仿宋" w:cs="仿宋"/>
                <w:color w:val="auto"/>
                <w:highlight w:val="none"/>
              </w:rPr>
              <w:t>开户银行：中国银行南京市中华路支行</w:t>
            </w:r>
          </w:p>
          <w:p w14:paraId="12AA49B6">
            <w:pPr>
              <w:widowControl/>
              <w:spacing w:line="500" w:lineRule="exact"/>
              <w:rPr>
                <w:rFonts w:ascii="仿宋" w:hAnsi="仿宋" w:eastAsia="仿宋" w:cs="仿宋"/>
                <w:color w:val="auto"/>
                <w:highlight w:val="none"/>
              </w:rPr>
            </w:pPr>
            <w:r>
              <w:rPr>
                <w:rFonts w:hint="eastAsia" w:ascii="仿宋" w:hAnsi="仿宋" w:eastAsia="仿宋" w:cs="仿宋"/>
                <w:color w:val="auto"/>
                <w:highlight w:val="none"/>
              </w:rPr>
              <w:t>银行账号：5261 7880 4478</w:t>
            </w:r>
          </w:p>
        </w:tc>
      </w:tr>
      <w:tr w14:paraId="25A6A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dxa"/>
            <w:noWrap w:val="0"/>
            <w:vAlign w:val="center"/>
          </w:tcPr>
          <w:p w14:paraId="4202560C">
            <w:pPr>
              <w:spacing w:line="500" w:lineRule="exact"/>
              <w:jc w:val="center"/>
              <w:rPr>
                <w:rFonts w:ascii="仿宋" w:hAnsi="仿宋" w:eastAsia="仿宋" w:cs="仿宋"/>
                <w:color w:val="auto"/>
                <w:highlight w:val="none"/>
              </w:rPr>
            </w:pPr>
            <w:r>
              <w:rPr>
                <w:rFonts w:hint="eastAsia" w:ascii="仿宋" w:hAnsi="仿宋" w:eastAsia="仿宋" w:cs="仿宋"/>
                <w:color w:val="auto"/>
                <w:highlight w:val="none"/>
              </w:rPr>
              <w:t>7</w:t>
            </w:r>
          </w:p>
        </w:tc>
        <w:tc>
          <w:tcPr>
            <w:tcW w:w="2013" w:type="dxa"/>
            <w:shd w:val="clear" w:color="auto" w:fill="auto"/>
            <w:noWrap w:val="0"/>
            <w:vAlign w:val="center"/>
          </w:tcPr>
          <w:p w14:paraId="3B826F8F">
            <w:pPr>
              <w:spacing w:line="500" w:lineRule="exact"/>
              <w:jc w:val="left"/>
              <w:rPr>
                <w:rFonts w:ascii="仿宋" w:hAnsi="仿宋" w:eastAsia="仿宋" w:cs="仿宋"/>
                <w:color w:val="auto"/>
                <w:highlight w:val="none"/>
              </w:rPr>
            </w:pPr>
            <w:r>
              <w:rPr>
                <w:rFonts w:hint="eastAsia" w:ascii="仿宋" w:hAnsi="仿宋" w:eastAsia="仿宋" w:cs="仿宋"/>
                <w:color w:val="auto"/>
                <w:highlight w:val="none"/>
              </w:rPr>
              <w:t>履约保证金</w:t>
            </w:r>
          </w:p>
        </w:tc>
        <w:tc>
          <w:tcPr>
            <w:tcW w:w="6859" w:type="dxa"/>
            <w:shd w:val="clear" w:color="auto" w:fill="auto"/>
            <w:noWrap w:val="0"/>
            <w:vAlign w:val="center"/>
          </w:tcPr>
          <w:p w14:paraId="131D0833">
            <w:pPr>
              <w:spacing w:line="500" w:lineRule="exact"/>
              <w:rPr>
                <w:rFonts w:hint="eastAsia" w:ascii="仿宋" w:hAnsi="仿宋" w:eastAsia="仿宋" w:cs="仿宋"/>
                <w:color w:val="auto"/>
                <w:highlight w:val="none"/>
              </w:rPr>
            </w:pPr>
            <w:r>
              <w:rPr>
                <w:rFonts w:hint="eastAsia" w:ascii="仿宋" w:hAnsi="仿宋" w:eastAsia="仿宋" w:cs="仿宋"/>
                <w:color w:val="auto"/>
                <w:highlight w:val="none"/>
              </w:rPr>
              <w:t>合同签订后，</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支付</w:t>
            </w:r>
            <w:r>
              <w:rPr>
                <w:rFonts w:hint="eastAsia" w:ascii="仿宋" w:hAnsi="仿宋" w:eastAsia="仿宋" w:cs="仿宋"/>
                <w:color w:val="auto"/>
                <w:highlight w:val="none"/>
                <w:lang w:val="en-US" w:eastAsia="zh-CN"/>
              </w:rPr>
              <w:t>50万元</w:t>
            </w:r>
            <w:r>
              <w:rPr>
                <w:rFonts w:hint="eastAsia" w:ascii="仿宋" w:hAnsi="仿宋" w:eastAsia="仿宋" w:cs="仿宋"/>
                <w:color w:val="auto"/>
                <w:highlight w:val="none"/>
              </w:rPr>
              <w:t>的履约保证金。</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在</w:t>
            </w:r>
            <w:r>
              <w:rPr>
                <w:rFonts w:hint="default" w:ascii="仿宋" w:hAnsi="仿宋" w:eastAsia="仿宋" w:cs="仿宋"/>
                <w:bCs w:val="0"/>
                <w:color w:val="auto"/>
                <w:highlight w:val="none"/>
              </w:rPr>
              <w:t>节能改造</w:t>
            </w:r>
            <w:r>
              <w:rPr>
                <w:rFonts w:hint="eastAsia" w:ascii="仿宋" w:hAnsi="仿宋" w:eastAsia="仿宋" w:cs="仿宋"/>
                <w:color w:val="auto"/>
                <w:highlight w:val="none"/>
              </w:rPr>
              <w:t>完成，</w:t>
            </w:r>
            <w:r>
              <w:rPr>
                <w:rFonts w:hint="eastAsia" w:ascii="仿宋" w:hAnsi="仿宋" w:eastAsia="仿宋" w:cs="仿宋"/>
                <w:color w:val="auto"/>
                <w:highlight w:val="none"/>
                <w:lang w:val="en-US" w:eastAsia="zh-CN"/>
              </w:rPr>
              <w:t>验收合格并进入托管期后，</w:t>
            </w:r>
            <w:r>
              <w:rPr>
                <w:rFonts w:hint="eastAsia" w:ascii="仿宋" w:hAnsi="仿宋" w:eastAsia="仿宋" w:cs="仿宋"/>
                <w:color w:val="auto"/>
                <w:highlight w:val="none"/>
                <w:lang w:eastAsia="zh-CN"/>
              </w:rPr>
              <w:t>采购人</w:t>
            </w:r>
            <w:r>
              <w:rPr>
                <w:rFonts w:hint="eastAsia" w:ascii="仿宋" w:hAnsi="仿宋" w:eastAsia="仿宋" w:cs="仿宋"/>
                <w:color w:val="auto"/>
                <w:highlight w:val="none"/>
              </w:rPr>
              <w:t>无息返还履约保证金。</w:t>
            </w:r>
          </w:p>
          <w:p w14:paraId="11EBBA74">
            <w:pPr>
              <w:spacing w:line="500" w:lineRule="exact"/>
              <w:rPr>
                <w:rFonts w:ascii="仿宋" w:hAnsi="仿宋" w:eastAsia="仿宋" w:cs="仿宋"/>
                <w:color w:val="auto"/>
                <w:highlight w:val="none"/>
              </w:rPr>
            </w:pPr>
            <w:r>
              <w:rPr>
                <w:rFonts w:hint="eastAsia" w:ascii="仿宋" w:hAnsi="仿宋" w:eastAsia="仿宋" w:cs="仿宋"/>
                <w:color w:val="auto"/>
                <w:highlight w:val="none"/>
                <w:lang w:val="en-US" w:eastAsia="zh-CN"/>
              </w:rPr>
              <w:t>其余条款详见第33条。</w:t>
            </w:r>
          </w:p>
        </w:tc>
      </w:tr>
      <w:tr w14:paraId="0C0EC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760" w:type="dxa"/>
            <w:noWrap w:val="0"/>
            <w:vAlign w:val="center"/>
          </w:tcPr>
          <w:p w14:paraId="03143CAE">
            <w:pPr>
              <w:spacing w:line="500" w:lineRule="exact"/>
              <w:jc w:val="center"/>
              <w:rPr>
                <w:rFonts w:ascii="仿宋" w:hAnsi="仿宋" w:eastAsia="仿宋" w:cs="仿宋"/>
                <w:color w:val="auto"/>
                <w:highlight w:val="none"/>
              </w:rPr>
            </w:pPr>
            <w:r>
              <w:rPr>
                <w:rFonts w:hint="eastAsia" w:ascii="仿宋" w:hAnsi="仿宋" w:eastAsia="仿宋" w:cs="仿宋"/>
                <w:color w:val="auto"/>
                <w:highlight w:val="none"/>
              </w:rPr>
              <w:t>8</w:t>
            </w:r>
          </w:p>
        </w:tc>
        <w:tc>
          <w:tcPr>
            <w:tcW w:w="2013" w:type="dxa"/>
            <w:shd w:val="clear" w:color="auto" w:fill="auto"/>
            <w:noWrap w:val="0"/>
            <w:vAlign w:val="center"/>
          </w:tcPr>
          <w:p w14:paraId="7A133DE7">
            <w:pPr>
              <w:spacing w:line="500" w:lineRule="exact"/>
              <w:jc w:val="left"/>
              <w:rPr>
                <w:rFonts w:ascii="仿宋" w:hAnsi="仿宋" w:eastAsia="仿宋" w:cs="仿宋"/>
                <w:color w:val="auto"/>
                <w:highlight w:val="none"/>
              </w:rPr>
            </w:pPr>
            <w:r>
              <w:rPr>
                <w:rFonts w:hint="eastAsia" w:ascii="仿宋" w:hAnsi="仿宋" w:eastAsia="仿宋" w:cs="仿宋"/>
                <w:color w:val="auto"/>
                <w:highlight w:val="none"/>
              </w:rPr>
              <w:t>中小企业划分标准所属行业</w:t>
            </w:r>
          </w:p>
        </w:tc>
        <w:tc>
          <w:tcPr>
            <w:tcW w:w="6859" w:type="dxa"/>
            <w:shd w:val="clear" w:color="auto" w:fill="auto"/>
            <w:noWrap w:val="0"/>
            <w:vAlign w:val="center"/>
          </w:tcPr>
          <w:p w14:paraId="052946B8">
            <w:pPr>
              <w:spacing w:line="500" w:lineRule="exact"/>
              <w:rPr>
                <w:rFonts w:ascii="仿宋" w:hAnsi="仿宋" w:eastAsia="仿宋" w:cs="仿宋"/>
                <w:color w:val="auto"/>
                <w:highlight w:val="none"/>
              </w:rPr>
            </w:pPr>
            <w:r>
              <w:rPr>
                <w:rFonts w:hint="eastAsia" w:ascii="仿宋" w:hAnsi="仿宋" w:eastAsia="仿宋" w:cs="仿宋"/>
                <w:color w:val="auto"/>
                <w:highlight w:val="none"/>
              </w:rPr>
              <w:t>本项目采购的标的对应的中小企业划分标准所属行业为</w:t>
            </w:r>
            <w:r>
              <w:rPr>
                <w:rFonts w:hint="eastAsia" w:ascii="仿宋" w:hAnsi="仿宋" w:eastAsia="仿宋" w:cs="仿宋"/>
                <w:color w:val="000000"/>
                <w:highlight w:val="none"/>
                <w:u w:val="single"/>
              </w:rPr>
              <w:t>其他未列明行业</w:t>
            </w:r>
            <w:r>
              <w:rPr>
                <w:rFonts w:hint="eastAsia" w:ascii="仿宋" w:hAnsi="仿宋" w:eastAsia="仿宋" w:cs="仿宋"/>
                <w:color w:val="auto"/>
                <w:highlight w:val="none"/>
              </w:rPr>
              <w:t>。</w:t>
            </w:r>
            <w:bookmarkEnd w:id="13"/>
          </w:p>
        </w:tc>
      </w:tr>
      <w:tr w14:paraId="750FC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dxa"/>
            <w:noWrap w:val="0"/>
            <w:vAlign w:val="center"/>
          </w:tcPr>
          <w:p w14:paraId="6C3E71C4">
            <w:pPr>
              <w:spacing w:line="500" w:lineRule="exact"/>
              <w:jc w:val="center"/>
              <w:rPr>
                <w:rFonts w:hint="eastAsia" w:ascii="仿宋" w:hAnsi="仿宋" w:eastAsia="仿宋" w:cs="仿宋"/>
                <w:color w:val="auto"/>
                <w:highlight w:val="none"/>
                <w:lang w:val="en-US" w:eastAsia="zh-CN"/>
              </w:rPr>
            </w:pPr>
            <w:bookmarkStart w:id="15" w:name="_Toc6204"/>
            <w:r>
              <w:rPr>
                <w:rFonts w:hint="eastAsia" w:ascii="仿宋" w:hAnsi="仿宋" w:eastAsia="仿宋" w:cs="仿宋"/>
                <w:color w:val="auto"/>
                <w:highlight w:val="none"/>
                <w:lang w:val="en-US" w:eastAsia="zh-CN"/>
              </w:rPr>
              <w:t>9</w:t>
            </w:r>
          </w:p>
        </w:tc>
        <w:tc>
          <w:tcPr>
            <w:tcW w:w="2013" w:type="dxa"/>
            <w:noWrap w:val="0"/>
            <w:vAlign w:val="center"/>
          </w:tcPr>
          <w:p w14:paraId="1B19076D">
            <w:pPr>
              <w:spacing w:line="500" w:lineRule="exact"/>
              <w:rPr>
                <w:rFonts w:hint="eastAsia" w:ascii="仿宋" w:hAnsi="仿宋" w:eastAsia="仿宋" w:cs="仿宋"/>
                <w:color w:val="auto"/>
                <w:highlight w:val="none"/>
              </w:rPr>
            </w:pPr>
            <w:r>
              <w:rPr>
                <w:rFonts w:hint="eastAsia" w:ascii="仿宋" w:hAnsi="仿宋" w:eastAsia="仿宋" w:cs="仿宋"/>
                <w:color w:val="000000"/>
                <w:highlight w:val="none"/>
              </w:rPr>
              <w:t>现场踏勘</w:t>
            </w:r>
          </w:p>
        </w:tc>
        <w:tc>
          <w:tcPr>
            <w:tcW w:w="6859" w:type="dxa"/>
            <w:noWrap w:val="0"/>
            <w:vAlign w:val="center"/>
          </w:tcPr>
          <w:p w14:paraId="5B551B4A">
            <w:pPr>
              <w:shd w:val="clear"/>
              <w:spacing w:line="500" w:lineRule="exact"/>
              <w:rPr>
                <w:rFonts w:hint="eastAsia" w:ascii="仿宋" w:hAnsi="仿宋" w:eastAsia="仿宋" w:cs="仿宋"/>
                <w:color w:val="auto"/>
                <w:highlight w:val="none"/>
              </w:rPr>
            </w:pPr>
            <w:r>
              <w:rPr>
                <w:rFonts w:hint="eastAsia" w:ascii="仿宋" w:hAnsi="仿宋" w:eastAsia="仿宋" w:cs="仿宋"/>
                <w:color w:val="auto"/>
                <w:highlight w:val="none"/>
              </w:rPr>
              <w:t>本项目组织集中现场踏勘，各潜在投标人需按照约定时间准时到达指定踏勘现场。请务必对项目现场和周围环境进行仔细认真踏勘，在随后的采购中，对现场资料和数据所做出的推论、解释和结论及由此造成的后果由投标人负责。</w:t>
            </w:r>
          </w:p>
          <w:p w14:paraId="331746C6">
            <w:pPr>
              <w:shd w:val="clear"/>
              <w:spacing w:line="500" w:lineRule="exact"/>
              <w:rPr>
                <w:rFonts w:hint="default" w:ascii="仿宋" w:hAnsi="仿宋" w:eastAsia="仿宋" w:cs="仿宋"/>
                <w:color w:val="auto"/>
                <w:highlight w:val="none"/>
                <w:lang w:val="en-US" w:eastAsia="zh-CN"/>
              </w:rPr>
            </w:pPr>
            <w:r>
              <w:rPr>
                <w:rFonts w:hint="eastAsia" w:ascii="仿宋" w:hAnsi="仿宋" w:eastAsia="仿宋" w:cs="仿宋"/>
                <w:color w:val="auto"/>
                <w:highlight w:val="none"/>
              </w:rPr>
              <w:t>踏勘时间：20</w:t>
            </w:r>
            <w:r>
              <w:rPr>
                <w:rFonts w:hint="eastAsia" w:ascii="仿宋" w:hAnsi="仿宋" w:eastAsia="仿宋" w:cs="仿宋"/>
                <w:color w:val="auto"/>
                <w:highlight w:val="none"/>
                <w:lang w:val="en-US" w:eastAsia="zh-CN"/>
              </w:rPr>
              <w:t>26</w:t>
            </w:r>
            <w:r>
              <w:rPr>
                <w:rFonts w:hint="eastAsia" w:ascii="仿宋" w:hAnsi="仿宋" w:eastAsia="仿宋" w:cs="仿宋"/>
                <w:color w:val="auto"/>
                <w:highlight w:val="none"/>
              </w:rPr>
              <w:t>年</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月</w:t>
            </w:r>
            <w:r>
              <w:rPr>
                <w:rFonts w:hint="eastAsia" w:ascii="仿宋" w:hAnsi="仿宋" w:eastAsia="仿宋" w:cs="仿宋"/>
                <w:color w:val="auto"/>
                <w:highlight w:val="none"/>
                <w:lang w:val="en-US" w:eastAsia="zh-CN"/>
              </w:rPr>
              <w:t>17</w:t>
            </w:r>
            <w:r>
              <w:rPr>
                <w:rFonts w:hint="eastAsia" w:ascii="仿宋" w:hAnsi="仿宋" w:eastAsia="仿宋" w:cs="仿宋"/>
                <w:color w:val="auto"/>
                <w:highlight w:val="none"/>
              </w:rPr>
              <w:t xml:space="preserve">日 </w:t>
            </w:r>
            <w:r>
              <w:rPr>
                <w:rFonts w:hint="eastAsia" w:ascii="仿宋" w:hAnsi="仿宋" w:eastAsia="仿宋" w:cs="仿宋"/>
                <w:color w:val="auto"/>
                <w:highlight w:val="none"/>
                <w:lang w:val="en-US" w:eastAsia="zh-CN"/>
              </w:rPr>
              <w:t>14:00</w:t>
            </w:r>
          </w:p>
          <w:p w14:paraId="73DB969E">
            <w:pPr>
              <w:shd w:val="clear"/>
              <w:spacing w:line="500" w:lineRule="exact"/>
              <w:rPr>
                <w:rFonts w:hint="eastAsia" w:ascii="仿宋" w:hAnsi="仿宋" w:eastAsia="仿宋" w:cs="仿宋"/>
                <w:color w:val="auto"/>
                <w:highlight w:val="none"/>
              </w:rPr>
            </w:pPr>
            <w:r>
              <w:rPr>
                <w:rFonts w:hint="eastAsia" w:ascii="仿宋" w:hAnsi="仿宋" w:eastAsia="仿宋" w:cs="仿宋"/>
                <w:color w:val="auto"/>
                <w:highlight w:val="none"/>
              </w:rPr>
              <w:t>踏勘集合地点：扬州市文昌路577号综合楼一楼门诊大厅</w:t>
            </w:r>
          </w:p>
          <w:p w14:paraId="1979F907">
            <w:pPr>
              <w:shd w:val="clear"/>
              <w:spacing w:line="500" w:lineRule="exac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联系人：马老师</w:t>
            </w:r>
          </w:p>
          <w:p w14:paraId="57A2F247">
            <w:pPr>
              <w:shd w:val="clear"/>
              <w:spacing w:line="500" w:lineRule="exact"/>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联系方式：0514-87937078（办公室）</w:t>
            </w:r>
          </w:p>
          <w:p w14:paraId="14F2958A">
            <w:pPr>
              <w:shd w:val="clear"/>
              <w:spacing w:line="500" w:lineRule="exact"/>
              <w:rPr>
                <w:rFonts w:hint="eastAsia" w:ascii="仿宋" w:hAnsi="仿宋" w:eastAsia="仿宋" w:cs="仿宋"/>
                <w:color w:val="auto"/>
                <w:highlight w:val="none"/>
              </w:rPr>
            </w:pPr>
            <w:r>
              <w:rPr>
                <w:rFonts w:hint="eastAsia" w:ascii="仿宋" w:hAnsi="仿宋" w:eastAsia="仿宋" w:cs="仿宋"/>
                <w:b/>
                <w:bCs/>
                <w:color w:val="auto"/>
                <w:highlight w:val="none"/>
              </w:rPr>
              <w:t>无论投标人是否进行踏勘，都视为已清楚了解现场情况。未踏勘现场或踏勘工作不详细的投标人中标后，不得以不完全了解现场情况为理由而向采购人提出任何索赔或其他要求，对此采购人不承担任何责任并将不作任何答复。</w:t>
            </w:r>
          </w:p>
        </w:tc>
      </w:tr>
      <w:tr w14:paraId="0862A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dxa"/>
            <w:shd w:val="clear" w:color="auto" w:fill="auto"/>
            <w:noWrap w:val="0"/>
            <w:vAlign w:val="center"/>
          </w:tcPr>
          <w:p w14:paraId="5910D13F">
            <w:pPr>
              <w:spacing w:line="500" w:lineRule="exact"/>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highlight w:val="none"/>
                <w:lang w:val="en-US" w:eastAsia="zh-CN"/>
              </w:rPr>
              <w:t>10</w:t>
            </w:r>
          </w:p>
        </w:tc>
        <w:tc>
          <w:tcPr>
            <w:tcW w:w="2013" w:type="dxa"/>
            <w:noWrap w:val="0"/>
            <w:vAlign w:val="center"/>
          </w:tcPr>
          <w:p w14:paraId="5C5AD105">
            <w:pPr>
              <w:spacing w:line="500" w:lineRule="exact"/>
              <w:rPr>
                <w:rFonts w:hint="eastAsia" w:ascii="仿宋" w:hAnsi="仿宋" w:eastAsia="仿宋" w:cs="仿宋"/>
                <w:color w:val="000000"/>
                <w:highlight w:val="none"/>
                <w:lang w:val="en-US" w:eastAsia="zh-CN"/>
              </w:rPr>
            </w:pPr>
            <w:r>
              <w:rPr>
                <w:rFonts w:hint="eastAsia" w:ascii="仿宋" w:hAnsi="仿宋" w:eastAsia="仿宋" w:cs="仿宋"/>
                <w:color w:val="000000"/>
                <w:highlight w:val="none"/>
              </w:rPr>
              <w:t>联合体</w:t>
            </w:r>
            <w:r>
              <w:rPr>
                <w:rFonts w:hint="eastAsia" w:ascii="仿宋" w:hAnsi="仿宋" w:eastAsia="仿宋" w:cs="仿宋"/>
                <w:color w:val="000000"/>
                <w:highlight w:val="none"/>
                <w:lang w:val="en-US" w:eastAsia="zh-CN"/>
              </w:rPr>
              <w:t>投标</w:t>
            </w:r>
          </w:p>
        </w:tc>
        <w:tc>
          <w:tcPr>
            <w:tcW w:w="6859" w:type="dxa"/>
            <w:noWrap w:val="0"/>
            <w:vAlign w:val="center"/>
          </w:tcPr>
          <w:p w14:paraId="23DD8BB6">
            <w:pPr>
              <w:tabs>
                <w:tab w:val="left" w:pos="851"/>
                <w:tab w:val="left" w:pos="1134"/>
              </w:tabs>
              <w:spacing w:line="52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本项目接受联合体</w:t>
            </w:r>
            <w:r>
              <w:rPr>
                <w:rFonts w:hint="eastAsia" w:ascii="仿宋" w:hAnsi="仿宋" w:eastAsia="仿宋" w:cs="仿宋"/>
                <w:sz w:val="24"/>
                <w:szCs w:val="24"/>
                <w:highlight w:val="none"/>
                <w:lang w:val="en-US" w:eastAsia="zh-CN"/>
              </w:rPr>
              <w:t>投标</w:t>
            </w:r>
            <w:r>
              <w:rPr>
                <w:rFonts w:hint="eastAsia" w:ascii="仿宋" w:hAnsi="仿宋" w:eastAsia="仿宋" w:cs="仿宋"/>
                <w:sz w:val="24"/>
                <w:szCs w:val="24"/>
                <w:highlight w:val="none"/>
              </w:rPr>
              <w:t>。</w:t>
            </w:r>
          </w:p>
          <w:p w14:paraId="51EE938A">
            <w:pPr>
              <w:spacing w:line="500" w:lineRule="exact"/>
              <w:rPr>
                <w:rFonts w:hint="eastAsia" w:ascii="仿宋" w:hAnsi="仿宋" w:eastAsia="仿宋" w:cs="仿宋"/>
                <w:color w:val="000000"/>
                <w:highlight w:val="none"/>
              </w:rPr>
            </w:pPr>
            <w:r>
              <w:rPr>
                <w:rFonts w:hint="eastAsia" w:ascii="仿宋" w:hAnsi="仿宋" w:eastAsia="仿宋" w:cs="仿宋"/>
                <w:sz w:val="24"/>
                <w:szCs w:val="24"/>
                <w:highlight w:val="none"/>
              </w:rPr>
              <w:t>联合体应满足下列要求：（1）除联合体协议由联合体全部成员共同签署外，响应文件其余部分由联合体牵头人签署即可，对联合体各成员具有约束力。法定代表人身份证明或法定代表人授权书由联合体牵头人出具。（2）联合体各方不得再单独参加或者与其他供应商另外组成联合体参加本项目，否则相关投标均无效。（3）联合体中有同类资质的供应商按照联合体分工承担相同工作的，应当按照资质等级较低的供应商确定资质等级。（4）联合体各方应当共同与采购人签订采购合同，就采购合同约定的事项对采购人承担连带责任。</w:t>
            </w:r>
          </w:p>
        </w:tc>
      </w:tr>
      <w:tr w14:paraId="43879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dxa"/>
            <w:shd w:val="clear" w:color="auto" w:fill="auto"/>
            <w:noWrap w:val="0"/>
            <w:vAlign w:val="center"/>
          </w:tcPr>
          <w:p w14:paraId="713EA466">
            <w:pPr>
              <w:spacing w:line="500" w:lineRule="exact"/>
              <w:jc w:val="center"/>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1</w:t>
            </w:r>
          </w:p>
        </w:tc>
        <w:tc>
          <w:tcPr>
            <w:tcW w:w="8872" w:type="dxa"/>
            <w:gridSpan w:val="2"/>
            <w:noWrap w:val="0"/>
            <w:vAlign w:val="center"/>
          </w:tcPr>
          <w:p w14:paraId="5C865417">
            <w:pPr>
              <w:spacing w:line="500" w:lineRule="exact"/>
              <w:rPr>
                <w:rFonts w:ascii="仿宋" w:hAnsi="仿宋" w:eastAsia="仿宋" w:cs="仿宋"/>
                <w:color w:val="auto"/>
                <w:highlight w:val="none"/>
              </w:rPr>
            </w:pPr>
            <w:r>
              <w:rPr>
                <w:rFonts w:hint="eastAsia" w:ascii="仿宋" w:hAnsi="仿宋" w:eastAsia="仿宋" w:cs="仿宋"/>
                <w:color w:val="000000"/>
                <w:highlight w:val="none"/>
              </w:rPr>
              <w:t>本项目属于</w:t>
            </w:r>
            <w:r>
              <w:rPr>
                <w:rFonts w:hint="eastAsia" w:ascii="仿宋" w:hAnsi="仿宋" w:eastAsia="仿宋" w:cs="仿宋"/>
                <w:color w:val="000000"/>
                <w:highlight w:val="none"/>
                <w:u w:val="single"/>
              </w:rPr>
              <w:t>服务类</w:t>
            </w:r>
            <w:r>
              <w:rPr>
                <w:rFonts w:hint="eastAsia" w:ascii="仿宋" w:hAnsi="仿宋" w:eastAsia="仿宋" w:cs="仿宋"/>
                <w:color w:val="000000"/>
                <w:highlight w:val="none"/>
              </w:rPr>
              <w:t>采购，</w:t>
            </w:r>
            <w:r>
              <w:rPr>
                <w:rFonts w:hint="eastAsia" w:ascii="仿宋" w:hAnsi="仿宋" w:eastAsia="仿宋" w:cs="仿宋"/>
                <w:color w:val="000000"/>
                <w:highlight w:val="none"/>
                <w:u w:val="single"/>
              </w:rPr>
              <w:t>非专门面向中小企业</w:t>
            </w:r>
            <w:r>
              <w:rPr>
                <w:rFonts w:hint="eastAsia" w:ascii="仿宋" w:hAnsi="仿宋" w:eastAsia="仿宋" w:cs="仿宋"/>
                <w:color w:val="000000"/>
                <w:highlight w:val="none"/>
              </w:rPr>
              <w:t>。</w:t>
            </w:r>
          </w:p>
        </w:tc>
      </w:tr>
      <w:tr w14:paraId="6EA2D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dxa"/>
            <w:noWrap w:val="0"/>
            <w:vAlign w:val="center"/>
          </w:tcPr>
          <w:p w14:paraId="5E0B993A">
            <w:pPr>
              <w:spacing w:line="500" w:lineRule="exact"/>
              <w:jc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12</w:t>
            </w:r>
          </w:p>
        </w:tc>
        <w:tc>
          <w:tcPr>
            <w:tcW w:w="8872" w:type="dxa"/>
            <w:gridSpan w:val="2"/>
            <w:noWrap w:val="0"/>
            <w:vAlign w:val="center"/>
          </w:tcPr>
          <w:p w14:paraId="4591E1C8">
            <w:pPr>
              <w:spacing w:line="500" w:lineRule="exact"/>
              <w:rPr>
                <w:rFonts w:ascii="仿宋" w:hAnsi="仿宋" w:eastAsia="仿宋" w:cs="仿宋"/>
                <w:color w:val="auto"/>
                <w:highlight w:val="none"/>
              </w:rPr>
            </w:pPr>
            <w:r>
              <w:rPr>
                <w:rFonts w:hint="eastAsia" w:ascii="仿宋" w:hAnsi="仿宋" w:eastAsia="仿宋" w:cs="仿宋"/>
                <w:color w:val="auto"/>
                <w:highlight w:val="none"/>
              </w:rPr>
              <w:t>中标人在领取中标通知书时应提供与苏采云系统中一致的投标文件</w:t>
            </w:r>
            <w:r>
              <w:rPr>
                <w:rFonts w:hint="eastAsia" w:ascii="仿宋" w:hAnsi="仿宋" w:eastAsia="仿宋" w:cs="仿宋"/>
                <w:color w:val="auto"/>
                <w:highlight w:val="none"/>
                <w:u w:val="single"/>
              </w:rPr>
              <w:t xml:space="preserve"> 2 </w:t>
            </w:r>
            <w:r>
              <w:rPr>
                <w:rFonts w:hint="eastAsia" w:ascii="仿宋" w:hAnsi="仿宋" w:eastAsia="仿宋" w:cs="仿宋"/>
                <w:color w:val="auto"/>
                <w:highlight w:val="none"/>
              </w:rPr>
              <w:t>份，交采购代理机构归档使用。</w:t>
            </w:r>
          </w:p>
        </w:tc>
      </w:tr>
    </w:tbl>
    <w:p w14:paraId="3CD60A7E">
      <w:pPr>
        <w:pStyle w:val="229"/>
        <w:keepNext w:val="0"/>
        <w:keepLines w:val="0"/>
        <w:spacing w:before="0" w:after="0" w:line="520" w:lineRule="exact"/>
        <w:rPr>
          <w:color w:val="auto"/>
          <w:highlight w:val="none"/>
        </w:rPr>
      </w:pPr>
      <w:r>
        <w:rPr>
          <w:rFonts w:hint="eastAsia"/>
          <w:color w:val="auto"/>
          <w:highlight w:val="none"/>
        </w:rPr>
        <w:br w:type="page" w:clear="all"/>
      </w:r>
      <w:r>
        <w:rPr>
          <w:rFonts w:hint="eastAsia"/>
          <w:color w:val="auto"/>
          <w:highlight w:val="none"/>
        </w:rPr>
        <w:t>一、总 则</w:t>
      </w:r>
      <w:bookmarkEnd w:id="15"/>
    </w:p>
    <w:p w14:paraId="5DB2A99E">
      <w:pPr>
        <w:spacing w:line="520" w:lineRule="exact"/>
        <w:ind w:firstLine="482"/>
        <w:rPr>
          <w:rFonts w:ascii="仿宋" w:hAnsi="仿宋" w:eastAsia="仿宋" w:cs="仿宋"/>
          <w:b/>
          <w:color w:val="auto"/>
          <w:highlight w:val="none"/>
        </w:rPr>
      </w:pPr>
      <w:bookmarkStart w:id="16" w:name="EBd75356d70bcd41c3a14bfd1185da698c"/>
      <w:r>
        <w:rPr>
          <w:rFonts w:hint="eastAsia" w:ascii="仿宋" w:hAnsi="仿宋" w:eastAsia="仿宋" w:cs="仿宋"/>
          <w:b/>
          <w:color w:val="auto"/>
          <w:highlight w:val="none"/>
        </w:rPr>
        <w:t>1.招标方式</w:t>
      </w:r>
    </w:p>
    <w:p w14:paraId="3124CB7D">
      <w:pPr>
        <w:pStyle w:val="258"/>
        <w:spacing w:line="52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本次招标采取公开招标方式。</w:t>
      </w:r>
    </w:p>
    <w:p w14:paraId="5F0E02AF">
      <w:pPr>
        <w:spacing w:line="520" w:lineRule="exact"/>
        <w:ind w:firstLine="482"/>
        <w:rPr>
          <w:rFonts w:hint="eastAsia" w:ascii="仿宋" w:hAnsi="仿宋" w:eastAsia="仿宋" w:cs="仿宋"/>
          <w:b/>
          <w:color w:val="auto"/>
          <w:highlight w:val="none"/>
          <w:lang w:eastAsia="zh-CN"/>
        </w:rPr>
      </w:pPr>
      <w:r>
        <w:rPr>
          <w:rFonts w:hint="eastAsia" w:ascii="仿宋" w:hAnsi="仿宋" w:eastAsia="仿宋" w:cs="仿宋"/>
          <w:b/>
          <w:color w:val="auto"/>
          <w:highlight w:val="none"/>
        </w:rPr>
        <w:t>2.合格的</w:t>
      </w:r>
      <w:r>
        <w:rPr>
          <w:rFonts w:hint="eastAsia" w:ascii="仿宋" w:hAnsi="仿宋" w:eastAsia="仿宋" w:cs="仿宋"/>
          <w:b/>
          <w:color w:val="auto"/>
          <w:highlight w:val="none"/>
          <w:lang w:eastAsia="zh-CN"/>
        </w:rPr>
        <w:t>投标人</w:t>
      </w:r>
    </w:p>
    <w:p w14:paraId="708BB95A">
      <w:pPr>
        <w:spacing w:line="520" w:lineRule="exact"/>
        <w:ind w:firstLine="480"/>
        <w:rPr>
          <w:rFonts w:ascii="仿宋" w:hAnsi="仿宋" w:eastAsia="仿宋" w:cs="仿宋"/>
          <w:color w:val="auto"/>
          <w:highlight w:val="none"/>
          <w:shd w:val="clear" w:color="auto" w:fill="FFC000"/>
        </w:rPr>
      </w:pPr>
      <w:r>
        <w:rPr>
          <w:rFonts w:hint="eastAsia" w:ascii="仿宋" w:hAnsi="仿宋" w:eastAsia="仿宋" w:cs="仿宋"/>
          <w:color w:val="auto"/>
          <w:highlight w:val="none"/>
        </w:rPr>
        <w:t>2.1合格的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必须是有能力按照本招标文件规定的要求提供</w:t>
      </w:r>
      <w:r>
        <w:rPr>
          <w:rFonts w:hint="eastAsia" w:ascii="仿宋" w:hAnsi="仿宋" w:eastAsia="仿宋" w:cs="仿宋"/>
          <w:color w:val="auto"/>
          <w:highlight w:val="none"/>
          <w:lang w:val="en-US" w:eastAsia="zh-CN"/>
        </w:rPr>
        <w:t>服务和相关设备</w:t>
      </w:r>
      <w:r>
        <w:rPr>
          <w:rFonts w:hint="eastAsia" w:ascii="仿宋" w:hAnsi="仿宋" w:eastAsia="仿宋" w:cs="仿宋"/>
          <w:color w:val="auto"/>
          <w:highlight w:val="none"/>
        </w:rPr>
        <w:t>，且具有独立承担民事等法律责任的法人或</w:t>
      </w:r>
      <w:r>
        <w:rPr>
          <w:rFonts w:hint="eastAsia" w:ascii="仿宋" w:hAnsi="仿宋" w:eastAsia="仿宋" w:cs="仿宋"/>
          <w:color w:val="auto"/>
          <w:highlight w:val="none"/>
          <w:lang w:eastAsia="zh-CN"/>
        </w:rPr>
        <w:t>其他</w:t>
      </w:r>
      <w:r>
        <w:rPr>
          <w:rFonts w:hint="eastAsia" w:ascii="仿宋" w:hAnsi="仿宋" w:eastAsia="仿宋" w:cs="仿宋"/>
          <w:color w:val="auto"/>
          <w:highlight w:val="none"/>
        </w:rPr>
        <w:t>经济组织。</w:t>
      </w:r>
    </w:p>
    <w:p w14:paraId="5C46628C">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2.2合格的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必须符合招标文件第一部分《招标公告》第二条及</w:t>
      </w: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rPr>
        <w:t>须知前附表相关规定，且具备独立完成本项目的能力，</w:t>
      </w:r>
      <w:r>
        <w:rPr>
          <w:rFonts w:hint="eastAsia" w:ascii="仿宋" w:hAnsi="仿宋" w:eastAsia="仿宋" w:cs="仿宋"/>
          <w:i/>
          <w:iCs/>
          <w:color w:val="auto"/>
          <w:highlight w:val="none"/>
          <w:u w:val="single"/>
        </w:rPr>
        <w:t>中标后不允许分包、转包</w:t>
      </w:r>
      <w:r>
        <w:rPr>
          <w:rFonts w:hint="eastAsia" w:ascii="仿宋" w:hAnsi="仿宋" w:eastAsia="仿宋" w:cs="仿宋"/>
          <w:color w:val="auto"/>
          <w:highlight w:val="none"/>
        </w:rPr>
        <w:t>。</w:t>
      </w:r>
    </w:p>
    <w:p w14:paraId="5600C34E">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2.3合格的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应遵守《中华人民共和国政府采购法</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中华人民共和国招标投标法</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中华人民共和国民法典》等有关法律、法规。</w:t>
      </w:r>
    </w:p>
    <w:p w14:paraId="1426FBE9">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rPr>
        <w:t>3.适用法律</w:t>
      </w:r>
    </w:p>
    <w:p w14:paraId="0B24654C">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本次招标及由本次招标产生的合同受中华人民共和国的相关法律、法规制约和保护。</w:t>
      </w:r>
    </w:p>
    <w:p w14:paraId="30893762">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rPr>
        <w:t>4.投标费用</w:t>
      </w:r>
    </w:p>
    <w:p w14:paraId="1D740FA5">
      <w:pPr>
        <w:spacing w:line="520" w:lineRule="exact"/>
        <w:ind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4.1 投标人应自行承担所有与参加投标有关的费用，无论投标过程中的做法和结果如何，代理机构在任何情况下均无义务和责任承担这些费用。 </w:t>
      </w:r>
    </w:p>
    <w:p w14:paraId="716154C6">
      <w:pPr>
        <w:spacing w:line="520" w:lineRule="exact"/>
        <w:ind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4.2代理服务费：领取中标通知书前，以中标金额为基数，中标人按照投标人须知前附表所述标准，一次性支付给采购代理机构。 </w:t>
      </w:r>
    </w:p>
    <w:p w14:paraId="73CDA982">
      <w:pPr>
        <w:spacing w:line="520" w:lineRule="exact"/>
        <w:ind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（1）代理服务费以人民币支付； </w:t>
      </w:r>
    </w:p>
    <w:p w14:paraId="3891217D">
      <w:pPr>
        <w:spacing w:line="520" w:lineRule="exact"/>
        <w:ind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（2）代理服务费一次性以电汇、转账等非现金形式支付； </w:t>
      </w:r>
    </w:p>
    <w:p w14:paraId="53A3B686">
      <w:pPr>
        <w:spacing w:line="520" w:lineRule="exact"/>
        <w:ind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（3）代理服务费不在投标报价中单列，包含在投标总价中，由中标单位支付给代理机构。 </w:t>
      </w:r>
    </w:p>
    <w:p w14:paraId="1C2E428A">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eastAsia="zh-CN"/>
        </w:rPr>
        <w:t>4.3专家评审费按扬财购</w:t>
      </w:r>
      <w:r>
        <w:rPr>
          <w:rFonts w:hint="eastAsia" w:ascii="微软雅黑" w:hAnsi="微软雅黑" w:eastAsia="微软雅黑" w:cs="微软雅黑"/>
          <w:color w:val="auto"/>
          <w:highlight w:val="none"/>
        </w:rPr>
        <w:t>〔</w:t>
      </w:r>
      <w:r>
        <w:rPr>
          <w:rFonts w:hint="eastAsia" w:ascii="仿宋" w:hAnsi="仿宋" w:eastAsia="仿宋" w:cs="仿宋"/>
          <w:color w:val="auto"/>
          <w:highlight w:val="none"/>
          <w:lang w:eastAsia="zh-CN"/>
        </w:rPr>
        <w:t>2020</w:t>
      </w:r>
      <w:r>
        <w:rPr>
          <w:rFonts w:hint="eastAsia" w:ascii="微软雅黑" w:hAnsi="微软雅黑" w:eastAsia="微软雅黑" w:cs="微软雅黑"/>
          <w:color w:val="auto"/>
          <w:highlight w:val="none"/>
        </w:rPr>
        <w:t>〕</w:t>
      </w:r>
      <w:r>
        <w:rPr>
          <w:rFonts w:hint="eastAsia" w:ascii="仿宋" w:hAnsi="仿宋" w:eastAsia="仿宋" w:cs="仿宋"/>
          <w:color w:val="auto"/>
          <w:highlight w:val="none"/>
          <w:lang w:eastAsia="zh-CN"/>
        </w:rPr>
        <w:t>40号文《关于进一步规范扬州市政府采购专家评审费标准的通知》执行。</w:t>
      </w:r>
    </w:p>
    <w:p w14:paraId="7FAB105D">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rPr>
        <w:t>5.招标文件的约束力</w:t>
      </w:r>
    </w:p>
    <w:p w14:paraId="6C6A740E">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一旦参加本项目投标，即被认为接受了本招标文件的所有条件和规定。</w:t>
      </w:r>
      <w:bookmarkEnd w:id="16"/>
    </w:p>
    <w:p w14:paraId="29428944">
      <w:pPr>
        <w:pStyle w:val="229"/>
        <w:keepNext w:val="0"/>
        <w:keepLines w:val="0"/>
        <w:spacing w:before="0" w:after="0" w:line="520" w:lineRule="exact"/>
        <w:rPr>
          <w:color w:val="auto"/>
          <w:highlight w:val="none"/>
        </w:rPr>
      </w:pPr>
      <w:bookmarkStart w:id="17" w:name="_Toc3962"/>
      <w:r>
        <w:rPr>
          <w:rFonts w:hint="eastAsia"/>
          <w:color w:val="auto"/>
          <w:highlight w:val="none"/>
        </w:rPr>
        <w:t>二、招标文件</w:t>
      </w:r>
      <w:bookmarkEnd w:id="17"/>
    </w:p>
    <w:p w14:paraId="3612F89C">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lang w:val="en-US" w:eastAsia="zh-CN"/>
        </w:rPr>
        <w:t>6</w:t>
      </w:r>
      <w:r>
        <w:rPr>
          <w:rFonts w:hint="eastAsia" w:ascii="仿宋" w:hAnsi="仿宋" w:eastAsia="仿宋" w:cs="仿宋"/>
          <w:b/>
          <w:color w:val="auto"/>
          <w:highlight w:val="none"/>
        </w:rPr>
        <w:t>.招标文件构成</w:t>
      </w:r>
    </w:p>
    <w:p w14:paraId="7182FB45">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第一部分：招标公告；</w:t>
      </w:r>
    </w:p>
    <w:p w14:paraId="5D96EEC6">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第二部分：</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 xml:space="preserve">须知； </w:t>
      </w:r>
    </w:p>
    <w:p w14:paraId="55E234D1">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第</w:t>
      </w:r>
      <w:r>
        <w:rPr>
          <w:rFonts w:hint="eastAsia" w:ascii="仿宋" w:hAnsi="仿宋" w:eastAsia="仿宋" w:cs="仿宋"/>
          <w:color w:val="auto"/>
          <w:highlight w:val="none"/>
          <w:lang w:val="en-US" w:eastAsia="zh-CN"/>
        </w:rPr>
        <w:t>三</w:t>
      </w:r>
      <w:r>
        <w:rPr>
          <w:rFonts w:hint="eastAsia" w:ascii="仿宋" w:hAnsi="仿宋" w:eastAsia="仿宋" w:cs="仿宋"/>
          <w:color w:val="auto"/>
          <w:highlight w:val="none"/>
        </w:rPr>
        <w:t>部分：合同</w:t>
      </w:r>
      <w:r>
        <w:rPr>
          <w:rFonts w:hint="eastAsia" w:ascii="仿宋" w:hAnsi="仿宋" w:eastAsia="仿宋" w:cs="仿宋"/>
          <w:color w:val="auto"/>
          <w:highlight w:val="none"/>
          <w:lang w:val="en-US" w:eastAsia="zh-CN"/>
        </w:rPr>
        <w:t>文本</w:t>
      </w:r>
      <w:r>
        <w:rPr>
          <w:rFonts w:hint="eastAsia" w:ascii="仿宋" w:hAnsi="仿宋" w:eastAsia="仿宋" w:cs="仿宋"/>
          <w:color w:val="auto"/>
          <w:highlight w:val="none"/>
        </w:rPr>
        <w:t>；</w:t>
      </w:r>
    </w:p>
    <w:p w14:paraId="0FAC9716">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第四部分：采购需求；</w:t>
      </w:r>
    </w:p>
    <w:p w14:paraId="12DFE72B">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第</w:t>
      </w:r>
      <w:r>
        <w:rPr>
          <w:rFonts w:hint="eastAsia" w:ascii="仿宋" w:hAnsi="仿宋" w:eastAsia="仿宋" w:cs="仿宋"/>
          <w:color w:val="auto"/>
          <w:highlight w:val="none"/>
          <w:lang w:val="en-US" w:eastAsia="zh-CN"/>
        </w:rPr>
        <w:t>五</w:t>
      </w:r>
      <w:r>
        <w:rPr>
          <w:rFonts w:hint="eastAsia" w:ascii="仿宋" w:hAnsi="仿宋" w:eastAsia="仿宋" w:cs="仿宋"/>
          <w:color w:val="auto"/>
          <w:highlight w:val="none"/>
        </w:rPr>
        <w:t>部分：</w:t>
      </w:r>
      <w:r>
        <w:rPr>
          <w:rFonts w:hint="eastAsia" w:ascii="仿宋" w:hAnsi="仿宋" w:eastAsia="仿宋" w:cs="仿宋"/>
          <w:color w:val="auto"/>
          <w:highlight w:val="none"/>
          <w:lang w:val="en-US" w:eastAsia="zh-CN"/>
        </w:rPr>
        <w:t>评标方法和标准</w:t>
      </w:r>
      <w:r>
        <w:rPr>
          <w:rFonts w:hint="eastAsia" w:ascii="仿宋" w:hAnsi="仿宋" w:eastAsia="仿宋" w:cs="仿宋"/>
          <w:color w:val="auto"/>
          <w:highlight w:val="none"/>
        </w:rPr>
        <w:t>；</w:t>
      </w:r>
    </w:p>
    <w:p w14:paraId="19D80B7A">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第六部分：投标文件格式。</w:t>
      </w:r>
    </w:p>
    <w:p w14:paraId="1AA707AA">
      <w:pPr>
        <w:spacing w:line="520" w:lineRule="exact"/>
        <w:ind w:firstLine="480"/>
        <w:rPr>
          <w:rFonts w:ascii="仿宋" w:hAnsi="仿宋" w:eastAsia="仿宋" w:cs="仿宋"/>
          <w:b/>
          <w:bCs/>
          <w:color w:val="auto"/>
          <w:highlight w:val="none"/>
        </w:rPr>
      </w:pPr>
      <w:r>
        <w:rPr>
          <w:rFonts w:hint="eastAsia" w:ascii="仿宋" w:hAnsi="仿宋" w:eastAsia="仿宋" w:cs="仿宋"/>
          <w:b/>
          <w:bCs/>
          <w:color w:val="auto"/>
          <w:highlight w:val="none"/>
          <w:lang w:eastAsia="zh-CN"/>
        </w:rPr>
        <w:t>投标人</w:t>
      </w:r>
      <w:r>
        <w:rPr>
          <w:rFonts w:hint="eastAsia" w:ascii="仿宋" w:hAnsi="仿宋" w:eastAsia="仿宋" w:cs="仿宋"/>
          <w:b/>
          <w:bCs/>
          <w:color w:val="auto"/>
          <w:highlight w:val="none"/>
        </w:rPr>
        <w:t>应仔细检查招标文件是否齐全，如有缺漏请立即与采购代理机构联系。如标书制作工具中格式和内容与“江苏政府采购网”发布的招标文件不一致，以“江苏政府采购网”发布的招标文件为准。</w:t>
      </w:r>
    </w:p>
    <w:p w14:paraId="7194B6D5">
      <w:pPr>
        <w:spacing w:line="520" w:lineRule="exact"/>
        <w:ind w:firstLine="482"/>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14:paraId="6BDEB411">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lang w:val="en-US" w:eastAsia="zh-CN"/>
        </w:rPr>
        <w:t>7</w:t>
      </w:r>
      <w:r>
        <w:rPr>
          <w:rFonts w:hint="eastAsia" w:ascii="仿宋" w:hAnsi="仿宋" w:eastAsia="仿宋" w:cs="仿宋"/>
          <w:b/>
          <w:color w:val="auto"/>
          <w:highlight w:val="none"/>
        </w:rPr>
        <w:t>.招标文件的澄清</w:t>
      </w:r>
    </w:p>
    <w:p w14:paraId="2F6CDDCF">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任何要求对招标文件澄清的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，均应在法律法规规定的时间内提出，采购代理机构对规定时间内收到的澄清要求予以答复，答复不包括问题的来源。</w:t>
      </w:r>
    </w:p>
    <w:p w14:paraId="6D8A3113">
      <w:pPr>
        <w:spacing w:line="520" w:lineRule="exact"/>
        <w:ind w:firstLine="482" w:firstLineChars="200"/>
        <w:rPr>
          <w:rFonts w:ascii="仿宋" w:hAnsi="仿宋" w:eastAsia="仿宋" w:cs="仿宋"/>
          <w:b/>
          <w:color w:val="auto"/>
          <w:highlight w:val="none"/>
        </w:rPr>
      </w:pPr>
      <w:r>
        <w:rPr>
          <w:rFonts w:hint="eastAsia" w:ascii="仿宋" w:hAnsi="仿宋" w:eastAsia="仿宋" w:cs="仿宋"/>
          <w:b/>
          <w:color w:val="auto"/>
          <w:highlight w:val="none"/>
          <w:lang w:val="en-US" w:eastAsia="zh-CN"/>
        </w:rPr>
        <w:t>8</w:t>
      </w:r>
      <w:r>
        <w:rPr>
          <w:rFonts w:hint="eastAsia" w:ascii="仿宋" w:hAnsi="仿宋" w:eastAsia="仿宋" w:cs="仿宋"/>
          <w:b/>
          <w:color w:val="auto"/>
          <w:highlight w:val="none"/>
        </w:rPr>
        <w:t>.招标文件的修改</w:t>
      </w:r>
    </w:p>
    <w:p w14:paraId="563304DA">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.1在提交</w:t>
      </w: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rPr>
        <w:t>文件接收截止之日前，采购代理机构可以更正公告或补充文件的形式对</w:t>
      </w:r>
      <w:r>
        <w:rPr>
          <w:rFonts w:hint="eastAsia" w:ascii="仿宋" w:hAnsi="仿宋" w:eastAsia="仿宋" w:cs="仿宋"/>
          <w:color w:val="auto"/>
          <w:highlight w:val="none"/>
          <w:lang w:val="en-US" w:eastAsia="zh-CN"/>
        </w:rPr>
        <w:t>招标</w:t>
      </w:r>
      <w:r>
        <w:rPr>
          <w:rFonts w:hint="eastAsia" w:ascii="仿宋" w:hAnsi="仿宋" w:eastAsia="仿宋" w:cs="仿宋"/>
          <w:color w:val="auto"/>
          <w:highlight w:val="none"/>
        </w:rPr>
        <w:t>文件进行澄清或者修改。澄清或者修改的内容可能影响</w:t>
      </w: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rPr>
        <w:t>文件编制的，应当在提交首次</w:t>
      </w: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rPr>
        <w:t>文件截止之日</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5日前发出，不足</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5日的，应当顺延提交首次响应文件截止之日。采购代理机构可以更正公告或补充文件的形式对招标文件进行修改。</w:t>
      </w:r>
    </w:p>
    <w:p w14:paraId="3A58F36E">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.2招标文件的修改将在“江苏政府采购网”公布，补充文件将作为招标文件的组成部分，并对</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 xml:space="preserve">具有约束力。修改内容可能影响投标文件编制的，采购人或者采购代理机构将顺延提交投标文件的截止时间，并将在“江苏政府采购网”公布。  </w:t>
      </w:r>
    </w:p>
    <w:p w14:paraId="5DB44F93">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.3为使</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有充分的时间对招标文件的修改部分进行分析、研究，采购代理机构有权推迟投标文件接收截止日期和开标日期，并将此变更通知所有已获取招标文件的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w:t>
      </w:r>
    </w:p>
    <w:p w14:paraId="4701D3C7">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.4采购代理机构发出的所有补充、修改和变更文件均作为招标文件的组成部分，与招标文件具有同等法律效力。</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应及时在“江苏政府采购网”获取澄清答疑文件（修改后</w:t>
      </w:r>
      <w:r>
        <w:rPr>
          <w:rFonts w:hint="eastAsia" w:ascii="仿宋" w:hAnsi="仿宋" w:eastAsia="仿宋" w:cs="仿宋"/>
          <w:color w:val="auto"/>
          <w:highlight w:val="none"/>
          <w:lang w:val="en-US" w:eastAsia="zh-CN"/>
        </w:rPr>
        <w:t>招标</w:t>
      </w:r>
      <w:r>
        <w:rPr>
          <w:rFonts w:hint="eastAsia" w:ascii="仿宋" w:hAnsi="仿宋" w:eastAsia="仿宋" w:cs="仿宋"/>
          <w:color w:val="auto"/>
          <w:highlight w:val="none"/>
        </w:rPr>
        <w:t>文件），如因</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原因未能及时获取澄清和修改，由此造成的相关责任，由</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承担。</w:t>
      </w:r>
    </w:p>
    <w:p w14:paraId="61D7242E">
      <w:pPr>
        <w:spacing w:line="520" w:lineRule="exact"/>
        <w:rPr>
          <w:rFonts w:ascii="仿宋_GB2312" w:eastAsia="仿宋_GB2312"/>
          <w:color w:val="auto"/>
          <w:highlight w:val="none"/>
        </w:rPr>
      </w:pPr>
      <w:bookmarkStart w:id="18" w:name="EBebf7ede40ba2404eabfa943e46b0c520"/>
      <w:r>
        <w:rPr>
          <w:rFonts w:hint="eastAsia" w:ascii="仿宋_GB2312" w:eastAsia="仿宋_GB2312"/>
          <w:color w:val="auto"/>
          <w:sz w:val="20"/>
          <w:highlight w:val="none"/>
        </w:rPr>
        <w:t xml:space="preserve"> </w:t>
      </w:r>
      <w:bookmarkEnd w:id="18"/>
      <w:bookmarkStart w:id="19" w:name="EB27df85fc5a574ebaaed6d5868f4535a1"/>
      <w:r>
        <w:rPr>
          <w:rFonts w:hint="eastAsia" w:ascii="仿宋_GB2312" w:eastAsia="仿宋_GB2312"/>
          <w:color w:val="auto"/>
          <w:sz w:val="20"/>
          <w:highlight w:val="none"/>
        </w:rPr>
        <w:t xml:space="preserve"> </w:t>
      </w:r>
      <w:bookmarkEnd w:id="19"/>
      <w:bookmarkStart w:id="20" w:name="EB3eb7ea0b01144628b9ffe3df796b5351"/>
      <w:r>
        <w:rPr>
          <w:rFonts w:hint="eastAsia" w:ascii="仿宋_GB2312" w:eastAsia="仿宋_GB2312"/>
          <w:color w:val="auto"/>
          <w:sz w:val="20"/>
          <w:highlight w:val="none"/>
        </w:rPr>
        <w:t xml:space="preserve"> </w:t>
      </w:r>
      <w:bookmarkEnd w:id="20"/>
    </w:p>
    <w:p w14:paraId="4ABCEE28">
      <w:pPr>
        <w:pStyle w:val="229"/>
        <w:keepNext w:val="0"/>
        <w:keepLines w:val="0"/>
        <w:spacing w:before="0" w:after="0" w:line="520" w:lineRule="exact"/>
        <w:rPr>
          <w:color w:val="auto"/>
          <w:highlight w:val="none"/>
        </w:rPr>
      </w:pPr>
      <w:bookmarkStart w:id="21" w:name="_Toc27518"/>
      <w:r>
        <w:rPr>
          <w:rFonts w:hint="eastAsia"/>
          <w:color w:val="auto"/>
          <w:highlight w:val="none"/>
        </w:rPr>
        <w:t>三、投标文件的编制</w:t>
      </w:r>
      <w:bookmarkEnd w:id="21"/>
    </w:p>
    <w:p w14:paraId="1E3A67FD">
      <w:pPr>
        <w:spacing w:line="520" w:lineRule="exact"/>
        <w:ind w:firstLine="482"/>
        <w:rPr>
          <w:rFonts w:ascii="仿宋" w:hAnsi="仿宋" w:eastAsia="仿宋" w:cs="仿宋"/>
          <w:b/>
          <w:color w:val="auto"/>
          <w:highlight w:val="none"/>
        </w:rPr>
      </w:pPr>
      <w:bookmarkStart w:id="22" w:name="EB2ca96763a7244d75908a3586115531a8"/>
      <w:r>
        <w:rPr>
          <w:rFonts w:hint="eastAsia" w:ascii="仿宋" w:hAnsi="仿宋" w:eastAsia="仿宋" w:cs="仿宋"/>
          <w:b/>
          <w:color w:val="auto"/>
          <w:highlight w:val="none"/>
          <w:lang w:val="en-US" w:eastAsia="zh-CN"/>
        </w:rPr>
        <w:t>9</w:t>
      </w:r>
      <w:r>
        <w:rPr>
          <w:rFonts w:hint="eastAsia" w:ascii="仿宋" w:hAnsi="仿宋" w:eastAsia="仿宋" w:cs="仿宋"/>
          <w:b/>
          <w:color w:val="auto"/>
          <w:highlight w:val="none"/>
        </w:rPr>
        <w:t>.投标文件的编制要求</w:t>
      </w:r>
    </w:p>
    <w:p w14:paraId="670118F6">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rPr>
        <w:t>.1</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应仔细阅读“招标文件”的所有内容，按“招标文件”第六部分“投标文件格式”编制投标文件，如有必要，可以增加附页，作为投标文件的组成部分。</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须保证所提供的全部资料的真实性、完整性及有效性，以使其投标对“招标文件”作出实质性响应。</w:t>
      </w:r>
    </w:p>
    <w:p w14:paraId="3C82FCFA">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rPr>
        <w:t>.2投标文件应当对招标文件有关投标有效期、技术标准和要求、</w:t>
      </w:r>
      <w:r>
        <w:rPr>
          <w:rFonts w:hint="eastAsia" w:ascii="仿宋" w:hAnsi="仿宋" w:eastAsia="仿宋" w:cs="仿宋"/>
          <w:color w:val="auto"/>
          <w:highlight w:val="none"/>
          <w:lang w:val="en-US" w:eastAsia="zh-CN"/>
        </w:rPr>
        <w:t>配置要求、</w:t>
      </w:r>
      <w:r>
        <w:rPr>
          <w:rFonts w:hint="eastAsia" w:ascii="仿宋" w:hAnsi="仿宋" w:eastAsia="仿宋" w:cs="仿宋"/>
          <w:color w:val="auto"/>
          <w:highlight w:val="none"/>
        </w:rPr>
        <w:t>招标范围等实质性内容作出响应。</w:t>
      </w:r>
    </w:p>
    <w:p w14:paraId="44B0F58A">
      <w:pPr>
        <w:spacing w:line="520" w:lineRule="exact"/>
        <w:ind w:firstLine="480"/>
        <w:rPr>
          <w:rFonts w:ascii="仿宋" w:hAnsi="仿宋" w:eastAsia="仿宋" w:cs="仿宋"/>
          <w:i/>
          <w:iCs/>
          <w:color w:val="auto"/>
          <w:highlight w:val="none"/>
          <w:u w:val="single"/>
        </w:rPr>
      </w:pPr>
      <w:r>
        <w:rPr>
          <w:rFonts w:hint="eastAsia" w:ascii="仿宋" w:hAnsi="仿宋" w:eastAsia="仿宋" w:cs="仿宋"/>
          <w:b/>
          <w:bCs/>
          <w:i/>
          <w:iCs/>
          <w:color w:val="auto"/>
          <w:highlight w:val="none"/>
          <w:u w:val="single"/>
          <w:lang w:val="en-US" w:eastAsia="zh-CN"/>
        </w:rPr>
        <w:t>9</w:t>
      </w:r>
      <w:r>
        <w:rPr>
          <w:rFonts w:hint="eastAsia" w:ascii="仿宋" w:hAnsi="仿宋" w:eastAsia="仿宋" w:cs="仿宋"/>
          <w:b/>
          <w:bCs/>
          <w:i/>
          <w:iCs/>
          <w:color w:val="auto"/>
          <w:highlight w:val="none"/>
          <w:u w:val="single"/>
        </w:rPr>
        <w:t>.3</w:t>
      </w:r>
      <w:r>
        <w:rPr>
          <w:rFonts w:hint="eastAsia" w:ascii="仿宋" w:hAnsi="仿宋" w:eastAsia="仿宋" w:cs="仿宋"/>
          <w:b/>
          <w:bCs/>
          <w:i/>
          <w:iCs/>
          <w:color w:val="auto"/>
          <w:highlight w:val="none"/>
          <w:u w:val="single"/>
          <w:lang w:eastAsia="zh-CN"/>
        </w:rPr>
        <w:t>投标人</w:t>
      </w:r>
      <w:r>
        <w:rPr>
          <w:rFonts w:hint="eastAsia" w:ascii="仿宋" w:hAnsi="仿宋" w:eastAsia="仿宋" w:cs="仿宋"/>
          <w:b/>
          <w:bCs/>
          <w:i/>
          <w:iCs/>
          <w:color w:val="auto"/>
          <w:highlight w:val="none"/>
          <w:u w:val="single"/>
        </w:rPr>
        <w:t>如同时参与多个采购包（如有）招标，则应按采购包分别制作投标文件，否则将视为无效投标文件。</w:t>
      </w:r>
    </w:p>
    <w:p w14:paraId="7F69BE6F">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rPr>
        <w:t>.4 招标文件要求应当由法定代表人或授权代表签字/签章的，可以加盖有效的电子签章或签字后使用pdf上传。</w:t>
      </w:r>
    </w:p>
    <w:p w14:paraId="108F5716">
      <w:pPr>
        <w:spacing w:line="520" w:lineRule="exact"/>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9.5 招标文件要求提供复印件的，提供复印件或扫描件均可；招标文件要求提供扫描件的，必须提供扫描件。未按本条要求提供的，评标委员会可视为未提供。</w:t>
      </w:r>
    </w:p>
    <w:p w14:paraId="7FCB9536">
      <w:pPr>
        <w:spacing w:line="520" w:lineRule="exact"/>
        <w:ind w:firstLine="48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9.6 除招标文件另有规定外，投标文件所使用的度量衡单位，均须采用国家法定计量单位。</w:t>
      </w:r>
    </w:p>
    <w:p w14:paraId="401DD11B">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lang w:eastAsia="zh-CN"/>
        </w:rPr>
        <w:t>1</w:t>
      </w:r>
      <w:r>
        <w:rPr>
          <w:rFonts w:hint="eastAsia" w:ascii="仿宋" w:hAnsi="仿宋" w:eastAsia="仿宋" w:cs="仿宋"/>
          <w:b/>
          <w:color w:val="auto"/>
          <w:highlight w:val="none"/>
          <w:lang w:val="en-US" w:eastAsia="zh-CN"/>
        </w:rPr>
        <w:t>0</w:t>
      </w:r>
      <w:r>
        <w:rPr>
          <w:rFonts w:hint="eastAsia" w:ascii="仿宋" w:hAnsi="仿宋" w:eastAsia="仿宋" w:cs="仿宋"/>
          <w:b/>
          <w:color w:val="auto"/>
          <w:highlight w:val="none"/>
          <w:lang w:eastAsia="zh-CN"/>
        </w:rPr>
        <w:t>.</w:t>
      </w:r>
      <w:r>
        <w:rPr>
          <w:rFonts w:hint="eastAsia" w:ascii="仿宋" w:hAnsi="仿宋" w:eastAsia="仿宋" w:cs="仿宋"/>
          <w:b/>
          <w:color w:val="auto"/>
          <w:highlight w:val="none"/>
        </w:rPr>
        <w:t>投标文件构成</w:t>
      </w:r>
    </w:p>
    <w:p w14:paraId="0D19AD99">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0</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1投标声明及承诺函</w:t>
      </w:r>
    </w:p>
    <w:p w14:paraId="0E067C58">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0</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2资格证明文件；</w:t>
      </w:r>
    </w:p>
    <w:p w14:paraId="464ED55E">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0</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2.1招标文件第一部分《招标公告》申请人的资格要求中的证明材料；</w:t>
      </w:r>
    </w:p>
    <w:p w14:paraId="185F5A8F">
      <w:pPr>
        <w:spacing w:line="520" w:lineRule="exact"/>
        <w:ind w:firstLine="48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0</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2.2</w:t>
      </w:r>
      <w:r>
        <w:rPr>
          <w:rFonts w:hint="eastAsia" w:ascii="仿宋" w:hAnsi="仿宋" w:eastAsia="仿宋" w:cs="仿宋"/>
          <w:color w:val="auto"/>
          <w:highlight w:val="none"/>
          <w:lang w:val="en-US" w:eastAsia="zh-CN"/>
        </w:rPr>
        <w:t>为满足符合性审查提供的材料；</w:t>
      </w:r>
    </w:p>
    <w:p w14:paraId="241B3AB2">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val="en-US" w:eastAsia="zh-CN"/>
        </w:rPr>
        <w:t>10.2.3</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认为与本项目相关的其他资格证明</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符合性证明</w:t>
      </w:r>
      <w:r>
        <w:rPr>
          <w:rFonts w:hint="eastAsia" w:ascii="仿宋" w:hAnsi="仿宋" w:eastAsia="仿宋" w:cs="仿宋"/>
          <w:color w:val="auto"/>
          <w:highlight w:val="none"/>
        </w:rPr>
        <w:t>资料；</w:t>
      </w:r>
    </w:p>
    <w:p w14:paraId="2E5A9E5D">
      <w:pPr>
        <w:spacing w:line="520" w:lineRule="exact"/>
        <w:ind w:firstLine="480"/>
        <w:rPr>
          <w:rFonts w:hint="default" w:ascii="仿宋" w:hAnsi="仿宋" w:eastAsia="仿宋" w:cs="仿宋"/>
          <w:color w:val="000000"/>
          <w:kern w:val="0"/>
          <w:sz w:val="24"/>
          <w:highlight w:val="none"/>
        </w:rPr>
      </w:pPr>
      <w:r>
        <w:rPr>
          <w:rFonts w:hint="eastAsia" w:ascii="仿宋" w:hAnsi="仿宋" w:eastAsia="仿宋" w:cs="仿宋"/>
          <w:color w:val="000000"/>
          <w:kern w:val="0"/>
          <w:sz w:val="24"/>
          <w:highlight w:val="none"/>
        </w:rPr>
        <w:t>1</w:t>
      </w:r>
      <w:r>
        <w:rPr>
          <w:rFonts w:hint="eastAsia" w:ascii="仿宋" w:hAnsi="仿宋" w:eastAsia="仿宋" w:cs="仿宋"/>
          <w:color w:val="000000"/>
          <w:kern w:val="0"/>
          <w:sz w:val="24"/>
          <w:highlight w:val="none"/>
          <w:lang w:val="en-US" w:eastAsia="zh-CN"/>
        </w:rPr>
        <w:t>0</w:t>
      </w:r>
      <w:r>
        <w:rPr>
          <w:rFonts w:hint="eastAsia" w:ascii="仿宋" w:hAnsi="仿宋" w:eastAsia="仿宋" w:cs="仿宋"/>
          <w:color w:val="000000"/>
          <w:kern w:val="0"/>
          <w:sz w:val="24"/>
          <w:highlight w:val="none"/>
        </w:rPr>
        <w:t>.3报价文件</w:t>
      </w:r>
    </w:p>
    <w:p w14:paraId="7C15FC7B">
      <w:pPr>
        <w:spacing w:line="520" w:lineRule="exact"/>
        <w:ind w:firstLine="480"/>
        <w:rPr>
          <w:rFonts w:hint="default" w:ascii="仿宋" w:hAnsi="仿宋" w:eastAsia="仿宋" w:cs="仿宋"/>
          <w:color w:val="000000"/>
          <w:kern w:val="0"/>
          <w:sz w:val="24"/>
          <w:highlight w:val="none"/>
        </w:rPr>
      </w:pPr>
      <w:r>
        <w:rPr>
          <w:rFonts w:hint="eastAsia" w:ascii="仿宋" w:hAnsi="仿宋" w:eastAsia="仿宋" w:cs="仿宋"/>
          <w:color w:val="000000"/>
          <w:kern w:val="0"/>
          <w:sz w:val="24"/>
          <w:highlight w:val="none"/>
        </w:rPr>
        <w:t>1</w:t>
      </w:r>
      <w:r>
        <w:rPr>
          <w:rFonts w:hint="eastAsia" w:ascii="仿宋" w:hAnsi="仿宋" w:eastAsia="仿宋" w:cs="仿宋"/>
          <w:color w:val="000000"/>
          <w:kern w:val="0"/>
          <w:sz w:val="24"/>
          <w:highlight w:val="none"/>
          <w:lang w:val="en-US" w:eastAsia="zh-CN"/>
        </w:rPr>
        <w:t>0</w:t>
      </w:r>
      <w:r>
        <w:rPr>
          <w:rFonts w:hint="eastAsia" w:ascii="仿宋" w:hAnsi="仿宋" w:eastAsia="仿宋" w:cs="仿宋"/>
          <w:color w:val="000000"/>
          <w:kern w:val="0"/>
          <w:sz w:val="24"/>
          <w:highlight w:val="none"/>
        </w:rPr>
        <w:t>.3.1开标一览表；</w:t>
      </w:r>
    </w:p>
    <w:p w14:paraId="4E93F3AA">
      <w:pPr>
        <w:spacing w:line="520" w:lineRule="exact"/>
        <w:ind w:firstLine="480"/>
        <w:rPr>
          <w:rFonts w:hint="default" w:ascii="仿宋" w:hAnsi="仿宋" w:eastAsia="仿宋" w:cs="仿宋"/>
          <w:color w:val="000000"/>
          <w:kern w:val="0"/>
          <w:sz w:val="24"/>
          <w:highlight w:val="none"/>
        </w:rPr>
      </w:pPr>
      <w:r>
        <w:rPr>
          <w:rFonts w:hint="eastAsia" w:ascii="仿宋" w:hAnsi="仿宋" w:eastAsia="仿宋" w:cs="仿宋"/>
          <w:color w:val="000000"/>
          <w:kern w:val="0"/>
          <w:sz w:val="24"/>
          <w:highlight w:val="none"/>
        </w:rPr>
        <w:t>1</w:t>
      </w:r>
      <w:r>
        <w:rPr>
          <w:rFonts w:hint="eastAsia" w:ascii="仿宋" w:hAnsi="仿宋" w:eastAsia="仿宋" w:cs="仿宋"/>
          <w:color w:val="000000"/>
          <w:kern w:val="0"/>
          <w:sz w:val="24"/>
          <w:highlight w:val="none"/>
          <w:lang w:val="en-US" w:eastAsia="zh-CN"/>
        </w:rPr>
        <w:t>0</w:t>
      </w:r>
      <w:r>
        <w:rPr>
          <w:rFonts w:hint="eastAsia" w:ascii="仿宋" w:hAnsi="仿宋" w:eastAsia="仿宋" w:cs="仿宋"/>
          <w:color w:val="000000"/>
          <w:kern w:val="0"/>
          <w:sz w:val="24"/>
          <w:highlight w:val="none"/>
        </w:rPr>
        <w:t>.3.2明细报价表。</w:t>
      </w:r>
    </w:p>
    <w:p w14:paraId="2D839B84">
      <w:pPr>
        <w:spacing w:line="520" w:lineRule="exact"/>
        <w:ind w:firstLine="480"/>
        <w:rPr>
          <w:rFonts w:hint="default" w:ascii="仿宋" w:hAnsi="仿宋" w:eastAsia="仿宋" w:cs="仿宋"/>
          <w:color w:val="000000"/>
          <w:kern w:val="0"/>
          <w:sz w:val="24"/>
          <w:highlight w:val="none"/>
        </w:rPr>
      </w:pPr>
      <w:r>
        <w:rPr>
          <w:rFonts w:hint="eastAsia" w:ascii="仿宋" w:hAnsi="仿宋" w:eastAsia="仿宋" w:cs="仿宋"/>
          <w:color w:val="000000"/>
          <w:kern w:val="0"/>
          <w:sz w:val="24"/>
          <w:highlight w:val="none"/>
        </w:rPr>
        <w:t>1</w:t>
      </w:r>
      <w:r>
        <w:rPr>
          <w:rFonts w:hint="eastAsia" w:ascii="仿宋" w:hAnsi="仿宋" w:eastAsia="仿宋" w:cs="仿宋"/>
          <w:color w:val="000000"/>
          <w:kern w:val="0"/>
          <w:sz w:val="24"/>
          <w:highlight w:val="none"/>
          <w:lang w:val="en-US" w:eastAsia="zh-CN"/>
        </w:rPr>
        <w:t>0</w:t>
      </w:r>
      <w:r>
        <w:rPr>
          <w:rFonts w:hint="eastAsia" w:ascii="仿宋" w:hAnsi="仿宋" w:eastAsia="仿宋" w:cs="仿宋"/>
          <w:color w:val="000000"/>
          <w:kern w:val="0"/>
          <w:sz w:val="24"/>
          <w:highlight w:val="none"/>
        </w:rPr>
        <w:t>.4技术文件</w:t>
      </w:r>
    </w:p>
    <w:p w14:paraId="1372137B">
      <w:pPr>
        <w:spacing w:line="520" w:lineRule="exact"/>
        <w:ind w:firstLine="480"/>
        <w:rPr>
          <w:rFonts w:hint="eastAsia" w:ascii="仿宋" w:hAnsi="仿宋" w:eastAsia="仿宋" w:cs="仿宋"/>
          <w:color w:val="000000"/>
          <w:kern w:val="0"/>
          <w:sz w:val="24"/>
          <w:highlight w:val="none"/>
        </w:rPr>
      </w:pPr>
      <w:bookmarkStart w:id="23" w:name="EB7f6b24a996964930b08d6b290b36e3fd"/>
      <w:r>
        <w:rPr>
          <w:rFonts w:hint="eastAsia" w:ascii="仿宋" w:hAnsi="仿宋" w:eastAsia="仿宋" w:cs="仿宋"/>
          <w:color w:val="000000"/>
          <w:kern w:val="0"/>
          <w:sz w:val="24"/>
          <w:highlight w:val="none"/>
        </w:rPr>
        <w:t>1</w:t>
      </w:r>
      <w:r>
        <w:rPr>
          <w:rFonts w:hint="eastAsia" w:ascii="仿宋" w:hAnsi="仿宋" w:eastAsia="仿宋" w:cs="仿宋"/>
          <w:color w:val="000000"/>
          <w:kern w:val="0"/>
          <w:sz w:val="24"/>
          <w:highlight w:val="none"/>
          <w:lang w:val="en-US" w:eastAsia="zh-CN"/>
        </w:rPr>
        <w:t>0</w:t>
      </w:r>
      <w:r>
        <w:rPr>
          <w:rFonts w:hint="eastAsia" w:ascii="仿宋" w:hAnsi="仿宋" w:eastAsia="仿宋" w:cs="仿宋"/>
          <w:color w:val="000000"/>
          <w:kern w:val="0"/>
          <w:sz w:val="24"/>
          <w:highlight w:val="none"/>
        </w:rPr>
        <w:t>.4.1</w:t>
      </w:r>
      <w:r>
        <w:rPr>
          <w:rFonts w:hint="eastAsia" w:ascii="仿宋" w:hAnsi="仿宋" w:eastAsia="仿宋" w:cs="仿宋"/>
          <w:color w:val="000000"/>
          <w:kern w:val="0"/>
          <w:sz w:val="24"/>
          <w:highlight w:val="none"/>
          <w:lang w:val="en-US" w:eastAsia="zh-CN"/>
        </w:rPr>
        <w:t>项目</w:t>
      </w:r>
      <w:r>
        <w:rPr>
          <w:rFonts w:hint="eastAsia" w:ascii="仿宋" w:hAnsi="仿宋" w:eastAsia="仿宋" w:cs="仿宋"/>
          <w:color w:val="000000"/>
          <w:kern w:val="0"/>
          <w:sz w:val="24"/>
          <w:highlight w:val="none"/>
        </w:rPr>
        <w:t>方案等（格式自拟）；</w:t>
      </w:r>
    </w:p>
    <w:p w14:paraId="23C2B1C8">
      <w:pPr>
        <w:spacing w:line="520" w:lineRule="exact"/>
        <w:ind w:firstLine="480"/>
        <w:rPr>
          <w:rFonts w:hint="eastAsia" w:ascii="仿宋" w:hAnsi="仿宋" w:eastAsia="仿宋" w:cs="仿宋"/>
          <w:color w:val="0000FF"/>
          <w:kern w:val="0"/>
          <w:sz w:val="24"/>
          <w:highlight w:val="none"/>
          <w:lang w:eastAsia="zh-CN"/>
        </w:rPr>
      </w:pPr>
      <w:r>
        <w:rPr>
          <w:rFonts w:hint="eastAsia" w:ascii="仿宋" w:hAnsi="仿宋" w:eastAsia="仿宋" w:cs="仿宋"/>
          <w:color w:val="000000"/>
          <w:kern w:val="0"/>
          <w:sz w:val="24"/>
          <w:highlight w:val="none"/>
        </w:rPr>
        <w:t>1</w:t>
      </w:r>
      <w:r>
        <w:rPr>
          <w:rFonts w:hint="eastAsia" w:ascii="仿宋" w:hAnsi="仿宋" w:eastAsia="仿宋" w:cs="仿宋"/>
          <w:color w:val="000000"/>
          <w:kern w:val="0"/>
          <w:sz w:val="24"/>
          <w:highlight w:val="none"/>
          <w:lang w:val="en-US" w:eastAsia="zh-CN"/>
        </w:rPr>
        <w:t>0</w:t>
      </w:r>
      <w:r>
        <w:rPr>
          <w:rFonts w:hint="eastAsia" w:ascii="仿宋" w:hAnsi="仿宋" w:eastAsia="仿宋" w:cs="仿宋"/>
          <w:color w:val="000000"/>
          <w:kern w:val="0"/>
          <w:sz w:val="24"/>
          <w:highlight w:val="none"/>
        </w:rPr>
        <w:t>.4.3技术响应偏离表</w:t>
      </w:r>
      <w:r>
        <w:rPr>
          <w:rFonts w:hint="eastAsia" w:ascii="仿宋" w:hAnsi="仿宋" w:eastAsia="仿宋" w:cs="仿宋"/>
          <w:color w:val="000000"/>
          <w:kern w:val="0"/>
          <w:sz w:val="24"/>
          <w:highlight w:val="none"/>
          <w:lang w:eastAsia="zh-CN"/>
        </w:rPr>
        <w:t>；</w:t>
      </w:r>
    </w:p>
    <w:p w14:paraId="2100028A">
      <w:pPr>
        <w:spacing w:line="520" w:lineRule="exact"/>
        <w:ind w:firstLine="480"/>
        <w:rPr>
          <w:rFonts w:hint="default" w:ascii="仿宋" w:hAnsi="仿宋" w:eastAsia="仿宋" w:cs="仿宋"/>
          <w:color w:val="0000FF"/>
          <w:kern w:val="0"/>
          <w:sz w:val="24"/>
          <w:highlight w:val="none"/>
        </w:rPr>
      </w:pPr>
      <w:r>
        <w:rPr>
          <w:rFonts w:hint="eastAsia" w:ascii="仿宋" w:hAnsi="仿宋" w:eastAsia="仿宋" w:cs="仿宋"/>
          <w:color w:val="000000"/>
          <w:kern w:val="0"/>
          <w:sz w:val="24"/>
          <w:highlight w:val="none"/>
        </w:rPr>
        <w:t>1</w:t>
      </w:r>
      <w:r>
        <w:rPr>
          <w:rFonts w:hint="eastAsia" w:ascii="仿宋" w:hAnsi="仿宋" w:eastAsia="仿宋" w:cs="仿宋"/>
          <w:color w:val="000000"/>
          <w:kern w:val="0"/>
          <w:sz w:val="24"/>
          <w:highlight w:val="none"/>
          <w:lang w:val="en-US" w:eastAsia="zh-CN"/>
        </w:rPr>
        <w:t>0</w:t>
      </w:r>
      <w:r>
        <w:rPr>
          <w:rFonts w:hint="eastAsia" w:ascii="仿宋" w:hAnsi="仿宋" w:eastAsia="仿宋" w:cs="仿宋"/>
          <w:color w:val="000000"/>
          <w:kern w:val="0"/>
          <w:sz w:val="24"/>
          <w:highlight w:val="none"/>
        </w:rPr>
        <w:t>.4.</w:t>
      </w:r>
      <w:r>
        <w:rPr>
          <w:rFonts w:hint="eastAsia" w:ascii="仿宋" w:hAnsi="仿宋" w:eastAsia="仿宋" w:cs="仿宋"/>
          <w:color w:val="000000"/>
          <w:kern w:val="0"/>
          <w:sz w:val="24"/>
          <w:highlight w:val="none"/>
          <w:lang w:val="en-US" w:eastAsia="zh-CN"/>
        </w:rPr>
        <w:t>4其他技术文件。</w:t>
      </w:r>
    </w:p>
    <w:bookmarkEnd w:id="23"/>
    <w:p w14:paraId="19FC235E">
      <w:pPr>
        <w:spacing w:line="520" w:lineRule="exact"/>
        <w:ind w:firstLine="480"/>
        <w:rPr>
          <w:rFonts w:hint="default" w:ascii="仿宋" w:hAnsi="仿宋" w:eastAsia="仿宋" w:cs="仿宋"/>
          <w:color w:val="000000"/>
          <w:kern w:val="0"/>
          <w:sz w:val="24"/>
          <w:highlight w:val="none"/>
        </w:rPr>
      </w:pPr>
      <w:r>
        <w:rPr>
          <w:rFonts w:hint="eastAsia" w:ascii="仿宋" w:hAnsi="仿宋" w:eastAsia="仿宋" w:cs="仿宋"/>
          <w:color w:val="000000"/>
          <w:kern w:val="0"/>
          <w:sz w:val="24"/>
          <w:highlight w:val="none"/>
        </w:rPr>
        <w:t>1</w:t>
      </w:r>
      <w:r>
        <w:rPr>
          <w:rFonts w:hint="eastAsia" w:ascii="仿宋" w:hAnsi="仿宋" w:eastAsia="仿宋" w:cs="仿宋"/>
          <w:color w:val="000000"/>
          <w:kern w:val="0"/>
          <w:sz w:val="24"/>
          <w:highlight w:val="none"/>
          <w:lang w:val="en-US" w:eastAsia="zh-CN"/>
        </w:rPr>
        <w:t>0</w:t>
      </w:r>
      <w:r>
        <w:rPr>
          <w:rFonts w:hint="eastAsia" w:ascii="仿宋" w:hAnsi="仿宋" w:eastAsia="仿宋" w:cs="仿宋"/>
          <w:color w:val="000000"/>
          <w:kern w:val="0"/>
          <w:sz w:val="24"/>
          <w:highlight w:val="none"/>
        </w:rPr>
        <w:t>.5商务文件</w:t>
      </w:r>
    </w:p>
    <w:p w14:paraId="326E223C">
      <w:pPr>
        <w:spacing w:line="520" w:lineRule="exact"/>
        <w:ind w:firstLine="480"/>
        <w:rPr>
          <w:rFonts w:hint="eastAsia" w:ascii="仿宋" w:hAnsi="仿宋" w:eastAsia="仿宋" w:cs="仿宋"/>
          <w:color w:val="000000"/>
          <w:kern w:val="0"/>
          <w:sz w:val="24"/>
          <w:highlight w:val="none"/>
          <w:lang w:val="en-US" w:eastAsia="zh-CN"/>
        </w:rPr>
      </w:pPr>
      <w:bookmarkStart w:id="24" w:name="EBdc2c24f6358343e896cd43bd6621a619"/>
      <w:r>
        <w:rPr>
          <w:rFonts w:hint="eastAsia" w:ascii="仿宋" w:hAnsi="仿宋" w:eastAsia="仿宋" w:cs="仿宋"/>
          <w:color w:val="000000"/>
          <w:kern w:val="0"/>
          <w:sz w:val="24"/>
          <w:highlight w:val="none"/>
          <w:lang w:val="en-US" w:eastAsia="zh-CN"/>
        </w:rPr>
        <w:t>10.5.1业绩一览表。</w:t>
      </w:r>
    </w:p>
    <w:p w14:paraId="0948D4BE">
      <w:pPr>
        <w:spacing w:line="520" w:lineRule="exact"/>
        <w:ind w:firstLine="480"/>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1</w:t>
      </w:r>
      <w:r>
        <w:rPr>
          <w:rFonts w:hint="eastAsia" w:ascii="仿宋" w:hAnsi="仿宋" w:eastAsia="仿宋" w:cs="仿宋"/>
          <w:color w:val="000000"/>
          <w:kern w:val="0"/>
          <w:sz w:val="24"/>
          <w:highlight w:val="none"/>
          <w:lang w:val="en-US" w:eastAsia="zh-CN"/>
        </w:rPr>
        <w:t>0</w:t>
      </w:r>
      <w:r>
        <w:rPr>
          <w:rFonts w:hint="eastAsia" w:ascii="仿宋" w:hAnsi="仿宋" w:eastAsia="仿宋" w:cs="仿宋"/>
          <w:color w:val="000000"/>
          <w:kern w:val="0"/>
          <w:sz w:val="24"/>
          <w:highlight w:val="none"/>
        </w:rPr>
        <w:t>.5.</w:t>
      </w:r>
      <w:r>
        <w:rPr>
          <w:rFonts w:hint="eastAsia" w:ascii="仿宋" w:hAnsi="仿宋" w:eastAsia="仿宋" w:cs="仿宋"/>
          <w:color w:val="000000"/>
          <w:kern w:val="0"/>
          <w:sz w:val="24"/>
          <w:highlight w:val="none"/>
          <w:lang w:val="en-US" w:eastAsia="zh-CN"/>
        </w:rPr>
        <w:t>2</w:t>
      </w:r>
      <w:r>
        <w:rPr>
          <w:rFonts w:hint="eastAsia" w:ascii="仿宋" w:hAnsi="仿宋" w:eastAsia="仿宋" w:cs="仿宋"/>
          <w:color w:val="000000"/>
          <w:kern w:val="0"/>
          <w:sz w:val="24"/>
          <w:highlight w:val="none"/>
        </w:rPr>
        <w:t>商务响应偏离表</w:t>
      </w:r>
      <w:r>
        <w:rPr>
          <w:rFonts w:hint="eastAsia" w:ascii="仿宋" w:hAnsi="仿宋" w:eastAsia="仿宋" w:cs="仿宋"/>
          <w:color w:val="000000"/>
          <w:kern w:val="0"/>
          <w:sz w:val="24"/>
          <w:highlight w:val="none"/>
          <w:lang w:eastAsia="zh-CN"/>
        </w:rPr>
        <w:t>；</w:t>
      </w:r>
    </w:p>
    <w:p w14:paraId="7DC3CAFE">
      <w:pPr>
        <w:spacing w:line="520" w:lineRule="exact"/>
        <w:ind w:firstLine="480"/>
        <w:rPr>
          <w:rFonts w:hint="default" w:ascii="仿宋" w:hAnsi="仿宋" w:eastAsia="仿宋" w:cs="仿宋"/>
          <w:color w:val="000000"/>
          <w:kern w:val="0"/>
          <w:sz w:val="24"/>
          <w:highlight w:val="none"/>
        </w:rPr>
      </w:pPr>
      <w:r>
        <w:rPr>
          <w:rFonts w:hint="eastAsia" w:ascii="仿宋" w:hAnsi="仿宋" w:eastAsia="仿宋" w:cs="仿宋"/>
          <w:color w:val="000000"/>
          <w:kern w:val="0"/>
          <w:sz w:val="24"/>
          <w:highlight w:val="none"/>
        </w:rPr>
        <w:t>1</w:t>
      </w:r>
      <w:r>
        <w:rPr>
          <w:rFonts w:hint="eastAsia" w:ascii="仿宋" w:hAnsi="仿宋" w:eastAsia="仿宋" w:cs="仿宋"/>
          <w:color w:val="000000"/>
          <w:kern w:val="0"/>
          <w:sz w:val="24"/>
          <w:highlight w:val="none"/>
          <w:lang w:val="en-US" w:eastAsia="zh-CN"/>
        </w:rPr>
        <w:t>0</w:t>
      </w:r>
      <w:r>
        <w:rPr>
          <w:rFonts w:hint="eastAsia" w:ascii="仿宋" w:hAnsi="仿宋" w:eastAsia="仿宋" w:cs="仿宋"/>
          <w:color w:val="000000"/>
          <w:kern w:val="0"/>
          <w:sz w:val="24"/>
          <w:highlight w:val="none"/>
        </w:rPr>
        <w:t>.5.</w:t>
      </w:r>
      <w:r>
        <w:rPr>
          <w:rFonts w:hint="eastAsia" w:ascii="仿宋" w:hAnsi="仿宋" w:eastAsia="仿宋" w:cs="仿宋"/>
          <w:color w:val="000000"/>
          <w:kern w:val="0"/>
          <w:sz w:val="24"/>
          <w:highlight w:val="none"/>
          <w:lang w:val="en-US" w:eastAsia="zh-CN"/>
        </w:rPr>
        <w:t>3</w:t>
      </w:r>
      <w:r>
        <w:rPr>
          <w:rFonts w:hint="eastAsia" w:ascii="仿宋" w:hAnsi="仿宋" w:eastAsia="仿宋" w:cs="仿宋"/>
          <w:color w:val="000000"/>
          <w:kern w:val="0"/>
          <w:sz w:val="24"/>
          <w:highlight w:val="none"/>
        </w:rPr>
        <w:t>其他商务文件。</w:t>
      </w:r>
      <w:bookmarkEnd w:id="24"/>
    </w:p>
    <w:p w14:paraId="79701E5F">
      <w:pPr>
        <w:spacing w:line="520" w:lineRule="exact"/>
        <w:ind w:firstLine="480"/>
        <w:rPr>
          <w:rFonts w:hint="default" w:ascii="仿宋" w:hAnsi="仿宋" w:eastAsia="仿宋" w:cs="仿宋"/>
          <w:color w:val="000000"/>
          <w:kern w:val="0"/>
          <w:sz w:val="24"/>
          <w:highlight w:val="yellow"/>
        </w:rPr>
      </w:pPr>
      <w:r>
        <w:rPr>
          <w:rFonts w:hint="eastAsia" w:ascii="仿宋" w:hAnsi="仿宋" w:eastAsia="仿宋" w:cs="仿宋"/>
          <w:color w:val="000000"/>
          <w:kern w:val="0"/>
          <w:sz w:val="24"/>
          <w:highlight w:val="none"/>
        </w:rPr>
        <w:t>1</w:t>
      </w:r>
      <w:r>
        <w:rPr>
          <w:rFonts w:hint="eastAsia" w:ascii="仿宋" w:hAnsi="仿宋" w:eastAsia="仿宋" w:cs="仿宋"/>
          <w:color w:val="000000"/>
          <w:kern w:val="0"/>
          <w:sz w:val="24"/>
          <w:highlight w:val="none"/>
          <w:lang w:val="en-US" w:eastAsia="zh-CN"/>
        </w:rPr>
        <w:t>0</w:t>
      </w:r>
      <w:r>
        <w:rPr>
          <w:rFonts w:hint="eastAsia" w:ascii="仿宋" w:hAnsi="仿宋" w:eastAsia="仿宋" w:cs="仿宋"/>
          <w:color w:val="000000"/>
          <w:kern w:val="0"/>
          <w:sz w:val="24"/>
          <w:highlight w:val="none"/>
        </w:rPr>
        <w:t>.</w:t>
      </w:r>
      <w:r>
        <w:rPr>
          <w:rFonts w:hint="eastAsia" w:ascii="仿宋" w:hAnsi="仿宋" w:eastAsia="仿宋" w:cs="仿宋"/>
          <w:color w:val="000000"/>
          <w:kern w:val="0"/>
          <w:sz w:val="24"/>
          <w:highlight w:val="none"/>
          <w:lang w:val="en-US" w:eastAsia="zh-CN"/>
        </w:rPr>
        <w:t>6</w:t>
      </w:r>
      <w:r>
        <w:rPr>
          <w:rFonts w:hint="eastAsia" w:ascii="仿宋" w:hAnsi="仿宋" w:eastAsia="仿宋" w:cs="仿宋"/>
          <w:color w:val="000000"/>
          <w:kern w:val="0"/>
          <w:sz w:val="24"/>
          <w:highlight w:val="none"/>
          <w:lang w:eastAsia="zh-CN"/>
        </w:rPr>
        <w:t>投标人</w:t>
      </w:r>
      <w:r>
        <w:rPr>
          <w:rFonts w:hint="eastAsia" w:ascii="仿宋" w:hAnsi="仿宋" w:eastAsia="仿宋" w:cs="仿宋"/>
          <w:color w:val="000000"/>
          <w:kern w:val="0"/>
          <w:sz w:val="24"/>
          <w:highlight w:val="none"/>
        </w:rPr>
        <w:t>认为有必要提供的</w:t>
      </w:r>
      <w:r>
        <w:rPr>
          <w:rFonts w:hint="eastAsia" w:ascii="仿宋" w:hAnsi="仿宋" w:eastAsia="仿宋" w:cs="仿宋"/>
          <w:color w:val="000000"/>
          <w:kern w:val="0"/>
          <w:sz w:val="24"/>
          <w:highlight w:val="none"/>
          <w:lang w:eastAsia="zh-CN"/>
        </w:rPr>
        <w:t>其他</w:t>
      </w:r>
      <w:r>
        <w:rPr>
          <w:rFonts w:hint="eastAsia" w:ascii="仿宋" w:hAnsi="仿宋" w:eastAsia="仿宋" w:cs="仿宋"/>
          <w:color w:val="000000"/>
          <w:kern w:val="0"/>
          <w:sz w:val="24"/>
          <w:highlight w:val="none"/>
        </w:rPr>
        <w:t>材料。</w:t>
      </w:r>
    </w:p>
    <w:p w14:paraId="0B94F629">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lang w:val="en-US" w:eastAsia="zh-CN"/>
        </w:rPr>
        <w:t>11</w:t>
      </w:r>
      <w:r>
        <w:rPr>
          <w:rFonts w:hint="eastAsia" w:ascii="仿宋" w:hAnsi="仿宋" w:eastAsia="仿宋" w:cs="仿宋"/>
          <w:b/>
          <w:color w:val="auto"/>
          <w:highlight w:val="none"/>
        </w:rPr>
        <w:t>.编制投标文件应注意的事项</w:t>
      </w:r>
    </w:p>
    <w:p w14:paraId="455294B8">
      <w:pPr>
        <w:spacing w:line="520" w:lineRule="exact"/>
        <w:ind w:firstLine="482"/>
        <w:rPr>
          <w:rFonts w:ascii="仿宋" w:hAnsi="仿宋" w:eastAsia="仿宋" w:cs="仿宋"/>
          <w:b/>
          <w:bCs/>
          <w:color w:val="auto"/>
          <w:highlight w:val="none"/>
        </w:rPr>
      </w:pPr>
      <w:r>
        <w:rPr>
          <w:rFonts w:hint="eastAsia" w:ascii="仿宋" w:hAnsi="仿宋" w:eastAsia="仿宋" w:cs="仿宋"/>
          <w:b/>
          <w:bCs/>
          <w:color w:val="auto"/>
          <w:highlight w:val="none"/>
        </w:rPr>
        <w:t>（1）投标文件构成资料为非中文时应提供中文译版，否则评标委员会可以视为未提供；</w:t>
      </w:r>
    </w:p>
    <w:p w14:paraId="05869532">
      <w:pPr>
        <w:spacing w:line="520" w:lineRule="exact"/>
        <w:ind w:firstLine="482"/>
        <w:rPr>
          <w:rFonts w:ascii="仿宋" w:hAnsi="仿宋" w:eastAsia="仿宋" w:cs="仿宋"/>
          <w:b/>
          <w:bCs/>
          <w:color w:val="auto"/>
          <w:highlight w:val="none"/>
        </w:rPr>
      </w:pPr>
      <w:r>
        <w:rPr>
          <w:rFonts w:hint="eastAsia" w:ascii="仿宋" w:hAnsi="仿宋" w:eastAsia="仿宋" w:cs="仿宋"/>
          <w:b/>
          <w:bCs/>
          <w:color w:val="auto"/>
          <w:highlight w:val="none"/>
        </w:rPr>
        <w:t>（2）招标文件要求提供证书证件等复印件的，</w:t>
      </w:r>
      <w:r>
        <w:rPr>
          <w:rFonts w:hint="eastAsia" w:ascii="仿宋" w:hAnsi="仿宋" w:eastAsia="仿宋" w:cs="仿宋"/>
          <w:b/>
          <w:bCs/>
          <w:color w:val="auto"/>
          <w:highlight w:val="none"/>
          <w:lang w:eastAsia="zh-CN"/>
        </w:rPr>
        <w:t>投标人</w:t>
      </w:r>
      <w:r>
        <w:rPr>
          <w:rFonts w:hint="eastAsia" w:ascii="仿宋" w:hAnsi="仿宋" w:eastAsia="仿宋" w:cs="仿宋"/>
          <w:b/>
          <w:bCs/>
          <w:color w:val="auto"/>
          <w:highlight w:val="none"/>
        </w:rPr>
        <w:t>提供的应是与原件保持一致的清晰复印件，复印件内容无法辨析的，评标委员会可以视其未提供。</w:t>
      </w:r>
    </w:p>
    <w:p w14:paraId="1EFBD215">
      <w:pPr>
        <w:spacing w:line="520" w:lineRule="exact"/>
        <w:ind w:firstLine="482"/>
        <w:rPr>
          <w:rFonts w:ascii="仿宋" w:hAnsi="仿宋" w:eastAsia="仿宋" w:cs="仿宋"/>
          <w:b/>
          <w:bCs/>
          <w:color w:val="auto"/>
          <w:highlight w:val="none"/>
        </w:rPr>
      </w:pPr>
      <w:r>
        <w:rPr>
          <w:rFonts w:hint="eastAsia" w:ascii="仿宋" w:hAnsi="仿宋" w:eastAsia="仿宋" w:cs="仿宋"/>
          <w:b/>
          <w:bCs/>
          <w:color w:val="auto"/>
          <w:highlight w:val="none"/>
        </w:rPr>
        <w:t>（3）无论何种原因，即使</w:t>
      </w:r>
      <w:r>
        <w:rPr>
          <w:rFonts w:hint="eastAsia" w:ascii="仿宋" w:hAnsi="仿宋" w:eastAsia="仿宋" w:cs="仿宋"/>
          <w:b/>
          <w:bCs/>
          <w:color w:val="auto"/>
          <w:highlight w:val="none"/>
          <w:lang w:eastAsia="zh-CN"/>
        </w:rPr>
        <w:t>投标人</w:t>
      </w:r>
      <w:r>
        <w:rPr>
          <w:rFonts w:hint="eastAsia" w:ascii="仿宋" w:hAnsi="仿宋" w:eastAsia="仿宋" w:cs="仿宋"/>
          <w:b/>
          <w:bCs/>
          <w:color w:val="auto"/>
          <w:highlight w:val="none"/>
        </w:rPr>
        <w:t>携带了证书证明资料的原件，但投标文件中未包含相关资料的，评标委员会可以视同其未提供。</w:t>
      </w:r>
    </w:p>
    <w:p w14:paraId="06AE530B">
      <w:pPr>
        <w:spacing w:line="520" w:lineRule="exact"/>
        <w:ind w:firstLine="482"/>
        <w:rPr>
          <w:rFonts w:hint="eastAsia" w:ascii="仿宋" w:hAnsi="仿宋" w:eastAsia="仿宋" w:cs="仿宋"/>
          <w:b/>
          <w:bCs/>
          <w:color w:val="auto"/>
          <w:highlight w:val="none"/>
        </w:rPr>
      </w:pPr>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投标人</w:t>
      </w:r>
      <w:r>
        <w:rPr>
          <w:rFonts w:hint="eastAsia" w:ascii="仿宋" w:hAnsi="仿宋" w:eastAsia="仿宋" w:cs="仿宋"/>
          <w:b/>
          <w:bCs/>
          <w:color w:val="auto"/>
          <w:highlight w:val="none"/>
        </w:rPr>
        <w:t>递交的投标文件，所有内容均应真实有效；</w:t>
      </w:r>
      <w:r>
        <w:rPr>
          <w:rFonts w:hint="eastAsia" w:ascii="仿宋" w:hAnsi="仿宋" w:eastAsia="仿宋" w:cs="仿宋"/>
          <w:b/>
          <w:bCs/>
          <w:color w:val="auto"/>
          <w:highlight w:val="none"/>
          <w:lang w:eastAsia="zh-CN"/>
        </w:rPr>
        <w:t>投标人</w:t>
      </w:r>
      <w:r>
        <w:rPr>
          <w:rFonts w:hint="eastAsia" w:ascii="仿宋" w:hAnsi="仿宋" w:eastAsia="仿宋" w:cs="仿宋"/>
          <w:b/>
          <w:bCs/>
          <w:color w:val="auto"/>
          <w:highlight w:val="none"/>
        </w:rPr>
        <w:t>所提供的产品或服务，必须满足国家相关强制性规定要求（如CCC认证、计量器具生产许可证、医疗器械注册证、电器电子产品有害物质限制使用标识等）；一旦成为中标/成交候选人后，由于因</w:t>
      </w:r>
      <w:r>
        <w:rPr>
          <w:rFonts w:hint="eastAsia" w:ascii="仿宋" w:hAnsi="仿宋" w:eastAsia="仿宋" w:cs="仿宋"/>
          <w:b/>
          <w:bCs/>
          <w:color w:val="auto"/>
          <w:highlight w:val="none"/>
          <w:lang w:eastAsia="zh-CN"/>
        </w:rPr>
        <w:t>投标人</w:t>
      </w:r>
      <w:r>
        <w:rPr>
          <w:rFonts w:hint="eastAsia" w:ascii="仿宋" w:hAnsi="仿宋" w:eastAsia="仿宋" w:cs="仿宋"/>
          <w:b/>
          <w:bCs/>
          <w:color w:val="auto"/>
          <w:highlight w:val="none"/>
        </w:rPr>
        <w:t>违反国家相关强制性规定或弄虚作假，而给采购人造成损失，一切责任和后果均由</w:t>
      </w:r>
      <w:r>
        <w:rPr>
          <w:rFonts w:hint="eastAsia" w:ascii="仿宋" w:hAnsi="仿宋" w:eastAsia="仿宋" w:cs="仿宋"/>
          <w:b/>
          <w:bCs/>
          <w:color w:val="auto"/>
          <w:highlight w:val="none"/>
          <w:lang w:eastAsia="zh-CN"/>
        </w:rPr>
        <w:t>投标人</w:t>
      </w:r>
      <w:r>
        <w:rPr>
          <w:rFonts w:hint="eastAsia" w:ascii="仿宋" w:hAnsi="仿宋" w:eastAsia="仿宋" w:cs="仿宋"/>
          <w:b/>
          <w:bCs/>
          <w:color w:val="auto"/>
          <w:highlight w:val="none"/>
        </w:rPr>
        <w:t>承担。</w:t>
      </w:r>
    </w:p>
    <w:p w14:paraId="6C82FBB7">
      <w:pPr>
        <w:spacing w:line="520" w:lineRule="exact"/>
        <w:ind w:firstLine="482"/>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12.</w:t>
      </w:r>
      <w:r>
        <w:rPr>
          <w:rFonts w:hint="eastAsia" w:ascii="仿宋" w:hAnsi="仿宋" w:eastAsia="仿宋" w:cs="仿宋"/>
          <w:b/>
          <w:bCs/>
          <w:color w:val="auto"/>
          <w:highlight w:val="none"/>
          <w:lang w:eastAsia="zh-CN"/>
        </w:rPr>
        <w:t>在</w:t>
      </w:r>
      <w:r>
        <w:rPr>
          <w:rFonts w:hint="eastAsia" w:ascii="仿宋" w:hAnsi="仿宋" w:eastAsia="仿宋" w:cs="仿宋"/>
          <w:b/>
          <w:bCs/>
          <w:color w:val="auto"/>
          <w:highlight w:val="none"/>
        </w:rPr>
        <w:t>进行资格审查时，将在“信用中国”网站查询</w:t>
      </w:r>
      <w:r>
        <w:rPr>
          <w:rFonts w:hint="eastAsia" w:ascii="仿宋" w:hAnsi="仿宋" w:eastAsia="仿宋" w:cs="仿宋"/>
          <w:b/>
          <w:bCs/>
          <w:color w:val="auto"/>
          <w:highlight w:val="none"/>
          <w:lang w:val="en-US" w:eastAsia="zh-CN"/>
        </w:rPr>
        <w:t>投标人</w:t>
      </w:r>
      <w:r>
        <w:rPr>
          <w:rFonts w:hint="eastAsia" w:ascii="仿宋" w:hAnsi="仿宋" w:eastAsia="仿宋" w:cs="仿宋"/>
          <w:b/>
          <w:bCs/>
          <w:color w:val="auto"/>
          <w:highlight w:val="none"/>
        </w:rPr>
        <w:t>的信用记录</w:t>
      </w:r>
      <w:r>
        <w:rPr>
          <w:rFonts w:hint="eastAsia" w:ascii="仿宋" w:hAnsi="仿宋" w:eastAsia="仿宋" w:cs="仿宋"/>
          <w:b/>
          <w:bCs/>
          <w:color w:val="auto"/>
          <w:highlight w:val="none"/>
          <w:lang w:val="en-US" w:eastAsia="zh-CN"/>
        </w:rPr>
        <w:t>并以现场查询结果为准</w:t>
      </w:r>
      <w:r>
        <w:rPr>
          <w:rFonts w:hint="eastAsia" w:ascii="仿宋" w:hAnsi="仿宋" w:eastAsia="仿宋" w:cs="仿宋"/>
          <w:b/>
          <w:bCs/>
          <w:color w:val="auto"/>
          <w:highlight w:val="none"/>
        </w:rPr>
        <w:t>。</w:t>
      </w:r>
    </w:p>
    <w:p w14:paraId="7577A3BA">
      <w:pPr>
        <w:spacing w:line="520" w:lineRule="exact"/>
        <w:ind w:firstLine="482"/>
        <w:rPr>
          <w:rFonts w:hint="eastAsia" w:ascii="仿宋" w:hAnsi="仿宋" w:eastAsia="仿宋" w:cs="仿宋"/>
          <w:b/>
          <w:color w:val="auto"/>
          <w:highlight w:val="none"/>
        </w:rPr>
      </w:pPr>
      <w:r>
        <w:rPr>
          <w:rFonts w:hint="eastAsia" w:ascii="仿宋" w:hAnsi="仿宋" w:eastAsia="仿宋" w:cs="仿宋"/>
          <w:b/>
          <w:color w:val="auto"/>
          <w:highlight w:val="none"/>
        </w:rPr>
        <w:t>13.投标报价</w:t>
      </w:r>
    </w:p>
    <w:p w14:paraId="4031A6BE">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13.1报价为一次报价。</w:t>
      </w:r>
    </w:p>
    <w:p w14:paraId="08B6A587">
      <w:pPr>
        <w:spacing w:line="520" w:lineRule="exact"/>
        <w:ind w:firstLine="480"/>
        <w:rPr>
          <w:rFonts w:ascii="仿宋" w:hAnsi="仿宋" w:eastAsia="仿宋" w:cs="仿宋"/>
          <w:i/>
          <w:iCs/>
          <w:color w:val="auto"/>
          <w:highlight w:val="none"/>
          <w:u w:val="single"/>
          <w:shd w:val="clear" w:color="auto" w:fill="FFC000"/>
        </w:rPr>
      </w:pPr>
      <w:r>
        <w:rPr>
          <w:rFonts w:hint="eastAsia" w:ascii="仿宋" w:hAnsi="仿宋" w:eastAsia="仿宋" w:cs="仿宋"/>
          <w:i/>
          <w:iCs/>
          <w:color w:val="auto"/>
          <w:highlight w:val="none"/>
          <w:u w:val="single"/>
        </w:rPr>
        <w:t>13.2本项目不接受备选的投标方案或有选择的报价，只允许有一个报价。投标报价内容包括</w:t>
      </w:r>
      <w:bookmarkStart w:id="25" w:name="EB54dd097a55df4796bd5f9b6bdf2ddc40"/>
      <w:r>
        <w:rPr>
          <w:rFonts w:hint="eastAsia" w:ascii="仿宋" w:hAnsi="仿宋" w:eastAsia="仿宋" w:cs="仿宋"/>
          <w:i/>
          <w:iCs/>
          <w:color w:val="auto"/>
          <w:highlight w:val="none"/>
          <w:u w:val="single"/>
        </w:rPr>
        <w:t>招标文件中</w:t>
      </w:r>
      <w:r>
        <w:rPr>
          <w:rFonts w:hint="eastAsia" w:ascii="仿宋" w:hAnsi="仿宋" w:eastAsia="仿宋" w:cs="仿宋"/>
          <w:i/>
          <w:iCs/>
          <w:color w:val="auto"/>
          <w:highlight w:val="none"/>
          <w:u w:val="single"/>
          <w:lang w:eastAsia="zh-CN"/>
        </w:rPr>
        <w:t>涉及</w:t>
      </w:r>
      <w:r>
        <w:rPr>
          <w:rFonts w:hint="eastAsia" w:ascii="仿宋" w:hAnsi="仿宋" w:eastAsia="仿宋" w:cs="仿宋"/>
          <w:i/>
          <w:iCs/>
          <w:color w:val="auto"/>
          <w:highlight w:val="none"/>
          <w:u w:val="single"/>
        </w:rPr>
        <w:t>的其他一切费用。</w:t>
      </w:r>
      <w:bookmarkEnd w:id="25"/>
    </w:p>
    <w:p w14:paraId="2F4DAF2D">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13.3报价注意事项：</w:t>
      </w:r>
    </w:p>
    <w:p w14:paraId="0C03BD3A">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13.3.1价格一律以人民币计算，以元为单位标准；</w:t>
      </w:r>
    </w:p>
    <w:p w14:paraId="2172888C">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13.3.2</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报价时应充分考虑所有可能影响到报价的因素，一旦评标结束最终中标，任何情况都将被认为是中标人的报价让利行为，损失自负。</w:t>
      </w:r>
    </w:p>
    <w:p w14:paraId="57EF5437">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13.3.3报价应包含本次招标标的有关的所有费用，包括但不限于技术资料、支付给员工的工资和国家强制缴纳的各种社会保障资金，以及</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认为需要的其他费用等。</w:t>
      </w:r>
    </w:p>
    <w:p w14:paraId="4B6F46CC">
      <w:pPr>
        <w:spacing w:line="520" w:lineRule="exact"/>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13.3.4</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的任何错漏、优惠、竞争性报价不得作为减轻责任、减少服务、增加收费、降低质量的理由。</w:t>
      </w:r>
    </w:p>
    <w:p w14:paraId="02CC894E">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13.3.5</w:t>
      </w:r>
      <w:r>
        <w:rPr>
          <w:rFonts w:hint="eastAsia" w:ascii="仿宋" w:hAnsi="仿宋" w:eastAsia="仿宋" w:cs="仿宋"/>
          <w:color w:val="auto"/>
          <w:highlight w:val="none"/>
        </w:rPr>
        <w:t>招标文件未列明，而投标人认为履行本项目合同所必需的费用也需列入报价。</w:t>
      </w:r>
    </w:p>
    <w:p w14:paraId="7FAEFD59">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13.4本项目评审中出现下列情形之</w:t>
      </w:r>
      <w:r>
        <w:rPr>
          <w:rFonts w:hint="eastAsia" w:ascii="仿宋" w:hAnsi="仿宋" w:eastAsia="仿宋" w:cs="仿宋"/>
          <w:color w:val="auto"/>
          <w:highlight w:val="none"/>
          <w:lang w:val="en-US" w:eastAsia="zh-CN"/>
        </w:rPr>
        <w:t>一</w:t>
      </w:r>
      <w:r>
        <w:rPr>
          <w:rFonts w:hint="eastAsia" w:ascii="仿宋" w:hAnsi="仿宋" w:eastAsia="仿宋" w:cs="仿宋"/>
          <w:color w:val="auto"/>
          <w:highlight w:val="none"/>
        </w:rPr>
        <w:t>的，评标委员会应当启动异常低价投标（响应）审查程序：</w:t>
      </w:r>
    </w:p>
    <w:p w14:paraId="2B0E93AC">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13.4.1投标（响应）报价低于全部通过符合性审查供应商投标（响应）报价平均值50%的，即投标（响应）报价＜全部通过符合性审查供应商投标（响应）报价平均值×50%；</w:t>
      </w:r>
    </w:p>
    <w:p w14:paraId="4E5102A5">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13.4.2投标（响应）报价低于通过符合性审查的次低报价供应商投标（响应）报价50%的，即投标（响应）报价＜通过符合性审查的次低报价供应商投标（响应）报价×50%；</w:t>
      </w:r>
    </w:p>
    <w:p w14:paraId="31687DB1">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13.4.</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投标（响应）报价低于采购项目最高限价45%的，即投标（响应）报价＜采购项目最高限价×45%；</w:t>
      </w:r>
    </w:p>
    <w:p w14:paraId="0E559AFD">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13.4.</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评标委员会</w:t>
      </w:r>
      <w:r>
        <w:rPr>
          <w:rFonts w:hint="eastAsia" w:ascii="仿宋" w:hAnsi="仿宋" w:eastAsia="仿宋" w:cs="仿宋"/>
          <w:color w:val="auto"/>
          <w:highlight w:val="none"/>
        </w:rPr>
        <w:t>基于专业判断，认为供应商报价过低，有可能影响产品质量或者不能诚信履约的其他情形。</w:t>
      </w:r>
    </w:p>
    <w:p w14:paraId="69AC4FCF">
      <w:pPr>
        <w:spacing w:line="520" w:lineRule="exact"/>
        <w:ind w:firstLine="480"/>
        <w:rPr>
          <w:rFonts w:hint="eastAsia" w:ascii="仿宋" w:hAnsi="仿宋" w:eastAsia="仿宋" w:cs="仿宋"/>
          <w:b w:val="0"/>
          <w:color w:val="auto"/>
          <w:highlight w:val="none"/>
        </w:rPr>
      </w:pPr>
      <w:r>
        <w:rPr>
          <w:rFonts w:hint="eastAsia" w:ascii="仿宋" w:hAnsi="仿宋" w:eastAsia="仿宋" w:cs="仿宋"/>
          <w:b w:val="0"/>
          <w:color w:val="auto"/>
          <w:highlight w:val="none"/>
          <w:lang w:eastAsia="zh-CN"/>
        </w:rPr>
        <w:t>评标委员会</w:t>
      </w:r>
      <w:r>
        <w:rPr>
          <w:rFonts w:hint="eastAsia" w:ascii="仿宋" w:hAnsi="仿宋" w:eastAsia="仿宋" w:cs="仿宋"/>
          <w:b w:val="0"/>
          <w:color w:val="auto"/>
          <w:highlight w:val="none"/>
        </w:rPr>
        <w:t>启动异常低价投标（响应）审查后，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13.4.</w:t>
      </w:r>
      <w:r>
        <w:rPr>
          <w:rFonts w:hint="eastAsia" w:ascii="仿宋" w:hAnsi="仿宋" w:eastAsia="仿宋" w:cs="仿宋"/>
          <w:b w:val="0"/>
          <w:color w:val="auto"/>
          <w:highlight w:val="none"/>
          <w:lang w:val="en-US" w:eastAsia="zh-CN"/>
        </w:rPr>
        <w:t>3</w:t>
      </w:r>
      <w:r>
        <w:rPr>
          <w:rFonts w:hint="eastAsia" w:ascii="仿宋" w:hAnsi="仿宋" w:eastAsia="仿宋" w:cs="仿宋"/>
          <w:b w:val="0"/>
          <w:color w:val="auto"/>
          <w:highlight w:val="none"/>
        </w:rPr>
        <w:t>情形</w:t>
      </w:r>
      <w:r>
        <w:rPr>
          <w:rFonts w:hint="eastAsia" w:ascii="仿宋" w:hAnsi="仿宋" w:eastAsia="仿宋" w:cs="仿宋"/>
          <w:b w:val="0"/>
          <w:color w:val="auto"/>
          <w:highlight w:val="none"/>
          <w:lang w:val="en-US" w:eastAsia="zh-CN"/>
        </w:rPr>
        <w:t>的</w:t>
      </w:r>
      <w:r>
        <w:rPr>
          <w:rFonts w:hint="eastAsia" w:ascii="仿宋" w:hAnsi="仿宋" w:eastAsia="仿宋" w:cs="仿宋"/>
          <w:b w:val="0"/>
          <w:color w:val="auto"/>
          <w:highlight w:val="none"/>
        </w:rPr>
        <w:t>，供应商已随投标（响应）文件一并提交相关书面说明及必要的证明材料的，在评审现场可不再重复提交。</w:t>
      </w:r>
    </w:p>
    <w:p w14:paraId="14C2E296">
      <w:pPr>
        <w:spacing w:line="520" w:lineRule="exact"/>
        <w:ind w:firstLine="480"/>
        <w:rPr>
          <w:rFonts w:hint="eastAsia" w:ascii="仿宋" w:hAnsi="仿宋" w:eastAsia="仿宋" w:cs="仿宋"/>
          <w:b w:val="0"/>
          <w:color w:val="auto"/>
          <w:highlight w:val="none"/>
        </w:rPr>
      </w:pPr>
      <w:r>
        <w:rPr>
          <w:rFonts w:hint="eastAsia" w:ascii="仿宋" w:hAnsi="仿宋" w:eastAsia="仿宋" w:cs="仿宋"/>
          <w:b w:val="0"/>
          <w:color w:val="auto"/>
          <w:highlight w:val="none"/>
          <w:lang w:eastAsia="zh-CN"/>
        </w:rPr>
        <w:t>评标委员会</w:t>
      </w:r>
      <w:r>
        <w:rPr>
          <w:rFonts w:hint="eastAsia" w:ascii="仿宋" w:hAnsi="仿宋" w:eastAsia="仿宋" w:cs="仿宋"/>
          <w:b w:val="0"/>
          <w:color w:val="auto"/>
          <w:highlight w:val="none"/>
        </w:rPr>
        <w:t>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w:t>
      </w:r>
      <w:r>
        <w:rPr>
          <w:rFonts w:hint="eastAsia" w:ascii="仿宋" w:hAnsi="仿宋" w:eastAsia="仿宋" w:cs="仿宋"/>
          <w:b w:val="0"/>
          <w:color w:val="auto"/>
          <w:highlight w:val="none"/>
          <w:lang w:eastAsia="zh-CN"/>
        </w:rPr>
        <w:t>评标委员会</w:t>
      </w:r>
      <w:r>
        <w:rPr>
          <w:rFonts w:hint="eastAsia" w:ascii="仿宋" w:hAnsi="仿宋" w:eastAsia="仿宋" w:cs="仿宋"/>
          <w:b w:val="0"/>
          <w:color w:val="auto"/>
          <w:highlight w:val="none"/>
        </w:rPr>
        <w:t>应当将其作为无效投标（响应）处理。</w:t>
      </w:r>
    </w:p>
    <w:p w14:paraId="6F023E6C">
      <w:pPr>
        <w:spacing w:line="520" w:lineRule="exact"/>
        <w:ind w:firstLine="480"/>
        <w:rPr>
          <w:rFonts w:hint="eastAsia" w:ascii="仿宋" w:hAnsi="仿宋" w:eastAsia="仿宋" w:cs="仿宋"/>
          <w:b w:val="0"/>
          <w:color w:val="auto"/>
          <w:highlight w:val="none"/>
        </w:rPr>
      </w:pPr>
      <w:r>
        <w:rPr>
          <w:rFonts w:hint="eastAsia" w:ascii="仿宋" w:hAnsi="仿宋" w:eastAsia="仿宋" w:cs="仿宋"/>
          <w:b w:val="0"/>
          <w:color w:val="auto"/>
          <w:highlight w:val="none"/>
        </w:rPr>
        <w:t>采购人、采购代理机构应当为</w:t>
      </w:r>
      <w:r>
        <w:rPr>
          <w:rFonts w:hint="eastAsia" w:ascii="仿宋" w:hAnsi="仿宋" w:eastAsia="仿宋" w:cs="仿宋"/>
          <w:b w:val="0"/>
          <w:color w:val="auto"/>
          <w:highlight w:val="none"/>
          <w:lang w:eastAsia="zh-CN"/>
        </w:rPr>
        <w:t>评标委员会</w:t>
      </w:r>
      <w:r>
        <w:rPr>
          <w:rFonts w:hint="eastAsia" w:ascii="仿宋" w:hAnsi="仿宋" w:eastAsia="仿宋" w:cs="仿宋"/>
          <w:b w:val="0"/>
          <w:color w:val="auto"/>
          <w:highlight w:val="none"/>
        </w:rPr>
        <w:t>在评审现场及时获取同类项目中标（成交）价格、类似产品市场价格水平、行业人工费用标准、国家有关部门指导行业协会发布的行业平均成本等相关信息资料提供便利。</w:t>
      </w:r>
      <w:r>
        <w:rPr>
          <w:rFonts w:hint="eastAsia" w:ascii="仿宋" w:hAnsi="仿宋" w:eastAsia="仿宋" w:cs="仿宋"/>
          <w:b w:val="0"/>
          <w:color w:val="auto"/>
          <w:highlight w:val="none"/>
          <w:lang w:eastAsia="zh-CN"/>
        </w:rPr>
        <w:t>评标委员会</w:t>
      </w:r>
      <w:r>
        <w:rPr>
          <w:rFonts w:hint="eastAsia" w:ascii="仿宋" w:hAnsi="仿宋" w:eastAsia="仿宋" w:cs="仿宋"/>
          <w:b w:val="0"/>
          <w:color w:val="auto"/>
          <w:highlight w:val="none"/>
        </w:rPr>
        <w:t>借助互联网等渠道查询相关信息的，应当严格遵守评审工作纪律，不得实施影响评审公正的行为。</w:t>
      </w:r>
    </w:p>
    <w:p w14:paraId="7E8BF897">
      <w:pPr>
        <w:spacing w:line="520" w:lineRule="exact"/>
        <w:ind w:firstLine="480"/>
        <w:rPr>
          <w:rFonts w:hint="eastAsia" w:ascii="仿宋" w:hAnsi="仿宋" w:eastAsia="仿宋" w:cs="仿宋"/>
          <w:b w:val="0"/>
          <w:color w:val="auto"/>
          <w:highlight w:val="none"/>
        </w:rPr>
      </w:pPr>
      <w:r>
        <w:rPr>
          <w:rFonts w:hint="eastAsia" w:ascii="仿宋" w:hAnsi="仿宋" w:eastAsia="仿宋" w:cs="仿宋"/>
          <w:b w:val="0"/>
          <w:color w:val="auto"/>
          <w:highlight w:val="none"/>
        </w:rPr>
        <w:t>异常低价投标（响应）审查的启动原因、审查意见和审查结果应当在评审报告中记录，并随供应商提供的相关书面说明及证明材料，以及</w:t>
      </w:r>
      <w:r>
        <w:rPr>
          <w:rFonts w:hint="eastAsia" w:ascii="仿宋" w:hAnsi="仿宋" w:eastAsia="仿宋" w:cs="仿宋"/>
          <w:b w:val="0"/>
          <w:color w:val="auto"/>
          <w:highlight w:val="none"/>
          <w:lang w:eastAsia="zh-CN"/>
        </w:rPr>
        <w:t>评标委员会</w:t>
      </w:r>
      <w:r>
        <w:rPr>
          <w:rFonts w:hint="eastAsia" w:ascii="仿宋" w:hAnsi="仿宋" w:eastAsia="仿宋" w:cs="仿宋"/>
          <w:b w:val="0"/>
          <w:color w:val="auto"/>
          <w:highlight w:val="none"/>
        </w:rPr>
        <w:t>有关互联网浏览、查询历史一并归档。</w:t>
      </w:r>
    </w:p>
    <w:p w14:paraId="4E8A26BC">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rPr>
        <w:t>14.投标保证金</w:t>
      </w:r>
    </w:p>
    <w:p w14:paraId="42698C08">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详见</w:t>
      </w:r>
      <w:r>
        <w:rPr>
          <w:rFonts w:hint="eastAsia" w:ascii="仿宋" w:hAnsi="仿宋" w:eastAsia="仿宋" w:cs="仿宋"/>
          <w:color w:val="auto"/>
          <w:highlight w:val="none"/>
          <w:lang w:val="en-US" w:eastAsia="zh-CN"/>
        </w:rPr>
        <w:t>投标人须知</w:t>
      </w:r>
      <w:r>
        <w:rPr>
          <w:rFonts w:hint="eastAsia" w:ascii="仿宋" w:hAnsi="仿宋" w:eastAsia="仿宋" w:cs="仿宋"/>
          <w:color w:val="auto"/>
          <w:highlight w:val="none"/>
        </w:rPr>
        <w:t>前附表。</w:t>
      </w:r>
    </w:p>
    <w:p w14:paraId="2E76F8BC">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rPr>
        <w:t>15.投标有效期</w:t>
      </w:r>
    </w:p>
    <w:p w14:paraId="2B4BC0A2">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15.1在</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须知前附表规定的投标有效期内，</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 xml:space="preserve">不得要求撤销或者修改其投标文件。 </w:t>
      </w:r>
    </w:p>
    <w:p w14:paraId="5FAB457E">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15.2在特殊情况下，采购人于原投标有效期满之前，可向</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提出延长投标有效期的要求，这种要求与答复均应采用书面形式（如信件、传真或电子邮件等），</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可拒绝采购人的这一要求而放弃投标，同意延长的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既不能要求也不允许修改其投标文件。招标文件有关投标保证金的没收和退还的规定在延长期内继续有效。</w:t>
      </w:r>
    </w:p>
    <w:p w14:paraId="0929955D">
      <w:pPr>
        <w:spacing w:line="520" w:lineRule="exact"/>
        <w:rPr>
          <w:rFonts w:ascii="仿宋_GB2312" w:eastAsia="仿宋_GB2312"/>
          <w:color w:val="auto"/>
          <w:highlight w:val="none"/>
        </w:rPr>
      </w:pPr>
      <w:r>
        <w:rPr>
          <w:rFonts w:hint="eastAsia" w:ascii="仿宋_GB2312" w:eastAsia="仿宋_GB2312"/>
          <w:color w:val="auto"/>
          <w:sz w:val="20"/>
          <w:highlight w:val="none"/>
        </w:rPr>
        <w:t xml:space="preserve"> </w:t>
      </w:r>
      <w:bookmarkEnd w:id="22"/>
      <w:bookmarkStart w:id="26" w:name="EBaba05b8f22db47c3ae604c949d101942"/>
      <w:r>
        <w:rPr>
          <w:rFonts w:hint="eastAsia" w:ascii="仿宋_GB2312" w:eastAsia="仿宋_GB2312"/>
          <w:color w:val="auto"/>
          <w:sz w:val="20"/>
          <w:highlight w:val="none"/>
        </w:rPr>
        <w:t xml:space="preserve"> </w:t>
      </w:r>
      <w:bookmarkEnd w:id="26"/>
      <w:bookmarkStart w:id="27" w:name="EB473de9cb146c4384b72e7eac9a23572d"/>
      <w:r>
        <w:rPr>
          <w:rFonts w:hint="eastAsia" w:ascii="仿宋_GB2312" w:eastAsia="仿宋_GB2312"/>
          <w:color w:val="auto"/>
          <w:sz w:val="20"/>
          <w:highlight w:val="none"/>
        </w:rPr>
        <w:t xml:space="preserve"> </w:t>
      </w:r>
      <w:bookmarkEnd w:id="27"/>
    </w:p>
    <w:p w14:paraId="688AB67A">
      <w:pPr>
        <w:pStyle w:val="229"/>
        <w:keepNext w:val="0"/>
        <w:keepLines w:val="0"/>
        <w:spacing w:before="0" w:after="0" w:line="520" w:lineRule="exact"/>
        <w:rPr>
          <w:color w:val="auto"/>
          <w:highlight w:val="none"/>
        </w:rPr>
      </w:pPr>
      <w:bookmarkStart w:id="28" w:name="_Toc11947"/>
      <w:r>
        <w:rPr>
          <w:rFonts w:hint="eastAsia"/>
          <w:color w:val="auto"/>
          <w:highlight w:val="none"/>
        </w:rPr>
        <w:t>四、投标文件的提交</w:t>
      </w:r>
      <w:bookmarkEnd w:id="28"/>
    </w:p>
    <w:p w14:paraId="19C7E7DF">
      <w:pPr>
        <w:spacing w:line="520" w:lineRule="exact"/>
        <w:ind w:firstLine="482"/>
        <w:rPr>
          <w:rFonts w:ascii="仿宋" w:hAnsi="仿宋" w:eastAsia="仿宋" w:cs="仿宋"/>
          <w:b/>
          <w:color w:val="auto"/>
          <w:highlight w:val="none"/>
        </w:rPr>
      </w:pPr>
      <w:bookmarkStart w:id="29" w:name="EB82427615ec5445cbadccda2f6802a77a"/>
      <w:r>
        <w:rPr>
          <w:rFonts w:hint="eastAsia" w:ascii="仿宋" w:hAnsi="仿宋" w:eastAsia="仿宋" w:cs="仿宋"/>
          <w:b/>
          <w:color w:val="auto"/>
          <w:highlight w:val="none"/>
        </w:rPr>
        <w:t>16.投标文件的提交</w:t>
      </w:r>
    </w:p>
    <w:p w14:paraId="77D653CA">
      <w:pPr>
        <w:spacing w:line="520" w:lineRule="exact"/>
        <w:ind w:firstLine="480"/>
        <w:rPr>
          <w:rFonts w:ascii="仿宋" w:hAnsi="仿宋" w:eastAsia="仿宋" w:cs="仿宋"/>
          <w:i/>
          <w:iCs/>
          <w:color w:val="auto"/>
          <w:highlight w:val="none"/>
          <w:u w:val="single"/>
          <w:lang w:val="zh-CN"/>
        </w:rPr>
      </w:pPr>
      <w:r>
        <w:rPr>
          <w:rFonts w:hint="eastAsia" w:ascii="仿宋" w:hAnsi="仿宋" w:eastAsia="仿宋" w:cs="仿宋"/>
          <w:i/>
          <w:iCs/>
          <w:color w:val="auto"/>
          <w:highlight w:val="none"/>
          <w:u w:val="single"/>
          <w:lang w:val="zh-CN"/>
        </w:rPr>
        <w:t>1</w:t>
      </w:r>
      <w:r>
        <w:rPr>
          <w:rFonts w:hint="eastAsia" w:ascii="仿宋" w:hAnsi="仿宋" w:eastAsia="仿宋" w:cs="仿宋"/>
          <w:i/>
          <w:iCs/>
          <w:color w:val="auto"/>
          <w:highlight w:val="none"/>
          <w:u w:val="single"/>
        </w:rPr>
        <w:t>6</w:t>
      </w:r>
      <w:r>
        <w:rPr>
          <w:rFonts w:hint="eastAsia" w:ascii="仿宋" w:hAnsi="仿宋" w:eastAsia="仿宋" w:cs="仿宋"/>
          <w:i/>
          <w:iCs/>
          <w:color w:val="auto"/>
          <w:highlight w:val="none"/>
          <w:u w:val="single"/>
          <w:lang w:val="zh-CN"/>
        </w:rPr>
        <w:t>.1 投标人应当按照《操作手册》规定，在招标公告规定的投标截止时间前制作并上传电子投标文件。</w:t>
      </w:r>
      <w:bookmarkStart w:id="30" w:name="_Toc20823298"/>
      <w:bookmarkEnd w:id="30"/>
      <w:bookmarkStart w:id="31" w:name="_Toc16938542"/>
      <w:bookmarkEnd w:id="31"/>
      <w:bookmarkStart w:id="32" w:name="_Toc513029226"/>
      <w:bookmarkEnd w:id="32"/>
    </w:p>
    <w:p w14:paraId="1081D3FE">
      <w:pPr>
        <w:spacing w:line="520" w:lineRule="exact"/>
        <w:ind w:firstLine="480"/>
        <w:rPr>
          <w:rFonts w:ascii="仿宋" w:hAnsi="仿宋" w:eastAsia="仿宋" w:cs="仿宋"/>
          <w:color w:val="auto"/>
          <w:highlight w:val="none"/>
          <w:lang w:val="zh-CN"/>
        </w:rPr>
      </w:pPr>
      <w:r>
        <w:rPr>
          <w:rFonts w:hint="eastAsia" w:ascii="仿宋" w:hAnsi="仿宋" w:eastAsia="仿宋" w:cs="仿宋"/>
          <w:color w:val="auto"/>
          <w:highlight w:val="none"/>
          <w:lang w:val="zh-CN"/>
        </w:rPr>
        <w:t>1</w:t>
      </w:r>
      <w:r>
        <w:rPr>
          <w:rFonts w:hint="eastAsia" w:ascii="仿宋" w:hAnsi="仿宋" w:eastAsia="仿宋" w:cs="仿宋"/>
          <w:color w:val="auto"/>
          <w:highlight w:val="none"/>
        </w:rPr>
        <w:t>6</w:t>
      </w:r>
      <w:r>
        <w:rPr>
          <w:rFonts w:hint="eastAsia" w:ascii="仿宋" w:hAnsi="仿宋" w:eastAsia="仿宋" w:cs="仿宋"/>
          <w:color w:val="auto"/>
          <w:highlight w:val="none"/>
          <w:lang w:val="zh-CN"/>
        </w:rPr>
        <w:t>.</w:t>
      </w:r>
      <w:r>
        <w:rPr>
          <w:rFonts w:hint="eastAsia" w:ascii="仿宋" w:hAnsi="仿宋" w:eastAsia="仿宋" w:cs="仿宋"/>
          <w:color w:val="auto"/>
          <w:highlight w:val="none"/>
        </w:rPr>
        <w:t>2</w:t>
      </w:r>
      <w:r>
        <w:rPr>
          <w:rFonts w:hint="eastAsia" w:ascii="仿宋" w:hAnsi="仿宋" w:eastAsia="仿宋" w:cs="仿宋"/>
          <w:color w:val="auto"/>
          <w:highlight w:val="none"/>
          <w:lang w:val="zh-CN"/>
        </w:rPr>
        <w:t xml:space="preserve"> 投标人应充分考虑网络环境、网络带宽等因素</w:t>
      </w:r>
      <w:r>
        <w:rPr>
          <w:rFonts w:hint="eastAsia" w:ascii="仿宋" w:hAnsi="仿宋" w:eastAsia="仿宋" w:cs="仿宋"/>
          <w:color w:val="auto"/>
          <w:highlight w:val="none"/>
        </w:rPr>
        <w:t>可能对投标产生的影响</w:t>
      </w:r>
      <w:r>
        <w:rPr>
          <w:rFonts w:hint="eastAsia" w:ascii="仿宋" w:hAnsi="仿宋" w:eastAsia="仿宋" w:cs="仿宋"/>
          <w:color w:val="auto"/>
          <w:highlight w:val="none"/>
          <w:lang w:val="zh-CN"/>
        </w:rPr>
        <w:t>，如因投标人自身原因造成的电子投标文件上传不成功的，按照第</w:t>
      </w:r>
      <w:r>
        <w:rPr>
          <w:rFonts w:hint="eastAsia" w:ascii="仿宋" w:hAnsi="仿宋" w:eastAsia="仿宋" w:cs="仿宋"/>
          <w:color w:val="auto"/>
          <w:highlight w:val="none"/>
        </w:rPr>
        <w:t>18</w:t>
      </w:r>
      <w:r>
        <w:rPr>
          <w:rFonts w:hint="eastAsia" w:ascii="仿宋" w:hAnsi="仿宋" w:eastAsia="仿宋" w:cs="仿宋"/>
          <w:color w:val="auto"/>
          <w:highlight w:val="none"/>
          <w:lang w:val="zh-CN"/>
        </w:rPr>
        <w:t>条规定处理。</w:t>
      </w:r>
    </w:p>
    <w:p w14:paraId="3A7151AD">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16.3 采购人或采购代理机构可以通过修改招标文件酌情延长投标文件接收截止日期，在此情况下，</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的所有权利和义务以及</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受制约的截止日期均应以延长后新的截止日期为准。</w:t>
      </w:r>
    </w:p>
    <w:p w14:paraId="48E16B12">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rPr>
        <w:t>17.投标文件的撤回和修改</w:t>
      </w:r>
    </w:p>
    <w:p w14:paraId="571CFB29">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 xml:space="preserve">17.1 </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可在投标截止时间前，撤回其电子投标文件，具体操作方法见《操作手册》。</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撤回电子投标文件，则认为其不再参与本项目投标活动。</w:t>
      </w:r>
    </w:p>
    <w:p w14:paraId="7E39F02D">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 xml:space="preserve">17.2 </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可在投标截止时间前，对其电子投标文件进行修改，具体操作方法见《操作手册》。在投标截止时间之后，</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不得对其电子投标文件作任何修改。</w:t>
      </w:r>
    </w:p>
    <w:p w14:paraId="5503E3D1">
      <w:pPr>
        <w:spacing w:line="520" w:lineRule="exact"/>
        <w:ind w:firstLine="482"/>
        <w:rPr>
          <w:rFonts w:hint="eastAsia" w:ascii="仿宋" w:hAnsi="仿宋" w:eastAsia="仿宋" w:cs="仿宋"/>
          <w:color w:val="auto"/>
          <w:highlight w:val="none"/>
        </w:rPr>
      </w:pPr>
      <w:r>
        <w:rPr>
          <w:rFonts w:hint="eastAsia" w:ascii="仿宋" w:hAnsi="仿宋" w:eastAsia="仿宋" w:cs="仿宋"/>
          <w:color w:val="auto"/>
          <w:highlight w:val="none"/>
        </w:rPr>
        <w:t>17.3 在投标截止时间至招标文件中规定的投标有效期满之间的这段时间内，</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不得撤回其投标。</w:t>
      </w:r>
    </w:p>
    <w:p w14:paraId="193C3928">
      <w:pPr>
        <w:spacing w:line="520" w:lineRule="exact"/>
        <w:ind w:firstLine="482"/>
        <w:rPr>
          <w:rFonts w:hint="eastAsia" w:ascii="仿宋" w:hAnsi="仿宋" w:eastAsia="仿宋" w:cs="仿宋"/>
          <w:b/>
          <w:color w:val="auto"/>
          <w:highlight w:val="none"/>
        </w:rPr>
      </w:pPr>
      <w:r>
        <w:rPr>
          <w:rFonts w:hint="eastAsia" w:ascii="仿宋" w:hAnsi="仿宋" w:eastAsia="仿宋" w:cs="仿宋"/>
          <w:b/>
          <w:color w:val="auto"/>
          <w:highlight w:val="none"/>
        </w:rPr>
        <w:t>17.4 采购代理机构可以通过修改</w:t>
      </w:r>
      <w:r>
        <w:rPr>
          <w:rFonts w:hint="eastAsia" w:ascii="仿宋" w:hAnsi="仿宋" w:eastAsia="仿宋" w:cs="仿宋"/>
          <w:b/>
          <w:color w:val="auto"/>
          <w:highlight w:val="none"/>
          <w:lang w:eastAsia="zh-CN"/>
        </w:rPr>
        <w:t>招标</w:t>
      </w:r>
      <w:r>
        <w:rPr>
          <w:rFonts w:hint="eastAsia" w:ascii="仿宋" w:hAnsi="仿宋" w:eastAsia="仿宋" w:cs="仿宋"/>
          <w:b/>
          <w:color w:val="auto"/>
          <w:highlight w:val="none"/>
        </w:rPr>
        <w:t>文件酌情延长</w:t>
      </w:r>
      <w:r>
        <w:rPr>
          <w:rFonts w:hint="eastAsia" w:ascii="仿宋" w:hAnsi="仿宋" w:eastAsia="仿宋" w:cs="仿宋"/>
          <w:b/>
          <w:color w:val="auto"/>
          <w:highlight w:val="none"/>
          <w:lang w:eastAsia="zh-CN"/>
        </w:rPr>
        <w:t>投标文件</w:t>
      </w:r>
      <w:r>
        <w:rPr>
          <w:rFonts w:hint="eastAsia" w:ascii="仿宋" w:hAnsi="仿宋" w:eastAsia="仿宋" w:cs="仿宋"/>
          <w:b/>
          <w:color w:val="auto"/>
          <w:highlight w:val="none"/>
        </w:rPr>
        <w:t>接收截止日期，在此情况下，</w:t>
      </w:r>
      <w:r>
        <w:rPr>
          <w:rFonts w:hint="eastAsia" w:ascii="仿宋" w:hAnsi="仿宋" w:eastAsia="仿宋" w:cs="仿宋"/>
          <w:b/>
          <w:color w:val="auto"/>
          <w:highlight w:val="none"/>
          <w:lang w:eastAsia="zh-CN"/>
        </w:rPr>
        <w:t>投标人</w:t>
      </w:r>
      <w:r>
        <w:rPr>
          <w:rFonts w:hint="eastAsia" w:ascii="仿宋" w:hAnsi="仿宋" w:eastAsia="仿宋" w:cs="仿宋"/>
          <w:b/>
          <w:color w:val="auto"/>
          <w:highlight w:val="none"/>
        </w:rPr>
        <w:t>的所有权利和义务以及</w:t>
      </w:r>
      <w:r>
        <w:rPr>
          <w:rFonts w:hint="eastAsia" w:ascii="仿宋" w:hAnsi="仿宋" w:eastAsia="仿宋" w:cs="仿宋"/>
          <w:b/>
          <w:color w:val="auto"/>
          <w:highlight w:val="none"/>
          <w:lang w:eastAsia="zh-CN"/>
        </w:rPr>
        <w:t>投标人</w:t>
      </w:r>
      <w:r>
        <w:rPr>
          <w:rFonts w:hint="eastAsia" w:ascii="仿宋" w:hAnsi="仿宋" w:eastAsia="仿宋" w:cs="仿宋"/>
          <w:b/>
          <w:color w:val="auto"/>
          <w:highlight w:val="none"/>
        </w:rPr>
        <w:t>受制约的截止日期均应以延长后新的截止日期为准。</w:t>
      </w:r>
    </w:p>
    <w:p w14:paraId="68E4CD95">
      <w:pPr>
        <w:spacing w:line="520" w:lineRule="exact"/>
        <w:ind w:firstLine="482"/>
        <w:rPr>
          <w:rFonts w:hint="eastAsia" w:ascii="仿宋" w:hAnsi="仿宋" w:eastAsia="仿宋" w:cs="仿宋"/>
          <w:color w:val="auto"/>
          <w:highlight w:val="none"/>
        </w:rPr>
      </w:pPr>
      <w:r>
        <w:rPr>
          <w:rFonts w:hint="eastAsia" w:ascii="仿宋" w:hAnsi="仿宋" w:eastAsia="仿宋" w:cs="仿宋"/>
          <w:color w:val="auto"/>
          <w:highlight w:val="none"/>
        </w:rPr>
        <w:t>17.5政府采购管理交易系统(苏采云)相关要求是本采购文件的组成部分。</w:t>
      </w:r>
    </w:p>
    <w:p w14:paraId="62D3933B">
      <w:pPr>
        <w:spacing w:line="520" w:lineRule="exact"/>
        <w:ind w:firstLine="482"/>
        <w:rPr>
          <w:rFonts w:hint="eastAsia" w:ascii="仿宋" w:hAnsi="仿宋" w:eastAsia="仿宋" w:cs="仿宋"/>
          <w:color w:val="auto"/>
          <w:highlight w:val="none"/>
        </w:rPr>
      </w:pPr>
      <w:r>
        <w:rPr>
          <w:rFonts w:hint="eastAsia" w:ascii="仿宋" w:hAnsi="仿宋" w:eastAsia="仿宋" w:cs="仿宋"/>
          <w:color w:val="auto"/>
          <w:highlight w:val="none"/>
        </w:rPr>
        <w:t>17.6投标人应对 CA 证书妥善保管，如被他人盗用投标，因此带来的结果均由投标人自行承担。</w:t>
      </w:r>
    </w:p>
    <w:p w14:paraId="4B3E3832">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rPr>
        <w:t>18.投标文件被拒绝接收的情形</w:t>
      </w:r>
    </w:p>
    <w:p w14:paraId="319F5440">
      <w:pPr>
        <w:spacing w:line="520" w:lineRule="exact"/>
        <w:ind w:right="120" w:firstLine="480"/>
        <w:rPr>
          <w:rFonts w:ascii="仿宋" w:hAnsi="仿宋" w:eastAsia="仿宋" w:cs="仿宋"/>
          <w:color w:val="auto"/>
          <w:highlight w:val="none"/>
        </w:rPr>
      </w:pPr>
      <w:r>
        <w:rPr>
          <w:rFonts w:hint="eastAsia" w:ascii="仿宋" w:hAnsi="仿宋" w:eastAsia="仿宋" w:cs="仿宋"/>
          <w:color w:val="auto"/>
          <w:highlight w:val="none"/>
        </w:rPr>
        <w:t>在招标文件规定的投标截止时间后上传的投标文件。</w:t>
      </w:r>
    </w:p>
    <w:bookmarkEnd w:id="29"/>
    <w:p w14:paraId="62926117">
      <w:pPr>
        <w:spacing w:line="520" w:lineRule="exact"/>
        <w:ind w:firstLine="480"/>
        <w:rPr>
          <w:rFonts w:ascii="仿宋" w:hAnsi="仿宋" w:eastAsia="仿宋" w:cs="仿宋"/>
          <w:color w:val="auto"/>
          <w:highlight w:val="none"/>
        </w:rPr>
      </w:pPr>
    </w:p>
    <w:p w14:paraId="3252D771">
      <w:pPr>
        <w:pStyle w:val="229"/>
        <w:keepNext w:val="0"/>
        <w:keepLines w:val="0"/>
        <w:spacing w:before="0" w:after="0" w:line="520" w:lineRule="exact"/>
        <w:rPr>
          <w:color w:val="auto"/>
          <w:highlight w:val="none"/>
        </w:rPr>
      </w:pPr>
      <w:bookmarkStart w:id="33" w:name="_Toc18981"/>
      <w:r>
        <w:rPr>
          <w:rFonts w:hint="eastAsia"/>
          <w:color w:val="auto"/>
          <w:highlight w:val="none"/>
        </w:rPr>
        <w:t>五、</w:t>
      </w:r>
      <w:bookmarkEnd w:id="33"/>
      <w:r>
        <w:rPr>
          <w:rFonts w:hint="eastAsia"/>
          <w:color w:val="auto"/>
          <w:highlight w:val="none"/>
        </w:rPr>
        <w:t>无效标、废标、串通投标认定条款</w:t>
      </w:r>
    </w:p>
    <w:p w14:paraId="37A263BA">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lang w:eastAsia="zh-CN"/>
        </w:rPr>
        <w:t>19.</w:t>
      </w:r>
      <w:r>
        <w:rPr>
          <w:rFonts w:hint="eastAsia" w:ascii="仿宋" w:hAnsi="仿宋" w:eastAsia="仿宋" w:cs="仿宋"/>
          <w:b/>
          <w:color w:val="auto"/>
          <w:highlight w:val="none"/>
        </w:rPr>
        <w:t>以下情形将视为无效投标</w:t>
      </w:r>
    </w:p>
    <w:p w14:paraId="6B867F27">
      <w:pPr>
        <w:spacing w:line="520" w:lineRule="exact"/>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eastAsia="zh-CN"/>
        </w:rPr>
        <w:t>19.</w:t>
      </w: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lang w:val="en-US" w:eastAsia="zh-CN"/>
        </w:rPr>
        <w:t>在苏采云系统规定的时间内未成功解密电子投标文件的；</w:t>
      </w:r>
    </w:p>
    <w:p w14:paraId="690B9958">
      <w:pPr>
        <w:spacing w:line="520" w:lineRule="exact"/>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19.2 投标人未按照招标文件要求上传电子投标文件的；</w:t>
      </w:r>
    </w:p>
    <w:p w14:paraId="3FBDE359">
      <w:pPr>
        <w:spacing w:line="520" w:lineRule="exact"/>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19.3 投标人不符合招标文件规定资格要求或未按规定提交资质证件的；</w:t>
      </w:r>
    </w:p>
    <w:p w14:paraId="5AAF9E14">
      <w:pPr>
        <w:spacing w:line="520" w:lineRule="exact"/>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19.4 投标人未通过资格性审查或符合性审查的；</w:t>
      </w:r>
    </w:p>
    <w:p w14:paraId="2735C14B">
      <w:pPr>
        <w:spacing w:line="520" w:lineRule="exact"/>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19.5联合体投标的没有提交共同投标协议（联合体协议）</w:t>
      </w:r>
    </w:p>
    <w:p w14:paraId="17039C46">
      <w:pPr>
        <w:spacing w:line="520" w:lineRule="exact"/>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19.6 同一投标人提交两个（含两个）以上不同的投标报价的；</w:t>
      </w:r>
    </w:p>
    <w:p w14:paraId="70C8C658">
      <w:pPr>
        <w:spacing w:line="520" w:lineRule="exact"/>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19.7 投标文件电子签章/签字不符合招标文件要求的；</w:t>
      </w:r>
    </w:p>
    <w:p w14:paraId="3C5CB30F">
      <w:pPr>
        <w:spacing w:line="520" w:lineRule="exact"/>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19.8 报价超过招标文件中规定的预算金额或者最高限价的；</w:t>
      </w:r>
    </w:p>
    <w:p w14:paraId="177A9893">
      <w:pPr>
        <w:spacing w:line="520" w:lineRule="exact"/>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19.9 投标报价出现前后不一致，按照招标文件规定进行修正，修正后的报价，投标人不确认或修正后的报价超过预算金额或者最高限价的；</w:t>
      </w:r>
    </w:p>
    <w:p w14:paraId="2FB34320">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lang w:eastAsia="zh-CN"/>
        </w:rPr>
        <w:t>19.</w:t>
      </w:r>
      <w:r>
        <w:rPr>
          <w:rFonts w:hint="eastAsia" w:ascii="仿宋" w:hAnsi="仿宋" w:eastAsia="仿宋" w:cs="仿宋"/>
          <w:color w:val="auto"/>
          <w:highlight w:val="none"/>
          <w:lang w:val="en-US" w:eastAsia="zh-CN"/>
        </w:rPr>
        <w:t>10 投标文件出现重大偏离，未对招标</w:t>
      </w:r>
      <w:r>
        <w:rPr>
          <w:rFonts w:hint="eastAsia" w:ascii="仿宋" w:hAnsi="仿宋" w:eastAsia="仿宋" w:cs="仿宋"/>
          <w:color w:val="auto"/>
          <w:highlight w:val="none"/>
        </w:rPr>
        <w:t>文件进行实质性响应的（</w:t>
      </w:r>
      <w:r>
        <w:rPr>
          <w:rFonts w:hint="eastAsia" w:ascii="仿宋" w:hAnsi="仿宋" w:eastAsia="仿宋" w:cs="仿宋"/>
          <w:i/>
          <w:iCs/>
          <w:color w:val="auto"/>
          <w:highlight w:val="none"/>
          <w:u w:val="single"/>
        </w:rPr>
        <w:t>本项目招标文件中所有斜体下划线部分为实质性条款，如不满足，则为无效投标</w:t>
      </w:r>
      <w:r>
        <w:rPr>
          <w:rFonts w:hint="eastAsia" w:ascii="仿宋" w:hAnsi="仿宋" w:eastAsia="仿宋" w:cs="仿宋"/>
          <w:color w:val="auto"/>
          <w:highlight w:val="none"/>
        </w:rPr>
        <w:t>）；</w:t>
      </w:r>
    </w:p>
    <w:p w14:paraId="3586443D">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eastAsia="zh-CN"/>
        </w:rPr>
        <w:t>19.</w:t>
      </w:r>
      <w:r>
        <w:rPr>
          <w:rFonts w:hint="eastAsia" w:ascii="仿宋" w:hAnsi="仿宋" w:eastAsia="仿宋" w:cs="仿宋"/>
          <w:color w:val="auto"/>
          <w:highlight w:val="none"/>
          <w:lang w:val="en-US" w:eastAsia="zh-CN"/>
        </w:rPr>
        <w:t>11</w:t>
      </w:r>
      <w:r>
        <w:rPr>
          <w:rFonts w:hint="eastAsia" w:ascii="仿宋" w:hAnsi="仿宋" w:eastAsia="仿宋" w:cs="仿宋"/>
          <w:color w:val="auto"/>
          <w:highlight w:val="none"/>
        </w:rPr>
        <w:t>投标文件技术参数及要求中一般指标超出招标文件规定允许偏离最大范围或最高项数的；</w:t>
      </w:r>
    </w:p>
    <w:p w14:paraId="02E18550">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eastAsia="zh-CN"/>
        </w:rPr>
        <w:t>19.</w:t>
      </w:r>
      <w:r>
        <w:rPr>
          <w:rFonts w:hint="eastAsia" w:ascii="仿宋" w:hAnsi="仿宋" w:eastAsia="仿宋" w:cs="仿宋"/>
          <w:color w:val="auto"/>
          <w:highlight w:val="none"/>
          <w:lang w:val="en-US" w:eastAsia="zh-CN"/>
        </w:rPr>
        <w:t>12</w:t>
      </w:r>
      <w:r>
        <w:rPr>
          <w:rFonts w:hint="eastAsia" w:ascii="仿宋" w:hAnsi="仿宋" w:eastAsia="仿宋" w:cs="仿宋"/>
          <w:color w:val="auto"/>
          <w:highlight w:val="none"/>
        </w:rPr>
        <w:t>投标文件出现商务条款的负偏离，视为未对招标文件进行实质性响应；</w:t>
      </w:r>
    </w:p>
    <w:p w14:paraId="6EE8622B">
      <w:pPr>
        <w:spacing w:line="520" w:lineRule="exact"/>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19.13</w:t>
      </w:r>
      <w:r>
        <w:rPr>
          <w:rFonts w:hint="eastAsia" w:ascii="仿宋" w:hAnsi="仿宋" w:eastAsia="仿宋" w:cs="仿宋"/>
          <w:color w:val="auto"/>
          <w:highlight w:val="none"/>
        </w:rPr>
        <w:t>明细报价表出现缺漏项的；</w:t>
      </w:r>
    </w:p>
    <w:p w14:paraId="2B659A3E">
      <w:pPr>
        <w:spacing w:line="520" w:lineRule="exact"/>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19.14评标委员会认为投标人的报价明显低于其他通过符合性审查投标人的报价，有可能影响服务质量或者不能诚信履约的，将通过苏采云系统要求其在合理的时间内提供说明，必要时提交相关证明材料；投标人不能证明其报价合理性的，评标委员会应当将其作为无效投标处理；</w:t>
      </w:r>
    </w:p>
    <w:p w14:paraId="78907698">
      <w:pPr>
        <w:spacing w:line="520" w:lineRule="exact"/>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19.15本项目采购产品如被财政部、国家发展改革委、生态环境部等列入“节能产品品目清单”“环境标志产品品目清单”强制采购范围，而投标人所投标产品不在强制采购范围内的；（投标产品如属于政府强制采购节能产品品目清单范围内，投标文件中必须提供国家确定的认证机构出具、处于有效期之内的节能产品认证证书）</w:t>
      </w:r>
    </w:p>
    <w:p w14:paraId="4BB55E93">
      <w:pPr>
        <w:spacing w:line="520" w:lineRule="exact"/>
        <w:ind w:firstLine="480"/>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en-US" w:eastAsia="zh-CN"/>
        </w:rPr>
        <w:t>19.16</w:t>
      </w:r>
      <w:r>
        <w:rPr>
          <w:rFonts w:hint="eastAsia" w:ascii="仿宋" w:hAnsi="仿宋" w:eastAsia="仿宋" w:cs="仿宋"/>
          <w:color w:val="auto"/>
          <w:highlight w:val="none"/>
          <w:lang w:val="zh-CN" w:eastAsia="zh-CN"/>
        </w:rPr>
        <w:t>投标人被“信用中国”网站（www.creditchina.gov.cn）列入失信被执行人或重大税收违法案件当事人名单或政府采购严重失信行为记录名单。或查询“信用中国”网站后发现投标人存在其他不符合《中华人民共和国政府采购法》第二十二条规定条件的信用记录；</w:t>
      </w:r>
    </w:p>
    <w:p w14:paraId="510C8D7C">
      <w:pPr>
        <w:spacing w:line="520" w:lineRule="exact"/>
        <w:ind w:firstLine="48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19.</w:t>
      </w: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7技术响应完全复制采购需求的内容，未对招标文件进行有效响应的；</w:t>
      </w:r>
    </w:p>
    <w:p w14:paraId="59F9C588">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eastAsia="zh-CN"/>
        </w:rPr>
        <w:t>19.</w:t>
      </w: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投标文件含有采购人不能接受的附加条件的；</w:t>
      </w:r>
    </w:p>
    <w:p w14:paraId="13520E73">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eastAsia="zh-CN"/>
        </w:rPr>
        <w:t>19.</w:t>
      </w: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有本招标文件规定的串通投标情形的；</w:t>
      </w:r>
    </w:p>
    <w:p w14:paraId="491D1559">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val="en-US" w:eastAsia="zh-CN"/>
        </w:rPr>
        <w:t>19.20</w:t>
      </w:r>
      <w:r>
        <w:rPr>
          <w:rFonts w:hint="eastAsia" w:ascii="仿宋" w:hAnsi="仿宋" w:eastAsia="仿宋" w:cs="仿宋"/>
          <w:color w:val="auto"/>
          <w:highlight w:val="none"/>
          <w:lang w:eastAsia="zh-CN"/>
        </w:rPr>
        <w:t>其他</w:t>
      </w:r>
      <w:r>
        <w:rPr>
          <w:rFonts w:hint="eastAsia" w:ascii="仿宋" w:hAnsi="仿宋" w:eastAsia="仿宋" w:cs="仿宋"/>
          <w:color w:val="auto"/>
          <w:highlight w:val="none"/>
        </w:rPr>
        <w:t>评标委员会认为有必要取消的投标；</w:t>
      </w:r>
    </w:p>
    <w:p w14:paraId="7A9781CE">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val="en-US" w:eastAsia="zh-CN"/>
        </w:rPr>
        <w:t>19.21</w:t>
      </w:r>
      <w:r>
        <w:rPr>
          <w:rFonts w:hint="eastAsia" w:ascii="仿宋" w:hAnsi="仿宋" w:eastAsia="仿宋" w:cs="仿宋"/>
          <w:color w:val="auto"/>
          <w:highlight w:val="none"/>
        </w:rPr>
        <w:t>法律法规及本招标文件规定的其他无效投标情形。</w:t>
      </w:r>
    </w:p>
    <w:p w14:paraId="7D7E9429">
      <w:pPr>
        <w:spacing w:line="520" w:lineRule="exact"/>
        <w:ind w:firstLine="482"/>
        <w:rPr>
          <w:rFonts w:hint="eastAsia" w:ascii="仿宋" w:hAnsi="仿宋" w:eastAsia="仿宋" w:cs="仿宋"/>
          <w:b/>
          <w:color w:val="auto"/>
          <w:highlight w:val="none"/>
          <w:lang w:eastAsia="zh-CN"/>
        </w:rPr>
      </w:pPr>
      <w:r>
        <w:rPr>
          <w:rFonts w:hint="eastAsia" w:ascii="仿宋" w:hAnsi="仿宋" w:eastAsia="仿宋" w:cs="仿宋"/>
          <w:b/>
          <w:color w:val="auto"/>
          <w:highlight w:val="none"/>
          <w:lang w:val="en-US" w:eastAsia="zh-CN"/>
        </w:rPr>
        <w:t>20.废标</w:t>
      </w:r>
    </w:p>
    <w:p w14:paraId="20FA9FEC">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eastAsia="zh-CN"/>
        </w:rPr>
        <w:t>20.</w:t>
      </w:r>
      <w:r>
        <w:rPr>
          <w:rFonts w:hint="eastAsia" w:ascii="仿宋" w:hAnsi="仿宋" w:eastAsia="仿宋" w:cs="仿宋"/>
          <w:color w:val="auto"/>
          <w:highlight w:val="none"/>
        </w:rPr>
        <w:t>1符合专业条件的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或者对招标文件作实质响应的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不足三家的（符合</w:t>
      </w:r>
      <w:r>
        <w:rPr>
          <w:rFonts w:hint="eastAsia" w:ascii="仿宋" w:hAnsi="仿宋" w:eastAsia="仿宋" w:cs="仿宋"/>
          <w:color w:val="auto"/>
          <w:highlight w:val="none"/>
          <w:lang w:val="en-US" w:eastAsia="zh-CN"/>
        </w:rPr>
        <w:t>21</w:t>
      </w:r>
      <w:r>
        <w:rPr>
          <w:rFonts w:hint="eastAsia" w:ascii="仿宋" w:hAnsi="仿宋" w:eastAsia="仿宋" w:cs="仿宋"/>
          <w:color w:val="auto"/>
          <w:highlight w:val="none"/>
        </w:rPr>
        <w:t>条情形除外）；</w:t>
      </w:r>
    </w:p>
    <w:p w14:paraId="3231D10F">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eastAsia="zh-CN"/>
        </w:rPr>
        <w:t>20.</w:t>
      </w:r>
      <w:r>
        <w:rPr>
          <w:rFonts w:hint="eastAsia" w:ascii="仿宋" w:hAnsi="仿宋" w:eastAsia="仿宋" w:cs="仿宋"/>
          <w:color w:val="auto"/>
          <w:highlight w:val="none"/>
        </w:rPr>
        <w:t>2出现影响招标公正的违法、违规行为的；</w:t>
      </w:r>
    </w:p>
    <w:p w14:paraId="0B7862E9">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eastAsia="zh-CN"/>
        </w:rPr>
        <w:t>20.</w:t>
      </w:r>
      <w:r>
        <w:rPr>
          <w:rFonts w:hint="eastAsia" w:ascii="仿宋" w:hAnsi="仿宋" w:eastAsia="仿宋" w:cs="仿宋"/>
          <w:color w:val="auto"/>
          <w:highlight w:val="none"/>
        </w:rPr>
        <w:t>3因重大变故，招标任务取消的；</w:t>
      </w:r>
    </w:p>
    <w:p w14:paraId="1184DB1A">
      <w:pPr>
        <w:spacing w:line="520" w:lineRule="exact"/>
        <w:ind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20.</w:t>
      </w:r>
      <w:r>
        <w:rPr>
          <w:rFonts w:hint="eastAsia" w:ascii="仿宋" w:hAnsi="仿宋" w:eastAsia="仿宋" w:cs="仿宋"/>
          <w:color w:val="auto"/>
          <w:highlight w:val="none"/>
        </w:rPr>
        <w:t>4</w:t>
      </w:r>
      <w:r>
        <w:rPr>
          <w:rFonts w:hint="eastAsia" w:ascii="仿宋" w:hAnsi="仿宋" w:eastAsia="仿宋" w:cs="仿宋"/>
          <w:color w:val="auto"/>
          <w:highlight w:val="none"/>
          <w:lang w:eastAsia="zh-CN"/>
        </w:rPr>
        <w:t>评标委员会</w:t>
      </w:r>
      <w:r>
        <w:rPr>
          <w:rFonts w:hint="eastAsia" w:ascii="仿宋" w:hAnsi="仿宋" w:eastAsia="仿宋" w:cs="仿宋"/>
          <w:color w:val="auto"/>
          <w:highlight w:val="none"/>
        </w:rPr>
        <w:t>认定招标文件存在歧义、重大缺陷导致评审工作无法进行</w:t>
      </w:r>
      <w:r>
        <w:rPr>
          <w:rFonts w:hint="eastAsia" w:ascii="仿宋" w:hAnsi="仿宋" w:eastAsia="仿宋" w:cs="仿宋"/>
          <w:color w:val="auto"/>
          <w:highlight w:val="none"/>
          <w:lang w:eastAsia="zh-CN"/>
        </w:rPr>
        <w:t>的；</w:t>
      </w:r>
    </w:p>
    <w:p w14:paraId="3F8A97C8">
      <w:pPr>
        <w:spacing w:line="520" w:lineRule="exact"/>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20.5投标人的报价均超过了采购预算，采购人不能支付的；</w:t>
      </w:r>
    </w:p>
    <w:p w14:paraId="70BF82E6">
      <w:pPr>
        <w:spacing w:line="520" w:lineRule="exact"/>
        <w:ind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20.6</w:t>
      </w:r>
      <w:r>
        <w:rPr>
          <w:rFonts w:hint="eastAsia" w:ascii="仿宋" w:hAnsi="仿宋" w:eastAsia="仿宋" w:cs="仿宋"/>
          <w:color w:val="auto"/>
          <w:highlight w:val="none"/>
        </w:rPr>
        <w:t>因苏采云系统故障造成开标不成功</w:t>
      </w:r>
      <w:r>
        <w:rPr>
          <w:rFonts w:hint="eastAsia" w:ascii="仿宋" w:hAnsi="仿宋" w:eastAsia="仿宋" w:cs="仿宋"/>
          <w:color w:val="auto"/>
          <w:highlight w:val="none"/>
          <w:lang w:eastAsia="zh-CN"/>
        </w:rPr>
        <w:t>的；</w:t>
      </w:r>
    </w:p>
    <w:p w14:paraId="62CF2D32">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val="en-US" w:eastAsia="zh-CN"/>
        </w:rPr>
        <w:t>20.7</w:t>
      </w:r>
      <w:r>
        <w:rPr>
          <w:rFonts w:hint="eastAsia" w:ascii="仿宋" w:hAnsi="仿宋" w:eastAsia="仿宋" w:cs="仿宋"/>
          <w:color w:val="auto"/>
          <w:highlight w:val="none"/>
        </w:rPr>
        <w:t>招标文件中约定的其他情形。</w:t>
      </w:r>
    </w:p>
    <w:p w14:paraId="1257A2E8">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rPr>
        <w:t>21.</w:t>
      </w:r>
      <w:r>
        <w:rPr>
          <w:rFonts w:hint="eastAsia" w:ascii="仿宋" w:hAnsi="仿宋" w:eastAsia="仿宋" w:cs="仿宋"/>
          <w:b/>
          <w:color w:val="auto"/>
          <w:highlight w:val="none"/>
          <w:lang w:eastAsia="zh-CN"/>
        </w:rPr>
        <w:t>投标人</w:t>
      </w:r>
      <w:r>
        <w:rPr>
          <w:rFonts w:hint="eastAsia" w:ascii="仿宋" w:hAnsi="仿宋" w:eastAsia="仿宋" w:cs="仿宋"/>
          <w:b/>
          <w:color w:val="auto"/>
          <w:highlight w:val="none"/>
        </w:rPr>
        <w:t>不足三家情形处理</w:t>
      </w:r>
    </w:p>
    <w:p w14:paraId="6B337DC0">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投标截止后</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不足三家或者通过资格审查或符合性审查的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不足三家的，除招标任务取消情形外，按财政部令第87号第四十三条条款进行处理。</w:t>
      </w:r>
    </w:p>
    <w:p w14:paraId="5A7CEE4F">
      <w:pPr>
        <w:spacing w:line="520" w:lineRule="exact"/>
        <w:ind w:firstLine="480"/>
        <w:rPr>
          <w:rFonts w:ascii="仿宋" w:hAnsi="仿宋" w:eastAsia="仿宋" w:cs="仿宋"/>
          <w:color w:val="FF0000"/>
          <w:szCs w:val="22"/>
          <w:highlight w:val="none"/>
        </w:rPr>
      </w:pPr>
      <w:r>
        <w:rPr>
          <w:rFonts w:hint="eastAsia" w:ascii="仿宋" w:hAnsi="仿宋" w:eastAsia="仿宋" w:cs="仿宋"/>
          <w:color w:val="FF0000"/>
          <w:szCs w:val="22"/>
          <w:highlight w:val="none"/>
        </w:rPr>
        <w:t>22.凡有以下情形者，一经查实，取消中标候选人资格条款</w:t>
      </w:r>
    </w:p>
    <w:p w14:paraId="3B65A89D">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22.1提供虚假材料谋取中标的；</w:t>
      </w:r>
    </w:p>
    <w:p w14:paraId="3EE9D908">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22.2采取不正当手段诋毁、排挤其他</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的；</w:t>
      </w:r>
    </w:p>
    <w:p w14:paraId="6C89E4BA">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22.3与采购人、其他</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或者采购代理机构恶意串通的；</w:t>
      </w:r>
    </w:p>
    <w:p w14:paraId="18FC81B5">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22.4向采购人、采购代理机构行贿或者提供其他不正当利益的；</w:t>
      </w:r>
    </w:p>
    <w:p w14:paraId="3EBCBD01">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22.5未在规定时间内与采购人签订合同的；</w:t>
      </w:r>
    </w:p>
    <w:p w14:paraId="5F436BA7">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22.6法律、法规规定的</w:t>
      </w:r>
      <w:r>
        <w:rPr>
          <w:rFonts w:hint="eastAsia" w:ascii="仿宋" w:hAnsi="仿宋" w:eastAsia="仿宋" w:cs="仿宋"/>
          <w:color w:val="auto"/>
          <w:highlight w:val="none"/>
          <w:lang w:eastAsia="zh-CN"/>
        </w:rPr>
        <w:t>其他</w:t>
      </w:r>
      <w:r>
        <w:rPr>
          <w:rFonts w:hint="eastAsia" w:ascii="仿宋" w:hAnsi="仿宋" w:eastAsia="仿宋" w:cs="仿宋"/>
          <w:color w:val="auto"/>
          <w:highlight w:val="none"/>
        </w:rPr>
        <w:t>情况。</w:t>
      </w:r>
    </w:p>
    <w:p w14:paraId="639FC996">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rPr>
        <w:t>23.串通投标的情形</w:t>
      </w:r>
    </w:p>
    <w:p w14:paraId="4808233D">
      <w:pPr>
        <w:spacing w:line="520" w:lineRule="exact"/>
        <w:ind w:firstLine="480"/>
        <w:rPr>
          <w:rFonts w:ascii="仿宋" w:hAnsi="仿宋" w:eastAsia="仿宋" w:cs="仿宋"/>
          <w:color w:val="FF0000"/>
          <w:szCs w:val="22"/>
          <w:highlight w:val="none"/>
        </w:rPr>
      </w:pPr>
      <w:r>
        <w:rPr>
          <w:rFonts w:hint="eastAsia" w:ascii="仿宋" w:hAnsi="仿宋" w:eastAsia="仿宋" w:cs="仿宋"/>
          <w:color w:val="FF0000"/>
          <w:szCs w:val="22"/>
          <w:highlight w:val="none"/>
        </w:rPr>
        <w:t>有下列情形之一的，属于串通投标</w:t>
      </w:r>
      <w:r>
        <w:rPr>
          <w:rFonts w:hint="eastAsia" w:ascii="仿宋" w:hAnsi="仿宋" w:eastAsia="仿宋" w:cs="仿宋"/>
          <w:color w:val="FF0000"/>
          <w:szCs w:val="22"/>
          <w:highlight w:val="none"/>
          <w:lang w:eastAsia="zh-CN"/>
        </w:rPr>
        <w:t>，</w:t>
      </w:r>
      <w:r>
        <w:rPr>
          <w:rFonts w:hint="eastAsia" w:ascii="仿宋" w:hAnsi="仿宋" w:eastAsia="仿宋" w:cs="仿宋"/>
          <w:color w:val="FF0000"/>
          <w:szCs w:val="22"/>
          <w:highlight w:val="none"/>
          <w:lang w:val="en-US" w:eastAsia="zh-CN"/>
        </w:rPr>
        <w:t>其投标无效</w:t>
      </w:r>
      <w:r>
        <w:rPr>
          <w:rFonts w:hint="eastAsia" w:ascii="仿宋" w:hAnsi="仿宋" w:eastAsia="仿宋" w:cs="仿宋"/>
          <w:color w:val="FF0000"/>
          <w:szCs w:val="22"/>
          <w:highlight w:val="none"/>
        </w:rPr>
        <w:t>：</w:t>
      </w:r>
    </w:p>
    <w:p w14:paraId="4FAD1655">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23.1</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直接或间接从采购人或采购代理机构处获得其他</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的投标情况，并修改其投标文件；</w:t>
      </w:r>
    </w:p>
    <w:p w14:paraId="3EC2777A">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23.2评审活动开始前</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直接或间接从采购人或采购代理机构处获得评标委员会组成人员情况；</w:t>
      </w:r>
    </w:p>
    <w:p w14:paraId="2E1967BF">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23.3</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接受采购人或采购代理机构授意撤换、修改投标文件；</w:t>
      </w:r>
    </w:p>
    <w:p w14:paraId="704E3FFA">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23.4</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之间协商投标报价、技术方案等投标文件实质性内容；</w:t>
      </w:r>
    </w:p>
    <w:p w14:paraId="47A3ABF9">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23.5属同一集团、协会、商会等组织成员的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按照该组织要求协同投标；</w:t>
      </w:r>
    </w:p>
    <w:p w14:paraId="528CA8DB">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23.6</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之间事先约定由某一特定</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中标、成交；</w:t>
      </w:r>
    </w:p>
    <w:p w14:paraId="3666A1BC">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23.7</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之间商定部分</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放弃投标或者放弃中标、成交；</w:t>
      </w:r>
    </w:p>
    <w:p w14:paraId="70F164EC">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23.8</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与采购人或采购代理机构之间、</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相互之间为谋求特定</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中标、成交或者排斥其他</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的其他串通行为。</w:t>
      </w:r>
    </w:p>
    <w:p w14:paraId="64A0BC77">
      <w:pPr>
        <w:spacing w:line="520" w:lineRule="exact"/>
        <w:ind w:firstLine="480"/>
        <w:rPr>
          <w:rFonts w:ascii="仿宋" w:hAnsi="仿宋" w:eastAsia="仿宋" w:cs="仿宋"/>
          <w:color w:val="auto"/>
          <w:szCs w:val="22"/>
          <w:highlight w:val="none"/>
        </w:rPr>
      </w:pPr>
      <w:r>
        <w:rPr>
          <w:rFonts w:hint="eastAsia" w:ascii="仿宋" w:hAnsi="仿宋" w:eastAsia="仿宋" w:cs="仿宋"/>
          <w:color w:val="FF0000"/>
          <w:szCs w:val="22"/>
          <w:highlight w:val="none"/>
        </w:rPr>
        <w:t>有下列情形之一的，视为</w:t>
      </w:r>
      <w:r>
        <w:rPr>
          <w:rFonts w:hint="eastAsia" w:ascii="仿宋" w:hAnsi="仿宋" w:eastAsia="仿宋" w:cs="仿宋"/>
          <w:color w:val="FF0000"/>
          <w:szCs w:val="22"/>
          <w:highlight w:val="none"/>
          <w:lang w:eastAsia="zh-CN"/>
        </w:rPr>
        <w:t>投标人</w:t>
      </w:r>
      <w:r>
        <w:rPr>
          <w:rFonts w:hint="eastAsia" w:ascii="仿宋" w:hAnsi="仿宋" w:eastAsia="仿宋" w:cs="仿宋"/>
          <w:color w:val="FF0000"/>
          <w:szCs w:val="22"/>
          <w:highlight w:val="none"/>
        </w:rPr>
        <w:t>串通投标，其投标无效：</w:t>
      </w:r>
    </w:p>
    <w:p w14:paraId="2C822833">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eastAsia="zh-CN"/>
        </w:rPr>
        <w:t>23.</w:t>
      </w:r>
      <w:r>
        <w:rPr>
          <w:rFonts w:hint="eastAsia" w:ascii="仿宋" w:hAnsi="仿宋" w:eastAsia="仿宋" w:cs="仿宋"/>
          <w:color w:val="auto"/>
          <w:highlight w:val="none"/>
        </w:rPr>
        <w:t>9不同</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的投标文件由同一单位或者个人编制；</w:t>
      </w:r>
    </w:p>
    <w:p w14:paraId="0B586EF2">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eastAsia="zh-CN"/>
        </w:rPr>
        <w:t>23.</w:t>
      </w:r>
      <w:r>
        <w:rPr>
          <w:rFonts w:hint="eastAsia" w:ascii="仿宋" w:hAnsi="仿宋" w:eastAsia="仿宋" w:cs="仿宋"/>
          <w:color w:val="auto"/>
          <w:highlight w:val="none"/>
        </w:rPr>
        <w:t>10不同</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委托同一单位或者个人办理投标事宜；</w:t>
      </w:r>
    </w:p>
    <w:p w14:paraId="38A2A518">
      <w:pPr>
        <w:spacing w:line="520" w:lineRule="exact"/>
        <w:ind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23.</w:t>
      </w:r>
      <w:r>
        <w:rPr>
          <w:rFonts w:hint="eastAsia" w:ascii="仿宋" w:hAnsi="仿宋" w:eastAsia="仿宋" w:cs="仿宋"/>
          <w:color w:val="auto"/>
          <w:highlight w:val="none"/>
        </w:rPr>
        <w:t>11不同</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的ip地址、MAC地址、标书制作工具客户端标识码一致的</w:t>
      </w:r>
      <w:r>
        <w:rPr>
          <w:rFonts w:hint="eastAsia" w:ascii="仿宋" w:hAnsi="仿宋" w:eastAsia="仿宋" w:cs="仿宋"/>
          <w:color w:val="auto"/>
          <w:highlight w:val="none"/>
          <w:lang w:eastAsia="zh-CN"/>
        </w:rPr>
        <w:t>；</w:t>
      </w:r>
    </w:p>
    <w:p w14:paraId="2A828A10">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eastAsia="zh-CN"/>
        </w:rPr>
        <w:t>23.</w:t>
      </w:r>
      <w:r>
        <w:rPr>
          <w:rFonts w:hint="eastAsia" w:ascii="仿宋" w:hAnsi="仿宋" w:eastAsia="仿宋" w:cs="仿宋"/>
          <w:color w:val="auto"/>
          <w:highlight w:val="none"/>
        </w:rPr>
        <w:t>12不同</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的投标文件载明的项目管理成员或者联系人员为同一人；</w:t>
      </w:r>
    </w:p>
    <w:p w14:paraId="2E73D79E">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eastAsia="zh-CN"/>
        </w:rPr>
        <w:t>23.</w:t>
      </w:r>
      <w:r>
        <w:rPr>
          <w:rFonts w:hint="eastAsia" w:ascii="仿宋" w:hAnsi="仿宋" w:eastAsia="仿宋" w:cs="仿宋"/>
          <w:color w:val="auto"/>
          <w:highlight w:val="none"/>
        </w:rPr>
        <w:t>13不同</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的投标文件异常一致或者投标报价呈规律性差异；</w:t>
      </w:r>
    </w:p>
    <w:p w14:paraId="1FA7B47A">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val="en-US" w:eastAsia="zh-CN"/>
        </w:rPr>
        <w:t>23.14</w:t>
      </w:r>
      <w:r>
        <w:rPr>
          <w:rFonts w:hint="eastAsia" w:ascii="仿宋" w:hAnsi="仿宋" w:eastAsia="仿宋" w:cs="仿宋"/>
          <w:color w:val="auto"/>
          <w:highlight w:val="none"/>
        </w:rPr>
        <w:t>不同</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的投标文件相互混装。</w:t>
      </w:r>
    </w:p>
    <w:p w14:paraId="764809DF">
      <w:pPr>
        <w:spacing w:line="520" w:lineRule="exact"/>
        <w:ind w:firstLine="480"/>
        <w:rPr>
          <w:rFonts w:ascii="宋体" w:hAnsi="宋体" w:eastAsia="宋体" w:cs="宋体"/>
          <w:color w:val="auto"/>
          <w:highlight w:val="none"/>
        </w:rPr>
      </w:pPr>
    </w:p>
    <w:p w14:paraId="158119ED">
      <w:pPr>
        <w:pStyle w:val="229"/>
        <w:keepNext w:val="0"/>
        <w:keepLines w:val="0"/>
        <w:spacing w:before="0" w:after="0" w:line="520" w:lineRule="exact"/>
        <w:rPr>
          <w:color w:val="auto"/>
          <w:highlight w:val="none"/>
        </w:rPr>
      </w:pPr>
      <w:r>
        <w:rPr>
          <w:rFonts w:hint="eastAsia"/>
          <w:color w:val="auto"/>
          <w:highlight w:val="none"/>
        </w:rPr>
        <w:t>六、开标程序</w:t>
      </w:r>
    </w:p>
    <w:p w14:paraId="32017B53">
      <w:pPr>
        <w:spacing w:line="520" w:lineRule="exact"/>
        <w:ind w:firstLine="482"/>
        <w:rPr>
          <w:rFonts w:ascii="仿宋" w:hAnsi="仿宋" w:eastAsia="仿宋" w:cs="仿宋"/>
          <w:b/>
          <w:color w:val="auto"/>
          <w:highlight w:val="none"/>
        </w:rPr>
      </w:pPr>
      <w:bookmarkStart w:id="34" w:name="EBc833af1256b54b54a5b37c156d946632"/>
      <w:r>
        <w:rPr>
          <w:rFonts w:hint="eastAsia" w:ascii="仿宋" w:hAnsi="仿宋" w:eastAsia="仿宋" w:cs="仿宋"/>
          <w:b/>
          <w:color w:val="auto"/>
          <w:highlight w:val="none"/>
        </w:rPr>
        <w:t>24.开标会议</w:t>
      </w:r>
    </w:p>
    <w:p w14:paraId="0534D61C">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24.1采购代理机构工作人员按招标文件规定的时间、地点组织公开开标。</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应当按照《操作手册》规定，参加开标活动和在苏采云系统规定的时间内对投标文件进行解密。</w:t>
      </w:r>
    </w:p>
    <w:p w14:paraId="163ED0C3">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24.2开标会议由采购代理机构工作人员主持，苏采云系统将自动对项目进行开标，并宣布各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名称和投标报价。</w:t>
      </w:r>
    </w:p>
    <w:p w14:paraId="40CAD9C7">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24.3</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在开标过程中</w:t>
      </w:r>
      <w:r>
        <w:rPr>
          <w:rFonts w:hint="eastAsia" w:ascii="仿宋" w:hAnsi="仿宋" w:eastAsia="仿宋" w:cs="仿宋"/>
          <w:color w:val="auto"/>
          <w:highlight w:val="none"/>
          <w:lang w:eastAsia="zh-CN"/>
        </w:rPr>
        <w:t>涉及</w:t>
      </w:r>
      <w:r>
        <w:rPr>
          <w:rFonts w:hint="eastAsia" w:ascii="仿宋" w:hAnsi="仿宋" w:eastAsia="仿宋" w:cs="仿宋"/>
          <w:color w:val="auto"/>
          <w:highlight w:val="none"/>
        </w:rPr>
        <w:t>的投标文件解密、开标结果确认等工作，应按照《操作手册》规定执行。</w:t>
      </w:r>
    </w:p>
    <w:p w14:paraId="584247C2">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24.4</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如果对开标过程和开标记录有疑义，应当根据《操作手册》规定提出，</w:t>
      </w:r>
      <w:r>
        <w:rPr>
          <w:rFonts w:hint="eastAsia" w:ascii="仿宋" w:hAnsi="仿宋" w:eastAsia="仿宋" w:cs="仿宋"/>
          <w:b/>
          <w:bCs/>
          <w:color w:val="auto"/>
          <w:highlight w:val="none"/>
        </w:rPr>
        <w:t>如苏采云系统中《开标记录表》公布后5分钟内未提出的，视同认可开标结果。</w:t>
      </w:r>
    </w:p>
    <w:p w14:paraId="20C6FA47">
      <w:pPr>
        <w:spacing w:line="520" w:lineRule="exact"/>
        <w:ind w:firstLine="480"/>
        <w:rPr>
          <w:rFonts w:ascii="仿宋" w:hAnsi="仿宋" w:eastAsia="仿宋" w:cs="仿宋"/>
          <w:b/>
          <w:bCs/>
          <w:color w:val="auto"/>
          <w:highlight w:val="none"/>
        </w:rPr>
      </w:pPr>
      <w:r>
        <w:rPr>
          <w:rFonts w:hint="eastAsia" w:ascii="仿宋" w:hAnsi="仿宋" w:eastAsia="仿宋" w:cs="仿宋"/>
          <w:b/>
          <w:bCs/>
          <w:color w:val="auto"/>
          <w:highlight w:val="none"/>
          <w:lang w:eastAsia="zh-CN"/>
        </w:rPr>
        <w:t>投标人</w:t>
      </w:r>
      <w:r>
        <w:rPr>
          <w:rFonts w:hint="eastAsia" w:ascii="仿宋" w:hAnsi="仿宋" w:eastAsia="仿宋" w:cs="仿宋"/>
          <w:b/>
          <w:bCs/>
          <w:color w:val="auto"/>
          <w:highlight w:val="none"/>
        </w:rPr>
        <w:t>在开、评标全过程中应保持通讯畅通，及时登录苏采云系统查阅、答复相关信息，并安排专人与采购代理机构联系。</w:t>
      </w:r>
    </w:p>
    <w:p w14:paraId="22621D7F">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rPr>
        <w:t>25.资格审查</w:t>
      </w:r>
    </w:p>
    <w:p w14:paraId="63DBB11D">
      <w:pPr>
        <w:spacing w:line="520" w:lineRule="exact"/>
        <w:ind w:firstLine="480"/>
        <w:rPr>
          <w:rFonts w:ascii="仿宋" w:hAnsi="仿宋" w:eastAsia="仿宋" w:cs="仿宋"/>
          <w:color w:val="auto"/>
          <w:highlight w:val="none"/>
        </w:rPr>
      </w:pPr>
      <w:bookmarkStart w:id="35" w:name="EBa9c0a2c9e523494487594c65b2a92370"/>
      <w:r>
        <w:rPr>
          <w:rFonts w:hint="eastAsia" w:ascii="仿宋" w:hAnsi="仿宋" w:eastAsia="仿宋" w:cs="仿宋"/>
          <w:color w:val="auto"/>
          <w:highlight w:val="none"/>
        </w:rPr>
        <w:t>开标结束后，采购人或采购代理机构依法对</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的资格证明文件等进行审查。</w:t>
      </w:r>
      <w:bookmarkEnd w:id="35"/>
      <w:r>
        <w:rPr>
          <w:rFonts w:hint="eastAsia" w:ascii="仿宋" w:hAnsi="仿宋" w:eastAsia="仿宋" w:cs="仿宋"/>
          <w:color w:val="auto"/>
          <w:highlight w:val="none"/>
        </w:rPr>
        <w:t>接受联合体的项目，联合体成员存在不良信用记录的，视同联合体存在不良信用记录。</w:t>
      </w:r>
    </w:p>
    <w:p w14:paraId="6F0C6AE3">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rPr>
        <w:t>26.评标委员会</w:t>
      </w:r>
    </w:p>
    <w:p w14:paraId="35E3B020">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采购人或采购代理机构应根据本项目的特点依法组建评标委员会。评标委员会负责具体评标事务，对资格审查合格的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进行评标，并独立履行相关职责。</w:t>
      </w:r>
    </w:p>
    <w:p w14:paraId="2052E3EC">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rPr>
        <w:t>27.评标原则</w:t>
      </w:r>
    </w:p>
    <w:p w14:paraId="044639AE">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“公平、公正、客观、择优”为评标的基本原则，评标委员会将根据这一原则，公正、平等地对待各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w:t>
      </w:r>
    </w:p>
    <w:p w14:paraId="1A9C0DD0">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rPr>
        <w:t>28.评标程序</w:t>
      </w:r>
    </w:p>
    <w:p w14:paraId="7783680A">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28.1符合性检查：审查、评价投标文件是否符合招标文件的实质性要求。评标委员会依据招标文件的规定，从投标文件的有效性、完整性和对招标文件的响应程度进行审查，以确定是否对招标文件的要求作出了实质性的响应。存在重大偏离的投标文件为无效标。所谓重大偏离或保留是指与招标文件规定的实质性要求存在负偏离，或者在实质上与招标文件不一致，而且限制了合同中采购人的权利或</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的义务，纠正这些偏离或保留将会对其他实质性响应的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产生不公正的影响。重大偏离的认定须经评标委员会三分之二以上同意。</w:t>
      </w:r>
    </w:p>
    <w:p w14:paraId="44D6D4E7">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评标委员会判断投标文件的响应性，基于投标文件本身和招标文件要求提供的技术支持而不靠外部证据。对非实质性响应的投标文件，</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不能通过修正或撤销不符之处，而使其成为实质性响应。</w:t>
      </w:r>
    </w:p>
    <w:p w14:paraId="76A53642">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未通过资格审查或符合性审查的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，将通过苏采云系统告知其具体原因，评标结束后不再接受有关询问。</w:t>
      </w:r>
    </w:p>
    <w:p w14:paraId="7D3D9F77">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28.2澄清有关问题。</w:t>
      </w:r>
    </w:p>
    <w:p w14:paraId="65F3798B">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28.2.1对投标文件中含义不明确、同类问题表述不一致或者有明显文字和计算错误的内容，评标委员会可以书面形式要求</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作出必要的澄清、说明或者纠正。</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的澄清、说明或者补正应当采用书面形式。</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的澄清、说明或者补正不得超出投标文件的范围或者改变投标文件的实质性内容。</w:t>
      </w:r>
    </w:p>
    <w:p w14:paraId="548D687C">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28.2.2需要</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进行澄清、说明和补正的，评标委员会将通过苏采云系统向</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发出“澄清要求函”，接到“澄清要求函”的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应当按照要求在苏采云系统中提交“澄清响应函”并加盖CA电子公章。澄清、说明和补正的内容作为投标文件的补充部分，具体操作方式见《操作手册》。</w:t>
      </w:r>
    </w:p>
    <w:p w14:paraId="2115B86A">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28.2.3评标委员会并非对每个</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都做澄清要求。</w:t>
      </w:r>
    </w:p>
    <w:p w14:paraId="47739190">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28.2.4接到评标委员会澄清、说明和补正要求的投标人如未按规定做出澄清、说明和补正，其风险由</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自行承担。</w:t>
      </w:r>
    </w:p>
    <w:p w14:paraId="32DF4E48">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28.2.5投标文件报价出现前后不一致的，除招标文件另有规定外，按照下列规定修正：</w:t>
      </w:r>
    </w:p>
    <w:p w14:paraId="07B46D75">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①投标文件中开标一览表（报价表）内容与投标文件中相应内容不一致的，以开标一览表（报价表）为准；</w:t>
      </w:r>
    </w:p>
    <w:p w14:paraId="499BD844">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②大写和小写不一致的，以大写为准；</w:t>
      </w:r>
    </w:p>
    <w:p w14:paraId="0341F418">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③单价金额小数点或者百分比有明显错位的，以开标一览表的总价为准，并修改单价；</w:t>
      </w:r>
    </w:p>
    <w:p w14:paraId="6AD522DD">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④总价金额与按单价汇总金额不一致的，以单价金额计算结果为准。</w:t>
      </w:r>
    </w:p>
    <w:p w14:paraId="1EF81A41">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同时出现两种以上不一致的，按照前款规定的顺序修正。修正后的报价，经</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确认后产生约束力，</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不确认的，其投标无效。</w:t>
      </w:r>
    </w:p>
    <w:p w14:paraId="1F7093C9">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28.3评标委员会认为</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的报价明显低于其他通过符合性审查</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的报价，有可能不能诚信履约的，应当要求其在合理的时间内提供书面说明，必要时提交相关证明材料；</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不能证明其报价合理性的，评标委员会应当将其作为无效标处理。</w:t>
      </w:r>
    </w:p>
    <w:p w14:paraId="0C6182CA">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28.4比较。评标委员会将按招标文件中规定的评标方法和标准，对符合性检查合格的投标文件进行商务和技术评比。</w:t>
      </w:r>
      <w:bookmarkEnd w:id="34"/>
    </w:p>
    <w:p w14:paraId="60E55E9E">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 xml:space="preserve">28.5推荐中标候选人。评标委员会按照招标文件中规定的评标方法和标准推荐中标候选人。 </w:t>
      </w:r>
    </w:p>
    <w:p w14:paraId="63D9DEC3">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若有充分证据证明，中标候选人出现下列情况之一的，一经查实，采购人有权提请评标委员会或财政部门重新确定其中标资格：</w:t>
      </w:r>
    </w:p>
    <w:p w14:paraId="5592D0FC">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（1）提供虚假材料谋取中标的；</w:t>
      </w:r>
    </w:p>
    <w:p w14:paraId="24546C7E">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（2）与评审专家、采购人、其他投标人或者采购代理机构工作人员恶意串通的；</w:t>
      </w:r>
    </w:p>
    <w:p w14:paraId="4B97D656">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（3）向评审专家、采购人或采购代理机构工作人员行贿或者提供其他不正当利益的；</w:t>
      </w:r>
    </w:p>
    <w:p w14:paraId="03B676C3">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（4）不满足本招标文件规定的实质性要求，但评标过程中又未被评标委员会发现的；</w:t>
      </w:r>
    </w:p>
    <w:p w14:paraId="3D5B21F7">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（5）出现</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串通投标情形的；</w:t>
      </w:r>
    </w:p>
    <w:p w14:paraId="42E20051">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（6）不符合法律、法规的规定的其他情形。</w:t>
      </w:r>
    </w:p>
    <w:p w14:paraId="385846D3">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不符合法定中标条件的，采购人可按评委会推荐的中标候选人名单排序，确定下一候选人为中标人，也可以重新开展政府采购活动。</w:t>
      </w:r>
    </w:p>
    <w:p w14:paraId="5A0F65EE">
      <w:pPr>
        <w:spacing w:line="520" w:lineRule="exact"/>
        <w:rPr>
          <w:rFonts w:ascii="仿宋_GB2312" w:hAnsi="宋体" w:eastAsia="仿宋_GB2312"/>
          <w:color w:val="auto"/>
          <w:sz w:val="20"/>
          <w:highlight w:val="none"/>
        </w:rPr>
      </w:pPr>
    </w:p>
    <w:p w14:paraId="4679DE8E">
      <w:pPr>
        <w:pStyle w:val="229"/>
        <w:keepNext w:val="0"/>
        <w:keepLines w:val="0"/>
        <w:spacing w:before="0" w:after="0" w:line="520" w:lineRule="exact"/>
        <w:rPr>
          <w:color w:val="auto"/>
          <w:highlight w:val="none"/>
        </w:rPr>
      </w:pPr>
      <w:bookmarkStart w:id="36" w:name="_Toc6774"/>
      <w:r>
        <w:rPr>
          <w:rFonts w:hint="eastAsia"/>
          <w:color w:val="auto"/>
          <w:highlight w:val="none"/>
        </w:rPr>
        <w:t>七、中标及合同签订</w:t>
      </w:r>
      <w:bookmarkEnd w:id="36"/>
    </w:p>
    <w:p w14:paraId="35C73560">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rPr>
        <w:t>29.标后审查</w:t>
      </w:r>
    </w:p>
    <w:p w14:paraId="49130548">
      <w:pPr>
        <w:spacing w:line="520" w:lineRule="exact"/>
        <w:ind w:firstLine="480"/>
        <w:rPr>
          <w:rFonts w:ascii="仿宋" w:hAnsi="仿宋" w:eastAsia="仿宋" w:cs="仿宋"/>
          <w:color w:val="auto"/>
          <w:highlight w:val="none"/>
        </w:rPr>
      </w:pPr>
      <w:bookmarkStart w:id="37" w:name="EB17cdacdfdd1244abbb73389fe0bfffe7"/>
      <w:r>
        <w:rPr>
          <w:rFonts w:hint="eastAsia" w:ascii="仿宋" w:hAnsi="仿宋" w:eastAsia="仿宋" w:cs="仿宋"/>
          <w:color w:val="auto"/>
          <w:highlight w:val="none"/>
        </w:rPr>
        <w:t>29.1采购人将在签订合同前对中标候选人是否能圆满地履行合同进行审查。审查包括中标候选人投标文件中提供的所有资格证明材料原件，中标候选人投标文件及补充承诺中涉及的其他相关资料原件，以及对本项目实施可能存在风险的其他因素。</w:t>
      </w:r>
    </w:p>
    <w:p w14:paraId="4F6C8E21">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29.2采购人若发现中标候选人在投标过程中提供虚假证明文件，故意隐瞒公司不良信誉和财务状况，以及存在可能对合同圆满履行造成风险的其他因素等，则报经监管部门按规定取消其中标资格</w:t>
      </w:r>
      <w:r>
        <w:rPr>
          <w:rFonts w:hint="eastAsia" w:ascii="仿宋" w:hAnsi="仿宋" w:eastAsia="仿宋" w:cs="仿宋"/>
          <w:color w:val="auto"/>
          <w:highlight w:val="none"/>
          <w:lang w:eastAsia="zh-CN"/>
        </w:rPr>
        <w:t>，由</w:t>
      </w:r>
      <w:r>
        <w:rPr>
          <w:rFonts w:hint="eastAsia" w:ascii="仿宋" w:hAnsi="仿宋" w:eastAsia="仿宋" w:cs="仿宋"/>
          <w:color w:val="auto"/>
          <w:highlight w:val="none"/>
        </w:rPr>
        <w:t>监管部门依法处理。如果确定第一中标候选人无法履行合同，采购人可以按排名依次对其余中标候选人进行类似的审查或重新招标。</w:t>
      </w:r>
      <w:bookmarkEnd w:id="37"/>
    </w:p>
    <w:p w14:paraId="66B8A3F5">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rPr>
        <w:t>30.确定中标人</w:t>
      </w:r>
    </w:p>
    <w:p w14:paraId="0E6EA7B1">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30.1采购人应当自收到评标报告之日起5个工作日内，在评标报告确定的中标候选人名单中确定中标人。中标候选人并列的，由采购人在相关部门监督下通过随机抽取的方式确定。</w:t>
      </w:r>
    </w:p>
    <w:p w14:paraId="1DFBB62F">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30.2在中标结果公告届满之前，中标人被列为失信被执行人的，取消其中标资格，并重新确定中标人或重新招标。</w:t>
      </w:r>
    </w:p>
    <w:p w14:paraId="250842BC">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30.3采购人不得通过对样品进行检测、对</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进行考察等方式改变评审结果。</w:t>
      </w:r>
    </w:p>
    <w:p w14:paraId="4536BC2C">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30.4中标人（或中标候选人）放弃中标、因不可抗力不能履行合同、提供虚假材料谋取中标或者被查实存在影响中标结果的违法行为等情形，不符合中标条件的，采购人可以按照评标委员会确定的中标候选人名单排序依次确定其他中标候选人为中标人，也可以重新招标。</w:t>
      </w:r>
    </w:p>
    <w:p w14:paraId="73425463">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rPr>
        <w:t>31.中标通知书</w:t>
      </w:r>
    </w:p>
    <w:p w14:paraId="39C1345F">
      <w:pPr>
        <w:spacing w:line="520" w:lineRule="exact"/>
        <w:ind w:firstLine="480"/>
        <w:rPr>
          <w:rFonts w:hint="eastAsia" w:ascii="仿宋" w:hAnsi="仿宋" w:eastAsia="仿宋" w:cs="仿宋"/>
          <w:color w:val="auto"/>
          <w:highlight w:val="none"/>
          <w:lang w:eastAsia="zh-CN"/>
        </w:rPr>
      </w:pPr>
      <w:r>
        <w:rPr>
          <w:rFonts w:hint="eastAsia" w:ascii="仿宋" w:hAnsi="仿宋" w:eastAsia="仿宋" w:cs="仿宋"/>
          <w:color w:val="auto"/>
          <w:highlight w:val="none"/>
        </w:rPr>
        <w:t>31.1中标结果在指定信息媒体上发布公告，</w:t>
      </w:r>
      <w:r>
        <w:rPr>
          <w:rFonts w:hint="eastAsia" w:ascii="仿宋" w:hAnsi="仿宋" w:eastAsia="仿宋" w:cs="仿宋"/>
          <w:color w:val="auto"/>
          <w:highlight w:val="none"/>
          <w:lang w:eastAsia="zh-CN"/>
        </w:rPr>
        <w:t>公告期限为1个工作日。</w:t>
      </w:r>
    </w:p>
    <w:p w14:paraId="70ABF066">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lang w:val="en-US" w:eastAsia="zh-CN"/>
        </w:rPr>
        <w:t>31.2</w:t>
      </w:r>
      <w:r>
        <w:rPr>
          <w:rFonts w:hint="eastAsia" w:ascii="仿宋" w:hAnsi="仿宋" w:eastAsia="仿宋" w:cs="仿宋"/>
          <w:color w:val="auto"/>
          <w:highlight w:val="none"/>
        </w:rPr>
        <w:t>在公告中标结果的同时，</w:t>
      </w:r>
      <w:r>
        <w:rPr>
          <w:rFonts w:hint="eastAsia" w:ascii="仿宋" w:hAnsi="仿宋" w:eastAsia="仿宋" w:cs="仿宋"/>
          <w:color w:val="auto"/>
          <w:highlight w:val="none"/>
          <w:lang w:val="en-US" w:eastAsia="zh-CN"/>
        </w:rPr>
        <w:t>采购人或</w:t>
      </w:r>
      <w:r>
        <w:rPr>
          <w:rFonts w:hint="eastAsia" w:ascii="仿宋" w:hAnsi="仿宋" w:eastAsia="仿宋" w:cs="仿宋"/>
          <w:color w:val="auto"/>
          <w:highlight w:val="none"/>
        </w:rPr>
        <w:t>采购代理机构将向中标人发出中标通知书。</w:t>
      </w:r>
    </w:p>
    <w:p w14:paraId="0F5DBD86">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31.</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中标人应及时领取中标通知书，中标通知书是签订合同的依据和组成部分。</w:t>
      </w:r>
    </w:p>
    <w:p w14:paraId="5B76EFA8">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rPr>
        <w:t>32.签订合同</w:t>
      </w:r>
    </w:p>
    <w:p w14:paraId="0CE00B06">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32.1中标人与采购人应当在中标通知书发出之日起</w:t>
      </w:r>
      <w:r>
        <w:rPr>
          <w:rFonts w:hint="eastAsia" w:ascii="仿宋" w:hAnsi="仿宋" w:eastAsia="仿宋" w:cs="仿宋"/>
          <w:color w:val="auto"/>
          <w:highlight w:val="none"/>
          <w:lang w:val="en-US" w:eastAsia="zh-CN"/>
        </w:rPr>
        <w:t>15</w:t>
      </w:r>
      <w:r>
        <w:rPr>
          <w:rFonts w:hint="eastAsia" w:ascii="仿宋" w:hAnsi="仿宋" w:eastAsia="仿宋" w:cs="仿宋"/>
          <w:color w:val="auto"/>
          <w:highlight w:val="none"/>
        </w:rPr>
        <w:t>日内签订书面合同。中标通知书、招标文件、中标人的投标文件以及评标过程中有关澄清文件均作为合同附件。</w:t>
      </w:r>
    </w:p>
    <w:p w14:paraId="2645799F">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32.2中标人无正当理由未在规定时间内与采购人签订合同的，采购人有权建议取消其中标资格，监管部门将对其依法处理。</w:t>
      </w:r>
    </w:p>
    <w:p w14:paraId="78339E0E">
      <w:pPr>
        <w:spacing w:line="520" w:lineRule="exact"/>
        <w:ind w:firstLine="482"/>
        <w:rPr>
          <w:rFonts w:hint="eastAsia" w:ascii="仿宋" w:hAnsi="仿宋" w:eastAsia="仿宋" w:cs="仿宋"/>
          <w:b/>
          <w:color w:val="auto"/>
          <w:highlight w:val="none"/>
          <w:lang w:eastAsia="zh-CN"/>
        </w:rPr>
      </w:pPr>
      <w:r>
        <w:rPr>
          <w:rFonts w:hint="eastAsia" w:ascii="仿宋" w:hAnsi="仿宋" w:eastAsia="仿宋" w:cs="仿宋"/>
          <w:b/>
          <w:color w:val="auto"/>
          <w:highlight w:val="none"/>
        </w:rPr>
        <w:t>33.履约保证金</w:t>
      </w:r>
      <w:r>
        <w:rPr>
          <w:rFonts w:hint="eastAsia" w:ascii="仿宋" w:hAnsi="仿宋" w:eastAsia="仿宋" w:cs="仿宋"/>
          <w:b/>
          <w:color w:val="auto"/>
          <w:highlight w:val="none"/>
          <w:lang w:eastAsia="zh-CN"/>
        </w:rPr>
        <w:t>（</w:t>
      </w:r>
      <w:r>
        <w:rPr>
          <w:rFonts w:hint="eastAsia" w:ascii="仿宋" w:hAnsi="仿宋" w:eastAsia="仿宋" w:cs="仿宋"/>
          <w:b/>
          <w:color w:val="auto"/>
          <w:highlight w:val="none"/>
          <w:lang w:val="en-US" w:eastAsia="zh-CN"/>
        </w:rPr>
        <w:t>如适用</w:t>
      </w:r>
      <w:r>
        <w:rPr>
          <w:rFonts w:hint="eastAsia" w:ascii="仿宋" w:hAnsi="仿宋" w:eastAsia="仿宋" w:cs="仿宋"/>
          <w:b/>
          <w:color w:val="auto"/>
          <w:highlight w:val="none"/>
          <w:lang w:eastAsia="zh-CN"/>
        </w:rPr>
        <w:t>）</w:t>
      </w:r>
    </w:p>
    <w:p w14:paraId="6AFDBA8C">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详见投标人须知前附表。</w:t>
      </w:r>
    </w:p>
    <w:p w14:paraId="0FADA789">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33.1</w:t>
      </w:r>
      <w:r>
        <w:rPr>
          <w:rFonts w:hint="eastAsia" w:ascii="仿宋" w:hAnsi="仿宋" w:eastAsia="仿宋" w:cs="仿宋"/>
          <w:color w:val="auto"/>
          <w:highlight w:val="none"/>
        </w:rPr>
        <w:t>履约保证金应在采购合同签订前提交</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除银行电汇、网上银行、数字人民币外，投标人还可选用银行保函、担保公司的保证担保或保险公司的保证保险</w:t>
      </w:r>
      <w:r>
        <w:rPr>
          <w:rFonts w:hint="eastAsia" w:ascii="仿宋" w:hAnsi="仿宋" w:eastAsia="仿宋" w:cs="仿宋"/>
          <w:color w:val="auto"/>
          <w:highlight w:val="none"/>
          <w:lang w:eastAsia="zh-CN"/>
        </w:rPr>
        <w:t>等</w:t>
      </w:r>
      <w:r>
        <w:rPr>
          <w:rFonts w:hint="eastAsia" w:ascii="仿宋" w:hAnsi="仿宋" w:eastAsia="仿宋" w:cs="仿宋"/>
          <w:color w:val="auto"/>
          <w:highlight w:val="none"/>
        </w:rPr>
        <w:t>多种形式向采购人缴纳；</w:t>
      </w:r>
    </w:p>
    <w:p w14:paraId="6D7AE64D">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33.2</w:t>
      </w:r>
      <w:r>
        <w:rPr>
          <w:rFonts w:hint="eastAsia" w:ascii="仿宋" w:hAnsi="仿宋" w:eastAsia="仿宋" w:cs="仿宋"/>
          <w:color w:val="auto"/>
          <w:highlight w:val="none"/>
        </w:rPr>
        <w:t>履约保证金退还的方式：以银行电汇、网上银行、数字人民币形式缴纳履约保证金的，退回至投标人存款账户或投标人数字人民币账户；以保函、担保、保险等形式缴纳履约保证金的，在保函、担保、保险约定的保证期限届满之日起自行失效；</w:t>
      </w:r>
    </w:p>
    <w:p w14:paraId="4DB4361F">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33.3</w:t>
      </w:r>
      <w:r>
        <w:rPr>
          <w:rFonts w:hint="eastAsia" w:ascii="仿宋" w:hAnsi="仿宋" w:eastAsia="仿宋" w:cs="仿宋"/>
          <w:color w:val="auto"/>
          <w:highlight w:val="none"/>
        </w:rPr>
        <w:t>履约保证金退还的条件</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按以下方式实行：</w:t>
      </w:r>
    </w:p>
    <w:p w14:paraId="117FB54A">
      <w:pPr>
        <w:spacing w:line="520" w:lineRule="exact"/>
        <w:ind w:left="480" w:leftChars="20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投标人在节能改造完成，验收合格并进入托管期后，采购人无息返还履约保证金。</w:t>
      </w:r>
    </w:p>
    <w:p w14:paraId="4D35157E">
      <w:pPr>
        <w:spacing w:line="520" w:lineRule="exact"/>
        <w:ind w:left="480" w:leftChars="20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履约保证金退还时间：采购单位收到投标人退付申请后5个工作日内退还；</w:t>
      </w:r>
    </w:p>
    <w:p w14:paraId="14A43C6F">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履约保证金不予退还情形：除不可抗力外，投标人不履行与采购人订立的采购合同的，履约保证金不予退还，给采购人造成的损失超过履约保证金数额的，还应当对超过部分予以赔偿；</w:t>
      </w:r>
    </w:p>
    <w:p w14:paraId="70640FFB">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33.4</w:t>
      </w:r>
      <w:r>
        <w:rPr>
          <w:rFonts w:hint="eastAsia" w:ascii="仿宋" w:hAnsi="仿宋" w:eastAsia="仿宋" w:cs="仿宋"/>
          <w:color w:val="auto"/>
          <w:highlight w:val="none"/>
        </w:rPr>
        <w:t>逾期退还履约保证金的违约责任：除应当退还履约保证金外，还应当按中国人民银行同期贷款基准利率上浮 20％后的利率支付超期资金占用费，但因投标人自身原因导致无法及时退还的除外。</w:t>
      </w:r>
    </w:p>
    <w:p w14:paraId="21879973">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33.5</w:t>
      </w:r>
      <w:r>
        <w:rPr>
          <w:rFonts w:hint="eastAsia" w:ascii="仿宋" w:hAnsi="仿宋" w:eastAsia="仿宋" w:cs="仿宋"/>
          <w:color w:val="auto"/>
          <w:highlight w:val="none"/>
        </w:rPr>
        <w:t>本项目支持和鼓励供应商使用江苏政府采购电子履约保函（保险）代替缴纳履约保证金。关于办理流程、偿付等内容详见江苏省政府采购网《关于在全省政府采购领域推行电子履约保函(保险) 的通知》 (苏财购﹝2023﹞150号)。</w:t>
      </w:r>
    </w:p>
    <w:p w14:paraId="1C23BDBD">
      <w:pPr>
        <w:pStyle w:val="229"/>
        <w:keepNext w:val="0"/>
        <w:keepLines w:val="0"/>
        <w:spacing w:before="0" w:after="0" w:line="520" w:lineRule="exact"/>
        <w:outlineLvl w:val="9"/>
        <w:rPr>
          <w:rFonts w:hint="eastAsia"/>
          <w:color w:val="auto"/>
          <w:highlight w:val="none"/>
        </w:rPr>
      </w:pPr>
      <w:bookmarkStart w:id="38" w:name="_Toc15475"/>
    </w:p>
    <w:p w14:paraId="5CC28935">
      <w:pPr>
        <w:pStyle w:val="229"/>
        <w:keepNext w:val="0"/>
        <w:keepLines w:val="0"/>
        <w:spacing w:before="0" w:after="0" w:line="520" w:lineRule="exact"/>
        <w:rPr>
          <w:color w:val="auto"/>
          <w:highlight w:val="none"/>
        </w:rPr>
      </w:pPr>
      <w:r>
        <w:rPr>
          <w:rFonts w:hint="eastAsia"/>
          <w:color w:val="auto"/>
          <w:highlight w:val="none"/>
        </w:rPr>
        <w:t>八、验收及付款</w:t>
      </w:r>
      <w:bookmarkEnd w:id="38"/>
    </w:p>
    <w:p w14:paraId="1D94B8A1">
      <w:pPr>
        <w:spacing w:line="520" w:lineRule="exact"/>
        <w:ind w:firstLine="482"/>
        <w:rPr>
          <w:rFonts w:ascii="仿宋" w:hAnsi="仿宋" w:eastAsia="仿宋" w:cs="仿宋"/>
          <w:b/>
          <w:color w:val="auto"/>
          <w:highlight w:val="none"/>
        </w:rPr>
      </w:pPr>
      <w:r>
        <w:rPr>
          <w:rFonts w:hint="eastAsia" w:ascii="仿宋" w:hAnsi="仿宋" w:eastAsia="仿宋" w:cs="仿宋"/>
          <w:b/>
          <w:color w:val="auto"/>
          <w:highlight w:val="none"/>
        </w:rPr>
        <w:t>34.验收及付款</w:t>
      </w:r>
    </w:p>
    <w:p w14:paraId="6F208C24">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34.1采购人或采购代理机构应当组成验收小组，验收人员应当按照约定的验收标准，对</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的履约情况开展验收。验收结束后，验收人员应当出具验收报告；</w:t>
      </w:r>
    </w:p>
    <w:p w14:paraId="7F52C77F">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34.2按照招标文件和合同约定的付款方式，采购人及时办理付款手续。</w:t>
      </w:r>
    </w:p>
    <w:p w14:paraId="0733621F">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34.3 政府采购合同履行中，需追加与合同标的相同的货物</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包含与货物相关的服务</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的，在不改变价格水平、合同及其他条款的前提下，采购人可以与中标人协商签订补充合同，但所有补充合同的采购金额不得超过原合同采购金额的百分之十。</w:t>
      </w:r>
    </w:p>
    <w:p w14:paraId="2F97DE0E">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34.4</w:t>
      </w:r>
      <w:r>
        <w:rPr>
          <w:rFonts w:hint="eastAsia" w:ascii="仿宋" w:hAnsi="仿宋" w:eastAsia="仿宋" w:cs="仿宋"/>
          <w:color w:val="auto"/>
          <w:highlight w:val="none"/>
        </w:rPr>
        <w:t>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1615505">
      <w:pPr>
        <w:spacing w:line="520" w:lineRule="exact"/>
        <w:ind w:firstLine="480"/>
        <w:rPr>
          <w:rFonts w:ascii="仿宋_GB2312" w:eastAsia="仿宋_GB2312"/>
          <w:color w:val="auto"/>
          <w:highlight w:val="none"/>
        </w:rPr>
      </w:pPr>
      <w:r>
        <w:rPr>
          <w:rFonts w:hint="eastAsia" w:ascii="仿宋" w:hAnsi="仿宋" w:eastAsia="仿宋" w:cs="仿宋"/>
          <w:color w:val="auto"/>
          <w:highlight w:val="none"/>
        </w:rPr>
        <w:t xml:space="preserve">   </w:t>
      </w:r>
      <w:bookmarkStart w:id="39" w:name="EB120ac03ab710494bb42e662066a04c8d"/>
      <w:r>
        <w:rPr>
          <w:rFonts w:hint="eastAsia" w:ascii="仿宋_GB2312" w:hAnsi="宋体" w:eastAsia="仿宋_GB2312"/>
          <w:color w:val="auto"/>
          <w:highlight w:val="none"/>
        </w:rPr>
        <w:t xml:space="preserve"> </w:t>
      </w:r>
      <w:bookmarkEnd w:id="39"/>
      <w:bookmarkStart w:id="40" w:name="EB3dfb2d4b0d1a4c49b19eebbcbcf2070f"/>
      <w:r>
        <w:rPr>
          <w:rFonts w:hint="eastAsia" w:ascii="仿宋_GB2312" w:eastAsia="仿宋_GB2312"/>
          <w:color w:val="auto"/>
          <w:sz w:val="20"/>
          <w:highlight w:val="none"/>
        </w:rPr>
        <w:t xml:space="preserve"> </w:t>
      </w:r>
      <w:bookmarkEnd w:id="40"/>
    </w:p>
    <w:p w14:paraId="1E0D6AB2">
      <w:pPr>
        <w:pStyle w:val="229"/>
        <w:keepNext w:val="0"/>
        <w:keepLines w:val="0"/>
        <w:spacing w:before="0" w:after="0" w:line="520" w:lineRule="exact"/>
        <w:rPr>
          <w:color w:val="auto"/>
          <w:highlight w:val="none"/>
        </w:rPr>
      </w:pPr>
      <w:bookmarkStart w:id="41" w:name="_Toc20991"/>
      <w:r>
        <w:rPr>
          <w:rFonts w:hint="eastAsia"/>
          <w:color w:val="auto"/>
          <w:highlight w:val="none"/>
        </w:rPr>
        <w:t>九、质疑与投诉</w:t>
      </w:r>
      <w:bookmarkEnd w:id="41"/>
    </w:p>
    <w:p w14:paraId="205AF46E">
      <w:pPr>
        <w:spacing w:line="520" w:lineRule="exact"/>
        <w:ind w:firstLine="480"/>
        <w:rPr>
          <w:rFonts w:ascii="仿宋" w:hAnsi="仿宋" w:eastAsia="仿宋" w:cs="仿宋"/>
          <w:b/>
          <w:color w:val="auto"/>
          <w:highlight w:val="none"/>
        </w:rPr>
      </w:pPr>
      <w:r>
        <w:rPr>
          <w:rFonts w:hint="eastAsia" w:ascii="仿宋" w:hAnsi="仿宋" w:eastAsia="仿宋" w:cs="仿宋"/>
          <w:b/>
          <w:color w:val="auto"/>
          <w:highlight w:val="none"/>
        </w:rPr>
        <w:t>35.质疑与投诉</w:t>
      </w:r>
    </w:p>
    <w:p w14:paraId="4713C902">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35.1</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认为招标文件、采购过程和中标结果使自己的权益受到损害的，可以在知道或者应知其权益受到损害之日起七个工作日内（具体起算时间见35.2），以书面形式向采购人或者其委托的采购代理机构提出质疑。质疑超出采购机构代理范围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应当向采购人提出。</w:t>
      </w:r>
    </w:p>
    <w:p w14:paraId="5CDC59DC">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本项目接收质疑函的方式：</w:t>
      </w:r>
      <w:bookmarkStart w:id="42" w:name="EBf7accddeb64e419786dca6f2920f0c2c"/>
      <w:r>
        <w:rPr>
          <w:rFonts w:hint="eastAsia" w:ascii="仿宋" w:hAnsi="仿宋" w:eastAsia="仿宋" w:cs="仿宋"/>
          <w:color w:val="auto"/>
          <w:highlight w:val="none"/>
        </w:rPr>
        <w:t xml:space="preserve"> </w:t>
      </w:r>
      <w:bookmarkEnd w:id="42"/>
    </w:p>
    <w:p w14:paraId="5B251155">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联系人：万晗晓</w:t>
      </w:r>
    </w:p>
    <w:p w14:paraId="14328739">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联系电话：025-85507079</w:t>
      </w:r>
    </w:p>
    <w:p w14:paraId="18A71CC6">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通讯地址：南京市中山南路414号投资大厦A层（13层）</w:t>
      </w:r>
      <w:r>
        <w:rPr>
          <w:rFonts w:hint="eastAsia" w:ascii="仿宋" w:hAnsi="仿宋" w:eastAsia="仿宋" w:cs="仿宋"/>
          <w:color w:val="auto"/>
          <w:highlight w:val="none"/>
          <w:lang w:val="en-US" w:eastAsia="zh-CN"/>
        </w:rPr>
        <w:t>1301</w:t>
      </w:r>
      <w:r>
        <w:rPr>
          <w:rFonts w:hint="eastAsia" w:ascii="仿宋" w:hAnsi="仿宋" w:eastAsia="仿宋" w:cs="仿宋"/>
          <w:color w:val="auto"/>
          <w:highlight w:val="none"/>
        </w:rPr>
        <w:t>室</w:t>
      </w:r>
    </w:p>
    <w:p w14:paraId="45BF8AE9">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35.2</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应知其权益受到损害之日，是指：</w:t>
      </w:r>
    </w:p>
    <w:p w14:paraId="109FC9D2">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（1）对本项目招标文件提出质疑的，为获取招标文件之日或者招标文件公告期限届满之日；</w:t>
      </w:r>
    </w:p>
    <w:p w14:paraId="5E11E0E9">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（2）对本项目采购过程提出质疑的，为各采购程序环节结束之日；</w:t>
      </w:r>
    </w:p>
    <w:p w14:paraId="6E2F28C9">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（3）对本项目中标或者成交结果提出质疑的，为中标或者成交结果公告期限届满之日。</w:t>
      </w:r>
    </w:p>
    <w:p w14:paraId="03622041">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35.3 质疑</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应当是参与所质疑项目采购活动的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。潜在</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已依法获取其可质疑的招标文件的，方可对该文件提出质疑。</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在法定质疑期内应一次性提出针对同一采购程序环节的质疑。</w:t>
      </w:r>
    </w:p>
    <w:p w14:paraId="40AA5432">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35.4</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提出质疑应当提交质疑函和必要的证明材料。质疑函的必备内容：</w:t>
      </w:r>
    </w:p>
    <w:p w14:paraId="7E89FFDE">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的姓名或者名称、地址、邮编、联系人及联系电话；</w:t>
      </w:r>
    </w:p>
    <w:p w14:paraId="0EC16A3F">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（2）质疑项目的名称、编号；</w:t>
      </w:r>
    </w:p>
    <w:p w14:paraId="77D08F15">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（3）获取招标文件的时间；</w:t>
      </w:r>
    </w:p>
    <w:p w14:paraId="50D291DB">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（4）具体、明确的质疑事项和质疑事项相关的请求；</w:t>
      </w:r>
    </w:p>
    <w:p w14:paraId="67574C31">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（5）事实依据；</w:t>
      </w:r>
    </w:p>
    <w:p w14:paraId="360256F6">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（6）必要的法律依据；</w:t>
      </w:r>
    </w:p>
    <w:p w14:paraId="74BAB0AB">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（7）提出质疑的日期；</w:t>
      </w:r>
    </w:p>
    <w:p w14:paraId="5DBE104F">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为自然人的，由本人签字；</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为法人或者其他组织的，应当由法定代表人、主要负责人，或者其授权代表签字或者盖章，并加盖公章。</w:t>
      </w:r>
    </w:p>
    <w:p w14:paraId="368D5807">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（9）</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委托代理人进行质疑的，代理人同时应当提交</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签署的授权委托书。授权委托书载明代理人的姓名或者名称、代理事项、具体权限、期限和相关事项。</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为自然人的，授权委托书应当由本人签字；</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为法人或者其他组织的，授权委托书应当由法定代表人、主要负责人签字或者盖章，并加盖单位公章。</w:t>
      </w:r>
    </w:p>
    <w:p w14:paraId="19EA3382">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10）对采购文件提出质疑的，提交《投标供应商确认函》日期视同为依法获取采购文件日期。供应商须打印、保留《投标供应商确认函》，质疑时《投标供应商确认函》与质疑函一并提交；未依照招标公告要求提交《投标供应商确认函》的供应商，视为未参与该项目政府采购活动，不具备对该政府采购项目提出质疑的法定权利，但因供应商资格条件或获取采购文件时间设定不符合有关法律法规规定等原因使供应商权益受损的除外。</w:t>
      </w:r>
    </w:p>
    <w:p w14:paraId="5C818335">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35.5采购人、采购代理机构在收到质疑函后7个工作日内作出答复，并以书面形式通知质疑</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和其他有关</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，但质疑答复的内容不涉及商业秘密。</w:t>
      </w:r>
    </w:p>
    <w:p w14:paraId="0DAB0FC6">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35.6质疑</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对采购人、采购代理机构的答复不满意，或者采购人、采购代理机构未在规定时间内作出答复的，可以在答复期满后15个工作日内向《政府采购质疑和投诉办法》第六条规定的财政部门提起投诉。</w:t>
      </w:r>
    </w:p>
    <w:p w14:paraId="006884F1">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35.7投标人</w:t>
      </w:r>
      <w:r>
        <w:rPr>
          <w:rFonts w:hint="eastAsia" w:ascii="仿宋" w:hAnsi="仿宋" w:eastAsia="仿宋" w:cs="仿宋"/>
          <w:color w:val="auto"/>
          <w:highlight w:val="none"/>
        </w:rPr>
        <w:t>在全国范围12个月内三次以上投诉查无实据的，由财政部门列入不良行为记录名单。</w:t>
      </w:r>
    </w:p>
    <w:p w14:paraId="1F556342">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35.8投标人</w:t>
      </w:r>
      <w:r>
        <w:rPr>
          <w:rFonts w:hint="eastAsia" w:ascii="仿宋" w:hAnsi="仿宋" w:eastAsia="仿宋" w:cs="仿宋"/>
          <w:color w:val="auto"/>
          <w:highlight w:val="none"/>
        </w:rPr>
        <w:t>有下列行为之一的，属于虚假、恶意投诉，由财政部门列入不良行为记录名单，禁止其1至3年内参加政府采购活动：</w:t>
      </w:r>
    </w:p>
    <w:p w14:paraId="3EAE73AE">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（一）捏造事实</w:t>
      </w:r>
      <w:r>
        <w:rPr>
          <w:rFonts w:hint="eastAsia" w:ascii="仿宋" w:hAnsi="仿宋" w:eastAsia="仿宋" w:cs="仿宋"/>
          <w:color w:val="auto"/>
          <w:highlight w:val="none"/>
          <w:lang w:eastAsia="zh-CN"/>
        </w:rPr>
        <w:t>；</w:t>
      </w:r>
    </w:p>
    <w:p w14:paraId="056061D1">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（二）提供虚假材料</w:t>
      </w:r>
      <w:r>
        <w:rPr>
          <w:rFonts w:hint="eastAsia" w:ascii="仿宋" w:hAnsi="仿宋" w:eastAsia="仿宋" w:cs="仿宋"/>
          <w:color w:val="auto"/>
          <w:highlight w:val="none"/>
          <w:lang w:eastAsia="zh-CN"/>
        </w:rPr>
        <w:t>；</w:t>
      </w:r>
    </w:p>
    <w:p w14:paraId="758F90C8">
      <w:pPr>
        <w:spacing w:line="5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（三）以非法手段取得证明材料。证据来源的合法性存在明显疑问，</w:t>
      </w: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rPr>
        <w:t>无法证明其取得方式合法的，视为以非法手段取得证明材料。</w:t>
      </w:r>
    </w:p>
    <w:p w14:paraId="7331234C">
      <w:pPr>
        <w:pStyle w:val="258"/>
        <w:spacing w:line="520" w:lineRule="exact"/>
        <w:rPr>
          <w:color w:val="auto"/>
          <w:highlight w:val="none"/>
        </w:rPr>
      </w:pPr>
    </w:p>
    <w:p w14:paraId="50063752">
      <w:pPr>
        <w:pStyle w:val="229"/>
        <w:keepNext w:val="0"/>
        <w:keepLines w:val="0"/>
        <w:spacing w:before="160" w:after="160" w:line="520" w:lineRule="exact"/>
        <w:rPr>
          <w:color w:val="auto"/>
          <w:highlight w:val="none"/>
        </w:rPr>
      </w:pPr>
      <w:r>
        <w:rPr>
          <w:rFonts w:hint="eastAsia"/>
          <w:color w:val="auto"/>
          <w:highlight w:val="none"/>
        </w:rPr>
        <w:t>十、政府采购政策落实</w:t>
      </w:r>
    </w:p>
    <w:p w14:paraId="7F72E568">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36.线上融资</w:t>
      </w:r>
    </w:p>
    <w:p w14:paraId="262C103D">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中标/成交</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可凭政府采购合同办理融资贷款，详见江苏政府采购网“政采贷”专栏。中小微企业</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可通过中征应收账款融资服务平台（网址：https://www.crcrfsp.com/），凭借中标/成交通知书或政府采购合同向金融机构申请融资。</w:t>
      </w:r>
    </w:p>
    <w:p w14:paraId="3E3D1B58">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37.中小企业、监狱和戒毒企业及残疾人福利性单位</w:t>
      </w:r>
    </w:p>
    <w:p w14:paraId="1BB17743">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37.1 政府采购促进中小企业发展，在政府采购活动中，</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提供的货物、工程或者服务符合下列情形的，享受中小企业扶持政策：</w:t>
      </w:r>
    </w:p>
    <w:p w14:paraId="72440369">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（1）在货物采购项目中，货物由中小企业制造，即货物由中小企业生产且使用该中小企业商号或者注册商标；</w:t>
      </w:r>
    </w:p>
    <w:p w14:paraId="32DC1576">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（2）在工程采购项目中，工程由中小企业承建，即工程施工单位为中小企业；</w:t>
      </w:r>
    </w:p>
    <w:p w14:paraId="64043FF0">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（3）在服务采购项目中，服务由中小企业承接，即提供服务的人员为中小企业依照《中华人民共和国劳动合同法》订立劳动合同的从业人员。</w:t>
      </w:r>
    </w:p>
    <w:p w14:paraId="2E978315">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在货物采购项目中，</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提供的货物既有中小企业制造货物，也有大型企业制造货物的，不享受中小企业扶持政策。</w:t>
      </w:r>
    </w:p>
    <w:p w14:paraId="115E1D03">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以联合体形式参加政府采购活动，联合体各方均为中小企业的，联合体视同中小企业。其中，联合体各方均为小微企业的，联合体视同小微企业。</w:t>
      </w:r>
    </w:p>
    <w:p w14:paraId="31A77D30">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中小企业</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参加政府采购活动，应当出具《中小企业声明函》（格式见后附件），否则不得享受相关中小企业扶持政策。</w:t>
      </w:r>
    </w:p>
    <w:p w14:paraId="38BAC9B9">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中小企业，是指在中华人民共和国境内依法设立，依据国务院批准的中小企业划分标准（详见《关于印发中小企业划型标准规定的通知》</w:t>
      </w:r>
    </w:p>
    <w:p w14:paraId="2F718C72">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工信部联企业〔2011〕300号及《国家统计局关于印发〈统计上大中小微型企业划分办法（2017）〉的通知》国统字〔2017〕213号）确定的中型企业、小型企业和微型企业，但与大企业的负责人为同一人，或者与大企业存在直接控股、管理关系的除外。符合中小企业划分标准的个体工商户，在政府采购活动中视同中小企业。</w:t>
      </w:r>
    </w:p>
    <w:p w14:paraId="798385D0">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37.2 政府采购支持监狱和戒毒企业发展政策，监狱和戒毒企业提供的产品和服务在评标时将获得优势，参加投标的监狱和戒毒企业，应当提供由省级以上监狱管理局、戒毒管理局（含新疆生产建设兵团）出具的属于监狱企业的证明文件，监狱和戒毒企业享受政府采购支持政策的要求详见财库〔2014〕68号。</w:t>
      </w:r>
    </w:p>
    <w:p w14:paraId="3FD6CF3D">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37.3 政府采购促进残疾人就业政策，残疾人福利性单位提供的产品和服务在评标时将获得优势，参加投标的残疾人福利性单位，应当提供《残疾人福利性单位声明函》，残疾人福利性单位享受政府采购支持政策的要求详见财库〔2017〕141号。</w:t>
      </w:r>
    </w:p>
    <w:p w14:paraId="42ADB1F1">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注：①参加投标的中小企业，应当按照《政府采购促进中小企业发展管理办法》（财库〔2020〕46号）规定，出具《中小企业声明函》，否则不得享受相关中小企业扶持政策。</w:t>
      </w:r>
    </w:p>
    <w:p w14:paraId="62FECABC">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②参加投标的监狱企业，视同小型、微型企业。监狱企业应当按照《财政部 司法部关于政府采购支持监狱企业发展有关问题的通知》（财库〔2014〕68号）的规定，提供由省级以上监狱管理局、戒毒管理局(含新疆生产建设兵团)出具的属于监狱企业的证明文件（投标文件中上传加盖出具单位公章的电子件）。</w:t>
      </w:r>
    </w:p>
    <w:p w14:paraId="282D16B6">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③参加投标的残疾人福利性单位，视同小型、微型企业。残疾人福利性单位应当按照《财政部 民政部 中国残疾人联合会关于促进残疾人就业政府采购政策的通知》（财库〔2017〕141号）的规定，提供《残疾人福利性单位声明函》。</w:t>
      </w:r>
    </w:p>
    <w:p w14:paraId="3A4B127B">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④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的扣除，用扣除后的价格参加评审。（是否接受联合体以招标文件中相关内容为准，是否允许大中型企业向一家或者多家小微企业分包以招标文件中相关内容为准。）</w:t>
      </w:r>
    </w:p>
    <w:p w14:paraId="6C1641BF">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⑤工信部联企业〔2011〕300号及《国家统计局关于印发〈统计上大中小微型企业划分办法（2017）〉的通知》国统字〔2017〕213号）确定的中型企业、小型企业和微型企业，但与大企业的负责人为同一人，或者与大企业存在直接控股、管理关系的除外。符合中小企业划分标准的个体工商户，在政府采购活动中视同中小企业。</w:t>
      </w:r>
    </w:p>
    <w:p w14:paraId="3457CBB6">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38.节能产品、信息安全产品、环境标志产品</w:t>
      </w:r>
    </w:p>
    <w:p w14:paraId="47BE7693">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38.1 如本次采购产品属于强制采购范围内的，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应选投强制采购范围内的产品，否则按无效标处理。不属于强制采购范围内的，如需优先采购，则按照评分标准或采购需求约定执行。（提供的产品如属于政府强制采购节能产品品目清单范围内，必须提供国家确定的认证机构出具的、处于有效期之内的该节能产品认证证书）</w:t>
      </w:r>
    </w:p>
    <w:p w14:paraId="783DD4DE">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38.2强制采购节能产品、信息安全产品，优先采购环境标志产品。节能产品是指列入财政部、国家发展和改革委员会制定的《节能产品政府采购品目清单》（财库〔2019〕19号），且经过认定的节能产品；信息安全产品是指列入国家质检总局、国家认监委《信息安全产品强制性认证目录》，并获得强制性产品认证证书的产品；环境标志产品是指列入财政部、生态环境部制定的《环境标志产品政府采购品目清单》（财库〔2019〕18号），且依据相关标准的最新版本认证的环境标志产品。国家对品目清单进行调整的，按照最新的品目清单执行。</w:t>
      </w:r>
    </w:p>
    <w:p w14:paraId="54BF9C72">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38.3 提供的产品属于信息安全产品的，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应当选择经国家认证的信息安全产品投标，并提供由中国网络安全审查技术与认证中心按国家标准认证颁发的有效认证证书复印件。</w:t>
      </w:r>
    </w:p>
    <w:p w14:paraId="79EA6420">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38.4 提供的产品属于政府强制采购节能产品的，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应当选择依据国家标准中二级能效（水效）指标认证的节能产品投标，并提供有效的节能产品认证证书复印件。</w:t>
      </w:r>
    </w:p>
    <w:p w14:paraId="1D8BBA13">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38.5提供的产品属于环境标志产品的,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应当选择依据相关标准的最新版本认证的环境标志产品投标,并提供有效的环境标志产品认证证书复印件。</w:t>
      </w:r>
    </w:p>
    <w:p w14:paraId="31AAEDD9">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39.进口产品政策</w:t>
      </w:r>
    </w:p>
    <w:p w14:paraId="02D2CD38">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39.1除招标公告载明接受进口产品参加外，不允许进口产品参加。进口产品认定依照《财政部关于政府采购进口产品管理有关问题的通知》（财办库〔2008〕248号）的规定。</w:t>
      </w:r>
    </w:p>
    <w:p w14:paraId="333AF046">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39.2允许进口产品参加的，满足需求的国内产品可以参加。</w:t>
      </w:r>
    </w:p>
    <w:p w14:paraId="6D55649D">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39.3允许进口产品参加的，优先采购向我国企业转让技术、与我国企业签订消化吸收再创新方案的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的进口产品。</w:t>
      </w:r>
    </w:p>
    <w:p w14:paraId="3BAB8B19">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40.绿色采购</w:t>
      </w:r>
    </w:p>
    <w:p w14:paraId="3FF9F590">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40.1中标/成交</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对涉及商品的包装应按照《关于印发〈商品包装政府采购需求标准（试行）〉、〈快递包装政府采购需求标准（试行）〉的通知》（财办库〔2020〕123号）、《江苏省财政厅关于加强政府绿色采购有关事项的通知》（苏财购〔2023〕65号）执行；采购文件对商品包装和快递包装有具体要求的，政府采购合同中应当载明对</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提供产品及相关快递服务的具体包装要求和履约验收相关条款，</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须严格执行，必要时应按照要求在履约验收环节出具检测报告。</w:t>
      </w:r>
    </w:p>
    <w:p w14:paraId="5B6FA9E5">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40.2涉及数据中心相关设备、运维服务的，应按照《关于印发〈绿色数据中心政府采购需求标准（试行）</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的通知》（财办库〔2023〕7号）、《江苏省财政厅关于加强政府绿色采购有关事项的通知》（苏财购〔2023〕65号）等文件执行。中标/成交</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应</w:t>
      </w:r>
      <w:r>
        <w:rPr>
          <w:rFonts w:hint="eastAsia" w:ascii="仿宋" w:hAnsi="仿宋" w:eastAsia="仿宋" w:cs="仿宋"/>
          <w:color w:val="auto"/>
          <w:highlight w:val="none"/>
          <w:lang w:eastAsia="zh-CN"/>
        </w:rPr>
        <w:t>提高</w:t>
      </w:r>
      <w:r>
        <w:rPr>
          <w:rFonts w:hint="eastAsia" w:ascii="仿宋" w:hAnsi="仿宋" w:eastAsia="仿宋" w:cs="仿宋"/>
          <w:color w:val="auto"/>
          <w:highlight w:val="none"/>
        </w:rPr>
        <w:t>绿化利用率，倡导城市绿化低碳环保理念、因地制宜促进资源的可持续性发展。采购文件中涉及数据中心相关设备、运维服务的，采购人均以《绿色数据中心政府采购需求标准（试行）》提出的指标、标准为准。采购人应在政府采购合同中明确对相关指标的验收方式和违约责任，</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应按合同约定提供设备或服务。</w:t>
      </w:r>
    </w:p>
    <w:p w14:paraId="20366807">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40.3采购产品中涉及涂料、胶黏剂、油墨、清洗剂等挥发性有机物产品的，属于强制性标准的，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应当提供符合国家和江苏省相关VOCs 含量限制标准的产品。采购产品中涉及通用类货物、家具的，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应当优先使用低挥发性原辅材料，采购人将使用低VOCs含量的涂料、胶黏剂等纳入政府采购合同条款的，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必须严格执行。</w:t>
      </w:r>
    </w:p>
    <w:p w14:paraId="126FDE8A">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40.4采购产品中涉及数据库、操作系统、通用服务器、工作站、一体式计算机、便携式计算机、台式计算机的，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所投产品不得违反财政部、工业和信息化部印发的《需求标准》（详见财库〔2023〕29号、30号、31号、32号、33号、34号、35号文件）。采购人可以对《需求标准》中的指标提出更高要求，也可以根据实际需要增加《需求标准》以外的指标。采购人按照采购合同约定对</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所提供的上述产品进行验收，必要时可以委托依法取得检测、认证资质的机构进行检测、认证。</w:t>
      </w:r>
    </w:p>
    <w:p w14:paraId="2C30CFC2">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40.5</w:t>
      </w:r>
      <w:r>
        <w:rPr>
          <w:rFonts w:ascii="仿宋" w:hAnsi="仿宋" w:eastAsia="仿宋" w:cs="仿宋"/>
          <w:color w:val="auto"/>
          <w:highlight w:val="none"/>
        </w:rPr>
        <w:t>落实政府采购《绿色建筑和绿色建材政府采购需求标准》（财库〔2022〕35号文）和《政府采购支持绿色建材促进建筑品质提升政策项目实施指南》（财办库〔2023〕52号）文件标准。</w:t>
      </w:r>
    </w:p>
    <w:p w14:paraId="1C87D28C">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41.创新产品采购</w:t>
      </w:r>
    </w:p>
    <w:p w14:paraId="2AE04600">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优先采购各级政府部门公开发布的有效期内的创新产品、首台套等《目录》内的创新产品。创新产品自进入《目录》起2年内视同具备相应销售业绩。</w:t>
      </w:r>
    </w:p>
    <w:p w14:paraId="4E182B79">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42.网络产品、市场准入类产品采购</w:t>
      </w:r>
    </w:p>
    <w:p w14:paraId="2EC07C6D">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42.1 本项目中如涉及网络关键设备或网络安全专用产品的，应严格执行国家互联网信息办公室、工业和信息化部、公安部、财政部和国家认证认可监督管理委员会2023年第1号《关于调整网络安全专用产品安全管理有关事项的公告》及2023年第2号《关于调整&lt;网络关键设备和网络安全专用产品目录&gt;的公告》要求，所投设备或产品至少符合以下条件之一：一是已由具备资格的机构安全认证合格或安全检测符合要求；二是已获得《计算机信息系统安全专用产品销售许可证》，且在有效期内。采购人、中标/成交</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双方签订合同及验收环节，应包含上述网络安全要求的条款。</w:t>
      </w:r>
    </w:p>
    <w:p w14:paraId="2C4C3723">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42.2 本项目中如涉及国家强制性产品认证证书（CCC认证证书）、电信设备进网许可证、无线电发射设备核准证等市场准入类资质的，应严格执行国家相关法律法规的要求。采购人、中标/成交</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双方签订合同及验收环节，应包含上述市场准入类资质要求的条款。</w:t>
      </w:r>
    </w:p>
    <w:p w14:paraId="46D14B1A">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43.脱贫攻坚支持政策根据《关于运用政府采购政策支持脱贫攻坚的通知》（财库〔2019〕27 号），鼓励采用优先采购、预留采购份额方式采购贫困地区农副产品；鼓励优先采购聘用建档立卡贫困人员物业公司提供的物业服务。</w:t>
      </w:r>
    </w:p>
    <w:p w14:paraId="0AEE53BF">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44.根据《关于在全省政府采购领域推行电子履约保函（保险）的通知》（苏财购〔2023〕150号），</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中标/成交后，可以以履约保函（保险）形式代替履约保证金，可通过政府采购电子履约保函（保险）平台（www.jsdzbh.com）在线申请履约保函（保险），详见通知内容。</w:t>
      </w:r>
    </w:p>
    <w:p w14:paraId="7194FF04">
      <w:pPr>
        <w:spacing w:line="520" w:lineRule="exact"/>
        <w:ind w:firstLine="480"/>
        <w:rPr>
          <w:rFonts w:ascii="仿宋" w:hAnsi="仿宋" w:eastAsia="仿宋" w:cs="仿宋"/>
          <w:color w:val="auto"/>
          <w:highlight w:val="none"/>
        </w:rPr>
      </w:pPr>
      <w:r>
        <w:rPr>
          <w:rFonts w:hint="eastAsia" w:ascii="仿宋" w:hAnsi="仿宋" w:eastAsia="仿宋" w:cs="仿宋"/>
          <w:color w:val="auto"/>
          <w:highlight w:val="none"/>
        </w:rPr>
        <w:t>45.落实政府采购领域数字人民币政策</w:t>
      </w:r>
    </w:p>
    <w:p w14:paraId="7EE234D1">
      <w:pPr>
        <w:pStyle w:val="258"/>
        <w:spacing w:line="520" w:lineRule="exact"/>
        <w:ind w:firstLine="480"/>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在政府采购履约保证金、代理服务费和货款资金支付中，鼓励以数字人民币作为支付方式。</w:t>
      </w:r>
    </w:p>
    <w:p w14:paraId="05930BC5">
      <w:pPr>
        <w:spacing w:line="520" w:lineRule="exact"/>
        <w:ind w:firstLine="482"/>
        <w:rPr>
          <w:rFonts w:ascii="仿宋" w:hAnsi="仿宋" w:eastAsia="仿宋" w:cs="仿宋"/>
          <w:b/>
          <w:bCs/>
          <w:color w:val="auto"/>
          <w:highlight w:val="none"/>
        </w:rPr>
      </w:pPr>
      <w:r>
        <w:rPr>
          <w:rFonts w:hint="eastAsia" w:ascii="仿宋" w:hAnsi="仿宋" w:eastAsia="仿宋" w:cs="仿宋"/>
          <w:b/>
          <w:bCs/>
          <w:color w:val="auto"/>
          <w:highlight w:val="none"/>
        </w:rPr>
        <w:t>注：未按要求提供相关材料的，不享受相关政策。</w:t>
      </w:r>
    </w:p>
    <w:p w14:paraId="68E2D111">
      <w:pPr>
        <w:pStyle w:val="229"/>
        <w:keepNext w:val="0"/>
        <w:keepLines w:val="0"/>
        <w:spacing w:before="0" w:after="0" w:line="520" w:lineRule="exact"/>
        <w:outlineLvl w:val="9"/>
        <w:rPr>
          <w:color w:val="auto"/>
          <w:highlight w:val="none"/>
        </w:rPr>
      </w:pPr>
      <w:bookmarkStart w:id="43" w:name="_Toc23826"/>
    </w:p>
    <w:p w14:paraId="6FBAD597">
      <w:pPr>
        <w:pStyle w:val="229"/>
        <w:keepNext w:val="0"/>
        <w:keepLines w:val="0"/>
        <w:spacing w:before="0" w:after="0" w:line="520" w:lineRule="exact"/>
        <w:rPr>
          <w:color w:val="auto"/>
          <w:highlight w:val="none"/>
        </w:rPr>
      </w:pPr>
      <w:r>
        <w:rPr>
          <w:rFonts w:hint="eastAsia"/>
          <w:color w:val="auto"/>
          <w:highlight w:val="none"/>
        </w:rPr>
        <w:t>十一、保密</w:t>
      </w:r>
      <w:bookmarkEnd w:id="43"/>
    </w:p>
    <w:p w14:paraId="7D2DAC8B">
      <w:pPr>
        <w:spacing w:line="520" w:lineRule="exact"/>
        <w:ind w:firstLine="482"/>
        <w:rPr>
          <w:rFonts w:ascii="仿宋" w:hAnsi="仿宋" w:eastAsia="仿宋" w:cs="仿宋"/>
          <w:b/>
          <w:color w:val="auto"/>
          <w:szCs w:val="22"/>
          <w:highlight w:val="none"/>
        </w:rPr>
      </w:pPr>
      <w:r>
        <w:rPr>
          <w:rFonts w:hint="eastAsia" w:ascii="仿宋" w:hAnsi="仿宋" w:eastAsia="仿宋" w:cs="仿宋"/>
          <w:b/>
          <w:color w:val="auto"/>
          <w:szCs w:val="22"/>
          <w:highlight w:val="none"/>
        </w:rPr>
        <w:t>4</w:t>
      </w:r>
      <w:r>
        <w:rPr>
          <w:rFonts w:hint="eastAsia" w:ascii="仿宋" w:hAnsi="仿宋" w:eastAsia="仿宋" w:cs="仿宋"/>
          <w:b/>
          <w:color w:val="auto"/>
          <w:szCs w:val="22"/>
          <w:highlight w:val="none"/>
          <w:lang w:val="en-US" w:eastAsia="zh-CN"/>
        </w:rPr>
        <w:t>6</w:t>
      </w:r>
      <w:r>
        <w:rPr>
          <w:rFonts w:hint="eastAsia" w:ascii="仿宋" w:hAnsi="仿宋" w:eastAsia="仿宋" w:cs="仿宋"/>
          <w:b/>
          <w:color w:val="auto"/>
          <w:szCs w:val="22"/>
          <w:highlight w:val="none"/>
        </w:rPr>
        <w:t>.保密</w:t>
      </w:r>
    </w:p>
    <w:p w14:paraId="37CEEC6A">
      <w:pPr>
        <w:pStyle w:val="310"/>
        <w:spacing w:line="520" w:lineRule="exact"/>
        <w:ind w:left="0" w:firstLine="480"/>
        <w:rPr>
          <w:rFonts w:ascii="仿宋" w:hAnsi="仿宋" w:eastAsia="仿宋" w:cs="仿宋"/>
          <w:color w:val="auto"/>
          <w:szCs w:val="22"/>
          <w:highlight w:val="none"/>
        </w:rPr>
      </w:pPr>
      <w:r>
        <w:rPr>
          <w:rFonts w:hint="eastAsia" w:ascii="仿宋" w:hAnsi="仿宋" w:eastAsia="仿宋" w:cs="仿宋"/>
          <w:color w:val="auto"/>
          <w:szCs w:val="22"/>
          <w:highlight w:val="none"/>
        </w:rPr>
        <w:t>4</w:t>
      </w:r>
      <w:r>
        <w:rPr>
          <w:rFonts w:hint="eastAsia" w:ascii="仿宋" w:hAnsi="仿宋" w:eastAsia="仿宋" w:cs="仿宋"/>
          <w:color w:val="auto"/>
          <w:szCs w:val="22"/>
          <w:highlight w:val="none"/>
          <w:lang w:val="en-US" w:eastAsia="zh-CN"/>
        </w:rPr>
        <w:t>6</w:t>
      </w:r>
      <w:r>
        <w:rPr>
          <w:rFonts w:hint="eastAsia" w:ascii="仿宋" w:hAnsi="仿宋" w:eastAsia="仿宋" w:cs="仿宋"/>
          <w:color w:val="auto"/>
          <w:szCs w:val="22"/>
          <w:highlight w:val="none"/>
        </w:rPr>
        <w:t xml:space="preserve">.1参与本次招标投标活动的各方应对招标文件和投标文件中的商业和技术等秘密保密，违者应对由此造成的后果承担法律责任。 </w:t>
      </w:r>
    </w:p>
    <w:p w14:paraId="21C462C3">
      <w:pPr>
        <w:pStyle w:val="310"/>
        <w:spacing w:line="520" w:lineRule="exact"/>
        <w:ind w:left="0" w:firstLine="420"/>
        <w:rPr>
          <w:rFonts w:ascii="仿宋" w:hAnsi="仿宋" w:eastAsia="仿宋" w:cs="仿宋"/>
          <w:color w:val="auto"/>
          <w:szCs w:val="22"/>
          <w:highlight w:val="none"/>
        </w:rPr>
      </w:pPr>
      <w:r>
        <w:rPr>
          <w:rFonts w:hint="eastAsia" w:ascii="仿宋" w:hAnsi="仿宋" w:eastAsia="仿宋" w:cs="仿宋"/>
          <w:color w:val="auto"/>
          <w:szCs w:val="22"/>
          <w:highlight w:val="none"/>
        </w:rPr>
        <w:t>4</w:t>
      </w:r>
      <w:r>
        <w:rPr>
          <w:rFonts w:hint="eastAsia" w:ascii="仿宋" w:hAnsi="仿宋" w:eastAsia="仿宋" w:cs="仿宋"/>
          <w:color w:val="auto"/>
          <w:szCs w:val="22"/>
          <w:highlight w:val="none"/>
          <w:lang w:val="en-US" w:eastAsia="zh-CN"/>
        </w:rPr>
        <w:t>6</w:t>
      </w:r>
      <w:r>
        <w:rPr>
          <w:rFonts w:hint="eastAsia" w:ascii="仿宋" w:hAnsi="仿宋" w:eastAsia="仿宋" w:cs="仿宋"/>
          <w:color w:val="auto"/>
          <w:szCs w:val="22"/>
          <w:highlight w:val="none"/>
        </w:rPr>
        <w:t>.2凡是与审查、澄清、评价和比较投标的有关资料以及授标建议等，采购人、评委、采购代理机构均不得向</w:t>
      </w:r>
      <w:r>
        <w:rPr>
          <w:rFonts w:hint="eastAsia" w:ascii="仿宋" w:hAnsi="仿宋" w:eastAsia="仿宋" w:cs="仿宋"/>
          <w:color w:val="auto"/>
          <w:szCs w:val="22"/>
          <w:highlight w:val="none"/>
          <w:lang w:eastAsia="zh-CN"/>
        </w:rPr>
        <w:t>投标人</w:t>
      </w:r>
      <w:r>
        <w:rPr>
          <w:rFonts w:hint="eastAsia" w:ascii="仿宋" w:hAnsi="仿宋" w:eastAsia="仿宋" w:cs="仿宋"/>
          <w:color w:val="auto"/>
          <w:szCs w:val="22"/>
          <w:highlight w:val="none"/>
        </w:rPr>
        <w:t>或与评标无关的其他人员透露。</w:t>
      </w:r>
    </w:p>
    <w:p w14:paraId="39869406">
      <w:pPr>
        <w:pStyle w:val="310"/>
        <w:spacing w:line="520" w:lineRule="exact"/>
        <w:ind w:left="0" w:firstLine="420"/>
        <w:rPr>
          <w:rFonts w:ascii="仿宋" w:hAnsi="仿宋" w:eastAsia="仿宋" w:cs="仿宋"/>
          <w:color w:val="auto"/>
          <w:szCs w:val="22"/>
          <w:highlight w:val="none"/>
        </w:rPr>
      </w:pPr>
      <w:r>
        <w:rPr>
          <w:rFonts w:hint="eastAsia" w:ascii="仿宋" w:hAnsi="仿宋" w:eastAsia="仿宋" w:cs="仿宋"/>
          <w:color w:val="auto"/>
          <w:szCs w:val="22"/>
          <w:highlight w:val="none"/>
        </w:rPr>
        <w:t>4</w:t>
      </w:r>
      <w:r>
        <w:rPr>
          <w:rFonts w:hint="eastAsia" w:ascii="仿宋" w:hAnsi="仿宋" w:eastAsia="仿宋" w:cs="仿宋"/>
          <w:color w:val="auto"/>
          <w:szCs w:val="22"/>
          <w:highlight w:val="none"/>
          <w:lang w:val="en-US" w:eastAsia="zh-CN"/>
        </w:rPr>
        <w:t>6</w:t>
      </w:r>
      <w:r>
        <w:rPr>
          <w:rFonts w:hint="eastAsia" w:ascii="仿宋" w:hAnsi="仿宋" w:eastAsia="仿宋" w:cs="仿宋"/>
          <w:color w:val="auto"/>
          <w:szCs w:val="22"/>
          <w:highlight w:val="none"/>
        </w:rPr>
        <w:t>.3在评标过程中，</w:t>
      </w:r>
      <w:r>
        <w:rPr>
          <w:rFonts w:hint="eastAsia" w:ascii="仿宋" w:hAnsi="仿宋" w:eastAsia="仿宋" w:cs="仿宋"/>
          <w:color w:val="auto"/>
          <w:szCs w:val="22"/>
          <w:highlight w:val="none"/>
          <w:lang w:eastAsia="zh-CN"/>
        </w:rPr>
        <w:t>投标人</w:t>
      </w:r>
      <w:r>
        <w:rPr>
          <w:rFonts w:hint="eastAsia" w:ascii="仿宋" w:hAnsi="仿宋" w:eastAsia="仿宋" w:cs="仿宋"/>
          <w:color w:val="auto"/>
          <w:szCs w:val="22"/>
          <w:highlight w:val="none"/>
        </w:rPr>
        <w:t>不得以任何行为影响评标过程，否则其投标文件将被作为无效投标文件。</w:t>
      </w:r>
    </w:p>
    <w:p w14:paraId="6A524C83">
      <w:pPr>
        <w:pStyle w:val="310"/>
        <w:spacing w:line="520" w:lineRule="exact"/>
        <w:ind w:left="0" w:firstLine="420"/>
        <w:rPr>
          <w:rFonts w:ascii="仿宋" w:hAnsi="仿宋" w:eastAsia="仿宋" w:cs="仿宋"/>
          <w:color w:val="auto"/>
          <w:szCs w:val="22"/>
          <w:highlight w:val="none"/>
        </w:rPr>
      </w:pPr>
      <w:r>
        <w:rPr>
          <w:rFonts w:hint="eastAsia" w:ascii="仿宋" w:hAnsi="仿宋" w:eastAsia="仿宋" w:cs="仿宋"/>
          <w:color w:val="auto"/>
          <w:szCs w:val="22"/>
          <w:highlight w:val="none"/>
        </w:rPr>
        <w:t>4</w:t>
      </w:r>
      <w:r>
        <w:rPr>
          <w:rFonts w:hint="eastAsia" w:ascii="仿宋" w:hAnsi="仿宋" w:eastAsia="仿宋" w:cs="仿宋"/>
          <w:color w:val="auto"/>
          <w:szCs w:val="22"/>
          <w:highlight w:val="none"/>
          <w:lang w:val="en-US" w:eastAsia="zh-CN"/>
        </w:rPr>
        <w:t>6</w:t>
      </w:r>
      <w:r>
        <w:rPr>
          <w:rFonts w:hint="eastAsia" w:ascii="仿宋" w:hAnsi="仿宋" w:eastAsia="仿宋" w:cs="仿宋"/>
          <w:color w:val="auto"/>
          <w:szCs w:val="22"/>
          <w:highlight w:val="none"/>
        </w:rPr>
        <w:t>.4采购代理机构和评标委员会不向未中标的</w:t>
      </w:r>
      <w:r>
        <w:rPr>
          <w:rFonts w:hint="eastAsia" w:ascii="仿宋" w:hAnsi="仿宋" w:eastAsia="仿宋" w:cs="仿宋"/>
          <w:color w:val="auto"/>
          <w:szCs w:val="22"/>
          <w:highlight w:val="none"/>
          <w:lang w:eastAsia="zh-CN"/>
        </w:rPr>
        <w:t>投标人</w:t>
      </w:r>
      <w:r>
        <w:rPr>
          <w:rFonts w:hint="eastAsia" w:ascii="仿宋" w:hAnsi="仿宋" w:eastAsia="仿宋" w:cs="仿宋"/>
          <w:color w:val="auto"/>
          <w:szCs w:val="22"/>
          <w:highlight w:val="none"/>
        </w:rPr>
        <w:t>解释未中标原因，也不公布评标过程中的相关细节。</w:t>
      </w:r>
    </w:p>
    <w:p w14:paraId="3640100B">
      <w:pPr>
        <w:pStyle w:val="310"/>
        <w:spacing w:line="520" w:lineRule="exact"/>
        <w:ind w:left="0" w:firstLine="420"/>
        <w:rPr>
          <w:rFonts w:ascii="仿宋" w:hAnsi="仿宋" w:eastAsia="仿宋" w:cs="仿宋"/>
          <w:color w:val="auto"/>
          <w:szCs w:val="22"/>
          <w:highlight w:val="none"/>
        </w:rPr>
      </w:pPr>
      <w:r>
        <w:rPr>
          <w:rFonts w:hint="eastAsia" w:ascii="仿宋" w:hAnsi="仿宋" w:eastAsia="仿宋" w:cs="仿宋"/>
          <w:color w:val="auto"/>
          <w:szCs w:val="22"/>
          <w:highlight w:val="none"/>
        </w:rPr>
        <w:t>4</w:t>
      </w:r>
      <w:r>
        <w:rPr>
          <w:rFonts w:hint="eastAsia" w:ascii="仿宋" w:hAnsi="仿宋" w:eastAsia="仿宋" w:cs="仿宋"/>
          <w:color w:val="auto"/>
          <w:szCs w:val="22"/>
          <w:highlight w:val="none"/>
          <w:lang w:val="en-US" w:eastAsia="zh-CN"/>
        </w:rPr>
        <w:t>6</w:t>
      </w:r>
      <w:r>
        <w:rPr>
          <w:rFonts w:hint="eastAsia" w:ascii="仿宋" w:hAnsi="仿宋" w:eastAsia="仿宋" w:cs="仿宋"/>
          <w:color w:val="auto"/>
          <w:szCs w:val="22"/>
          <w:highlight w:val="none"/>
        </w:rPr>
        <w:t>.5采用综合评分法的项目，未中标的</w:t>
      </w:r>
      <w:r>
        <w:rPr>
          <w:rFonts w:hint="eastAsia" w:ascii="仿宋" w:hAnsi="仿宋" w:eastAsia="仿宋" w:cs="仿宋"/>
          <w:color w:val="auto"/>
          <w:szCs w:val="22"/>
          <w:highlight w:val="none"/>
          <w:lang w:eastAsia="zh-CN"/>
        </w:rPr>
        <w:t>投标人</w:t>
      </w:r>
      <w:r>
        <w:rPr>
          <w:rFonts w:hint="eastAsia" w:ascii="仿宋" w:hAnsi="仿宋" w:eastAsia="仿宋" w:cs="仿宋"/>
          <w:color w:val="auto"/>
          <w:szCs w:val="22"/>
          <w:highlight w:val="none"/>
        </w:rPr>
        <w:t>可于中标结果公告期限届满之日起通过苏采云系统查看自己的评审得分及排序情况。</w:t>
      </w:r>
    </w:p>
    <w:p w14:paraId="5671DE04">
      <w:pPr>
        <w:rPr>
          <w:rFonts w:hint="eastAsia"/>
          <w:color w:val="auto"/>
          <w:highlight w:val="none"/>
        </w:rPr>
      </w:pPr>
      <w:bookmarkStart w:id="44" w:name="_Toc24088"/>
      <w:bookmarkStart w:id="45" w:name="_Toc6597"/>
      <w:r>
        <w:rPr>
          <w:rFonts w:hint="eastAsia"/>
          <w:color w:val="auto"/>
          <w:highlight w:val="none"/>
        </w:rPr>
        <w:br w:type="page"/>
      </w:r>
    </w:p>
    <w:p w14:paraId="50553575">
      <w:pPr>
        <w:pStyle w:val="228"/>
        <w:spacing w:line="240" w:lineRule="auto"/>
        <w:jc w:val="center"/>
        <w:rPr>
          <w:rFonts w:hint="eastAsia" w:ascii="仿宋" w:hAnsi="仿宋" w:eastAsia="宋体" w:cs="仿宋"/>
          <w:color w:val="auto"/>
          <w:highlight w:val="none"/>
          <w:lang w:eastAsia="zh-CN"/>
        </w:rPr>
      </w:pPr>
      <w:r>
        <w:rPr>
          <w:rFonts w:hint="eastAsia"/>
          <w:color w:val="auto"/>
          <w:highlight w:val="none"/>
        </w:rPr>
        <w:t>第</w:t>
      </w:r>
      <w:r>
        <w:rPr>
          <w:rFonts w:hint="eastAsia"/>
          <w:color w:val="auto"/>
          <w:highlight w:val="none"/>
          <w:lang w:val="en-US" w:eastAsia="zh-CN"/>
        </w:rPr>
        <w:t>三</w:t>
      </w:r>
      <w:r>
        <w:rPr>
          <w:rFonts w:hint="eastAsia"/>
          <w:color w:val="auto"/>
          <w:highlight w:val="none"/>
        </w:rPr>
        <w:t>部分</w:t>
      </w:r>
      <w:r>
        <w:rPr>
          <w:color w:val="auto"/>
          <w:highlight w:val="none"/>
        </w:rPr>
        <w:t xml:space="preserve">  </w:t>
      </w:r>
      <w:bookmarkEnd w:id="44"/>
      <w:r>
        <w:rPr>
          <w:rFonts w:hint="eastAsia"/>
          <w:color w:val="auto"/>
          <w:highlight w:val="none"/>
          <w:lang w:val="en-US" w:eastAsia="zh-CN"/>
        </w:rPr>
        <w:t>合同文本</w:t>
      </w:r>
    </w:p>
    <w:p w14:paraId="3C27F11F">
      <w:pPr>
        <w:keepNext w:val="0"/>
        <w:keepLines w:val="0"/>
        <w:pageBreakBefore w:val="0"/>
        <w:kinsoku/>
        <w:wordWrap/>
        <w:overflowPunct/>
        <w:topLinePunct w:val="0"/>
        <w:autoSpaceDE/>
        <w:autoSpaceDN/>
        <w:bidi w:val="0"/>
        <w:adjustRightInd/>
        <w:snapToGrid/>
        <w:spacing w:line="500" w:lineRule="exact"/>
        <w:ind w:left="0" w:right="0" w:firstLine="560"/>
        <w:jc w:val="left"/>
        <w:textAlignment w:val="auto"/>
        <w:rPr>
          <w:rFonts w:hint="eastAsia" w:ascii="仿宋" w:hAnsi="仿宋" w:eastAsia="仿宋" w:cs="仿宋"/>
          <w:b/>
          <w:bCs/>
          <w:sz w:val="24"/>
          <w:szCs w:val="24"/>
        </w:rPr>
      </w:pPr>
      <w:r>
        <w:rPr>
          <w:rFonts w:hint="eastAsia" w:ascii="仿宋" w:hAnsi="仿宋" w:eastAsia="仿宋" w:cs="仿宋"/>
          <w:b/>
          <w:bCs/>
          <w:sz w:val="24"/>
          <w:szCs w:val="24"/>
        </w:rPr>
        <w:t>本合同文本为公共机构能源托管规程DB</w:t>
      </w:r>
      <w:r>
        <w:rPr>
          <w:rFonts w:hint="eastAsia" w:ascii="仿宋" w:hAnsi="仿宋" w:eastAsia="仿宋" w:cs="仿宋"/>
          <w:b/>
          <w:bCs/>
          <w:spacing w:val="-1"/>
          <w:sz w:val="24"/>
          <w:szCs w:val="24"/>
        </w:rPr>
        <w:t xml:space="preserve"> 32/</w:t>
      </w:r>
      <w:r>
        <w:rPr>
          <w:rFonts w:hint="eastAsia" w:ascii="仿宋" w:hAnsi="仿宋" w:eastAsia="仿宋" w:cs="仿宋"/>
          <w:b/>
          <w:bCs/>
          <w:sz w:val="24"/>
          <w:szCs w:val="24"/>
        </w:rPr>
        <w:t>T 4446—2023的合同模版，如遇和实际情况有不符之处，双方签订合同时根据实际情况修改。</w:t>
      </w:r>
    </w:p>
    <w:p w14:paraId="635A0A13">
      <w:pPr>
        <w:pStyle w:val="422"/>
        <w:keepNext w:val="0"/>
        <w:keepLines w:val="0"/>
        <w:pageBreakBefore w:val="0"/>
        <w:kinsoku/>
        <w:wordWrap/>
        <w:overflowPunct/>
        <w:topLinePunct w:val="0"/>
        <w:autoSpaceDE/>
        <w:autoSpaceDN/>
        <w:bidi w:val="0"/>
        <w:adjustRightInd/>
        <w:snapToGrid/>
        <w:spacing w:line="500" w:lineRule="exact"/>
        <w:ind w:left="0" w:right="0"/>
        <w:textAlignment w:val="auto"/>
        <w:rPr>
          <w:rFonts w:hint="eastAsia" w:ascii="仿宋" w:hAnsi="仿宋" w:eastAsia="仿宋" w:cs="仿宋"/>
          <w:sz w:val="24"/>
          <w:szCs w:val="24"/>
        </w:rPr>
      </w:pPr>
    </w:p>
    <w:p w14:paraId="1041769D">
      <w:pPr>
        <w:pStyle w:val="422"/>
        <w:keepNext w:val="0"/>
        <w:keepLines w:val="0"/>
        <w:pageBreakBefore w:val="0"/>
        <w:kinsoku/>
        <w:wordWrap/>
        <w:overflowPunct/>
        <w:topLinePunct w:val="0"/>
        <w:autoSpaceDE/>
        <w:autoSpaceDN/>
        <w:bidi w:val="0"/>
        <w:adjustRightInd/>
        <w:snapToGrid/>
        <w:spacing w:line="500" w:lineRule="exact"/>
        <w:ind w:left="0" w:right="0"/>
        <w:textAlignment w:val="auto"/>
        <w:rPr>
          <w:rFonts w:hint="eastAsia" w:ascii="仿宋" w:hAnsi="仿宋" w:eastAsia="仿宋" w:cs="仿宋"/>
          <w:b/>
          <w:sz w:val="24"/>
          <w:szCs w:val="24"/>
        </w:rPr>
      </w:pPr>
    </w:p>
    <w:p w14:paraId="3A70143E">
      <w:pPr>
        <w:pStyle w:val="422"/>
        <w:keepNext w:val="0"/>
        <w:keepLines w:val="0"/>
        <w:pageBreakBefore w:val="0"/>
        <w:kinsoku/>
        <w:wordWrap/>
        <w:overflowPunct/>
        <w:topLinePunct w:val="0"/>
        <w:autoSpaceDE/>
        <w:autoSpaceDN/>
        <w:bidi w:val="0"/>
        <w:adjustRightInd/>
        <w:snapToGrid/>
        <w:spacing w:line="500" w:lineRule="exact"/>
        <w:ind w:left="0" w:right="0"/>
        <w:textAlignment w:val="auto"/>
        <w:rPr>
          <w:rFonts w:hint="eastAsia" w:ascii="仿宋" w:hAnsi="仿宋" w:eastAsia="仿宋" w:cs="仿宋"/>
          <w:b/>
          <w:sz w:val="24"/>
          <w:szCs w:val="24"/>
        </w:rPr>
      </w:pPr>
    </w:p>
    <w:p w14:paraId="78C552A1">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eastAsia" w:ascii="仿宋" w:hAnsi="仿宋" w:eastAsia="仿宋" w:cs="仿宋"/>
          <w:b/>
          <w:bCs/>
          <w:sz w:val="48"/>
          <w:szCs w:val="48"/>
        </w:rPr>
      </w:pPr>
      <w:r>
        <w:rPr>
          <w:rFonts w:hint="eastAsia" w:ascii="仿宋" w:hAnsi="仿宋" w:eastAsia="仿宋" w:cs="仿宋"/>
          <w:b/>
          <w:bCs/>
          <w:sz w:val="48"/>
          <w:szCs w:val="48"/>
        </w:rPr>
        <w:t>扬州市中医院（文昌路院区）</w:t>
      </w:r>
    </w:p>
    <w:p w14:paraId="44FFEEF6">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eastAsia" w:ascii="仿宋" w:hAnsi="仿宋" w:eastAsia="仿宋" w:cs="仿宋"/>
          <w:b/>
          <w:bCs/>
          <w:sz w:val="48"/>
          <w:szCs w:val="48"/>
        </w:rPr>
      </w:pPr>
      <w:r>
        <w:rPr>
          <w:rFonts w:hint="eastAsia" w:ascii="仿宋" w:hAnsi="仿宋" w:eastAsia="仿宋" w:cs="仿宋"/>
          <w:b/>
          <w:bCs/>
          <w:sz w:val="48"/>
          <w:szCs w:val="48"/>
        </w:rPr>
        <w:t>合同能源管理项目</w:t>
      </w:r>
    </w:p>
    <w:p w14:paraId="297F329A">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eastAsia" w:ascii="仿宋" w:hAnsi="仿宋" w:eastAsia="仿宋" w:cs="仿宋"/>
          <w:b/>
          <w:bCs/>
          <w:sz w:val="48"/>
          <w:szCs w:val="48"/>
        </w:rPr>
      </w:pPr>
      <w:r>
        <w:rPr>
          <w:rFonts w:hint="eastAsia" w:ascii="仿宋" w:hAnsi="仿宋" w:eastAsia="仿宋" w:cs="仿宋"/>
          <w:b/>
          <w:bCs/>
          <w:sz w:val="48"/>
          <w:szCs w:val="48"/>
        </w:rPr>
        <w:t>合 同 文 件</w:t>
      </w:r>
    </w:p>
    <w:p w14:paraId="0FC5129E">
      <w:pPr>
        <w:keepNext w:val="0"/>
        <w:keepLines w:val="0"/>
        <w:pageBreakBefore w:val="0"/>
        <w:kinsoku/>
        <w:wordWrap/>
        <w:overflowPunct/>
        <w:topLinePunct w:val="0"/>
        <w:autoSpaceDE/>
        <w:autoSpaceDN/>
        <w:bidi w:val="0"/>
        <w:adjustRightInd/>
        <w:snapToGrid/>
        <w:spacing w:line="500" w:lineRule="exact"/>
        <w:ind w:left="0" w:right="0"/>
        <w:textAlignment w:val="auto"/>
        <w:rPr>
          <w:rFonts w:hint="eastAsia" w:ascii="仿宋" w:hAnsi="仿宋" w:eastAsia="仿宋" w:cs="仿宋"/>
          <w:b/>
          <w:bCs/>
          <w:sz w:val="48"/>
          <w:szCs w:val="48"/>
        </w:rPr>
      </w:pPr>
    </w:p>
    <w:p w14:paraId="1667F49E">
      <w:pPr>
        <w:keepNext w:val="0"/>
        <w:keepLines w:val="0"/>
        <w:pageBreakBefore w:val="0"/>
        <w:kinsoku/>
        <w:wordWrap/>
        <w:overflowPunct/>
        <w:topLinePunct w:val="0"/>
        <w:autoSpaceDE/>
        <w:autoSpaceDN/>
        <w:bidi w:val="0"/>
        <w:adjustRightInd/>
        <w:snapToGrid/>
        <w:spacing w:line="500" w:lineRule="exact"/>
        <w:ind w:left="0" w:right="0"/>
        <w:textAlignment w:val="auto"/>
        <w:rPr>
          <w:rFonts w:hint="eastAsia" w:ascii="仿宋" w:hAnsi="仿宋" w:eastAsia="仿宋" w:cs="仿宋"/>
          <w:sz w:val="24"/>
          <w:szCs w:val="24"/>
        </w:rPr>
      </w:pPr>
      <w:r>
        <w:rPr>
          <w:rFonts w:hint="eastAsia" w:ascii="仿宋" w:hAnsi="仿宋" w:eastAsia="仿宋" w:cs="仿宋"/>
          <w:sz w:val="24"/>
          <w:szCs w:val="24"/>
        </w:rPr>
        <w:t xml:space="preserve"> </w:t>
      </w:r>
    </w:p>
    <w:p w14:paraId="39B45758">
      <w:pPr>
        <w:pStyle w:val="15"/>
        <w:rPr>
          <w:rFonts w:hint="eastAsia"/>
        </w:rPr>
      </w:pPr>
    </w:p>
    <w:p w14:paraId="2D20143C">
      <w:pPr>
        <w:keepNext w:val="0"/>
        <w:keepLines w:val="0"/>
        <w:pageBreakBefore w:val="0"/>
        <w:kinsoku/>
        <w:wordWrap/>
        <w:overflowPunct/>
        <w:topLinePunct w:val="0"/>
        <w:autoSpaceDE/>
        <w:autoSpaceDN/>
        <w:bidi w:val="0"/>
        <w:adjustRightInd/>
        <w:snapToGrid/>
        <w:spacing w:line="500" w:lineRule="exact"/>
        <w:ind w:left="0" w:right="0"/>
        <w:textAlignment w:val="auto"/>
        <w:rPr>
          <w:rFonts w:hint="eastAsia" w:ascii="仿宋" w:hAnsi="仿宋" w:eastAsia="仿宋" w:cs="仿宋"/>
          <w:sz w:val="24"/>
          <w:szCs w:val="24"/>
        </w:rPr>
      </w:pPr>
      <w:r>
        <w:rPr>
          <w:rFonts w:hint="eastAsia" w:ascii="仿宋" w:hAnsi="仿宋" w:eastAsia="仿宋" w:cs="仿宋"/>
          <w:sz w:val="24"/>
          <w:szCs w:val="24"/>
        </w:rPr>
        <w:t xml:space="preserve"> </w:t>
      </w:r>
    </w:p>
    <w:p w14:paraId="42B51C89">
      <w:pPr>
        <w:keepNext w:val="0"/>
        <w:keepLines w:val="0"/>
        <w:pageBreakBefore w:val="0"/>
        <w:kinsoku/>
        <w:wordWrap/>
        <w:overflowPunct/>
        <w:topLinePunct w:val="0"/>
        <w:autoSpaceDE/>
        <w:autoSpaceDN/>
        <w:bidi w:val="0"/>
        <w:adjustRightInd/>
        <w:snapToGrid/>
        <w:spacing w:line="500" w:lineRule="exact"/>
        <w:ind w:left="0" w:right="0"/>
        <w:textAlignment w:val="auto"/>
        <w:rPr>
          <w:rFonts w:hint="eastAsia" w:ascii="仿宋" w:hAnsi="仿宋" w:eastAsia="仿宋" w:cs="仿宋"/>
          <w:sz w:val="24"/>
          <w:szCs w:val="24"/>
        </w:rPr>
      </w:pPr>
      <w:r>
        <w:rPr>
          <w:rFonts w:hint="eastAsia" w:ascii="仿宋" w:hAnsi="仿宋" w:eastAsia="仿宋" w:cs="仿宋"/>
          <w:sz w:val="24"/>
          <w:szCs w:val="24"/>
        </w:rPr>
        <w:t xml:space="preserve"> </w:t>
      </w:r>
    </w:p>
    <w:p w14:paraId="39148C56">
      <w:pPr>
        <w:keepNext w:val="0"/>
        <w:keepLines w:val="0"/>
        <w:pageBreakBefore w:val="0"/>
        <w:kinsoku/>
        <w:wordWrap/>
        <w:overflowPunct/>
        <w:topLinePunct w:val="0"/>
        <w:autoSpaceDE/>
        <w:autoSpaceDN/>
        <w:bidi w:val="0"/>
        <w:adjustRightInd/>
        <w:snapToGrid/>
        <w:spacing w:line="500" w:lineRule="exact"/>
        <w:ind w:left="0" w:right="0"/>
        <w:textAlignment w:val="auto"/>
        <w:rPr>
          <w:rFonts w:hint="eastAsia" w:ascii="仿宋" w:hAnsi="仿宋" w:eastAsia="仿宋" w:cs="仿宋"/>
          <w:sz w:val="24"/>
          <w:szCs w:val="24"/>
        </w:rPr>
      </w:pPr>
    </w:p>
    <w:p w14:paraId="64588D8A">
      <w:pPr>
        <w:keepNext w:val="0"/>
        <w:keepLines w:val="0"/>
        <w:pageBreakBefore w:val="0"/>
        <w:kinsoku/>
        <w:wordWrap/>
        <w:overflowPunct/>
        <w:topLinePunct w:val="0"/>
        <w:autoSpaceDE/>
        <w:autoSpaceDN/>
        <w:bidi w:val="0"/>
        <w:adjustRightInd/>
        <w:snapToGrid/>
        <w:spacing w:line="500" w:lineRule="exact"/>
        <w:ind w:left="0" w:right="0"/>
        <w:textAlignment w:val="auto"/>
        <w:rPr>
          <w:rFonts w:hint="eastAsia" w:ascii="仿宋" w:hAnsi="仿宋" w:eastAsia="仿宋" w:cs="仿宋"/>
          <w:sz w:val="24"/>
          <w:szCs w:val="24"/>
        </w:rPr>
      </w:pPr>
    </w:p>
    <w:p w14:paraId="343AE038">
      <w:pPr>
        <w:keepNext w:val="0"/>
        <w:keepLines w:val="0"/>
        <w:pageBreakBefore w:val="0"/>
        <w:kinsoku/>
        <w:wordWrap/>
        <w:overflowPunct/>
        <w:topLinePunct w:val="0"/>
        <w:autoSpaceDE/>
        <w:autoSpaceDN/>
        <w:bidi w:val="0"/>
        <w:adjustRightInd/>
        <w:snapToGrid/>
        <w:spacing w:line="500" w:lineRule="exact"/>
        <w:ind w:left="0" w:right="0"/>
        <w:textAlignment w:val="auto"/>
        <w:rPr>
          <w:rFonts w:hint="eastAsia" w:ascii="仿宋" w:hAnsi="仿宋" w:eastAsia="仿宋" w:cs="仿宋"/>
          <w:sz w:val="24"/>
          <w:szCs w:val="24"/>
        </w:rPr>
      </w:pPr>
    </w:p>
    <w:p w14:paraId="51B88C33">
      <w:pPr>
        <w:keepNext w:val="0"/>
        <w:keepLines w:val="0"/>
        <w:pageBreakBefore w:val="0"/>
        <w:kinsoku/>
        <w:wordWrap/>
        <w:overflowPunct/>
        <w:topLinePunct w:val="0"/>
        <w:autoSpaceDE/>
        <w:autoSpaceDN/>
        <w:bidi w:val="0"/>
        <w:adjustRightInd/>
        <w:snapToGrid/>
        <w:spacing w:line="500" w:lineRule="exact"/>
        <w:ind w:left="0" w:right="0" w:firstLine="1606"/>
        <w:textAlignment w:val="auto"/>
        <w:rPr>
          <w:rFonts w:hint="eastAsia" w:ascii="仿宋" w:hAnsi="仿宋" w:eastAsia="仿宋" w:cs="仿宋"/>
          <w:b/>
          <w:bCs/>
          <w:sz w:val="32"/>
          <w:szCs w:val="32"/>
        </w:rPr>
      </w:pPr>
      <w:r>
        <w:rPr>
          <w:rFonts w:hint="eastAsia" w:ascii="仿宋" w:hAnsi="仿宋" w:eastAsia="仿宋" w:cs="仿宋"/>
          <w:b/>
          <w:bCs/>
          <w:sz w:val="32"/>
          <w:szCs w:val="32"/>
        </w:rPr>
        <w:t>甲方：</w:t>
      </w:r>
    </w:p>
    <w:p w14:paraId="2FE761C9">
      <w:pPr>
        <w:keepNext w:val="0"/>
        <w:keepLines w:val="0"/>
        <w:pageBreakBefore w:val="0"/>
        <w:kinsoku/>
        <w:wordWrap/>
        <w:overflowPunct/>
        <w:topLinePunct w:val="0"/>
        <w:autoSpaceDE/>
        <w:autoSpaceDN/>
        <w:bidi w:val="0"/>
        <w:adjustRightInd/>
        <w:snapToGrid/>
        <w:spacing w:line="500" w:lineRule="exact"/>
        <w:ind w:left="0" w:right="0" w:firstLine="1606"/>
        <w:textAlignment w:val="auto"/>
        <w:rPr>
          <w:rFonts w:hint="eastAsia" w:ascii="仿宋" w:hAnsi="仿宋" w:eastAsia="仿宋" w:cs="仿宋"/>
          <w:b/>
          <w:bCs/>
          <w:sz w:val="32"/>
          <w:szCs w:val="32"/>
        </w:rPr>
      </w:pPr>
      <w:r>
        <w:rPr>
          <w:rFonts w:hint="eastAsia" w:ascii="仿宋" w:hAnsi="仿宋" w:eastAsia="仿宋" w:cs="仿宋"/>
          <w:b/>
          <w:bCs/>
          <w:sz w:val="32"/>
          <w:szCs w:val="32"/>
        </w:rPr>
        <w:t>乙方：</w:t>
      </w:r>
    </w:p>
    <w:p w14:paraId="5A9F2D04">
      <w:pPr>
        <w:keepNext w:val="0"/>
        <w:keepLines w:val="0"/>
        <w:pageBreakBefore w:val="0"/>
        <w:kinsoku/>
        <w:wordWrap/>
        <w:overflowPunct/>
        <w:topLinePunct w:val="0"/>
        <w:autoSpaceDE/>
        <w:autoSpaceDN/>
        <w:bidi w:val="0"/>
        <w:adjustRightInd/>
        <w:snapToGrid/>
        <w:spacing w:line="500" w:lineRule="exact"/>
        <w:ind w:left="0" w:right="0" w:firstLine="1280"/>
        <w:textAlignment w:val="auto"/>
        <w:rPr>
          <w:rFonts w:hint="eastAsia" w:ascii="仿宋" w:hAnsi="仿宋" w:eastAsia="仿宋" w:cs="仿宋"/>
          <w:sz w:val="32"/>
          <w:szCs w:val="32"/>
        </w:rPr>
      </w:pPr>
    </w:p>
    <w:p w14:paraId="278ED9DB">
      <w:pPr>
        <w:keepNext w:val="0"/>
        <w:keepLines w:val="0"/>
        <w:pageBreakBefore w:val="0"/>
        <w:kinsoku/>
        <w:wordWrap/>
        <w:overflowPunct/>
        <w:topLinePunct w:val="0"/>
        <w:autoSpaceDE/>
        <w:autoSpaceDN/>
        <w:bidi w:val="0"/>
        <w:adjustRightInd/>
        <w:snapToGrid/>
        <w:spacing w:line="500" w:lineRule="exact"/>
        <w:ind w:left="0" w:right="0" w:firstLine="1280"/>
        <w:textAlignment w:val="auto"/>
        <w:rPr>
          <w:rFonts w:hint="eastAsia" w:ascii="仿宋" w:hAnsi="仿宋" w:eastAsia="仿宋" w:cs="仿宋"/>
          <w:sz w:val="32"/>
          <w:szCs w:val="32"/>
        </w:rPr>
      </w:pPr>
    </w:p>
    <w:p w14:paraId="2E487383">
      <w:pPr>
        <w:keepNext w:val="0"/>
        <w:keepLines w:val="0"/>
        <w:pageBreakBefore w:val="0"/>
        <w:kinsoku/>
        <w:wordWrap/>
        <w:overflowPunct/>
        <w:topLinePunct w:val="0"/>
        <w:autoSpaceDE/>
        <w:autoSpaceDN/>
        <w:bidi w:val="0"/>
        <w:adjustRightInd/>
        <w:snapToGrid/>
        <w:spacing w:line="500" w:lineRule="exact"/>
        <w:ind w:left="0" w:right="0"/>
        <w:jc w:val="center"/>
        <w:textAlignment w:val="auto"/>
        <w:rPr>
          <w:rFonts w:hint="eastAsia" w:ascii="仿宋" w:hAnsi="仿宋" w:eastAsia="仿宋" w:cs="仿宋"/>
          <w:sz w:val="32"/>
          <w:szCs w:val="32"/>
        </w:rPr>
        <w:sectPr>
          <w:footerReference r:id="rId5" w:type="default"/>
          <w:pgSz w:w="11906" w:h="16838"/>
          <w:pgMar w:top="1111" w:right="1191" w:bottom="1276" w:left="1191" w:header="851" w:footer="899" w:gutter="0"/>
          <w:pgNumType w:fmt="decimal"/>
          <w:cols w:space="720" w:num="1"/>
          <w:docGrid w:linePitch="360" w:charSpace="0"/>
        </w:sectPr>
      </w:pPr>
      <w:r>
        <w:rPr>
          <w:rFonts w:hint="eastAsia" w:ascii="仿宋" w:hAnsi="仿宋" w:eastAsia="仿宋" w:cs="仿宋"/>
          <w:sz w:val="32"/>
          <w:szCs w:val="32"/>
        </w:rPr>
        <w:t>签订日期：      年    月   日</w:t>
      </w:r>
    </w:p>
    <w:p w14:paraId="2C8430F9">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eastAsia" w:ascii="仿宋" w:hAnsi="仿宋" w:eastAsia="仿宋" w:cs="仿宋"/>
          <w:b/>
          <w:bCs/>
          <w:sz w:val="24"/>
          <w:szCs w:val="24"/>
        </w:rPr>
      </w:pPr>
      <w:r>
        <w:rPr>
          <w:rFonts w:hint="eastAsia" w:ascii="仿宋" w:hAnsi="仿宋" w:eastAsia="仿宋" w:cs="仿宋"/>
          <w:b/>
          <w:bCs/>
          <w:spacing w:val="-1"/>
          <w:position w:val="27"/>
          <w:sz w:val="24"/>
          <w:szCs w:val="24"/>
        </w:rPr>
        <w:t>公共机构能</w:t>
      </w:r>
      <w:r>
        <w:rPr>
          <w:rFonts w:hint="eastAsia" w:ascii="仿宋" w:hAnsi="仿宋" w:eastAsia="仿宋" w:cs="仿宋"/>
          <w:b/>
          <w:bCs/>
          <w:position w:val="27"/>
          <w:sz w:val="24"/>
          <w:szCs w:val="24"/>
        </w:rPr>
        <w:t>源托管项目参考合同</w:t>
      </w:r>
    </w:p>
    <w:tbl>
      <w:tblPr>
        <w:tblStyle w:val="645"/>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7"/>
        <w:gridCol w:w="1955"/>
        <w:gridCol w:w="2507"/>
        <w:gridCol w:w="1422"/>
        <w:gridCol w:w="3023"/>
      </w:tblGrid>
      <w:tr w14:paraId="6770B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67" w:type="dxa"/>
            <w:vMerge w:val="restart"/>
            <w:tcBorders>
              <w:bottom w:val="nil"/>
            </w:tcBorders>
            <w:textDirection w:val="tbRlV"/>
          </w:tcPr>
          <w:p w14:paraId="6D230128">
            <w:pPr>
              <w:spacing w:before="162" w:line="360" w:lineRule="auto"/>
              <w:ind w:left="0"/>
              <w:jc w:val="center"/>
              <w:rPr>
                <w:rFonts w:hint="eastAsia" w:ascii="仿宋" w:hAnsi="仿宋" w:eastAsia="仿宋" w:cs="仿宋"/>
                <w:sz w:val="19"/>
                <w:szCs w:val="19"/>
                <w:lang w:eastAsia="en-US"/>
              </w:rPr>
            </w:pPr>
            <w:r>
              <w:rPr>
                <w:rFonts w:hint="eastAsia" w:ascii="仿宋" w:hAnsi="仿宋" w:eastAsia="仿宋" w:cs="仿宋"/>
                <w:spacing w:val="17"/>
                <w:sz w:val="19"/>
                <w:szCs w:val="19"/>
                <w:lang w:eastAsia="en-US"/>
              </w:rPr>
              <w:t>甲</w:t>
            </w:r>
            <w:r>
              <w:rPr>
                <w:rFonts w:hint="eastAsia" w:ascii="仿宋" w:hAnsi="仿宋" w:eastAsia="仿宋" w:cs="仿宋"/>
                <w:spacing w:val="16"/>
                <w:sz w:val="19"/>
                <w:szCs w:val="19"/>
                <w:lang w:eastAsia="en-US"/>
              </w:rPr>
              <w:t xml:space="preserve">方 </w:t>
            </w:r>
          </w:p>
        </w:tc>
        <w:tc>
          <w:tcPr>
            <w:tcW w:w="1955" w:type="dxa"/>
          </w:tcPr>
          <w:p w14:paraId="4DDEB779">
            <w:pPr>
              <w:spacing w:before="35" w:line="360" w:lineRule="auto"/>
              <w:ind w:left="582"/>
              <w:rPr>
                <w:rFonts w:hint="eastAsia" w:ascii="仿宋" w:hAnsi="仿宋" w:eastAsia="仿宋" w:cs="仿宋"/>
                <w:sz w:val="19"/>
                <w:szCs w:val="19"/>
                <w:lang w:eastAsia="en-US"/>
              </w:rPr>
            </w:pPr>
            <w:r>
              <w:rPr>
                <w:rFonts w:hint="eastAsia" w:ascii="仿宋" w:hAnsi="仿宋" w:eastAsia="仿宋" w:cs="仿宋"/>
                <w:spacing w:val="7"/>
                <w:sz w:val="19"/>
                <w:szCs w:val="19"/>
                <w:lang w:eastAsia="en-US"/>
              </w:rPr>
              <w:t>单位名</w:t>
            </w:r>
            <w:r>
              <w:rPr>
                <w:rFonts w:hint="eastAsia" w:ascii="仿宋" w:hAnsi="仿宋" w:eastAsia="仿宋" w:cs="仿宋"/>
                <w:spacing w:val="6"/>
                <w:sz w:val="19"/>
                <w:szCs w:val="19"/>
                <w:lang w:eastAsia="en-US"/>
              </w:rPr>
              <w:t>称</w:t>
            </w:r>
          </w:p>
        </w:tc>
        <w:tc>
          <w:tcPr>
            <w:tcW w:w="6952" w:type="dxa"/>
            <w:gridSpan w:val="3"/>
          </w:tcPr>
          <w:p w14:paraId="1D3022DA">
            <w:pPr>
              <w:spacing w:line="360" w:lineRule="auto"/>
              <w:rPr>
                <w:rFonts w:hint="eastAsia" w:ascii="仿宋" w:hAnsi="仿宋" w:eastAsia="仿宋" w:cs="仿宋"/>
                <w:lang w:eastAsia="en-US"/>
              </w:rPr>
            </w:pPr>
          </w:p>
        </w:tc>
      </w:tr>
      <w:tr w14:paraId="40CB1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667" w:type="dxa"/>
            <w:vMerge w:val="continue"/>
            <w:tcBorders>
              <w:top w:val="nil"/>
              <w:bottom w:val="nil"/>
            </w:tcBorders>
            <w:textDirection w:val="tbRlV"/>
          </w:tcPr>
          <w:p w14:paraId="6183657C">
            <w:pPr>
              <w:spacing w:line="360" w:lineRule="auto"/>
              <w:jc w:val="center"/>
              <w:rPr>
                <w:rFonts w:hint="eastAsia" w:ascii="仿宋" w:hAnsi="仿宋" w:eastAsia="仿宋" w:cs="仿宋"/>
                <w:lang w:eastAsia="en-US"/>
              </w:rPr>
            </w:pPr>
          </w:p>
        </w:tc>
        <w:tc>
          <w:tcPr>
            <w:tcW w:w="1955" w:type="dxa"/>
          </w:tcPr>
          <w:p w14:paraId="60FEA872">
            <w:pPr>
              <w:spacing w:before="30" w:line="360" w:lineRule="auto"/>
              <w:ind w:left="581"/>
              <w:rPr>
                <w:rFonts w:hint="eastAsia" w:ascii="仿宋" w:hAnsi="仿宋" w:eastAsia="仿宋" w:cs="仿宋"/>
                <w:sz w:val="19"/>
                <w:szCs w:val="19"/>
                <w:lang w:eastAsia="en-US"/>
              </w:rPr>
            </w:pPr>
            <w:r>
              <w:rPr>
                <w:rFonts w:hint="eastAsia" w:ascii="仿宋" w:hAnsi="仿宋" w:eastAsia="仿宋" w:cs="仿宋"/>
                <w:spacing w:val="8"/>
                <w:sz w:val="19"/>
                <w:szCs w:val="19"/>
                <w:lang w:eastAsia="en-US"/>
              </w:rPr>
              <w:t>注</w:t>
            </w:r>
            <w:r>
              <w:rPr>
                <w:rFonts w:hint="eastAsia" w:ascii="仿宋" w:hAnsi="仿宋" w:eastAsia="仿宋" w:cs="仿宋"/>
                <w:spacing w:val="7"/>
                <w:sz w:val="19"/>
                <w:szCs w:val="19"/>
                <w:lang w:eastAsia="en-US"/>
              </w:rPr>
              <w:t>册地址</w:t>
            </w:r>
          </w:p>
        </w:tc>
        <w:tc>
          <w:tcPr>
            <w:tcW w:w="6952" w:type="dxa"/>
            <w:gridSpan w:val="3"/>
          </w:tcPr>
          <w:p w14:paraId="62978C13">
            <w:pPr>
              <w:spacing w:line="360" w:lineRule="auto"/>
              <w:rPr>
                <w:rFonts w:hint="eastAsia" w:ascii="仿宋" w:hAnsi="仿宋" w:eastAsia="仿宋" w:cs="仿宋"/>
                <w:lang w:eastAsia="en-US"/>
              </w:rPr>
            </w:pPr>
          </w:p>
        </w:tc>
      </w:tr>
      <w:tr w14:paraId="3199C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667" w:type="dxa"/>
            <w:vMerge w:val="continue"/>
            <w:tcBorders>
              <w:top w:val="nil"/>
              <w:bottom w:val="nil"/>
            </w:tcBorders>
            <w:textDirection w:val="tbRlV"/>
          </w:tcPr>
          <w:p w14:paraId="4D8646DB">
            <w:pPr>
              <w:spacing w:line="360" w:lineRule="auto"/>
              <w:jc w:val="center"/>
              <w:rPr>
                <w:rFonts w:hint="eastAsia" w:ascii="仿宋" w:hAnsi="仿宋" w:eastAsia="仿宋" w:cs="仿宋"/>
                <w:lang w:eastAsia="en-US"/>
              </w:rPr>
            </w:pPr>
          </w:p>
        </w:tc>
        <w:tc>
          <w:tcPr>
            <w:tcW w:w="1955" w:type="dxa"/>
          </w:tcPr>
          <w:p w14:paraId="124A93BA">
            <w:pPr>
              <w:spacing w:before="31" w:line="360" w:lineRule="auto"/>
              <w:ind w:left="581"/>
              <w:rPr>
                <w:rFonts w:hint="eastAsia" w:ascii="仿宋" w:hAnsi="仿宋" w:eastAsia="仿宋" w:cs="仿宋"/>
                <w:sz w:val="19"/>
                <w:szCs w:val="19"/>
                <w:lang w:eastAsia="en-US"/>
              </w:rPr>
            </w:pPr>
            <w:r>
              <w:rPr>
                <w:rFonts w:hint="eastAsia" w:ascii="仿宋" w:hAnsi="仿宋" w:eastAsia="仿宋" w:cs="仿宋"/>
                <w:spacing w:val="8"/>
                <w:sz w:val="19"/>
                <w:szCs w:val="19"/>
                <w:lang w:eastAsia="en-US"/>
              </w:rPr>
              <w:t>通</w:t>
            </w:r>
            <w:r>
              <w:rPr>
                <w:rFonts w:hint="eastAsia" w:ascii="仿宋" w:hAnsi="仿宋" w:eastAsia="仿宋" w:cs="仿宋"/>
                <w:spacing w:val="7"/>
                <w:sz w:val="19"/>
                <w:szCs w:val="19"/>
                <w:lang w:eastAsia="en-US"/>
              </w:rPr>
              <w:t>讯地址</w:t>
            </w:r>
          </w:p>
        </w:tc>
        <w:tc>
          <w:tcPr>
            <w:tcW w:w="6952" w:type="dxa"/>
            <w:gridSpan w:val="3"/>
          </w:tcPr>
          <w:p w14:paraId="73CD7022">
            <w:pPr>
              <w:spacing w:line="360" w:lineRule="auto"/>
              <w:rPr>
                <w:rFonts w:hint="eastAsia" w:ascii="仿宋" w:hAnsi="仿宋" w:eastAsia="仿宋" w:cs="仿宋"/>
                <w:lang w:eastAsia="en-US"/>
              </w:rPr>
            </w:pPr>
          </w:p>
        </w:tc>
      </w:tr>
      <w:tr w14:paraId="5A809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667" w:type="dxa"/>
            <w:vMerge w:val="continue"/>
            <w:tcBorders>
              <w:top w:val="nil"/>
              <w:bottom w:val="nil"/>
            </w:tcBorders>
            <w:textDirection w:val="tbRlV"/>
          </w:tcPr>
          <w:p w14:paraId="6BB99A03">
            <w:pPr>
              <w:spacing w:line="360" w:lineRule="auto"/>
              <w:jc w:val="center"/>
              <w:rPr>
                <w:rFonts w:hint="eastAsia" w:ascii="仿宋" w:hAnsi="仿宋" w:eastAsia="仿宋" w:cs="仿宋"/>
                <w:lang w:eastAsia="en-US"/>
              </w:rPr>
            </w:pPr>
          </w:p>
        </w:tc>
        <w:tc>
          <w:tcPr>
            <w:tcW w:w="1955" w:type="dxa"/>
          </w:tcPr>
          <w:p w14:paraId="65319069">
            <w:pPr>
              <w:spacing w:before="31" w:line="360" w:lineRule="auto"/>
              <w:ind w:left="185"/>
              <w:rPr>
                <w:rFonts w:hint="eastAsia" w:ascii="仿宋" w:hAnsi="仿宋" w:eastAsia="仿宋" w:cs="仿宋"/>
                <w:sz w:val="19"/>
                <w:szCs w:val="19"/>
                <w:lang w:eastAsia="en-US"/>
              </w:rPr>
            </w:pPr>
            <w:r>
              <w:rPr>
                <w:rFonts w:hint="eastAsia" w:ascii="仿宋" w:hAnsi="仿宋" w:eastAsia="仿宋" w:cs="仿宋"/>
                <w:spacing w:val="9"/>
                <w:sz w:val="19"/>
                <w:szCs w:val="19"/>
                <w:lang w:eastAsia="en-US"/>
              </w:rPr>
              <w:t>统</w:t>
            </w:r>
            <w:r>
              <w:rPr>
                <w:rFonts w:hint="eastAsia" w:ascii="仿宋" w:hAnsi="仿宋" w:eastAsia="仿宋" w:cs="仿宋"/>
                <w:spacing w:val="8"/>
                <w:sz w:val="19"/>
                <w:szCs w:val="19"/>
                <w:lang w:eastAsia="en-US"/>
              </w:rPr>
              <w:t>一社会信用代码</w:t>
            </w:r>
          </w:p>
        </w:tc>
        <w:tc>
          <w:tcPr>
            <w:tcW w:w="6952" w:type="dxa"/>
            <w:gridSpan w:val="3"/>
          </w:tcPr>
          <w:p w14:paraId="27293A6B">
            <w:pPr>
              <w:spacing w:line="360" w:lineRule="auto"/>
              <w:rPr>
                <w:rFonts w:hint="eastAsia" w:ascii="仿宋" w:hAnsi="仿宋" w:eastAsia="仿宋" w:cs="仿宋"/>
                <w:lang w:eastAsia="en-US"/>
              </w:rPr>
            </w:pPr>
          </w:p>
        </w:tc>
      </w:tr>
      <w:tr w14:paraId="11D36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667" w:type="dxa"/>
            <w:vMerge w:val="continue"/>
            <w:tcBorders>
              <w:top w:val="nil"/>
              <w:bottom w:val="nil"/>
            </w:tcBorders>
            <w:textDirection w:val="tbRlV"/>
          </w:tcPr>
          <w:p w14:paraId="6CCF0B68">
            <w:pPr>
              <w:spacing w:line="360" w:lineRule="auto"/>
              <w:jc w:val="center"/>
              <w:rPr>
                <w:rFonts w:hint="eastAsia" w:ascii="仿宋" w:hAnsi="仿宋" w:eastAsia="仿宋" w:cs="仿宋"/>
                <w:lang w:eastAsia="en-US"/>
              </w:rPr>
            </w:pPr>
          </w:p>
        </w:tc>
        <w:tc>
          <w:tcPr>
            <w:tcW w:w="1955" w:type="dxa"/>
          </w:tcPr>
          <w:p w14:paraId="6A3FE7D0">
            <w:pPr>
              <w:spacing w:before="34" w:line="360" w:lineRule="auto"/>
              <w:ind w:left="481"/>
              <w:rPr>
                <w:rFonts w:hint="eastAsia" w:ascii="仿宋" w:hAnsi="仿宋" w:eastAsia="仿宋" w:cs="仿宋"/>
                <w:sz w:val="19"/>
                <w:szCs w:val="19"/>
                <w:lang w:eastAsia="en-US"/>
              </w:rPr>
            </w:pPr>
            <w:r>
              <w:rPr>
                <w:rFonts w:hint="eastAsia" w:ascii="仿宋" w:hAnsi="仿宋" w:eastAsia="仿宋" w:cs="仿宋"/>
                <w:spacing w:val="8"/>
                <w:sz w:val="19"/>
                <w:szCs w:val="19"/>
                <w:lang w:eastAsia="en-US"/>
              </w:rPr>
              <w:t>法定代表</w:t>
            </w:r>
            <w:r>
              <w:rPr>
                <w:rFonts w:hint="eastAsia" w:ascii="仿宋" w:hAnsi="仿宋" w:eastAsia="仿宋" w:cs="仿宋"/>
                <w:spacing w:val="7"/>
                <w:sz w:val="19"/>
                <w:szCs w:val="19"/>
                <w:lang w:eastAsia="en-US"/>
              </w:rPr>
              <w:t>人</w:t>
            </w:r>
          </w:p>
        </w:tc>
        <w:tc>
          <w:tcPr>
            <w:tcW w:w="2507" w:type="dxa"/>
          </w:tcPr>
          <w:p w14:paraId="24B00C12">
            <w:pPr>
              <w:spacing w:line="360" w:lineRule="auto"/>
              <w:rPr>
                <w:rFonts w:hint="eastAsia" w:ascii="仿宋" w:hAnsi="仿宋" w:eastAsia="仿宋" w:cs="仿宋"/>
                <w:lang w:eastAsia="en-US"/>
              </w:rPr>
            </w:pPr>
          </w:p>
        </w:tc>
        <w:tc>
          <w:tcPr>
            <w:tcW w:w="1422" w:type="dxa"/>
          </w:tcPr>
          <w:p w14:paraId="31D19311">
            <w:pPr>
              <w:spacing w:before="33" w:line="360" w:lineRule="auto"/>
              <w:ind w:left="216"/>
              <w:rPr>
                <w:rFonts w:hint="eastAsia" w:ascii="仿宋" w:hAnsi="仿宋" w:eastAsia="仿宋" w:cs="仿宋"/>
                <w:sz w:val="19"/>
                <w:szCs w:val="19"/>
                <w:lang w:eastAsia="en-US"/>
              </w:rPr>
            </w:pPr>
            <w:r>
              <w:rPr>
                <w:rFonts w:hint="eastAsia" w:ascii="仿宋" w:hAnsi="仿宋" w:eastAsia="仿宋" w:cs="仿宋"/>
                <w:spacing w:val="9"/>
                <w:sz w:val="19"/>
                <w:szCs w:val="19"/>
                <w:lang w:eastAsia="en-US"/>
              </w:rPr>
              <w:t>委</w:t>
            </w:r>
            <w:r>
              <w:rPr>
                <w:rFonts w:hint="eastAsia" w:ascii="仿宋" w:hAnsi="仿宋" w:eastAsia="仿宋" w:cs="仿宋"/>
                <w:spacing w:val="8"/>
                <w:sz w:val="19"/>
                <w:szCs w:val="19"/>
                <w:lang w:eastAsia="en-US"/>
              </w:rPr>
              <w:t>托代理人</w:t>
            </w:r>
          </w:p>
        </w:tc>
        <w:tc>
          <w:tcPr>
            <w:tcW w:w="3023" w:type="dxa"/>
          </w:tcPr>
          <w:p w14:paraId="5E70F063">
            <w:pPr>
              <w:spacing w:line="360" w:lineRule="auto"/>
              <w:rPr>
                <w:rFonts w:hint="eastAsia" w:ascii="仿宋" w:hAnsi="仿宋" w:eastAsia="仿宋" w:cs="仿宋"/>
                <w:lang w:eastAsia="en-US"/>
              </w:rPr>
            </w:pPr>
          </w:p>
        </w:tc>
      </w:tr>
      <w:tr w14:paraId="01ADE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667" w:type="dxa"/>
            <w:vMerge w:val="continue"/>
            <w:tcBorders>
              <w:top w:val="nil"/>
              <w:bottom w:val="nil"/>
            </w:tcBorders>
            <w:textDirection w:val="tbRlV"/>
          </w:tcPr>
          <w:p w14:paraId="6FF4FF5C">
            <w:pPr>
              <w:spacing w:line="360" w:lineRule="auto"/>
              <w:jc w:val="center"/>
              <w:rPr>
                <w:rFonts w:hint="eastAsia" w:ascii="仿宋" w:hAnsi="仿宋" w:eastAsia="仿宋" w:cs="仿宋"/>
                <w:lang w:eastAsia="en-US"/>
              </w:rPr>
            </w:pPr>
          </w:p>
        </w:tc>
        <w:tc>
          <w:tcPr>
            <w:tcW w:w="1955" w:type="dxa"/>
          </w:tcPr>
          <w:p w14:paraId="3EA017B8">
            <w:pPr>
              <w:spacing w:before="31" w:line="360" w:lineRule="auto"/>
              <w:ind w:left="680"/>
              <w:rPr>
                <w:rFonts w:hint="eastAsia" w:ascii="仿宋" w:hAnsi="仿宋" w:eastAsia="仿宋" w:cs="仿宋"/>
                <w:sz w:val="19"/>
                <w:szCs w:val="19"/>
                <w:lang w:eastAsia="en-US"/>
              </w:rPr>
            </w:pPr>
            <w:r>
              <w:rPr>
                <w:rFonts w:hint="eastAsia" w:ascii="仿宋" w:hAnsi="仿宋" w:eastAsia="仿宋" w:cs="仿宋"/>
                <w:spacing w:val="7"/>
                <w:sz w:val="19"/>
                <w:szCs w:val="19"/>
                <w:lang w:eastAsia="en-US"/>
              </w:rPr>
              <w:t>联</w:t>
            </w:r>
            <w:r>
              <w:rPr>
                <w:rFonts w:hint="eastAsia" w:ascii="仿宋" w:hAnsi="仿宋" w:eastAsia="仿宋" w:cs="仿宋"/>
                <w:spacing w:val="6"/>
                <w:sz w:val="19"/>
                <w:szCs w:val="19"/>
                <w:lang w:eastAsia="en-US"/>
              </w:rPr>
              <w:t>系人</w:t>
            </w:r>
          </w:p>
        </w:tc>
        <w:tc>
          <w:tcPr>
            <w:tcW w:w="6952" w:type="dxa"/>
            <w:gridSpan w:val="3"/>
          </w:tcPr>
          <w:p w14:paraId="0617B6E8">
            <w:pPr>
              <w:spacing w:line="360" w:lineRule="auto"/>
              <w:rPr>
                <w:rFonts w:hint="eastAsia" w:ascii="仿宋" w:hAnsi="仿宋" w:eastAsia="仿宋" w:cs="仿宋"/>
                <w:lang w:eastAsia="en-US"/>
              </w:rPr>
            </w:pPr>
          </w:p>
        </w:tc>
      </w:tr>
      <w:tr w14:paraId="3C0D9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667" w:type="dxa"/>
            <w:vMerge w:val="continue"/>
            <w:tcBorders>
              <w:top w:val="nil"/>
              <w:bottom w:val="nil"/>
            </w:tcBorders>
            <w:textDirection w:val="tbRlV"/>
          </w:tcPr>
          <w:p w14:paraId="3C4ABBD7">
            <w:pPr>
              <w:spacing w:line="360" w:lineRule="auto"/>
              <w:jc w:val="center"/>
              <w:rPr>
                <w:rFonts w:hint="eastAsia" w:ascii="仿宋" w:hAnsi="仿宋" w:eastAsia="仿宋" w:cs="仿宋"/>
                <w:lang w:eastAsia="en-US"/>
              </w:rPr>
            </w:pPr>
          </w:p>
        </w:tc>
        <w:tc>
          <w:tcPr>
            <w:tcW w:w="1955" w:type="dxa"/>
          </w:tcPr>
          <w:p w14:paraId="770240DF">
            <w:pPr>
              <w:spacing w:before="31" w:line="360" w:lineRule="auto"/>
              <w:ind w:left="803"/>
              <w:rPr>
                <w:rFonts w:hint="eastAsia" w:ascii="仿宋" w:hAnsi="仿宋" w:eastAsia="仿宋" w:cs="仿宋"/>
                <w:sz w:val="19"/>
                <w:szCs w:val="19"/>
                <w:lang w:eastAsia="en-US"/>
              </w:rPr>
            </w:pPr>
            <w:r>
              <w:rPr>
                <w:rFonts w:hint="eastAsia" w:ascii="仿宋" w:hAnsi="仿宋" w:eastAsia="仿宋" w:cs="仿宋"/>
                <w:spacing w:val="-4"/>
                <w:sz w:val="19"/>
                <w:szCs w:val="19"/>
                <w:lang w:eastAsia="en-US"/>
              </w:rPr>
              <w:t>电</w:t>
            </w:r>
            <w:r>
              <w:rPr>
                <w:rFonts w:hint="eastAsia" w:ascii="仿宋" w:hAnsi="仿宋" w:eastAsia="仿宋" w:cs="仿宋"/>
                <w:spacing w:val="-3"/>
                <w:sz w:val="19"/>
                <w:szCs w:val="19"/>
                <w:lang w:eastAsia="en-US"/>
              </w:rPr>
              <w:t>话</w:t>
            </w:r>
          </w:p>
        </w:tc>
        <w:tc>
          <w:tcPr>
            <w:tcW w:w="2507" w:type="dxa"/>
          </w:tcPr>
          <w:p w14:paraId="2DEAE8C7">
            <w:pPr>
              <w:spacing w:line="360" w:lineRule="auto"/>
              <w:rPr>
                <w:rFonts w:hint="eastAsia" w:ascii="仿宋" w:hAnsi="仿宋" w:eastAsia="仿宋" w:cs="仿宋"/>
                <w:lang w:eastAsia="en-US"/>
              </w:rPr>
            </w:pPr>
          </w:p>
        </w:tc>
        <w:tc>
          <w:tcPr>
            <w:tcW w:w="1422" w:type="dxa"/>
          </w:tcPr>
          <w:p w14:paraId="1F2B6F72">
            <w:pPr>
              <w:spacing w:before="31" w:line="360" w:lineRule="auto"/>
              <w:ind w:left="515"/>
              <w:rPr>
                <w:rFonts w:hint="eastAsia" w:ascii="仿宋" w:hAnsi="仿宋" w:eastAsia="仿宋" w:cs="仿宋"/>
                <w:sz w:val="19"/>
                <w:szCs w:val="19"/>
                <w:lang w:eastAsia="en-US"/>
              </w:rPr>
            </w:pPr>
            <w:r>
              <w:rPr>
                <w:rFonts w:hint="eastAsia" w:ascii="仿宋" w:hAnsi="仿宋" w:eastAsia="仿宋" w:cs="仿宋"/>
                <w:spacing w:val="6"/>
                <w:sz w:val="19"/>
                <w:szCs w:val="19"/>
                <w:lang w:eastAsia="en-US"/>
              </w:rPr>
              <w:t>传真</w:t>
            </w:r>
          </w:p>
        </w:tc>
        <w:tc>
          <w:tcPr>
            <w:tcW w:w="3023" w:type="dxa"/>
          </w:tcPr>
          <w:p w14:paraId="607CCC9B">
            <w:pPr>
              <w:spacing w:line="360" w:lineRule="auto"/>
              <w:rPr>
                <w:rFonts w:hint="eastAsia" w:ascii="仿宋" w:hAnsi="仿宋" w:eastAsia="仿宋" w:cs="仿宋"/>
                <w:lang w:eastAsia="en-US"/>
              </w:rPr>
            </w:pPr>
          </w:p>
        </w:tc>
      </w:tr>
      <w:tr w14:paraId="69D4E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667" w:type="dxa"/>
            <w:vMerge w:val="continue"/>
            <w:tcBorders>
              <w:top w:val="nil"/>
              <w:bottom w:val="nil"/>
            </w:tcBorders>
            <w:textDirection w:val="tbRlV"/>
          </w:tcPr>
          <w:p w14:paraId="00EFC679">
            <w:pPr>
              <w:spacing w:line="360" w:lineRule="auto"/>
              <w:jc w:val="center"/>
              <w:rPr>
                <w:rFonts w:hint="eastAsia" w:ascii="仿宋" w:hAnsi="仿宋" w:eastAsia="仿宋" w:cs="仿宋"/>
                <w:lang w:eastAsia="en-US"/>
              </w:rPr>
            </w:pPr>
          </w:p>
        </w:tc>
        <w:tc>
          <w:tcPr>
            <w:tcW w:w="1955" w:type="dxa"/>
          </w:tcPr>
          <w:p w14:paraId="57B5DECE">
            <w:pPr>
              <w:spacing w:before="32" w:line="360" w:lineRule="auto"/>
              <w:ind w:left="604"/>
              <w:rPr>
                <w:rFonts w:hint="eastAsia" w:ascii="仿宋" w:hAnsi="仿宋" w:eastAsia="仿宋" w:cs="仿宋"/>
                <w:sz w:val="19"/>
                <w:szCs w:val="19"/>
                <w:lang w:eastAsia="en-US"/>
              </w:rPr>
            </w:pPr>
            <w:r>
              <w:rPr>
                <w:rFonts w:hint="eastAsia" w:ascii="仿宋" w:hAnsi="仿宋" w:eastAsia="仿宋" w:cs="仿宋"/>
                <w:spacing w:val="2"/>
                <w:sz w:val="19"/>
                <w:szCs w:val="19"/>
                <w:lang w:eastAsia="en-US"/>
              </w:rPr>
              <w:t>电</w:t>
            </w:r>
            <w:r>
              <w:rPr>
                <w:rFonts w:hint="eastAsia" w:ascii="仿宋" w:hAnsi="仿宋" w:eastAsia="仿宋" w:cs="仿宋"/>
                <w:spacing w:val="1"/>
                <w:sz w:val="19"/>
                <w:szCs w:val="19"/>
                <w:lang w:eastAsia="en-US"/>
              </w:rPr>
              <w:t>子邮箱</w:t>
            </w:r>
          </w:p>
        </w:tc>
        <w:tc>
          <w:tcPr>
            <w:tcW w:w="6952" w:type="dxa"/>
            <w:gridSpan w:val="3"/>
          </w:tcPr>
          <w:p w14:paraId="391358C9">
            <w:pPr>
              <w:spacing w:line="360" w:lineRule="auto"/>
              <w:rPr>
                <w:rFonts w:hint="eastAsia" w:ascii="仿宋" w:hAnsi="仿宋" w:eastAsia="仿宋" w:cs="仿宋"/>
                <w:lang w:eastAsia="en-US"/>
              </w:rPr>
            </w:pPr>
          </w:p>
        </w:tc>
      </w:tr>
      <w:tr w14:paraId="11328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667" w:type="dxa"/>
            <w:vMerge w:val="continue"/>
            <w:tcBorders>
              <w:top w:val="nil"/>
              <w:bottom w:val="nil"/>
            </w:tcBorders>
            <w:textDirection w:val="tbRlV"/>
          </w:tcPr>
          <w:p w14:paraId="763B768D">
            <w:pPr>
              <w:spacing w:line="360" w:lineRule="auto"/>
              <w:jc w:val="center"/>
              <w:rPr>
                <w:rFonts w:hint="eastAsia" w:ascii="仿宋" w:hAnsi="仿宋" w:eastAsia="仿宋" w:cs="仿宋"/>
                <w:lang w:eastAsia="en-US"/>
              </w:rPr>
            </w:pPr>
          </w:p>
        </w:tc>
        <w:tc>
          <w:tcPr>
            <w:tcW w:w="1955" w:type="dxa"/>
          </w:tcPr>
          <w:p w14:paraId="2C8CCD92">
            <w:pPr>
              <w:spacing w:before="33" w:line="360" w:lineRule="auto"/>
              <w:ind w:left="582"/>
              <w:rPr>
                <w:rFonts w:hint="eastAsia" w:ascii="仿宋" w:hAnsi="仿宋" w:eastAsia="仿宋" w:cs="仿宋"/>
                <w:sz w:val="19"/>
                <w:szCs w:val="19"/>
                <w:lang w:eastAsia="en-US"/>
              </w:rPr>
            </w:pPr>
            <w:r>
              <w:rPr>
                <w:rFonts w:hint="eastAsia" w:ascii="仿宋" w:hAnsi="仿宋" w:eastAsia="仿宋" w:cs="仿宋"/>
                <w:spacing w:val="7"/>
                <w:sz w:val="19"/>
                <w:szCs w:val="19"/>
                <w:lang w:eastAsia="en-US"/>
              </w:rPr>
              <w:t>开户银行</w:t>
            </w:r>
          </w:p>
        </w:tc>
        <w:tc>
          <w:tcPr>
            <w:tcW w:w="6952" w:type="dxa"/>
            <w:gridSpan w:val="3"/>
          </w:tcPr>
          <w:p w14:paraId="19D98CD1">
            <w:pPr>
              <w:spacing w:line="360" w:lineRule="auto"/>
              <w:rPr>
                <w:rFonts w:hint="eastAsia" w:ascii="仿宋" w:hAnsi="仿宋" w:eastAsia="仿宋" w:cs="仿宋"/>
                <w:lang w:eastAsia="en-US"/>
              </w:rPr>
            </w:pPr>
          </w:p>
        </w:tc>
      </w:tr>
      <w:tr w14:paraId="22DC7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667" w:type="dxa"/>
            <w:vMerge w:val="continue"/>
            <w:tcBorders>
              <w:top w:val="nil"/>
            </w:tcBorders>
            <w:textDirection w:val="tbRlV"/>
          </w:tcPr>
          <w:p w14:paraId="308EA0C9">
            <w:pPr>
              <w:spacing w:line="360" w:lineRule="auto"/>
              <w:jc w:val="center"/>
              <w:rPr>
                <w:rFonts w:hint="eastAsia" w:ascii="仿宋" w:hAnsi="仿宋" w:eastAsia="仿宋" w:cs="仿宋"/>
                <w:lang w:eastAsia="en-US"/>
              </w:rPr>
            </w:pPr>
          </w:p>
        </w:tc>
        <w:tc>
          <w:tcPr>
            <w:tcW w:w="1955" w:type="dxa"/>
          </w:tcPr>
          <w:p w14:paraId="63AC7B02">
            <w:pPr>
              <w:spacing w:before="33" w:line="360" w:lineRule="auto"/>
              <w:ind w:left="788"/>
              <w:rPr>
                <w:rFonts w:hint="eastAsia" w:ascii="仿宋" w:hAnsi="仿宋" w:eastAsia="仿宋" w:cs="仿宋"/>
                <w:sz w:val="19"/>
                <w:szCs w:val="19"/>
                <w:lang w:eastAsia="en-US"/>
              </w:rPr>
            </w:pPr>
            <w:r>
              <w:rPr>
                <w:rFonts w:hint="eastAsia" w:ascii="仿宋" w:hAnsi="仿宋" w:eastAsia="仿宋" w:cs="仿宋"/>
                <w:spacing w:val="1"/>
                <w:sz w:val="19"/>
                <w:szCs w:val="19"/>
                <w:lang w:eastAsia="en-US"/>
              </w:rPr>
              <w:t>帐号</w:t>
            </w:r>
          </w:p>
        </w:tc>
        <w:tc>
          <w:tcPr>
            <w:tcW w:w="2507" w:type="dxa"/>
          </w:tcPr>
          <w:p w14:paraId="0A887ECC">
            <w:pPr>
              <w:spacing w:line="360" w:lineRule="auto"/>
              <w:rPr>
                <w:rFonts w:hint="eastAsia" w:ascii="仿宋" w:hAnsi="仿宋" w:eastAsia="仿宋" w:cs="仿宋"/>
                <w:lang w:eastAsia="en-US"/>
              </w:rPr>
            </w:pPr>
          </w:p>
        </w:tc>
        <w:tc>
          <w:tcPr>
            <w:tcW w:w="1422" w:type="dxa"/>
          </w:tcPr>
          <w:p w14:paraId="5D885DE1">
            <w:pPr>
              <w:spacing w:before="33" w:line="360" w:lineRule="auto"/>
              <w:ind w:left="516"/>
              <w:rPr>
                <w:rFonts w:hint="eastAsia" w:ascii="仿宋" w:hAnsi="仿宋" w:eastAsia="仿宋" w:cs="仿宋"/>
                <w:sz w:val="19"/>
                <w:szCs w:val="19"/>
                <w:lang w:eastAsia="en-US"/>
              </w:rPr>
            </w:pPr>
            <w:r>
              <w:rPr>
                <w:rFonts w:hint="eastAsia" w:ascii="仿宋" w:hAnsi="仿宋" w:eastAsia="仿宋" w:cs="仿宋"/>
                <w:spacing w:val="6"/>
                <w:sz w:val="19"/>
                <w:szCs w:val="19"/>
                <w:lang w:eastAsia="en-US"/>
              </w:rPr>
              <w:t>税</w:t>
            </w:r>
            <w:r>
              <w:rPr>
                <w:rFonts w:hint="eastAsia" w:ascii="仿宋" w:hAnsi="仿宋" w:eastAsia="仿宋" w:cs="仿宋"/>
                <w:spacing w:val="5"/>
                <w:sz w:val="19"/>
                <w:szCs w:val="19"/>
                <w:lang w:eastAsia="en-US"/>
              </w:rPr>
              <w:t>号</w:t>
            </w:r>
          </w:p>
        </w:tc>
        <w:tc>
          <w:tcPr>
            <w:tcW w:w="3023" w:type="dxa"/>
          </w:tcPr>
          <w:p w14:paraId="5E47797E">
            <w:pPr>
              <w:spacing w:line="360" w:lineRule="auto"/>
              <w:rPr>
                <w:rFonts w:hint="eastAsia" w:ascii="仿宋" w:hAnsi="仿宋" w:eastAsia="仿宋" w:cs="仿宋"/>
                <w:lang w:eastAsia="en-US"/>
              </w:rPr>
            </w:pPr>
          </w:p>
        </w:tc>
      </w:tr>
      <w:tr w14:paraId="7BB4F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667" w:type="dxa"/>
            <w:vMerge w:val="restart"/>
            <w:tcBorders>
              <w:bottom w:val="nil"/>
            </w:tcBorders>
            <w:textDirection w:val="tbRlV"/>
          </w:tcPr>
          <w:p w14:paraId="352BD87C">
            <w:pPr>
              <w:spacing w:before="161" w:line="360" w:lineRule="auto"/>
              <w:ind w:left="0"/>
              <w:jc w:val="center"/>
              <w:rPr>
                <w:rFonts w:hint="eastAsia" w:ascii="仿宋" w:hAnsi="仿宋" w:eastAsia="仿宋" w:cs="仿宋"/>
                <w:sz w:val="19"/>
                <w:szCs w:val="19"/>
                <w:lang w:eastAsia="en-US"/>
              </w:rPr>
            </w:pPr>
            <w:r>
              <w:rPr>
                <w:rFonts w:hint="eastAsia" w:ascii="仿宋" w:hAnsi="仿宋" w:eastAsia="仿宋" w:cs="仿宋"/>
                <w:spacing w:val="15"/>
                <w:sz w:val="19"/>
                <w:szCs w:val="19"/>
                <w:lang w:eastAsia="en-US"/>
              </w:rPr>
              <w:t>乙方</w:t>
            </w:r>
          </w:p>
        </w:tc>
        <w:tc>
          <w:tcPr>
            <w:tcW w:w="1955" w:type="dxa"/>
          </w:tcPr>
          <w:p w14:paraId="4B9080E3">
            <w:pPr>
              <w:spacing w:before="34" w:line="360" w:lineRule="auto"/>
              <w:ind w:left="582"/>
              <w:rPr>
                <w:rFonts w:hint="eastAsia" w:ascii="仿宋" w:hAnsi="仿宋" w:eastAsia="仿宋" w:cs="仿宋"/>
                <w:sz w:val="19"/>
                <w:szCs w:val="19"/>
                <w:lang w:eastAsia="en-US"/>
              </w:rPr>
            </w:pPr>
            <w:r>
              <w:rPr>
                <w:rFonts w:hint="eastAsia" w:ascii="仿宋" w:hAnsi="仿宋" w:eastAsia="仿宋" w:cs="仿宋"/>
                <w:spacing w:val="7"/>
                <w:sz w:val="19"/>
                <w:szCs w:val="19"/>
                <w:lang w:eastAsia="en-US"/>
              </w:rPr>
              <w:t>单位名</w:t>
            </w:r>
            <w:r>
              <w:rPr>
                <w:rFonts w:hint="eastAsia" w:ascii="仿宋" w:hAnsi="仿宋" w:eastAsia="仿宋" w:cs="仿宋"/>
                <w:spacing w:val="6"/>
                <w:sz w:val="19"/>
                <w:szCs w:val="19"/>
                <w:lang w:eastAsia="en-US"/>
              </w:rPr>
              <w:t>称</w:t>
            </w:r>
          </w:p>
        </w:tc>
        <w:tc>
          <w:tcPr>
            <w:tcW w:w="6952" w:type="dxa"/>
            <w:gridSpan w:val="3"/>
          </w:tcPr>
          <w:p w14:paraId="5E9CAFF1">
            <w:pPr>
              <w:spacing w:line="360" w:lineRule="auto"/>
              <w:rPr>
                <w:rFonts w:hint="eastAsia" w:ascii="仿宋" w:hAnsi="仿宋" w:eastAsia="仿宋" w:cs="仿宋"/>
                <w:lang w:eastAsia="en-US"/>
              </w:rPr>
            </w:pPr>
          </w:p>
        </w:tc>
      </w:tr>
      <w:tr w14:paraId="102C2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667" w:type="dxa"/>
            <w:vMerge w:val="continue"/>
            <w:tcBorders>
              <w:top w:val="nil"/>
              <w:bottom w:val="nil"/>
            </w:tcBorders>
            <w:textDirection w:val="tbRlV"/>
          </w:tcPr>
          <w:p w14:paraId="428DDE08">
            <w:pPr>
              <w:spacing w:line="360" w:lineRule="auto"/>
              <w:rPr>
                <w:rFonts w:hint="eastAsia" w:ascii="仿宋" w:hAnsi="仿宋" w:eastAsia="仿宋" w:cs="仿宋"/>
                <w:lang w:eastAsia="en-US"/>
              </w:rPr>
            </w:pPr>
          </w:p>
        </w:tc>
        <w:tc>
          <w:tcPr>
            <w:tcW w:w="1955" w:type="dxa"/>
          </w:tcPr>
          <w:p w14:paraId="5CEB1008">
            <w:pPr>
              <w:spacing w:before="36" w:line="360" w:lineRule="auto"/>
              <w:ind w:left="581"/>
              <w:rPr>
                <w:rFonts w:hint="eastAsia" w:ascii="仿宋" w:hAnsi="仿宋" w:eastAsia="仿宋" w:cs="仿宋"/>
                <w:sz w:val="19"/>
                <w:szCs w:val="19"/>
                <w:lang w:eastAsia="en-US"/>
              </w:rPr>
            </w:pPr>
            <w:r>
              <w:rPr>
                <w:rFonts w:hint="eastAsia" w:ascii="仿宋" w:hAnsi="仿宋" w:eastAsia="仿宋" w:cs="仿宋"/>
                <w:spacing w:val="8"/>
                <w:sz w:val="19"/>
                <w:szCs w:val="19"/>
                <w:lang w:eastAsia="en-US"/>
              </w:rPr>
              <w:t>注</w:t>
            </w:r>
            <w:r>
              <w:rPr>
                <w:rFonts w:hint="eastAsia" w:ascii="仿宋" w:hAnsi="仿宋" w:eastAsia="仿宋" w:cs="仿宋"/>
                <w:spacing w:val="7"/>
                <w:sz w:val="19"/>
                <w:szCs w:val="19"/>
                <w:lang w:eastAsia="en-US"/>
              </w:rPr>
              <w:t>册地址</w:t>
            </w:r>
          </w:p>
        </w:tc>
        <w:tc>
          <w:tcPr>
            <w:tcW w:w="6952" w:type="dxa"/>
            <w:gridSpan w:val="3"/>
          </w:tcPr>
          <w:p w14:paraId="1FCA8DEC">
            <w:pPr>
              <w:spacing w:line="360" w:lineRule="auto"/>
              <w:rPr>
                <w:rFonts w:hint="eastAsia" w:ascii="仿宋" w:hAnsi="仿宋" w:eastAsia="仿宋" w:cs="仿宋"/>
                <w:lang w:eastAsia="en-US"/>
              </w:rPr>
            </w:pPr>
          </w:p>
        </w:tc>
      </w:tr>
      <w:tr w14:paraId="205D2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667" w:type="dxa"/>
            <w:vMerge w:val="continue"/>
            <w:tcBorders>
              <w:top w:val="nil"/>
              <w:bottom w:val="nil"/>
            </w:tcBorders>
            <w:textDirection w:val="tbRlV"/>
          </w:tcPr>
          <w:p w14:paraId="174D4EB3">
            <w:pPr>
              <w:spacing w:line="360" w:lineRule="auto"/>
              <w:rPr>
                <w:rFonts w:hint="eastAsia" w:ascii="仿宋" w:hAnsi="仿宋" w:eastAsia="仿宋" w:cs="仿宋"/>
                <w:lang w:eastAsia="en-US"/>
              </w:rPr>
            </w:pPr>
          </w:p>
        </w:tc>
        <w:tc>
          <w:tcPr>
            <w:tcW w:w="1955" w:type="dxa"/>
          </w:tcPr>
          <w:p w14:paraId="05D66DEA">
            <w:pPr>
              <w:spacing w:before="33" w:line="360" w:lineRule="auto"/>
              <w:ind w:left="581"/>
              <w:rPr>
                <w:rFonts w:hint="eastAsia" w:ascii="仿宋" w:hAnsi="仿宋" w:eastAsia="仿宋" w:cs="仿宋"/>
                <w:sz w:val="19"/>
                <w:szCs w:val="19"/>
                <w:lang w:eastAsia="en-US"/>
              </w:rPr>
            </w:pPr>
            <w:r>
              <w:rPr>
                <w:rFonts w:hint="eastAsia" w:ascii="仿宋" w:hAnsi="仿宋" w:eastAsia="仿宋" w:cs="仿宋"/>
                <w:spacing w:val="8"/>
                <w:sz w:val="19"/>
                <w:szCs w:val="19"/>
                <w:lang w:eastAsia="en-US"/>
              </w:rPr>
              <w:t>通</w:t>
            </w:r>
            <w:r>
              <w:rPr>
                <w:rFonts w:hint="eastAsia" w:ascii="仿宋" w:hAnsi="仿宋" w:eastAsia="仿宋" w:cs="仿宋"/>
                <w:spacing w:val="7"/>
                <w:sz w:val="19"/>
                <w:szCs w:val="19"/>
                <w:lang w:eastAsia="en-US"/>
              </w:rPr>
              <w:t>讯地址</w:t>
            </w:r>
          </w:p>
        </w:tc>
        <w:tc>
          <w:tcPr>
            <w:tcW w:w="6952" w:type="dxa"/>
            <w:gridSpan w:val="3"/>
          </w:tcPr>
          <w:p w14:paraId="36CED6FC">
            <w:pPr>
              <w:spacing w:line="360" w:lineRule="auto"/>
              <w:rPr>
                <w:rFonts w:hint="eastAsia" w:ascii="仿宋" w:hAnsi="仿宋" w:eastAsia="仿宋" w:cs="仿宋"/>
                <w:lang w:eastAsia="en-US"/>
              </w:rPr>
            </w:pPr>
          </w:p>
        </w:tc>
      </w:tr>
      <w:tr w14:paraId="426D6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667" w:type="dxa"/>
            <w:vMerge w:val="continue"/>
            <w:tcBorders>
              <w:top w:val="nil"/>
              <w:bottom w:val="nil"/>
            </w:tcBorders>
            <w:textDirection w:val="tbRlV"/>
          </w:tcPr>
          <w:p w14:paraId="63ACAD9B">
            <w:pPr>
              <w:spacing w:line="360" w:lineRule="auto"/>
              <w:rPr>
                <w:rFonts w:hint="eastAsia" w:ascii="仿宋" w:hAnsi="仿宋" w:eastAsia="仿宋" w:cs="仿宋"/>
                <w:lang w:eastAsia="en-US"/>
              </w:rPr>
            </w:pPr>
          </w:p>
        </w:tc>
        <w:tc>
          <w:tcPr>
            <w:tcW w:w="1955" w:type="dxa"/>
          </w:tcPr>
          <w:p w14:paraId="1F18D5E0">
            <w:pPr>
              <w:spacing w:before="34" w:line="360" w:lineRule="auto"/>
              <w:ind w:left="185"/>
              <w:rPr>
                <w:rFonts w:hint="eastAsia" w:ascii="仿宋" w:hAnsi="仿宋" w:eastAsia="仿宋" w:cs="仿宋"/>
                <w:sz w:val="19"/>
                <w:szCs w:val="19"/>
                <w:lang w:eastAsia="en-US"/>
              </w:rPr>
            </w:pPr>
            <w:r>
              <w:rPr>
                <w:rFonts w:hint="eastAsia" w:ascii="仿宋" w:hAnsi="仿宋" w:eastAsia="仿宋" w:cs="仿宋"/>
                <w:spacing w:val="9"/>
                <w:sz w:val="19"/>
                <w:szCs w:val="19"/>
                <w:lang w:eastAsia="en-US"/>
              </w:rPr>
              <w:t>统</w:t>
            </w:r>
            <w:r>
              <w:rPr>
                <w:rFonts w:hint="eastAsia" w:ascii="仿宋" w:hAnsi="仿宋" w:eastAsia="仿宋" w:cs="仿宋"/>
                <w:spacing w:val="8"/>
                <w:sz w:val="19"/>
                <w:szCs w:val="19"/>
                <w:lang w:eastAsia="en-US"/>
              </w:rPr>
              <w:t>一社会信用代码</w:t>
            </w:r>
          </w:p>
        </w:tc>
        <w:tc>
          <w:tcPr>
            <w:tcW w:w="6952" w:type="dxa"/>
            <w:gridSpan w:val="3"/>
          </w:tcPr>
          <w:p w14:paraId="3C64D592">
            <w:pPr>
              <w:spacing w:line="360" w:lineRule="auto"/>
              <w:rPr>
                <w:rFonts w:hint="eastAsia" w:ascii="仿宋" w:hAnsi="仿宋" w:eastAsia="仿宋" w:cs="仿宋"/>
                <w:lang w:eastAsia="en-US"/>
              </w:rPr>
            </w:pPr>
          </w:p>
        </w:tc>
      </w:tr>
      <w:tr w14:paraId="4F1FA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667" w:type="dxa"/>
            <w:vMerge w:val="continue"/>
            <w:tcBorders>
              <w:top w:val="nil"/>
              <w:bottom w:val="nil"/>
            </w:tcBorders>
            <w:textDirection w:val="tbRlV"/>
          </w:tcPr>
          <w:p w14:paraId="1C785549">
            <w:pPr>
              <w:spacing w:line="360" w:lineRule="auto"/>
              <w:rPr>
                <w:rFonts w:hint="eastAsia" w:ascii="仿宋" w:hAnsi="仿宋" w:eastAsia="仿宋" w:cs="仿宋"/>
                <w:lang w:eastAsia="en-US"/>
              </w:rPr>
            </w:pPr>
          </w:p>
        </w:tc>
        <w:tc>
          <w:tcPr>
            <w:tcW w:w="1955" w:type="dxa"/>
          </w:tcPr>
          <w:p w14:paraId="7A829C83">
            <w:pPr>
              <w:spacing w:before="34" w:line="360" w:lineRule="auto"/>
              <w:ind w:left="481"/>
              <w:rPr>
                <w:rFonts w:hint="eastAsia" w:ascii="仿宋" w:hAnsi="仿宋" w:eastAsia="仿宋" w:cs="仿宋"/>
                <w:sz w:val="19"/>
                <w:szCs w:val="19"/>
                <w:lang w:eastAsia="en-US"/>
              </w:rPr>
            </w:pPr>
            <w:r>
              <w:rPr>
                <w:rFonts w:hint="eastAsia" w:ascii="仿宋" w:hAnsi="仿宋" w:eastAsia="仿宋" w:cs="仿宋"/>
                <w:spacing w:val="8"/>
                <w:sz w:val="19"/>
                <w:szCs w:val="19"/>
                <w:lang w:eastAsia="en-US"/>
              </w:rPr>
              <w:t>法定代表</w:t>
            </w:r>
            <w:r>
              <w:rPr>
                <w:rFonts w:hint="eastAsia" w:ascii="仿宋" w:hAnsi="仿宋" w:eastAsia="仿宋" w:cs="仿宋"/>
                <w:spacing w:val="7"/>
                <w:sz w:val="19"/>
                <w:szCs w:val="19"/>
                <w:lang w:eastAsia="en-US"/>
              </w:rPr>
              <w:t>人</w:t>
            </w:r>
          </w:p>
        </w:tc>
        <w:tc>
          <w:tcPr>
            <w:tcW w:w="2507" w:type="dxa"/>
          </w:tcPr>
          <w:p w14:paraId="2E1BABB5">
            <w:pPr>
              <w:spacing w:line="360" w:lineRule="auto"/>
              <w:rPr>
                <w:rFonts w:hint="eastAsia" w:ascii="仿宋" w:hAnsi="仿宋" w:eastAsia="仿宋" w:cs="仿宋"/>
                <w:lang w:eastAsia="en-US"/>
              </w:rPr>
            </w:pPr>
          </w:p>
        </w:tc>
        <w:tc>
          <w:tcPr>
            <w:tcW w:w="1422" w:type="dxa"/>
          </w:tcPr>
          <w:p w14:paraId="10FCE8CC">
            <w:pPr>
              <w:spacing w:before="34" w:line="360" w:lineRule="auto"/>
              <w:ind w:left="216"/>
              <w:rPr>
                <w:rFonts w:hint="eastAsia" w:ascii="仿宋" w:hAnsi="仿宋" w:eastAsia="仿宋" w:cs="仿宋"/>
                <w:sz w:val="19"/>
                <w:szCs w:val="19"/>
                <w:lang w:eastAsia="en-US"/>
              </w:rPr>
            </w:pPr>
            <w:r>
              <w:rPr>
                <w:rFonts w:hint="eastAsia" w:ascii="仿宋" w:hAnsi="仿宋" w:eastAsia="仿宋" w:cs="仿宋"/>
                <w:spacing w:val="9"/>
                <w:sz w:val="19"/>
                <w:szCs w:val="19"/>
                <w:lang w:eastAsia="en-US"/>
              </w:rPr>
              <w:t>委</w:t>
            </w:r>
            <w:r>
              <w:rPr>
                <w:rFonts w:hint="eastAsia" w:ascii="仿宋" w:hAnsi="仿宋" w:eastAsia="仿宋" w:cs="仿宋"/>
                <w:spacing w:val="8"/>
                <w:sz w:val="19"/>
                <w:szCs w:val="19"/>
                <w:lang w:eastAsia="en-US"/>
              </w:rPr>
              <w:t>托代理人</w:t>
            </w:r>
          </w:p>
        </w:tc>
        <w:tc>
          <w:tcPr>
            <w:tcW w:w="3023" w:type="dxa"/>
          </w:tcPr>
          <w:p w14:paraId="40C16D15">
            <w:pPr>
              <w:spacing w:line="360" w:lineRule="auto"/>
              <w:rPr>
                <w:rFonts w:hint="eastAsia" w:ascii="仿宋" w:hAnsi="仿宋" w:eastAsia="仿宋" w:cs="仿宋"/>
                <w:lang w:eastAsia="en-US"/>
              </w:rPr>
            </w:pPr>
          </w:p>
        </w:tc>
      </w:tr>
      <w:tr w14:paraId="40ECB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667" w:type="dxa"/>
            <w:vMerge w:val="continue"/>
            <w:tcBorders>
              <w:top w:val="nil"/>
              <w:bottom w:val="nil"/>
            </w:tcBorders>
            <w:textDirection w:val="tbRlV"/>
          </w:tcPr>
          <w:p w14:paraId="5922CC8C">
            <w:pPr>
              <w:spacing w:line="360" w:lineRule="auto"/>
              <w:rPr>
                <w:rFonts w:hint="eastAsia" w:ascii="仿宋" w:hAnsi="仿宋" w:eastAsia="仿宋" w:cs="仿宋"/>
                <w:lang w:eastAsia="en-US"/>
              </w:rPr>
            </w:pPr>
          </w:p>
        </w:tc>
        <w:tc>
          <w:tcPr>
            <w:tcW w:w="1955" w:type="dxa"/>
          </w:tcPr>
          <w:p w14:paraId="0B9F7A0E">
            <w:pPr>
              <w:spacing w:before="36" w:line="360" w:lineRule="auto"/>
              <w:ind w:left="680"/>
              <w:rPr>
                <w:rFonts w:hint="eastAsia" w:ascii="仿宋" w:hAnsi="仿宋" w:eastAsia="仿宋" w:cs="仿宋"/>
                <w:sz w:val="19"/>
                <w:szCs w:val="19"/>
                <w:lang w:eastAsia="en-US"/>
              </w:rPr>
            </w:pPr>
            <w:r>
              <w:rPr>
                <w:rFonts w:hint="eastAsia" w:ascii="仿宋" w:hAnsi="仿宋" w:eastAsia="仿宋" w:cs="仿宋"/>
                <w:spacing w:val="7"/>
                <w:sz w:val="19"/>
                <w:szCs w:val="19"/>
                <w:lang w:eastAsia="en-US"/>
              </w:rPr>
              <w:t>联</w:t>
            </w:r>
            <w:r>
              <w:rPr>
                <w:rFonts w:hint="eastAsia" w:ascii="仿宋" w:hAnsi="仿宋" w:eastAsia="仿宋" w:cs="仿宋"/>
                <w:spacing w:val="6"/>
                <w:sz w:val="19"/>
                <w:szCs w:val="19"/>
                <w:lang w:eastAsia="en-US"/>
              </w:rPr>
              <w:t>系人</w:t>
            </w:r>
          </w:p>
        </w:tc>
        <w:tc>
          <w:tcPr>
            <w:tcW w:w="6952" w:type="dxa"/>
            <w:gridSpan w:val="3"/>
          </w:tcPr>
          <w:p w14:paraId="34ACD2A3">
            <w:pPr>
              <w:spacing w:line="360" w:lineRule="auto"/>
              <w:rPr>
                <w:rFonts w:hint="eastAsia" w:ascii="仿宋" w:hAnsi="仿宋" w:eastAsia="仿宋" w:cs="仿宋"/>
                <w:lang w:eastAsia="en-US"/>
              </w:rPr>
            </w:pPr>
          </w:p>
        </w:tc>
      </w:tr>
      <w:tr w14:paraId="6811F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667" w:type="dxa"/>
            <w:vMerge w:val="continue"/>
            <w:tcBorders>
              <w:top w:val="nil"/>
              <w:bottom w:val="nil"/>
            </w:tcBorders>
            <w:textDirection w:val="tbRlV"/>
          </w:tcPr>
          <w:p w14:paraId="2F83C6AC">
            <w:pPr>
              <w:spacing w:line="360" w:lineRule="auto"/>
              <w:rPr>
                <w:rFonts w:hint="eastAsia" w:ascii="仿宋" w:hAnsi="仿宋" w:eastAsia="仿宋" w:cs="仿宋"/>
                <w:lang w:eastAsia="en-US"/>
              </w:rPr>
            </w:pPr>
          </w:p>
        </w:tc>
        <w:tc>
          <w:tcPr>
            <w:tcW w:w="1955" w:type="dxa"/>
          </w:tcPr>
          <w:p w14:paraId="0EF4AA63">
            <w:pPr>
              <w:spacing w:before="34" w:line="360" w:lineRule="auto"/>
              <w:ind w:left="581"/>
              <w:rPr>
                <w:rFonts w:hint="eastAsia" w:ascii="仿宋" w:hAnsi="仿宋" w:eastAsia="仿宋" w:cs="仿宋"/>
                <w:sz w:val="19"/>
                <w:szCs w:val="19"/>
                <w:lang w:eastAsia="en-US"/>
              </w:rPr>
            </w:pPr>
            <w:r>
              <w:rPr>
                <w:rFonts w:hint="eastAsia" w:ascii="仿宋" w:hAnsi="仿宋" w:eastAsia="仿宋" w:cs="仿宋"/>
                <w:spacing w:val="8"/>
                <w:sz w:val="19"/>
                <w:szCs w:val="19"/>
                <w:lang w:eastAsia="en-US"/>
              </w:rPr>
              <w:t>通</w:t>
            </w:r>
            <w:r>
              <w:rPr>
                <w:rFonts w:hint="eastAsia" w:ascii="仿宋" w:hAnsi="仿宋" w:eastAsia="仿宋" w:cs="仿宋"/>
                <w:spacing w:val="7"/>
                <w:sz w:val="19"/>
                <w:szCs w:val="19"/>
                <w:lang w:eastAsia="en-US"/>
              </w:rPr>
              <w:t>讯地址</w:t>
            </w:r>
          </w:p>
        </w:tc>
        <w:tc>
          <w:tcPr>
            <w:tcW w:w="6952" w:type="dxa"/>
            <w:gridSpan w:val="3"/>
          </w:tcPr>
          <w:p w14:paraId="34F5E249">
            <w:pPr>
              <w:spacing w:line="360" w:lineRule="auto"/>
              <w:rPr>
                <w:rFonts w:hint="eastAsia" w:ascii="仿宋" w:hAnsi="仿宋" w:eastAsia="仿宋" w:cs="仿宋"/>
                <w:lang w:eastAsia="en-US"/>
              </w:rPr>
            </w:pPr>
          </w:p>
        </w:tc>
      </w:tr>
      <w:tr w14:paraId="06347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667" w:type="dxa"/>
            <w:vMerge w:val="continue"/>
            <w:tcBorders>
              <w:top w:val="nil"/>
              <w:bottom w:val="nil"/>
            </w:tcBorders>
            <w:textDirection w:val="tbRlV"/>
          </w:tcPr>
          <w:p w14:paraId="7F7D1F2D">
            <w:pPr>
              <w:spacing w:line="360" w:lineRule="auto"/>
              <w:rPr>
                <w:rFonts w:hint="eastAsia" w:ascii="仿宋" w:hAnsi="仿宋" w:eastAsia="仿宋" w:cs="仿宋"/>
                <w:lang w:eastAsia="en-US"/>
              </w:rPr>
            </w:pPr>
          </w:p>
        </w:tc>
        <w:tc>
          <w:tcPr>
            <w:tcW w:w="1955" w:type="dxa"/>
          </w:tcPr>
          <w:p w14:paraId="1C5BE79E">
            <w:pPr>
              <w:spacing w:before="34" w:line="360" w:lineRule="auto"/>
              <w:ind w:left="803"/>
              <w:rPr>
                <w:rFonts w:hint="eastAsia" w:ascii="仿宋" w:hAnsi="仿宋" w:eastAsia="仿宋" w:cs="仿宋"/>
                <w:sz w:val="19"/>
                <w:szCs w:val="19"/>
                <w:lang w:eastAsia="en-US"/>
              </w:rPr>
            </w:pPr>
            <w:r>
              <w:rPr>
                <w:rFonts w:hint="eastAsia" w:ascii="仿宋" w:hAnsi="仿宋" w:eastAsia="仿宋" w:cs="仿宋"/>
                <w:spacing w:val="-4"/>
                <w:sz w:val="19"/>
                <w:szCs w:val="19"/>
                <w:lang w:eastAsia="en-US"/>
              </w:rPr>
              <w:t>电</w:t>
            </w:r>
            <w:r>
              <w:rPr>
                <w:rFonts w:hint="eastAsia" w:ascii="仿宋" w:hAnsi="仿宋" w:eastAsia="仿宋" w:cs="仿宋"/>
                <w:spacing w:val="-3"/>
                <w:sz w:val="19"/>
                <w:szCs w:val="19"/>
                <w:lang w:eastAsia="en-US"/>
              </w:rPr>
              <w:t>话</w:t>
            </w:r>
          </w:p>
        </w:tc>
        <w:tc>
          <w:tcPr>
            <w:tcW w:w="2507" w:type="dxa"/>
          </w:tcPr>
          <w:p w14:paraId="3E1F27C2">
            <w:pPr>
              <w:spacing w:line="360" w:lineRule="auto"/>
              <w:rPr>
                <w:rFonts w:hint="eastAsia" w:ascii="仿宋" w:hAnsi="仿宋" w:eastAsia="仿宋" w:cs="仿宋"/>
                <w:lang w:eastAsia="en-US"/>
              </w:rPr>
            </w:pPr>
          </w:p>
        </w:tc>
        <w:tc>
          <w:tcPr>
            <w:tcW w:w="1422" w:type="dxa"/>
          </w:tcPr>
          <w:p w14:paraId="258A9ADC">
            <w:pPr>
              <w:spacing w:before="34" w:line="360" w:lineRule="auto"/>
              <w:ind w:left="515"/>
              <w:rPr>
                <w:rFonts w:hint="eastAsia" w:ascii="仿宋" w:hAnsi="仿宋" w:eastAsia="仿宋" w:cs="仿宋"/>
                <w:sz w:val="19"/>
                <w:szCs w:val="19"/>
                <w:lang w:eastAsia="en-US"/>
              </w:rPr>
            </w:pPr>
            <w:r>
              <w:rPr>
                <w:rFonts w:hint="eastAsia" w:ascii="仿宋" w:hAnsi="仿宋" w:eastAsia="仿宋" w:cs="仿宋"/>
                <w:spacing w:val="6"/>
                <w:sz w:val="19"/>
                <w:szCs w:val="19"/>
                <w:lang w:eastAsia="en-US"/>
              </w:rPr>
              <w:t>传真</w:t>
            </w:r>
          </w:p>
        </w:tc>
        <w:tc>
          <w:tcPr>
            <w:tcW w:w="3023" w:type="dxa"/>
          </w:tcPr>
          <w:p w14:paraId="628E4F81">
            <w:pPr>
              <w:spacing w:line="360" w:lineRule="auto"/>
              <w:rPr>
                <w:rFonts w:hint="eastAsia" w:ascii="仿宋" w:hAnsi="仿宋" w:eastAsia="仿宋" w:cs="仿宋"/>
                <w:lang w:eastAsia="en-US"/>
              </w:rPr>
            </w:pPr>
          </w:p>
        </w:tc>
      </w:tr>
      <w:tr w14:paraId="0E931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667" w:type="dxa"/>
            <w:vMerge w:val="continue"/>
            <w:tcBorders>
              <w:top w:val="nil"/>
              <w:bottom w:val="nil"/>
            </w:tcBorders>
            <w:textDirection w:val="tbRlV"/>
          </w:tcPr>
          <w:p w14:paraId="12B37F29">
            <w:pPr>
              <w:spacing w:line="360" w:lineRule="auto"/>
              <w:rPr>
                <w:rFonts w:hint="eastAsia" w:ascii="仿宋" w:hAnsi="仿宋" w:eastAsia="仿宋" w:cs="仿宋"/>
                <w:lang w:eastAsia="en-US"/>
              </w:rPr>
            </w:pPr>
          </w:p>
        </w:tc>
        <w:tc>
          <w:tcPr>
            <w:tcW w:w="1955" w:type="dxa"/>
          </w:tcPr>
          <w:p w14:paraId="01536F3C">
            <w:pPr>
              <w:spacing w:before="35" w:line="360" w:lineRule="auto"/>
              <w:ind w:left="604"/>
              <w:rPr>
                <w:rFonts w:hint="eastAsia" w:ascii="仿宋" w:hAnsi="仿宋" w:eastAsia="仿宋" w:cs="仿宋"/>
                <w:sz w:val="19"/>
                <w:szCs w:val="19"/>
                <w:lang w:eastAsia="en-US"/>
              </w:rPr>
            </w:pPr>
            <w:r>
              <w:rPr>
                <w:rFonts w:hint="eastAsia" w:ascii="仿宋" w:hAnsi="仿宋" w:eastAsia="仿宋" w:cs="仿宋"/>
                <w:spacing w:val="2"/>
                <w:sz w:val="19"/>
                <w:szCs w:val="19"/>
                <w:lang w:eastAsia="en-US"/>
              </w:rPr>
              <w:t>电</w:t>
            </w:r>
            <w:r>
              <w:rPr>
                <w:rFonts w:hint="eastAsia" w:ascii="仿宋" w:hAnsi="仿宋" w:eastAsia="仿宋" w:cs="仿宋"/>
                <w:spacing w:val="1"/>
                <w:sz w:val="19"/>
                <w:szCs w:val="19"/>
                <w:lang w:eastAsia="en-US"/>
              </w:rPr>
              <w:t>子邮箱</w:t>
            </w:r>
          </w:p>
        </w:tc>
        <w:tc>
          <w:tcPr>
            <w:tcW w:w="6952" w:type="dxa"/>
            <w:gridSpan w:val="3"/>
          </w:tcPr>
          <w:p w14:paraId="7A7D9F93">
            <w:pPr>
              <w:spacing w:line="360" w:lineRule="auto"/>
              <w:rPr>
                <w:rFonts w:hint="eastAsia" w:ascii="仿宋" w:hAnsi="仿宋" w:eastAsia="仿宋" w:cs="仿宋"/>
                <w:lang w:eastAsia="en-US"/>
              </w:rPr>
            </w:pPr>
          </w:p>
        </w:tc>
      </w:tr>
      <w:tr w14:paraId="6722B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667" w:type="dxa"/>
            <w:vMerge w:val="continue"/>
            <w:tcBorders>
              <w:top w:val="nil"/>
              <w:bottom w:val="nil"/>
            </w:tcBorders>
            <w:textDirection w:val="tbRlV"/>
          </w:tcPr>
          <w:p w14:paraId="01DA5D4B">
            <w:pPr>
              <w:spacing w:line="360" w:lineRule="auto"/>
              <w:rPr>
                <w:rFonts w:hint="eastAsia" w:ascii="仿宋" w:hAnsi="仿宋" w:eastAsia="仿宋" w:cs="仿宋"/>
                <w:lang w:eastAsia="en-US"/>
              </w:rPr>
            </w:pPr>
          </w:p>
        </w:tc>
        <w:tc>
          <w:tcPr>
            <w:tcW w:w="1955" w:type="dxa"/>
          </w:tcPr>
          <w:p w14:paraId="68A6CAB2">
            <w:pPr>
              <w:spacing w:before="35" w:line="360" w:lineRule="auto"/>
              <w:ind w:left="582"/>
              <w:rPr>
                <w:rFonts w:hint="eastAsia" w:ascii="仿宋" w:hAnsi="仿宋" w:eastAsia="仿宋" w:cs="仿宋"/>
                <w:sz w:val="19"/>
                <w:szCs w:val="19"/>
                <w:lang w:eastAsia="en-US"/>
              </w:rPr>
            </w:pPr>
            <w:r>
              <w:rPr>
                <w:rFonts w:hint="eastAsia" w:ascii="仿宋" w:hAnsi="仿宋" w:eastAsia="仿宋" w:cs="仿宋"/>
                <w:spacing w:val="7"/>
                <w:sz w:val="19"/>
                <w:szCs w:val="19"/>
                <w:lang w:eastAsia="en-US"/>
              </w:rPr>
              <w:t>开户银行</w:t>
            </w:r>
          </w:p>
        </w:tc>
        <w:tc>
          <w:tcPr>
            <w:tcW w:w="6952" w:type="dxa"/>
            <w:gridSpan w:val="3"/>
          </w:tcPr>
          <w:p w14:paraId="13A06C1A">
            <w:pPr>
              <w:spacing w:line="360" w:lineRule="auto"/>
              <w:rPr>
                <w:rFonts w:hint="eastAsia" w:ascii="仿宋" w:hAnsi="仿宋" w:eastAsia="仿宋" w:cs="仿宋"/>
                <w:lang w:eastAsia="en-US"/>
              </w:rPr>
            </w:pPr>
          </w:p>
        </w:tc>
      </w:tr>
      <w:tr w14:paraId="0EC22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667" w:type="dxa"/>
            <w:vMerge w:val="continue"/>
            <w:tcBorders>
              <w:top w:val="nil"/>
            </w:tcBorders>
            <w:textDirection w:val="tbRlV"/>
          </w:tcPr>
          <w:p w14:paraId="01585E34">
            <w:pPr>
              <w:spacing w:line="360" w:lineRule="auto"/>
              <w:rPr>
                <w:rFonts w:hint="eastAsia" w:ascii="仿宋" w:hAnsi="仿宋" w:eastAsia="仿宋" w:cs="仿宋"/>
                <w:lang w:eastAsia="en-US"/>
              </w:rPr>
            </w:pPr>
          </w:p>
        </w:tc>
        <w:tc>
          <w:tcPr>
            <w:tcW w:w="1955" w:type="dxa"/>
          </w:tcPr>
          <w:p w14:paraId="767FA6AE">
            <w:pPr>
              <w:spacing w:before="35" w:line="360" w:lineRule="auto"/>
              <w:ind w:left="788"/>
              <w:rPr>
                <w:rFonts w:hint="eastAsia" w:ascii="仿宋" w:hAnsi="仿宋" w:eastAsia="仿宋" w:cs="仿宋"/>
                <w:sz w:val="19"/>
                <w:szCs w:val="19"/>
                <w:lang w:eastAsia="en-US"/>
              </w:rPr>
            </w:pPr>
            <w:r>
              <w:rPr>
                <w:rFonts w:hint="eastAsia" w:ascii="仿宋" w:hAnsi="仿宋" w:eastAsia="仿宋" w:cs="仿宋"/>
                <w:spacing w:val="1"/>
                <w:sz w:val="19"/>
                <w:szCs w:val="19"/>
                <w:lang w:eastAsia="en-US"/>
              </w:rPr>
              <w:t>帐号</w:t>
            </w:r>
          </w:p>
        </w:tc>
        <w:tc>
          <w:tcPr>
            <w:tcW w:w="2507" w:type="dxa"/>
          </w:tcPr>
          <w:p w14:paraId="1A22F248">
            <w:pPr>
              <w:spacing w:line="360" w:lineRule="auto"/>
              <w:rPr>
                <w:rFonts w:hint="eastAsia" w:ascii="仿宋" w:hAnsi="仿宋" w:eastAsia="仿宋" w:cs="仿宋"/>
                <w:lang w:eastAsia="en-US"/>
              </w:rPr>
            </w:pPr>
          </w:p>
        </w:tc>
        <w:tc>
          <w:tcPr>
            <w:tcW w:w="1422" w:type="dxa"/>
          </w:tcPr>
          <w:p w14:paraId="0E036486">
            <w:pPr>
              <w:spacing w:before="35" w:line="360" w:lineRule="auto"/>
              <w:ind w:left="516"/>
              <w:rPr>
                <w:rFonts w:hint="eastAsia" w:ascii="仿宋" w:hAnsi="仿宋" w:eastAsia="仿宋" w:cs="仿宋"/>
                <w:sz w:val="19"/>
                <w:szCs w:val="19"/>
                <w:lang w:eastAsia="en-US"/>
              </w:rPr>
            </w:pPr>
            <w:r>
              <w:rPr>
                <w:rFonts w:hint="eastAsia" w:ascii="仿宋" w:hAnsi="仿宋" w:eastAsia="仿宋" w:cs="仿宋"/>
                <w:spacing w:val="6"/>
                <w:sz w:val="19"/>
                <w:szCs w:val="19"/>
                <w:lang w:eastAsia="en-US"/>
              </w:rPr>
              <w:t>税</w:t>
            </w:r>
            <w:r>
              <w:rPr>
                <w:rFonts w:hint="eastAsia" w:ascii="仿宋" w:hAnsi="仿宋" w:eastAsia="仿宋" w:cs="仿宋"/>
                <w:spacing w:val="5"/>
                <w:sz w:val="19"/>
                <w:szCs w:val="19"/>
                <w:lang w:eastAsia="en-US"/>
              </w:rPr>
              <w:t>号</w:t>
            </w:r>
          </w:p>
        </w:tc>
        <w:tc>
          <w:tcPr>
            <w:tcW w:w="3023" w:type="dxa"/>
          </w:tcPr>
          <w:p w14:paraId="423B9FE2">
            <w:pPr>
              <w:spacing w:line="360" w:lineRule="auto"/>
              <w:rPr>
                <w:rFonts w:hint="eastAsia" w:ascii="仿宋" w:hAnsi="仿宋" w:eastAsia="仿宋" w:cs="仿宋"/>
                <w:lang w:eastAsia="en-US"/>
              </w:rPr>
            </w:pPr>
          </w:p>
        </w:tc>
      </w:tr>
    </w:tbl>
    <w:p w14:paraId="16CEEAB2">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u w:val="single"/>
          <w:lang w:eastAsia="zh-CN"/>
        </w:rPr>
        <w:t xml:space="preserve"> </w:t>
      </w:r>
      <w:r>
        <w:rPr>
          <w:rFonts w:hint="eastAsia" w:ascii="仿宋" w:hAnsi="仿宋" w:eastAsia="仿宋" w:cs="仿宋"/>
          <w:spacing w:val="4"/>
          <w:kern w:val="2"/>
          <w:sz w:val="24"/>
          <w:szCs w:val="24"/>
          <w:u w:val="single"/>
          <w:lang w:val="en-US" w:eastAsia="zh-CN"/>
        </w:rPr>
        <w:t xml:space="preserve">     </w:t>
      </w:r>
      <w:r>
        <w:rPr>
          <w:rFonts w:hint="eastAsia" w:ascii="仿宋" w:hAnsi="仿宋" w:eastAsia="仿宋" w:cs="仿宋"/>
          <w:spacing w:val="4"/>
          <w:kern w:val="2"/>
          <w:sz w:val="24"/>
          <w:szCs w:val="24"/>
        </w:rPr>
        <w:t>(以下简称甲方)与</w:t>
      </w:r>
      <w:r>
        <w:rPr>
          <w:rFonts w:hint="eastAsia" w:ascii="仿宋" w:hAnsi="仿宋" w:eastAsia="仿宋" w:cs="仿宋"/>
          <w:spacing w:val="4"/>
          <w:kern w:val="2"/>
          <w:sz w:val="24"/>
          <w:szCs w:val="24"/>
          <w:u w:val="single"/>
          <w:lang w:eastAsia="zh-CN"/>
        </w:rPr>
        <w:t xml:space="preserve"> </w:t>
      </w:r>
      <w:r>
        <w:rPr>
          <w:rFonts w:hint="eastAsia" w:ascii="仿宋" w:hAnsi="仿宋" w:eastAsia="仿宋" w:cs="仿宋"/>
          <w:spacing w:val="4"/>
          <w:kern w:val="2"/>
          <w:sz w:val="24"/>
          <w:szCs w:val="24"/>
          <w:u w:val="single"/>
          <w:lang w:val="en-US" w:eastAsia="zh-CN"/>
        </w:rPr>
        <w:t xml:space="preserve">       </w:t>
      </w:r>
      <w:r>
        <w:rPr>
          <w:rFonts w:hint="eastAsia" w:ascii="仿宋" w:hAnsi="仿宋" w:eastAsia="仿宋" w:cs="仿宋"/>
          <w:spacing w:val="4"/>
          <w:kern w:val="2"/>
          <w:sz w:val="24"/>
          <w:szCs w:val="24"/>
        </w:rPr>
        <w:t>(以下简称乙方)，根据《</w:t>
      </w:r>
      <w:r>
        <w:rPr>
          <w:rFonts w:hint="eastAsia" w:ascii="仿宋" w:hAnsi="仿宋" w:eastAsia="仿宋" w:cs="仿宋"/>
          <w:spacing w:val="4"/>
          <w:kern w:val="2"/>
          <w:sz w:val="24"/>
          <w:szCs w:val="24"/>
          <w:lang w:val="en-US" w:eastAsia="zh-CN"/>
        </w:rPr>
        <w:t>民法典</w:t>
      </w:r>
      <w:r>
        <w:rPr>
          <w:rFonts w:hint="eastAsia" w:ascii="仿宋" w:hAnsi="仿宋" w:eastAsia="仿宋" w:cs="仿宋"/>
          <w:spacing w:val="4"/>
          <w:kern w:val="2"/>
          <w:sz w:val="24"/>
          <w:szCs w:val="24"/>
        </w:rPr>
        <w:t>》《政府采购法》《招投标法》《公共机构节能条例》及有关节能、环保、供热、供电、供水等法律、法规，本着平等、自愿的原则，就甲方的能源费用及其相应的能源供用系统(以下简称托管项目)按“能源费用托管型合同能源管理”模式进行托管的事宜，经双方协商一致，签订本合同(以下简称项目合同)。</w:t>
      </w:r>
    </w:p>
    <w:p w14:paraId="1B0E6BCF">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第一条 名词解释</w:t>
      </w:r>
    </w:p>
    <w:p w14:paraId="134AA012">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1.1合同能源管理</w:t>
      </w:r>
    </w:p>
    <w:p w14:paraId="30EB8B09">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lang w:val="en-US" w:eastAsia="zh-CN"/>
        </w:rPr>
        <w:t>甲方与乙方</w:t>
      </w:r>
      <w:r>
        <w:rPr>
          <w:rFonts w:hint="eastAsia" w:ascii="仿宋" w:hAnsi="仿宋" w:eastAsia="仿宋" w:cs="仿宋"/>
          <w:spacing w:val="4"/>
          <w:kern w:val="2"/>
          <w:sz w:val="24"/>
          <w:szCs w:val="24"/>
        </w:rPr>
        <w:t>以契约形式约定节能项目的节能目标，</w:t>
      </w:r>
      <w:r>
        <w:rPr>
          <w:rFonts w:hint="eastAsia" w:ascii="仿宋" w:hAnsi="仿宋" w:eastAsia="仿宋" w:cs="仿宋"/>
          <w:spacing w:val="4"/>
          <w:kern w:val="2"/>
          <w:sz w:val="24"/>
          <w:szCs w:val="24"/>
          <w:lang w:eastAsia="zh-CN"/>
        </w:rPr>
        <w:t>乙方</w:t>
      </w:r>
      <w:r>
        <w:rPr>
          <w:rFonts w:hint="eastAsia" w:ascii="仿宋" w:hAnsi="仿宋" w:eastAsia="仿宋" w:cs="仿宋"/>
          <w:spacing w:val="4"/>
          <w:kern w:val="2"/>
          <w:sz w:val="24"/>
          <w:szCs w:val="24"/>
        </w:rPr>
        <w:t>为实现节能目标向</w:t>
      </w:r>
      <w:r>
        <w:rPr>
          <w:rFonts w:hint="eastAsia" w:ascii="仿宋" w:hAnsi="仿宋" w:eastAsia="仿宋" w:cs="仿宋"/>
          <w:spacing w:val="4"/>
          <w:kern w:val="2"/>
          <w:sz w:val="24"/>
          <w:szCs w:val="24"/>
          <w:lang w:eastAsia="zh-CN"/>
        </w:rPr>
        <w:t>甲方</w:t>
      </w:r>
      <w:r>
        <w:rPr>
          <w:rFonts w:hint="eastAsia" w:ascii="仿宋" w:hAnsi="仿宋" w:eastAsia="仿宋" w:cs="仿宋"/>
          <w:spacing w:val="4"/>
          <w:kern w:val="2"/>
          <w:sz w:val="24"/>
          <w:szCs w:val="24"/>
        </w:rPr>
        <w:t>提供必要的服务，</w:t>
      </w:r>
      <w:r>
        <w:rPr>
          <w:rFonts w:hint="eastAsia" w:ascii="仿宋" w:hAnsi="仿宋" w:eastAsia="仿宋" w:cs="仿宋"/>
          <w:spacing w:val="4"/>
          <w:kern w:val="2"/>
          <w:sz w:val="24"/>
          <w:szCs w:val="24"/>
          <w:lang w:eastAsia="zh-CN"/>
        </w:rPr>
        <w:t>甲方</w:t>
      </w:r>
      <w:r>
        <w:rPr>
          <w:rFonts w:hint="eastAsia" w:ascii="仿宋" w:hAnsi="仿宋" w:eastAsia="仿宋" w:cs="仿宋"/>
          <w:spacing w:val="4"/>
          <w:kern w:val="2"/>
          <w:sz w:val="24"/>
          <w:szCs w:val="24"/>
        </w:rPr>
        <w:t>以节能效益、节能服务费或能源托管费支付</w:t>
      </w:r>
      <w:r>
        <w:rPr>
          <w:rFonts w:hint="eastAsia" w:ascii="仿宋" w:hAnsi="仿宋" w:eastAsia="仿宋" w:cs="仿宋"/>
          <w:spacing w:val="4"/>
          <w:kern w:val="2"/>
          <w:sz w:val="24"/>
          <w:szCs w:val="24"/>
          <w:lang w:eastAsia="zh-CN"/>
        </w:rPr>
        <w:t>乙方</w:t>
      </w:r>
      <w:r>
        <w:rPr>
          <w:rFonts w:hint="eastAsia" w:ascii="仿宋" w:hAnsi="仿宋" w:eastAsia="仿宋" w:cs="仿宋"/>
          <w:spacing w:val="4"/>
          <w:kern w:val="2"/>
          <w:sz w:val="24"/>
          <w:szCs w:val="24"/>
        </w:rPr>
        <w:t>的投入及其合理利润的节能服务机制。</w:t>
      </w:r>
    </w:p>
    <w:p w14:paraId="5741B076">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1.2能源托管</w:t>
      </w:r>
    </w:p>
    <w:p w14:paraId="0E1B70B1">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合同能源管理的一种形式。由</w:t>
      </w:r>
      <w:r>
        <w:rPr>
          <w:rFonts w:hint="eastAsia" w:ascii="仿宋" w:hAnsi="仿宋" w:eastAsia="仿宋" w:cs="仿宋"/>
          <w:spacing w:val="4"/>
          <w:kern w:val="2"/>
          <w:sz w:val="24"/>
          <w:szCs w:val="24"/>
          <w:lang w:eastAsia="zh-CN"/>
        </w:rPr>
        <w:t>甲方</w:t>
      </w:r>
      <w:r>
        <w:rPr>
          <w:rFonts w:hint="eastAsia" w:ascii="仿宋" w:hAnsi="仿宋" w:eastAsia="仿宋" w:cs="仿宋"/>
          <w:spacing w:val="4"/>
          <w:kern w:val="2"/>
          <w:sz w:val="24"/>
          <w:szCs w:val="24"/>
        </w:rPr>
        <w:t>委托能够提供用能诊断、节能改造、运行管理等服务的专业化</w:t>
      </w:r>
      <w:r>
        <w:rPr>
          <w:rFonts w:hint="eastAsia" w:ascii="仿宋" w:hAnsi="仿宋" w:eastAsia="仿宋" w:cs="仿宋"/>
          <w:spacing w:val="4"/>
          <w:kern w:val="2"/>
          <w:sz w:val="24"/>
          <w:szCs w:val="24"/>
          <w:lang w:eastAsia="zh-CN"/>
        </w:rPr>
        <w:t>乙方</w:t>
      </w:r>
      <w:r>
        <w:rPr>
          <w:rFonts w:hint="eastAsia" w:ascii="仿宋" w:hAnsi="仿宋" w:eastAsia="仿宋" w:cs="仿宋"/>
          <w:spacing w:val="4"/>
          <w:kern w:val="2"/>
          <w:sz w:val="24"/>
          <w:szCs w:val="24"/>
        </w:rPr>
        <w:t>，进行电、气、煤、油、市政热力、水等能源资源系统的运行、管理、维护和改造，</w:t>
      </w:r>
      <w:r>
        <w:rPr>
          <w:rFonts w:hint="eastAsia" w:ascii="仿宋" w:hAnsi="仿宋" w:eastAsia="仿宋" w:cs="仿宋"/>
          <w:spacing w:val="4"/>
          <w:kern w:val="2"/>
          <w:sz w:val="24"/>
          <w:szCs w:val="24"/>
          <w:lang w:eastAsia="zh-CN"/>
        </w:rPr>
        <w:t>甲方</w:t>
      </w:r>
      <w:r>
        <w:rPr>
          <w:rFonts w:hint="eastAsia" w:ascii="仿宋" w:hAnsi="仿宋" w:eastAsia="仿宋" w:cs="仿宋"/>
          <w:spacing w:val="4"/>
          <w:kern w:val="2"/>
          <w:sz w:val="24"/>
          <w:szCs w:val="24"/>
        </w:rPr>
        <w:t>将根据能源基准确定的费用支付给</w:t>
      </w:r>
      <w:r>
        <w:rPr>
          <w:rFonts w:hint="eastAsia" w:ascii="仿宋" w:hAnsi="仿宋" w:eastAsia="仿宋" w:cs="仿宋"/>
          <w:spacing w:val="4"/>
          <w:kern w:val="2"/>
          <w:sz w:val="24"/>
          <w:szCs w:val="24"/>
          <w:lang w:eastAsia="zh-CN"/>
        </w:rPr>
        <w:t>乙方</w:t>
      </w:r>
      <w:r>
        <w:rPr>
          <w:rFonts w:hint="eastAsia" w:ascii="仿宋" w:hAnsi="仿宋" w:eastAsia="仿宋" w:cs="仿宋"/>
          <w:spacing w:val="4"/>
          <w:kern w:val="2"/>
          <w:sz w:val="24"/>
          <w:szCs w:val="24"/>
        </w:rPr>
        <w:t>作为托管费用，</w:t>
      </w:r>
      <w:r>
        <w:rPr>
          <w:rFonts w:hint="eastAsia" w:ascii="仿宋" w:hAnsi="仿宋" w:eastAsia="仿宋" w:cs="仿宋"/>
          <w:spacing w:val="4"/>
          <w:kern w:val="2"/>
          <w:sz w:val="24"/>
          <w:szCs w:val="24"/>
          <w:lang w:eastAsia="zh-CN"/>
        </w:rPr>
        <w:t>乙方</w:t>
      </w:r>
      <w:r>
        <w:rPr>
          <w:rFonts w:hint="eastAsia" w:ascii="仿宋" w:hAnsi="仿宋" w:eastAsia="仿宋" w:cs="仿宋"/>
          <w:spacing w:val="4"/>
          <w:kern w:val="2"/>
          <w:sz w:val="24"/>
          <w:szCs w:val="24"/>
        </w:rPr>
        <w:t>通过科学的管理运行和节能技术的应用达到节约能源资源、减少费用支出等目的，获取合理的利润。</w:t>
      </w:r>
    </w:p>
    <w:p w14:paraId="4DBEF743">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1.3能源基准</w:t>
      </w:r>
    </w:p>
    <w:p w14:paraId="3220B1B0">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用作比较能源绩效的定量参考依据。</w:t>
      </w:r>
    </w:p>
    <w:p w14:paraId="2B4D7971">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注1：能源基准反映的是特定时间段的能源利用状况。</w:t>
      </w:r>
    </w:p>
    <w:p w14:paraId="5638A8FC">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注2：能源基准可采用建筑能源审计所确定的基准期内、项目边界内建筑或各用能设备(系统)的能源消耗量作为能源绩效参数。</w:t>
      </w:r>
    </w:p>
    <w:p w14:paraId="56B7A995">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注3：能源基准也可作为能源绩效改进措施实施前后的参照来计算节能量。</w:t>
      </w:r>
    </w:p>
    <w:p w14:paraId="5EF19165">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1.4建筑能源审计</w:t>
      </w:r>
    </w:p>
    <w:p w14:paraId="7463A87B">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通过对建筑能源资源使用情况进行文件审查和现场调研、测试，对被审计建筑能源利用状况相关指标进行定量分析，对建筑能源利用效率、设备能效水平、运行经济效益和环境效果进行诊断和评价，从而发现建筑节能潜力，提出节能运行调适和改造建议。</w:t>
      </w:r>
    </w:p>
    <w:p w14:paraId="2E4359E4">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1.5项目边界</w:t>
      </w:r>
    </w:p>
    <w:p w14:paraId="68DC462F">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实施节能改造措施所影响的建筑或用能设备(系统)的运行时间、范围和地理位置界线。</w:t>
      </w:r>
    </w:p>
    <w:p w14:paraId="657D686A">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1.6基准期</w:t>
      </w:r>
    </w:p>
    <w:p w14:paraId="171BA791">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在建筑合同能源管理项目实施前，能够代表项目边界内用能设备和系统运行规律的时间段。</w:t>
      </w:r>
    </w:p>
    <w:p w14:paraId="1AF81F39">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1.7能源托管费用基数</w:t>
      </w:r>
    </w:p>
    <w:p w14:paraId="3BD2945D">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能源托管项目根据能源基准和项目服务范围确定的年度能源托管费用，可包括能源费用基数和运行管理及维护费用基数等。其中，能源费用基数是指</w:t>
      </w:r>
      <w:r>
        <w:rPr>
          <w:rFonts w:hint="eastAsia" w:ascii="仿宋" w:hAnsi="仿宋" w:eastAsia="仿宋" w:cs="仿宋"/>
          <w:spacing w:val="4"/>
          <w:kern w:val="2"/>
          <w:sz w:val="24"/>
          <w:szCs w:val="24"/>
          <w:lang w:eastAsia="zh-CN"/>
        </w:rPr>
        <w:t>甲方</w:t>
      </w:r>
      <w:r>
        <w:rPr>
          <w:rFonts w:hint="eastAsia" w:ascii="仿宋" w:hAnsi="仿宋" w:eastAsia="仿宋" w:cs="仿宋"/>
          <w:spacing w:val="4"/>
          <w:kern w:val="2"/>
          <w:sz w:val="24"/>
          <w:szCs w:val="24"/>
        </w:rPr>
        <w:t>在基准期所花费的能源费用；运行管理及维护费用基数是根据能源托管范围中所包含的能源系统运行、管理、维护维修范围确定的年度费用。</w:t>
      </w:r>
    </w:p>
    <w:p w14:paraId="189298A4">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第二条托管项目基本情况</w:t>
      </w:r>
    </w:p>
    <w:p w14:paraId="4AF691C9">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2.1托管项目的房屋建筑设施系甲方的经营办公场所，位于</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，相关建设、运营等手续合法、有效。托管项目区域内的供暖及制冷系统各项申报、批准、验收手续齐全。如果上述手续尚不齐备</w:t>
      </w:r>
      <w:r>
        <w:rPr>
          <w:rFonts w:hint="eastAsia" w:ascii="仿宋" w:hAnsi="仿宋" w:eastAsia="仿宋" w:cs="仿宋"/>
          <w:spacing w:val="4"/>
          <w:kern w:val="2"/>
          <w:sz w:val="24"/>
          <w:szCs w:val="24"/>
          <w:lang w:eastAsia="zh-CN"/>
        </w:rPr>
        <w:t>，</w:t>
      </w:r>
      <w:r>
        <w:rPr>
          <w:rFonts w:hint="eastAsia" w:ascii="仿宋" w:hAnsi="仿宋" w:eastAsia="仿宋" w:cs="仿宋"/>
          <w:spacing w:val="4"/>
          <w:kern w:val="2"/>
          <w:sz w:val="24"/>
          <w:szCs w:val="24"/>
        </w:rPr>
        <w:t>由甲方负责完善。</w:t>
      </w:r>
    </w:p>
    <w:p w14:paraId="7043AD6C">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2.2托管项目的用能建筑情况：本项目建筑主要有</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u w:val="single"/>
          <w:lang w:val="en-US" w:eastAsia="zh-CN"/>
        </w:rPr>
        <w:t xml:space="preserve"> </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栋，</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楼栋建筑面积为</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㎡。项目总建筑面积为</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 其中需要供暖和供冷的建筑面积</w:t>
      </w:r>
      <w:r>
        <w:rPr>
          <w:rFonts w:hint="eastAsia" w:ascii="仿宋" w:hAnsi="仿宋" w:eastAsia="仿宋" w:cs="仿宋"/>
          <w:spacing w:val="4"/>
          <w:kern w:val="2"/>
          <w:sz w:val="24"/>
          <w:szCs w:val="24"/>
          <w:u w:val="single"/>
          <w:lang w:val="en-US" w:eastAsia="zh-CN"/>
        </w:rPr>
        <w:t xml:space="preserve">     </w:t>
      </w:r>
      <w:r>
        <w:rPr>
          <w:rFonts w:hint="eastAsia" w:ascii="仿宋" w:hAnsi="仿宋" w:eastAsia="仿宋" w:cs="仿宋"/>
          <w:spacing w:val="4"/>
          <w:kern w:val="2"/>
          <w:sz w:val="24"/>
          <w:szCs w:val="24"/>
        </w:rPr>
        <w:t xml:space="preserve"> ㎡。大楼于</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年竣工并投入使用。</w:t>
      </w:r>
    </w:p>
    <w:p w14:paraId="6F610D87">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2.3托管项目的能源种类范围：本项目能源托管的范围包括政府自行缴纳费用的</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等能源形式，政府其他能源费用不在本次托管范围内。</w:t>
      </w:r>
    </w:p>
    <w:p w14:paraId="7950F9A3">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2.4托管项目的能源系统设备设施：供能设备包括供暖设备、制冷设备、配电室设备。用能设备包括冬季取暖供热、夏季空调供冷的建筑设施，生活、生产、工作用电等设施。</w:t>
      </w:r>
    </w:p>
    <w:p w14:paraId="3285DD53">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2.5托管项目的用能时间及要求</w:t>
      </w:r>
    </w:p>
    <w:tbl>
      <w:tblPr>
        <w:tblStyle w:val="645"/>
        <w:tblW w:w="95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8"/>
        <w:gridCol w:w="1704"/>
        <w:gridCol w:w="1674"/>
        <w:gridCol w:w="2202"/>
        <w:gridCol w:w="2407"/>
      </w:tblGrid>
      <w:tr w14:paraId="4A110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1578" w:type="dxa"/>
          </w:tcPr>
          <w:p w14:paraId="737E26B7">
            <w:pPr>
              <w:spacing w:before="32" w:line="217" w:lineRule="auto"/>
              <w:ind w:left="434"/>
              <w:rPr>
                <w:rFonts w:hint="eastAsia" w:ascii="仿宋" w:hAnsi="仿宋" w:eastAsia="仿宋" w:cs="仿宋"/>
                <w:kern w:val="2"/>
                <w:sz w:val="18"/>
                <w:szCs w:val="18"/>
                <w:lang w:eastAsia="en-US"/>
              </w:rPr>
            </w:pPr>
            <w:r>
              <w:rPr>
                <w:rFonts w:hint="eastAsia" w:ascii="仿宋" w:hAnsi="仿宋" w:eastAsia="仿宋" w:cs="仿宋"/>
                <w:spacing w:val="-2"/>
                <w:kern w:val="2"/>
                <w:sz w:val="18"/>
                <w:szCs w:val="18"/>
                <w:lang w:eastAsia="en-US"/>
              </w:rPr>
              <w:t>供冷</w:t>
            </w:r>
            <w:r>
              <w:rPr>
                <w:rFonts w:hint="eastAsia" w:ascii="仿宋" w:hAnsi="仿宋" w:eastAsia="仿宋" w:cs="仿宋"/>
                <w:spacing w:val="-1"/>
                <w:kern w:val="2"/>
                <w:sz w:val="18"/>
                <w:szCs w:val="18"/>
                <w:lang w:eastAsia="en-US"/>
              </w:rPr>
              <w:t>时间</w:t>
            </w:r>
          </w:p>
        </w:tc>
        <w:tc>
          <w:tcPr>
            <w:tcW w:w="7987" w:type="dxa"/>
            <w:gridSpan w:val="4"/>
          </w:tcPr>
          <w:p w14:paraId="35DAC4AD">
            <w:pPr>
              <w:rPr>
                <w:rFonts w:hint="eastAsia" w:ascii="仿宋" w:hAnsi="仿宋" w:eastAsia="仿宋" w:cs="仿宋"/>
                <w:kern w:val="2"/>
                <w:sz w:val="21"/>
                <w:szCs w:val="22"/>
                <w:lang w:eastAsia="en-US"/>
              </w:rPr>
            </w:pPr>
          </w:p>
        </w:tc>
      </w:tr>
      <w:tr w14:paraId="33BA6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578" w:type="dxa"/>
          </w:tcPr>
          <w:p w14:paraId="774061E5">
            <w:pPr>
              <w:spacing w:before="25" w:line="217" w:lineRule="auto"/>
              <w:ind w:left="434"/>
              <w:rPr>
                <w:rFonts w:hint="eastAsia" w:ascii="仿宋" w:hAnsi="仿宋" w:eastAsia="仿宋" w:cs="仿宋"/>
                <w:kern w:val="2"/>
                <w:sz w:val="18"/>
                <w:szCs w:val="18"/>
                <w:lang w:eastAsia="en-US"/>
              </w:rPr>
            </w:pPr>
            <w:r>
              <w:rPr>
                <w:rFonts w:hint="eastAsia" w:ascii="仿宋" w:hAnsi="仿宋" w:eastAsia="仿宋" w:cs="仿宋"/>
                <w:spacing w:val="-2"/>
                <w:kern w:val="2"/>
                <w:sz w:val="18"/>
                <w:szCs w:val="18"/>
                <w:lang w:eastAsia="en-US"/>
              </w:rPr>
              <w:t>供冷</w:t>
            </w:r>
            <w:r>
              <w:rPr>
                <w:rFonts w:hint="eastAsia" w:ascii="仿宋" w:hAnsi="仿宋" w:eastAsia="仿宋" w:cs="仿宋"/>
                <w:spacing w:val="-1"/>
                <w:kern w:val="2"/>
                <w:sz w:val="18"/>
                <w:szCs w:val="18"/>
                <w:lang w:eastAsia="en-US"/>
              </w:rPr>
              <w:t>条件</w:t>
            </w:r>
          </w:p>
        </w:tc>
        <w:tc>
          <w:tcPr>
            <w:tcW w:w="7987" w:type="dxa"/>
            <w:gridSpan w:val="4"/>
          </w:tcPr>
          <w:p w14:paraId="2851519B">
            <w:pPr>
              <w:spacing w:line="237" w:lineRule="exact"/>
              <w:rPr>
                <w:rFonts w:hint="eastAsia" w:ascii="仿宋" w:hAnsi="仿宋" w:eastAsia="仿宋" w:cs="仿宋"/>
                <w:kern w:val="2"/>
                <w:sz w:val="20"/>
                <w:szCs w:val="22"/>
                <w:lang w:eastAsia="en-US"/>
              </w:rPr>
            </w:pPr>
          </w:p>
        </w:tc>
      </w:tr>
      <w:tr w14:paraId="58CFA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578" w:type="dxa"/>
          </w:tcPr>
          <w:p w14:paraId="0D3B4AC6">
            <w:pPr>
              <w:spacing w:before="26" w:line="218" w:lineRule="auto"/>
              <w:ind w:left="434"/>
              <w:rPr>
                <w:rFonts w:hint="eastAsia" w:ascii="仿宋" w:hAnsi="仿宋" w:eastAsia="仿宋" w:cs="仿宋"/>
                <w:kern w:val="2"/>
                <w:sz w:val="18"/>
                <w:szCs w:val="18"/>
                <w:lang w:eastAsia="en-US"/>
              </w:rPr>
            </w:pPr>
            <w:r>
              <w:rPr>
                <w:rFonts w:hint="eastAsia" w:ascii="仿宋" w:hAnsi="仿宋" w:eastAsia="仿宋" w:cs="仿宋"/>
                <w:spacing w:val="-2"/>
                <w:kern w:val="2"/>
                <w:sz w:val="18"/>
                <w:szCs w:val="18"/>
                <w:lang w:eastAsia="en-US"/>
              </w:rPr>
              <w:t>供热</w:t>
            </w:r>
            <w:r>
              <w:rPr>
                <w:rFonts w:hint="eastAsia" w:ascii="仿宋" w:hAnsi="仿宋" w:eastAsia="仿宋" w:cs="仿宋"/>
                <w:spacing w:val="-1"/>
                <w:kern w:val="2"/>
                <w:sz w:val="18"/>
                <w:szCs w:val="18"/>
                <w:lang w:eastAsia="en-US"/>
              </w:rPr>
              <w:t>时间</w:t>
            </w:r>
          </w:p>
        </w:tc>
        <w:tc>
          <w:tcPr>
            <w:tcW w:w="7987" w:type="dxa"/>
            <w:gridSpan w:val="4"/>
          </w:tcPr>
          <w:p w14:paraId="67F829F4">
            <w:pPr>
              <w:spacing w:line="239" w:lineRule="exact"/>
              <w:rPr>
                <w:rFonts w:hint="eastAsia" w:ascii="仿宋" w:hAnsi="仿宋" w:eastAsia="仿宋" w:cs="仿宋"/>
                <w:kern w:val="2"/>
                <w:sz w:val="20"/>
                <w:szCs w:val="22"/>
                <w:lang w:eastAsia="en-US"/>
              </w:rPr>
            </w:pPr>
          </w:p>
        </w:tc>
      </w:tr>
      <w:tr w14:paraId="41034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578" w:type="dxa"/>
          </w:tcPr>
          <w:p w14:paraId="7FEA1CB0">
            <w:pPr>
              <w:spacing w:before="27" w:line="215" w:lineRule="auto"/>
              <w:ind w:left="434"/>
              <w:rPr>
                <w:rFonts w:hint="eastAsia" w:ascii="仿宋" w:hAnsi="仿宋" w:eastAsia="仿宋" w:cs="仿宋"/>
                <w:kern w:val="2"/>
                <w:sz w:val="18"/>
                <w:szCs w:val="18"/>
                <w:lang w:eastAsia="en-US"/>
              </w:rPr>
            </w:pPr>
            <w:r>
              <w:rPr>
                <w:rFonts w:hint="eastAsia" w:ascii="仿宋" w:hAnsi="仿宋" w:eastAsia="仿宋" w:cs="仿宋"/>
                <w:spacing w:val="-2"/>
                <w:kern w:val="2"/>
                <w:sz w:val="18"/>
                <w:szCs w:val="18"/>
                <w:lang w:eastAsia="en-US"/>
              </w:rPr>
              <w:t>供热</w:t>
            </w:r>
            <w:r>
              <w:rPr>
                <w:rFonts w:hint="eastAsia" w:ascii="仿宋" w:hAnsi="仿宋" w:eastAsia="仿宋" w:cs="仿宋"/>
                <w:spacing w:val="-1"/>
                <w:kern w:val="2"/>
                <w:sz w:val="18"/>
                <w:szCs w:val="18"/>
                <w:lang w:eastAsia="en-US"/>
              </w:rPr>
              <w:t>条件</w:t>
            </w:r>
          </w:p>
        </w:tc>
        <w:tc>
          <w:tcPr>
            <w:tcW w:w="7987" w:type="dxa"/>
            <w:gridSpan w:val="4"/>
          </w:tcPr>
          <w:p w14:paraId="254A949B">
            <w:pPr>
              <w:spacing w:line="237" w:lineRule="exact"/>
              <w:rPr>
                <w:rFonts w:hint="eastAsia" w:ascii="仿宋" w:hAnsi="仿宋" w:eastAsia="仿宋" w:cs="仿宋"/>
                <w:kern w:val="2"/>
                <w:sz w:val="20"/>
                <w:szCs w:val="22"/>
                <w:lang w:eastAsia="en-US"/>
              </w:rPr>
            </w:pPr>
          </w:p>
        </w:tc>
      </w:tr>
      <w:tr w14:paraId="2382B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578" w:type="dxa"/>
          </w:tcPr>
          <w:p w14:paraId="3B3FFB81">
            <w:pPr>
              <w:spacing w:before="27" w:line="217" w:lineRule="auto"/>
              <w:ind w:left="439"/>
              <w:rPr>
                <w:rFonts w:hint="eastAsia" w:ascii="仿宋" w:hAnsi="仿宋" w:eastAsia="仿宋" w:cs="仿宋"/>
                <w:kern w:val="2"/>
                <w:sz w:val="18"/>
                <w:szCs w:val="18"/>
                <w:lang w:eastAsia="en-US"/>
              </w:rPr>
            </w:pPr>
            <w:r>
              <w:rPr>
                <w:rFonts w:hint="eastAsia" w:ascii="仿宋" w:hAnsi="仿宋" w:eastAsia="仿宋" w:cs="仿宋"/>
                <w:spacing w:val="-4"/>
                <w:kern w:val="2"/>
                <w:sz w:val="18"/>
                <w:szCs w:val="18"/>
                <w:lang w:eastAsia="en-US"/>
              </w:rPr>
              <w:t>空</w:t>
            </w:r>
            <w:r>
              <w:rPr>
                <w:rFonts w:hint="eastAsia" w:ascii="仿宋" w:hAnsi="仿宋" w:eastAsia="仿宋" w:cs="仿宋"/>
                <w:spacing w:val="-2"/>
                <w:kern w:val="2"/>
                <w:sz w:val="18"/>
                <w:szCs w:val="18"/>
                <w:lang w:eastAsia="en-US"/>
              </w:rPr>
              <w:t>调标准</w:t>
            </w:r>
          </w:p>
        </w:tc>
        <w:tc>
          <w:tcPr>
            <w:tcW w:w="7987" w:type="dxa"/>
            <w:gridSpan w:val="4"/>
          </w:tcPr>
          <w:p w14:paraId="7A5FD9B0">
            <w:pPr>
              <w:spacing w:line="239" w:lineRule="exact"/>
              <w:rPr>
                <w:rFonts w:hint="eastAsia" w:ascii="仿宋" w:hAnsi="仿宋" w:eastAsia="仿宋" w:cs="仿宋"/>
                <w:kern w:val="2"/>
                <w:sz w:val="20"/>
                <w:szCs w:val="22"/>
                <w:lang w:eastAsia="en-US"/>
              </w:rPr>
            </w:pPr>
          </w:p>
        </w:tc>
      </w:tr>
      <w:tr w14:paraId="08CFA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578" w:type="dxa"/>
          </w:tcPr>
          <w:p w14:paraId="1474A8C5">
            <w:pPr>
              <w:spacing w:before="28" w:line="214" w:lineRule="auto"/>
              <w:ind w:left="255"/>
              <w:rPr>
                <w:rFonts w:hint="eastAsia" w:ascii="仿宋" w:hAnsi="仿宋" w:eastAsia="仿宋" w:cs="仿宋"/>
                <w:kern w:val="2"/>
                <w:sz w:val="18"/>
                <w:szCs w:val="18"/>
                <w:lang w:eastAsia="en-US"/>
              </w:rPr>
            </w:pPr>
            <w:r>
              <w:rPr>
                <w:rFonts w:hint="eastAsia" w:ascii="仿宋" w:hAnsi="仿宋" w:eastAsia="仿宋" w:cs="仿宋"/>
                <w:spacing w:val="-2"/>
                <w:kern w:val="2"/>
                <w:sz w:val="18"/>
                <w:szCs w:val="18"/>
                <w:lang w:eastAsia="en-US"/>
              </w:rPr>
              <w:t>卫生</w:t>
            </w:r>
            <w:r>
              <w:rPr>
                <w:rFonts w:hint="eastAsia" w:ascii="仿宋" w:hAnsi="仿宋" w:eastAsia="仿宋" w:cs="仿宋"/>
                <w:spacing w:val="-1"/>
                <w:kern w:val="2"/>
                <w:sz w:val="18"/>
                <w:szCs w:val="18"/>
                <w:lang w:eastAsia="en-US"/>
              </w:rPr>
              <w:t>热水标准</w:t>
            </w:r>
          </w:p>
        </w:tc>
        <w:tc>
          <w:tcPr>
            <w:tcW w:w="7987" w:type="dxa"/>
            <w:gridSpan w:val="4"/>
          </w:tcPr>
          <w:p w14:paraId="0646ED4D">
            <w:pPr>
              <w:spacing w:line="237" w:lineRule="exact"/>
              <w:rPr>
                <w:rFonts w:hint="eastAsia" w:ascii="仿宋" w:hAnsi="仿宋" w:eastAsia="仿宋" w:cs="仿宋"/>
                <w:kern w:val="2"/>
                <w:sz w:val="20"/>
                <w:szCs w:val="22"/>
                <w:lang w:eastAsia="en-US"/>
              </w:rPr>
            </w:pPr>
          </w:p>
        </w:tc>
      </w:tr>
      <w:tr w14:paraId="0AAA2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578" w:type="dxa"/>
          </w:tcPr>
          <w:p w14:paraId="352E15F7">
            <w:pPr>
              <w:spacing w:before="28" w:line="214" w:lineRule="auto"/>
              <w:ind w:left="436"/>
              <w:rPr>
                <w:rFonts w:hint="eastAsia" w:ascii="仿宋" w:hAnsi="仿宋" w:eastAsia="仿宋" w:cs="仿宋"/>
                <w:kern w:val="2"/>
                <w:sz w:val="18"/>
                <w:szCs w:val="18"/>
                <w:lang w:eastAsia="en-US"/>
              </w:rPr>
            </w:pPr>
            <w:r>
              <w:rPr>
                <w:rFonts w:hint="eastAsia" w:ascii="仿宋" w:hAnsi="仿宋" w:eastAsia="仿宋" w:cs="仿宋"/>
                <w:spacing w:val="-2"/>
                <w:kern w:val="2"/>
                <w:sz w:val="18"/>
                <w:szCs w:val="18"/>
                <w:lang w:eastAsia="en-US"/>
              </w:rPr>
              <w:t>蒸汽标</w:t>
            </w:r>
            <w:r>
              <w:rPr>
                <w:rFonts w:hint="eastAsia" w:ascii="仿宋" w:hAnsi="仿宋" w:eastAsia="仿宋" w:cs="仿宋"/>
                <w:spacing w:val="-1"/>
                <w:kern w:val="2"/>
                <w:sz w:val="18"/>
                <w:szCs w:val="18"/>
                <w:lang w:eastAsia="en-US"/>
              </w:rPr>
              <w:t>准</w:t>
            </w:r>
          </w:p>
        </w:tc>
        <w:tc>
          <w:tcPr>
            <w:tcW w:w="7987" w:type="dxa"/>
            <w:gridSpan w:val="4"/>
          </w:tcPr>
          <w:p w14:paraId="069E080F">
            <w:pPr>
              <w:spacing w:line="237" w:lineRule="exact"/>
              <w:rPr>
                <w:rFonts w:hint="eastAsia" w:ascii="仿宋" w:hAnsi="仿宋" w:eastAsia="仿宋" w:cs="仿宋"/>
                <w:kern w:val="2"/>
                <w:sz w:val="20"/>
                <w:szCs w:val="22"/>
                <w:lang w:eastAsia="en-US"/>
              </w:rPr>
            </w:pPr>
          </w:p>
        </w:tc>
      </w:tr>
      <w:tr w14:paraId="65925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578" w:type="dxa"/>
            <w:vMerge w:val="restart"/>
            <w:tcBorders>
              <w:bottom w:val="nil"/>
            </w:tcBorders>
          </w:tcPr>
          <w:p w14:paraId="4E7BC78F">
            <w:pPr>
              <w:spacing w:before="139" w:line="219" w:lineRule="auto"/>
              <w:ind w:left="464"/>
              <w:rPr>
                <w:rFonts w:hint="eastAsia" w:ascii="仿宋" w:hAnsi="仿宋" w:eastAsia="仿宋" w:cs="仿宋"/>
                <w:kern w:val="2"/>
                <w:sz w:val="18"/>
                <w:szCs w:val="18"/>
                <w:lang w:eastAsia="en-US"/>
              </w:rPr>
            </w:pPr>
            <w:r>
              <w:rPr>
                <w:rFonts w:hint="eastAsia" w:ascii="仿宋" w:hAnsi="仿宋" w:eastAsia="仿宋" w:cs="仿宋"/>
                <w:spacing w:val="-8"/>
                <w:kern w:val="2"/>
                <w:sz w:val="18"/>
                <w:szCs w:val="18"/>
                <w:lang w:eastAsia="en-US"/>
              </w:rPr>
              <w:t>日</w:t>
            </w:r>
            <w:r>
              <w:rPr>
                <w:rFonts w:hint="eastAsia" w:ascii="仿宋" w:hAnsi="仿宋" w:eastAsia="仿宋" w:cs="仿宋"/>
                <w:spacing w:val="-7"/>
                <w:kern w:val="2"/>
                <w:sz w:val="18"/>
                <w:szCs w:val="18"/>
                <w:lang w:eastAsia="en-US"/>
              </w:rPr>
              <w:t>供时段</w:t>
            </w:r>
          </w:p>
        </w:tc>
        <w:tc>
          <w:tcPr>
            <w:tcW w:w="1704" w:type="dxa"/>
          </w:tcPr>
          <w:p w14:paraId="728F3A91">
            <w:pPr>
              <w:spacing w:before="31" w:line="213" w:lineRule="auto"/>
              <w:ind w:left="675"/>
              <w:rPr>
                <w:rFonts w:hint="eastAsia" w:ascii="仿宋" w:hAnsi="仿宋" w:eastAsia="仿宋" w:cs="仿宋"/>
                <w:kern w:val="2"/>
                <w:sz w:val="18"/>
                <w:szCs w:val="18"/>
                <w:lang w:eastAsia="en-US"/>
              </w:rPr>
            </w:pPr>
            <w:r>
              <w:rPr>
                <w:rFonts w:hint="eastAsia" w:ascii="仿宋" w:hAnsi="仿宋" w:eastAsia="仿宋" w:cs="仿宋"/>
                <w:spacing w:val="-2"/>
                <w:kern w:val="2"/>
                <w:sz w:val="18"/>
                <w:szCs w:val="18"/>
                <w:lang w:eastAsia="en-US"/>
              </w:rPr>
              <w:t>供冷</w:t>
            </w:r>
          </w:p>
        </w:tc>
        <w:tc>
          <w:tcPr>
            <w:tcW w:w="1674" w:type="dxa"/>
          </w:tcPr>
          <w:p w14:paraId="4372550F">
            <w:pPr>
              <w:spacing w:before="31" w:line="213" w:lineRule="auto"/>
              <w:ind w:left="661"/>
              <w:rPr>
                <w:rFonts w:hint="eastAsia" w:ascii="仿宋" w:hAnsi="仿宋" w:eastAsia="仿宋" w:cs="仿宋"/>
                <w:kern w:val="2"/>
                <w:sz w:val="18"/>
                <w:szCs w:val="18"/>
                <w:lang w:eastAsia="en-US"/>
              </w:rPr>
            </w:pPr>
            <w:r>
              <w:rPr>
                <w:rFonts w:hint="eastAsia" w:ascii="仿宋" w:hAnsi="仿宋" w:eastAsia="仿宋" w:cs="仿宋"/>
                <w:spacing w:val="-2"/>
                <w:kern w:val="2"/>
                <w:sz w:val="18"/>
                <w:szCs w:val="18"/>
                <w:lang w:eastAsia="en-US"/>
              </w:rPr>
              <w:t>供热</w:t>
            </w:r>
          </w:p>
        </w:tc>
        <w:tc>
          <w:tcPr>
            <w:tcW w:w="2202" w:type="dxa"/>
          </w:tcPr>
          <w:p w14:paraId="124A8D7B">
            <w:pPr>
              <w:spacing w:before="31" w:line="213" w:lineRule="auto"/>
              <w:ind w:left="748"/>
              <w:rPr>
                <w:rFonts w:hint="eastAsia" w:ascii="仿宋" w:hAnsi="仿宋" w:eastAsia="仿宋" w:cs="仿宋"/>
                <w:kern w:val="2"/>
                <w:sz w:val="18"/>
                <w:szCs w:val="18"/>
                <w:lang w:eastAsia="en-US"/>
              </w:rPr>
            </w:pPr>
            <w:r>
              <w:rPr>
                <w:rFonts w:hint="eastAsia" w:ascii="仿宋" w:hAnsi="仿宋" w:eastAsia="仿宋" w:cs="仿宋"/>
                <w:spacing w:val="-2"/>
                <w:kern w:val="2"/>
                <w:sz w:val="18"/>
                <w:szCs w:val="18"/>
                <w:lang w:eastAsia="en-US"/>
              </w:rPr>
              <w:t>卫生热</w:t>
            </w:r>
            <w:r>
              <w:rPr>
                <w:rFonts w:hint="eastAsia" w:ascii="仿宋" w:hAnsi="仿宋" w:eastAsia="仿宋" w:cs="仿宋"/>
                <w:spacing w:val="-1"/>
                <w:kern w:val="2"/>
                <w:sz w:val="18"/>
                <w:szCs w:val="18"/>
                <w:lang w:eastAsia="en-US"/>
              </w:rPr>
              <w:t>水</w:t>
            </w:r>
          </w:p>
        </w:tc>
        <w:tc>
          <w:tcPr>
            <w:tcW w:w="2407" w:type="dxa"/>
          </w:tcPr>
          <w:p w14:paraId="2AF9D9B3">
            <w:pPr>
              <w:spacing w:before="31" w:line="213" w:lineRule="auto"/>
              <w:ind w:left="1031"/>
              <w:rPr>
                <w:rFonts w:hint="eastAsia" w:ascii="仿宋" w:hAnsi="仿宋" w:eastAsia="仿宋" w:cs="仿宋"/>
                <w:kern w:val="2"/>
                <w:sz w:val="18"/>
                <w:szCs w:val="18"/>
                <w:lang w:eastAsia="en-US"/>
              </w:rPr>
            </w:pPr>
            <w:r>
              <w:rPr>
                <w:rFonts w:hint="eastAsia" w:ascii="仿宋" w:hAnsi="仿宋" w:eastAsia="仿宋" w:cs="仿宋"/>
                <w:spacing w:val="-3"/>
                <w:kern w:val="2"/>
                <w:sz w:val="18"/>
                <w:szCs w:val="18"/>
                <w:lang w:eastAsia="en-US"/>
              </w:rPr>
              <w:t>蒸</w:t>
            </w:r>
            <w:r>
              <w:rPr>
                <w:rFonts w:hint="eastAsia" w:ascii="仿宋" w:hAnsi="仿宋" w:eastAsia="仿宋" w:cs="仿宋"/>
                <w:spacing w:val="-2"/>
                <w:kern w:val="2"/>
                <w:sz w:val="18"/>
                <w:szCs w:val="18"/>
                <w:lang w:eastAsia="en-US"/>
              </w:rPr>
              <w:t>汽</w:t>
            </w:r>
          </w:p>
        </w:tc>
      </w:tr>
      <w:tr w14:paraId="60353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 w:hRule="atLeast"/>
        </w:trPr>
        <w:tc>
          <w:tcPr>
            <w:tcW w:w="1578" w:type="dxa"/>
            <w:vMerge w:val="continue"/>
            <w:tcBorders>
              <w:top w:val="nil"/>
            </w:tcBorders>
          </w:tcPr>
          <w:p w14:paraId="1919F400">
            <w:pPr>
              <w:rPr>
                <w:rFonts w:hint="eastAsia" w:ascii="仿宋" w:hAnsi="仿宋" w:eastAsia="仿宋" w:cs="仿宋"/>
                <w:kern w:val="2"/>
                <w:sz w:val="21"/>
                <w:szCs w:val="22"/>
                <w:lang w:eastAsia="en-US"/>
              </w:rPr>
            </w:pPr>
          </w:p>
        </w:tc>
        <w:tc>
          <w:tcPr>
            <w:tcW w:w="1704" w:type="dxa"/>
          </w:tcPr>
          <w:p w14:paraId="6634C4C6">
            <w:pPr>
              <w:spacing w:line="210" w:lineRule="exact"/>
              <w:rPr>
                <w:rFonts w:hint="eastAsia" w:ascii="仿宋" w:hAnsi="仿宋" w:eastAsia="仿宋" w:cs="仿宋"/>
                <w:kern w:val="2"/>
                <w:sz w:val="18"/>
                <w:szCs w:val="22"/>
                <w:lang w:eastAsia="en-US"/>
              </w:rPr>
            </w:pPr>
          </w:p>
        </w:tc>
        <w:tc>
          <w:tcPr>
            <w:tcW w:w="1674" w:type="dxa"/>
          </w:tcPr>
          <w:p w14:paraId="6BB97CE2">
            <w:pPr>
              <w:spacing w:line="210" w:lineRule="exact"/>
              <w:rPr>
                <w:rFonts w:hint="eastAsia" w:ascii="仿宋" w:hAnsi="仿宋" w:eastAsia="仿宋" w:cs="仿宋"/>
                <w:kern w:val="2"/>
                <w:sz w:val="18"/>
                <w:szCs w:val="22"/>
                <w:lang w:eastAsia="en-US"/>
              </w:rPr>
            </w:pPr>
          </w:p>
        </w:tc>
        <w:tc>
          <w:tcPr>
            <w:tcW w:w="2202" w:type="dxa"/>
          </w:tcPr>
          <w:p w14:paraId="6C7BBF2D">
            <w:pPr>
              <w:spacing w:line="210" w:lineRule="exact"/>
              <w:rPr>
                <w:rFonts w:hint="eastAsia" w:ascii="仿宋" w:hAnsi="仿宋" w:eastAsia="仿宋" w:cs="仿宋"/>
                <w:kern w:val="2"/>
                <w:sz w:val="18"/>
                <w:szCs w:val="22"/>
                <w:lang w:eastAsia="en-US"/>
              </w:rPr>
            </w:pPr>
          </w:p>
        </w:tc>
        <w:tc>
          <w:tcPr>
            <w:tcW w:w="2407" w:type="dxa"/>
          </w:tcPr>
          <w:p w14:paraId="65F733C2">
            <w:pPr>
              <w:spacing w:line="210" w:lineRule="exact"/>
              <w:rPr>
                <w:rFonts w:hint="eastAsia" w:ascii="仿宋" w:hAnsi="仿宋" w:eastAsia="仿宋" w:cs="仿宋"/>
                <w:kern w:val="2"/>
                <w:sz w:val="18"/>
                <w:szCs w:val="22"/>
                <w:lang w:eastAsia="en-US"/>
              </w:rPr>
            </w:pPr>
          </w:p>
        </w:tc>
      </w:tr>
      <w:tr w14:paraId="628FF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1578" w:type="dxa"/>
          </w:tcPr>
          <w:p w14:paraId="6ECAA187">
            <w:pPr>
              <w:spacing w:before="29" w:line="220" w:lineRule="auto"/>
              <w:ind w:left="439"/>
              <w:rPr>
                <w:rFonts w:hint="eastAsia" w:ascii="仿宋" w:hAnsi="仿宋" w:eastAsia="仿宋" w:cs="仿宋"/>
                <w:kern w:val="2"/>
                <w:sz w:val="18"/>
                <w:szCs w:val="18"/>
                <w:lang w:eastAsia="en-US"/>
              </w:rPr>
            </w:pPr>
            <w:r>
              <w:rPr>
                <w:rFonts w:hint="eastAsia" w:ascii="仿宋" w:hAnsi="仿宋" w:eastAsia="仿宋" w:cs="仿宋"/>
                <w:spacing w:val="-4"/>
                <w:kern w:val="2"/>
                <w:sz w:val="18"/>
                <w:szCs w:val="18"/>
                <w:lang w:eastAsia="en-US"/>
              </w:rPr>
              <w:t>照</w:t>
            </w:r>
            <w:r>
              <w:rPr>
                <w:rFonts w:hint="eastAsia" w:ascii="仿宋" w:hAnsi="仿宋" w:eastAsia="仿宋" w:cs="仿宋"/>
                <w:spacing w:val="-2"/>
                <w:kern w:val="2"/>
                <w:sz w:val="18"/>
                <w:szCs w:val="18"/>
                <w:lang w:eastAsia="en-US"/>
              </w:rPr>
              <w:t>明标准</w:t>
            </w:r>
          </w:p>
        </w:tc>
        <w:tc>
          <w:tcPr>
            <w:tcW w:w="7987" w:type="dxa"/>
            <w:gridSpan w:val="4"/>
          </w:tcPr>
          <w:p w14:paraId="4BF7E649">
            <w:pPr>
              <w:rPr>
                <w:rFonts w:hint="eastAsia" w:ascii="仿宋" w:hAnsi="仿宋" w:eastAsia="仿宋" w:cs="仿宋"/>
                <w:kern w:val="2"/>
                <w:sz w:val="21"/>
                <w:szCs w:val="22"/>
                <w:lang w:eastAsia="en-US"/>
              </w:rPr>
            </w:pPr>
          </w:p>
        </w:tc>
      </w:tr>
    </w:tbl>
    <w:p w14:paraId="6E7A11B8">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2.6托管项目的运维管理情况：甲方委托乙方对本项目</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(用能系统) 的设备及系统进行管理 运营， 设备开关及控制由</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负责，日常管理/值班人员</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人次，值班周期为</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w:t>
      </w:r>
    </w:p>
    <w:p w14:paraId="5C06AA04">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2.7托管项目区域内的用能建筑情况(2.2) 和能源系统设备设施(2.4)、项目运维管理情况(2.6)，由双方进行逐一登记造册，形成“项目现有用能情况”作为本合同附件一。</w:t>
      </w:r>
    </w:p>
    <w:p w14:paraId="06B54422">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2.8项目托管服务范围包括：</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w:t>
      </w:r>
    </w:p>
    <w:p w14:paraId="7303764F">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第三条 能源审计和能源基准</w:t>
      </w:r>
    </w:p>
    <w:p w14:paraId="66DEAA1C">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3.1能源审计是甲方能源系统能源消耗状况的依据，能源审计费用由        承担。</w:t>
      </w:r>
    </w:p>
    <w:p w14:paraId="0730E64B">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3.2经过能源审计确定托管项目的能源基准：确定本项目在实施能源托管前，代表项目边界内用能设备和系统运行规律的基准期为</w:t>
      </w:r>
      <w:r>
        <w:rPr>
          <w:rFonts w:hint="eastAsia" w:ascii="仿宋" w:hAnsi="仿宋" w:eastAsia="仿宋" w:cs="仿宋"/>
          <w:spacing w:val="4"/>
          <w:kern w:val="2"/>
          <w:sz w:val="24"/>
          <w:szCs w:val="24"/>
          <w:u w:val="single"/>
        </w:rPr>
        <w:t xml:space="preserve">       年   月   日至     年    月    日</w:t>
      </w:r>
      <w:r>
        <w:rPr>
          <w:rFonts w:hint="eastAsia" w:ascii="仿宋" w:hAnsi="仿宋" w:eastAsia="仿宋" w:cs="仿宋"/>
          <w:spacing w:val="4"/>
          <w:kern w:val="2"/>
          <w:sz w:val="24"/>
          <w:szCs w:val="24"/>
        </w:rPr>
        <w:t>；能源基准如下所示：</w:t>
      </w:r>
    </w:p>
    <w:tbl>
      <w:tblPr>
        <w:tblStyle w:val="645"/>
        <w:tblW w:w="95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5"/>
        <w:gridCol w:w="1876"/>
        <w:gridCol w:w="1987"/>
        <w:gridCol w:w="2212"/>
        <w:gridCol w:w="1725"/>
      </w:tblGrid>
      <w:tr w14:paraId="15C29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765" w:type="dxa"/>
          </w:tcPr>
          <w:p w14:paraId="6CD4AEBE">
            <w:pPr>
              <w:spacing w:before="67" w:line="220" w:lineRule="auto"/>
              <w:ind w:left="347"/>
              <w:rPr>
                <w:rFonts w:hint="eastAsia" w:ascii="仿宋" w:hAnsi="仿宋" w:eastAsia="仿宋" w:cs="仿宋"/>
                <w:kern w:val="2"/>
                <w:sz w:val="18"/>
                <w:szCs w:val="18"/>
                <w:lang w:eastAsia="en-US"/>
              </w:rPr>
            </w:pPr>
            <w:r>
              <w:rPr>
                <w:rFonts w:hint="eastAsia" w:ascii="仿宋" w:hAnsi="仿宋" w:eastAsia="仿宋" w:cs="仿宋"/>
                <w:spacing w:val="-1"/>
                <w:kern w:val="2"/>
                <w:sz w:val="18"/>
                <w:szCs w:val="18"/>
                <w:lang w:eastAsia="en-US"/>
              </w:rPr>
              <w:t>托管能源类型</w:t>
            </w:r>
          </w:p>
        </w:tc>
        <w:tc>
          <w:tcPr>
            <w:tcW w:w="1876" w:type="dxa"/>
          </w:tcPr>
          <w:p w14:paraId="46F58388">
            <w:pPr>
              <w:spacing w:before="68" w:line="219" w:lineRule="auto"/>
              <w:ind w:left="408"/>
              <w:rPr>
                <w:rFonts w:hint="eastAsia" w:ascii="仿宋" w:hAnsi="仿宋" w:eastAsia="仿宋" w:cs="仿宋"/>
                <w:kern w:val="2"/>
                <w:sz w:val="18"/>
                <w:szCs w:val="18"/>
                <w:lang w:eastAsia="en-US"/>
              </w:rPr>
            </w:pPr>
            <w:r>
              <w:rPr>
                <w:rFonts w:hint="eastAsia" w:ascii="仿宋" w:hAnsi="仿宋" w:eastAsia="仿宋" w:cs="仿宋"/>
                <w:spacing w:val="-2"/>
                <w:kern w:val="2"/>
                <w:sz w:val="18"/>
                <w:szCs w:val="18"/>
                <w:lang w:eastAsia="en-US"/>
              </w:rPr>
              <w:t>能源缴费户号</w:t>
            </w:r>
          </w:p>
        </w:tc>
        <w:tc>
          <w:tcPr>
            <w:tcW w:w="1987" w:type="dxa"/>
          </w:tcPr>
          <w:p w14:paraId="603ACF90">
            <w:pPr>
              <w:spacing w:before="68" w:line="220" w:lineRule="auto"/>
              <w:ind w:left="367"/>
              <w:rPr>
                <w:rFonts w:hint="eastAsia" w:ascii="仿宋" w:hAnsi="仿宋" w:eastAsia="仿宋" w:cs="仿宋"/>
                <w:kern w:val="2"/>
                <w:sz w:val="18"/>
                <w:szCs w:val="18"/>
                <w:lang w:eastAsia="en-US"/>
              </w:rPr>
            </w:pPr>
            <w:r>
              <w:rPr>
                <w:rFonts w:hint="eastAsia" w:ascii="仿宋" w:hAnsi="仿宋" w:eastAsia="仿宋" w:cs="仿宋"/>
                <w:spacing w:val="-1"/>
                <w:kern w:val="2"/>
                <w:sz w:val="18"/>
                <w:szCs w:val="18"/>
                <w:lang w:eastAsia="en-US"/>
              </w:rPr>
              <w:t>基准期能源用量</w:t>
            </w:r>
          </w:p>
        </w:tc>
        <w:tc>
          <w:tcPr>
            <w:tcW w:w="2212" w:type="dxa"/>
          </w:tcPr>
          <w:p w14:paraId="45B88A14">
            <w:pPr>
              <w:spacing w:before="68" w:line="218" w:lineRule="auto"/>
              <w:ind w:left="211"/>
              <w:rPr>
                <w:rFonts w:hint="eastAsia" w:ascii="仿宋" w:hAnsi="仿宋" w:eastAsia="仿宋" w:cs="仿宋"/>
                <w:kern w:val="2"/>
                <w:sz w:val="18"/>
                <w:szCs w:val="18"/>
                <w:lang w:eastAsia="en-US"/>
              </w:rPr>
            </w:pPr>
            <w:r>
              <w:rPr>
                <w:rFonts w:hint="eastAsia" w:ascii="仿宋" w:hAnsi="仿宋" w:eastAsia="仿宋" w:cs="仿宋"/>
                <w:spacing w:val="8"/>
                <w:kern w:val="2"/>
                <w:sz w:val="18"/>
                <w:szCs w:val="18"/>
                <w:lang w:eastAsia="en-US"/>
              </w:rPr>
              <w:t>基</w:t>
            </w:r>
            <w:r>
              <w:rPr>
                <w:rFonts w:hint="eastAsia" w:ascii="仿宋" w:hAnsi="仿宋" w:eastAsia="仿宋" w:cs="仿宋"/>
                <w:spacing w:val="7"/>
                <w:kern w:val="2"/>
                <w:sz w:val="18"/>
                <w:szCs w:val="18"/>
                <w:lang w:eastAsia="en-US"/>
              </w:rPr>
              <w:t>准期能源单价(元)</w:t>
            </w:r>
          </w:p>
        </w:tc>
        <w:tc>
          <w:tcPr>
            <w:tcW w:w="1725" w:type="dxa"/>
          </w:tcPr>
          <w:p w14:paraId="422A44A9">
            <w:pPr>
              <w:spacing w:before="68" w:line="221" w:lineRule="auto"/>
              <w:ind w:left="688"/>
              <w:rPr>
                <w:rFonts w:hint="eastAsia" w:ascii="仿宋" w:hAnsi="仿宋" w:eastAsia="仿宋" w:cs="仿宋"/>
                <w:kern w:val="2"/>
                <w:sz w:val="18"/>
                <w:szCs w:val="18"/>
                <w:lang w:eastAsia="en-US"/>
              </w:rPr>
            </w:pPr>
            <w:r>
              <w:rPr>
                <w:rFonts w:hint="eastAsia" w:ascii="仿宋" w:hAnsi="仿宋" w:eastAsia="仿宋" w:cs="仿宋"/>
                <w:spacing w:val="-3"/>
                <w:kern w:val="2"/>
                <w:sz w:val="18"/>
                <w:szCs w:val="18"/>
                <w:lang w:eastAsia="en-US"/>
              </w:rPr>
              <w:t>备</w:t>
            </w:r>
            <w:r>
              <w:rPr>
                <w:rFonts w:hint="eastAsia" w:ascii="仿宋" w:hAnsi="仿宋" w:eastAsia="仿宋" w:cs="仿宋"/>
                <w:spacing w:val="-2"/>
                <w:kern w:val="2"/>
                <w:sz w:val="18"/>
                <w:szCs w:val="18"/>
                <w:lang w:eastAsia="en-US"/>
              </w:rPr>
              <w:t>注</w:t>
            </w:r>
          </w:p>
        </w:tc>
      </w:tr>
      <w:tr w14:paraId="12206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65" w:type="dxa"/>
          </w:tcPr>
          <w:p w14:paraId="1B3AB680">
            <w:pPr>
              <w:spacing w:before="64" w:line="225" w:lineRule="auto"/>
              <w:ind w:left="817"/>
              <w:rPr>
                <w:rFonts w:hint="eastAsia" w:ascii="仿宋" w:hAnsi="仿宋" w:eastAsia="仿宋" w:cs="仿宋"/>
                <w:kern w:val="2"/>
                <w:sz w:val="18"/>
                <w:szCs w:val="18"/>
                <w:lang w:eastAsia="en-US"/>
              </w:rPr>
            </w:pPr>
            <w:r>
              <w:rPr>
                <w:rFonts w:hint="eastAsia" w:ascii="仿宋" w:hAnsi="仿宋" w:eastAsia="仿宋" w:cs="仿宋"/>
                <w:kern w:val="2"/>
                <w:sz w:val="18"/>
                <w:szCs w:val="18"/>
                <w:lang w:eastAsia="en-US"/>
              </w:rPr>
              <w:t>电</w:t>
            </w:r>
          </w:p>
        </w:tc>
        <w:tc>
          <w:tcPr>
            <w:tcW w:w="1876" w:type="dxa"/>
          </w:tcPr>
          <w:p w14:paraId="25327E26">
            <w:pPr>
              <w:rPr>
                <w:rFonts w:hint="eastAsia" w:ascii="仿宋" w:hAnsi="仿宋" w:eastAsia="仿宋" w:cs="仿宋"/>
                <w:kern w:val="2"/>
                <w:sz w:val="21"/>
                <w:szCs w:val="22"/>
                <w:lang w:eastAsia="en-US"/>
              </w:rPr>
            </w:pPr>
          </w:p>
        </w:tc>
        <w:tc>
          <w:tcPr>
            <w:tcW w:w="1987" w:type="dxa"/>
          </w:tcPr>
          <w:p w14:paraId="625275D8">
            <w:pPr>
              <w:spacing w:before="94" w:line="232" w:lineRule="auto"/>
              <w:ind w:right="28"/>
              <w:jc w:val="right"/>
              <w:rPr>
                <w:rFonts w:hint="eastAsia" w:ascii="仿宋" w:hAnsi="仿宋" w:eastAsia="仿宋" w:cs="仿宋"/>
                <w:kern w:val="2"/>
                <w:sz w:val="18"/>
                <w:szCs w:val="18"/>
                <w:lang w:eastAsia="en-US"/>
              </w:rPr>
            </w:pPr>
            <w:r>
              <w:rPr>
                <w:rFonts w:hint="eastAsia" w:ascii="仿宋" w:hAnsi="仿宋" w:eastAsia="仿宋" w:cs="仿宋"/>
                <w:kern w:val="2"/>
                <w:sz w:val="18"/>
                <w:szCs w:val="18"/>
                <w:lang w:eastAsia="en-US"/>
              </w:rPr>
              <w:t>kW</w:t>
            </w:r>
            <w:r>
              <w:rPr>
                <w:rFonts w:hint="eastAsia" w:ascii="仿宋" w:hAnsi="仿宋" w:eastAsia="仿宋" w:cs="仿宋"/>
                <w:spacing w:val="15"/>
                <w:kern w:val="2"/>
                <w:sz w:val="18"/>
                <w:szCs w:val="18"/>
                <w:lang w:eastAsia="en-US"/>
              </w:rPr>
              <w:t xml:space="preserve"> ·</w:t>
            </w:r>
            <w:r>
              <w:rPr>
                <w:rFonts w:hint="eastAsia" w:ascii="仿宋" w:hAnsi="仿宋" w:eastAsia="仿宋" w:cs="仿宋"/>
                <w:kern w:val="2"/>
                <w:sz w:val="18"/>
                <w:szCs w:val="18"/>
                <w:lang w:eastAsia="en-US"/>
              </w:rPr>
              <w:t>h</w:t>
            </w:r>
          </w:p>
        </w:tc>
        <w:tc>
          <w:tcPr>
            <w:tcW w:w="2212" w:type="dxa"/>
          </w:tcPr>
          <w:p w14:paraId="2AB18744">
            <w:pPr>
              <w:rPr>
                <w:rFonts w:hint="eastAsia" w:ascii="仿宋" w:hAnsi="仿宋" w:eastAsia="仿宋" w:cs="仿宋"/>
                <w:kern w:val="2"/>
                <w:sz w:val="21"/>
                <w:szCs w:val="22"/>
                <w:lang w:eastAsia="en-US"/>
              </w:rPr>
            </w:pPr>
          </w:p>
        </w:tc>
        <w:tc>
          <w:tcPr>
            <w:tcW w:w="1725" w:type="dxa"/>
          </w:tcPr>
          <w:p w14:paraId="415183A5">
            <w:pPr>
              <w:rPr>
                <w:rFonts w:hint="eastAsia" w:ascii="仿宋" w:hAnsi="仿宋" w:eastAsia="仿宋" w:cs="仿宋"/>
                <w:kern w:val="2"/>
                <w:sz w:val="21"/>
                <w:szCs w:val="22"/>
                <w:lang w:eastAsia="en-US"/>
              </w:rPr>
            </w:pPr>
          </w:p>
        </w:tc>
      </w:tr>
      <w:tr w14:paraId="5A240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765" w:type="dxa"/>
          </w:tcPr>
          <w:p w14:paraId="452F8C70">
            <w:pPr>
              <w:spacing w:before="67" w:line="220" w:lineRule="auto"/>
              <w:ind w:left="798"/>
              <w:rPr>
                <w:rFonts w:hint="eastAsia" w:ascii="仿宋" w:hAnsi="仿宋" w:eastAsia="仿宋" w:cs="仿宋"/>
                <w:kern w:val="2"/>
                <w:sz w:val="18"/>
                <w:szCs w:val="18"/>
                <w:lang w:eastAsia="en-US"/>
              </w:rPr>
            </w:pPr>
            <w:r>
              <w:rPr>
                <w:rFonts w:hint="eastAsia" w:ascii="仿宋" w:hAnsi="仿宋" w:eastAsia="仿宋" w:cs="仿宋"/>
                <w:kern w:val="2"/>
                <w:sz w:val="18"/>
                <w:szCs w:val="18"/>
                <w:lang w:eastAsia="en-US"/>
              </w:rPr>
              <w:t>水</w:t>
            </w:r>
          </w:p>
        </w:tc>
        <w:tc>
          <w:tcPr>
            <w:tcW w:w="1876" w:type="dxa"/>
          </w:tcPr>
          <w:p w14:paraId="426C75D9">
            <w:pPr>
              <w:rPr>
                <w:rFonts w:hint="eastAsia" w:ascii="仿宋" w:hAnsi="仿宋" w:eastAsia="仿宋" w:cs="仿宋"/>
                <w:kern w:val="2"/>
                <w:sz w:val="21"/>
                <w:szCs w:val="22"/>
                <w:lang w:eastAsia="en-US"/>
              </w:rPr>
            </w:pPr>
          </w:p>
        </w:tc>
        <w:tc>
          <w:tcPr>
            <w:tcW w:w="1987" w:type="dxa"/>
          </w:tcPr>
          <w:p w14:paraId="0909A673">
            <w:pPr>
              <w:spacing w:before="100" w:line="186" w:lineRule="auto"/>
              <w:ind w:right="19"/>
              <w:jc w:val="right"/>
              <w:rPr>
                <w:rFonts w:hint="eastAsia" w:ascii="仿宋" w:hAnsi="仿宋" w:eastAsia="仿宋" w:cs="仿宋"/>
                <w:kern w:val="2"/>
                <w:sz w:val="18"/>
                <w:szCs w:val="18"/>
                <w:lang w:eastAsia="en-US"/>
              </w:rPr>
            </w:pPr>
            <w:r>
              <w:rPr>
                <w:rFonts w:hint="eastAsia" w:ascii="仿宋" w:hAnsi="仿宋" w:eastAsia="仿宋" w:cs="仿宋"/>
                <w:kern w:val="2"/>
                <w:sz w:val="18"/>
                <w:szCs w:val="18"/>
                <w:lang w:eastAsia="en-US"/>
              </w:rPr>
              <w:t>m</w:t>
            </w:r>
            <w:r>
              <w:rPr>
                <w:rFonts w:hint="eastAsia" w:ascii="仿宋" w:hAnsi="仿宋" w:eastAsia="仿宋" w:cs="仿宋"/>
                <w:spacing w:val="83"/>
                <w:kern w:val="2"/>
                <w:sz w:val="18"/>
                <w:szCs w:val="18"/>
                <w:lang w:eastAsia="en-US"/>
              </w:rPr>
              <w:t>³</w:t>
            </w:r>
          </w:p>
        </w:tc>
        <w:tc>
          <w:tcPr>
            <w:tcW w:w="2212" w:type="dxa"/>
          </w:tcPr>
          <w:p w14:paraId="4E0DA41B">
            <w:pPr>
              <w:rPr>
                <w:rFonts w:hint="eastAsia" w:ascii="仿宋" w:hAnsi="仿宋" w:eastAsia="仿宋" w:cs="仿宋"/>
                <w:kern w:val="2"/>
                <w:sz w:val="21"/>
                <w:szCs w:val="22"/>
                <w:lang w:eastAsia="en-US"/>
              </w:rPr>
            </w:pPr>
          </w:p>
        </w:tc>
        <w:tc>
          <w:tcPr>
            <w:tcW w:w="1725" w:type="dxa"/>
          </w:tcPr>
          <w:p w14:paraId="03CB55A7">
            <w:pPr>
              <w:rPr>
                <w:rFonts w:hint="eastAsia" w:ascii="仿宋" w:hAnsi="仿宋" w:eastAsia="仿宋" w:cs="仿宋"/>
                <w:kern w:val="2"/>
                <w:sz w:val="21"/>
                <w:szCs w:val="22"/>
                <w:lang w:eastAsia="en-US"/>
              </w:rPr>
            </w:pPr>
          </w:p>
        </w:tc>
      </w:tr>
      <w:tr w14:paraId="5A49B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65" w:type="dxa"/>
          </w:tcPr>
          <w:p w14:paraId="78ED543B">
            <w:pPr>
              <w:spacing w:before="65" w:line="219" w:lineRule="auto"/>
              <w:ind w:left="620"/>
              <w:rPr>
                <w:rFonts w:hint="eastAsia" w:ascii="仿宋" w:hAnsi="仿宋" w:eastAsia="仿宋" w:cs="仿宋"/>
                <w:kern w:val="2"/>
                <w:sz w:val="18"/>
                <w:szCs w:val="18"/>
                <w:lang w:eastAsia="en-US"/>
              </w:rPr>
            </w:pPr>
            <w:r>
              <w:rPr>
                <w:rFonts w:hint="eastAsia" w:ascii="仿宋" w:hAnsi="仿宋" w:eastAsia="仿宋" w:cs="仿宋"/>
                <w:spacing w:val="-4"/>
                <w:kern w:val="2"/>
                <w:sz w:val="18"/>
                <w:szCs w:val="18"/>
                <w:lang w:eastAsia="en-US"/>
              </w:rPr>
              <w:t>天</w:t>
            </w:r>
            <w:r>
              <w:rPr>
                <w:rFonts w:hint="eastAsia" w:ascii="仿宋" w:hAnsi="仿宋" w:eastAsia="仿宋" w:cs="仿宋"/>
                <w:spacing w:val="-2"/>
                <w:kern w:val="2"/>
                <w:sz w:val="18"/>
                <w:szCs w:val="18"/>
                <w:lang w:eastAsia="en-US"/>
              </w:rPr>
              <w:t>然气</w:t>
            </w:r>
          </w:p>
        </w:tc>
        <w:tc>
          <w:tcPr>
            <w:tcW w:w="1876" w:type="dxa"/>
          </w:tcPr>
          <w:p w14:paraId="48896E2C">
            <w:pPr>
              <w:rPr>
                <w:rFonts w:hint="eastAsia" w:ascii="仿宋" w:hAnsi="仿宋" w:eastAsia="仿宋" w:cs="仿宋"/>
                <w:kern w:val="2"/>
                <w:sz w:val="21"/>
                <w:szCs w:val="22"/>
                <w:lang w:eastAsia="en-US"/>
              </w:rPr>
            </w:pPr>
          </w:p>
        </w:tc>
        <w:tc>
          <w:tcPr>
            <w:tcW w:w="1987" w:type="dxa"/>
          </w:tcPr>
          <w:p w14:paraId="4C134567">
            <w:pPr>
              <w:spacing w:before="99" w:line="186" w:lineRule="auto"/>
              <w:ind w:right="19"/>
              <w:jc w:val="right"/>
              <w:rPr>
                <w:rFonts w:hint="eastAsia" w:ascii="仿宋" w:hAnsi="仿宋" w:eastAsia="仿宋" w:cs="仿宋"/>
                <w:kern w:val="2"/>
                <w:sz w:val="18"/>
                <w:szCs w:val="18"/>
                <w:lang w:eastAsia="en-US"/>
              </w:rPr>
            </w:pPr>
            <w:r>
              <w:rPr>
                <w:rFonts w:hint="eastAsia" w:ascii="仿宋" w:hAnsi="仿宋" w:eastAsia="仿宋" w:cs="仿宋"/>
                <w:kern w:val="2"/>
                <w:sz w:val="18"/>
                <w:szCs w:val="18"/>
                <w:lang w:eastAsia="en-US"/>
              </w:rPr>
              <w:t>m</w:t>
            </w:r>
            <w:r>
              <w:rPr>
                <w:rFonts w:hint="eastAsia" w:ascii="仿宋" w:hAnsi="仿宋" w:eastAsia="仿宋" w:cs="仿宋"/>
                <w:spacing w:val="83"/>
                <w:kern w:val="2"/>
                <w:sz w:val="18"/>
                <w:szCs w:val="18"/>
                <w:lang w:eastAsia="en-US"/>
              </w:rPr>
              <w:t>³</w:t>
            </w:r>
          </w:p>
        </w:tc>
        <w:tc>
          <w:tcPr>
            <w:tcW w:w="2212" w:type="dxa"/>
          </w:tcPr>
          <w:p w14:paraId="49971A87">
            <w:pPr>
              <w:rPr>
                <w:rFonts w:hint="eastAsia" w:ascii="仿宋" w:hAnsi="仿宋" w:eastAsia="仿宋" w:cs="仿宋"/>
                <w:kern w:val="2"/>
                <w:sz w:val="21"/>
                <w:szCs w:val="22"/>
                <w:lang w:eastAsia="en-US"/>
              </w:rPr>
            </w:pPr>
          </w:p>
        </w:tc>
        <w:tc>
          <w:tcPr>
            <w:tcW w:w="1725" w:type="dxa"/>
          </w:tcPr>
          <w:p w14:paraId="28ABCE44">
            <w:pPr>
              <w:rPr>
                <w:rFonts w:hint="eastAsia" w:ascii="仿宋" w:hAnsi="仿宋" w:eastAsia="仿宋" w:cs="仿宋"/>
                <w:kern w:val="2"/>
                <w:sz w:val="21"/>
                <w:szCs w:val="22"/>
                <w:lang w:eastAsia="en-US"/>
              </w:rPr>
            </w:pPr>
          </w:p>
        </w:tc>
      </w:tr>
      <w:tr w14:paraId="0ADB0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65" w:type="dxa"/>
          </w:tcPr>
          <w:p w14:paraId="246A6BD8">
            <w:pPr>
              <w:spacing w:before="66" w:line="218" w:lineRule="auto"/>
              <w:ind w:left="709"/>
              <w:rPr>
                <w:rFonts w:hint="eastAsia" w:ascii="仿宋" w:hAnsi="仿宋" w:eastAsia="仿宋" w:cs="仿宋"/>
                <w:kern w:val="2"/>
                <w:sz w:val="18"/>
                <w:szCs w:val="18"/>
                <w:lang w:eastAsia="en-US"/>
              </w:rPr>
            </w:pPr>
            <w:r>
              <w:rPr>
                <w:rFonts w:hint="eastAsia" w:ascii="仿宋" w:hAnsi="仿宋" w:eastAsia="仿宋" w:cs="仿宋"/>
                <w:spacing w:val="-3"/>
                <w:kern w:val="2"/>
                <w:sz w:val="18"/>
                <w:szCs w:val="18"/>
                <w:lang w:eastAsia="en-US"/>
              </w:rPr>
              <w:t>蒸</w:t>
            </w:r>
            <w:r>
              <w:rPr>
                <w:rFonts w:hint="eastAsia" w:ascii="仿宋" w:hAnsi="仿宋" w:eastAsia="仿宋" w:cs="仿宋"/>
                <w:spacing w:val="-2"/>
                <w:kern w:val="2"/>
                <w:sz w:val="18"/>
                <w:szCs w:val="18"/>
                <w:lang w:eastAsia="en-US"/>
              </w:rPr>
              <w:t>汽</w:t>
            </w:r>
          </w:p>
        </w:tc>
        <w:tc>
          <w:tcPr>
            <w:tcW w:w="1876" w:type="dxa"/>
          </w:tcPr>
          <w:p w14:paraId="36BF52FA">
            <w:pPr>
              <w:rPr>
                <w:rFonts w:hint="eastAsia" w:ascii="仿宋" w:hAnsi="仿宋" w:eastAsia="仿宋" w:cs="仿宋"/>
                <w:kern w:val="2"/>
                <w:sz w:val="21"/>
                <w:szCs w:val="22"/>
                <w:lang w:eastAsia="en-US"/>
              </w:rPr>
            </w:pPr>
          </w:p>
        </w:tc>
        <w:tc>
          <w:tcPr>
            <w:tcW w:w="1987" w:type="dxa"/>
          </w:tcPr>
          <w:p w14:paraId="019DB860">
            <w:pPr>
              <w:spacing w:before="66" w:line="235" w:lineRule="auto"/>
              <w:ind w:right="19"/>
              <w:jc w:val="right"/>
              <w:rPr>
                <w:rFonts w:hint="eastAsia" w:ascii="仿宋" w:hAnsi="仿宋" w:eastAsia="仿宋" w:cs="仿宋"/>
                <w:kern w:val="2"/>
                <w:sz w:val="18"/>
                <w:szCs w:val="18"/>
                <w:lang w:eastAsia="en-US"/>
              </w:rPr>
            </w:pPr>
            <w:r>
              <w:rPr>
                <w:rFonts w:hint="eastAsia" w:ascii="仿宋" w:hAnsi="仿宋" w:eastAsia="仿宋" w:cs="仿宋"/>
                <w:kern w:val="2"/>
                <w:sz w:val="18"/>
                <w:szCs w:val="18"/>
                <w:lang w:eastAsia="en-US"/>
              </w:rPr>
              <w:t>t</w:t>
            </w:r>
            <w:r>
              <w:rPr>
                <w:rFonts w:hint="eastAsia" w:ascii="仿宋" w:hAnsi="仿宋" w:eastAsia="仿宋" w:cs="仿宋"/>
                <w:spacing w:val="11"/>
                <w:kern w:val="2"/>
                <w:sz w:val="18"/>
                <w:szCs w:val="18"/>
                <w:lang w:eastAsia="en-US"/>
              </w:rPr>
              <w:t xml:space="preserve"> </w:t>
            </w:r>
            <w:r>
              <w:rPr>
                <w:rFonts w:hint="eastAsia" w:ascii="仿宋" w:hAnsi="仿宋" w:eastAsia="仿宋" w:cs="仿宋"/>
                <w:spacing w:val="9"/>
                <w:kern w:val="2"/>
                <w:sz w:val="18"/>
                <w:szCs w:val="18"/>
                <w:lang w:eastAsia="en-US"/>
              </w:rPr>
              <w:t xml:space="preserve">或 </w:t>
            </w:r>
            <w:r>
              <w:rPr>
                <w:rFonts w:hint="eastAsia" w:ascii="仿宋" w:hAnsi="仿宋" w:eastAsia="仿宋" w:cs="仿宋"/>
                <w:kern w:val="2"/>
                <w:sz w:val="18"/>
                <w:szCs w:val="18"/>
                <w:lang w:eastAsia="en-US"/>
              </w:rPr>
              <w:t>m</w:t>
            </w:r>
            <w:r>
              <w:rPr>
                <w:rFonts w:hint="eastAsia" w:ascii="仿宋" w:hAnsi="仿宋" w:eastAsia="仿宋" w:cs="仿宋"/>
                <w:spacing w:val="9"/>
                <w:kern w:val="2"/>
                <w:sz w:val="18"/>
                <w:szCs w:val="18"/>
                <w:lang w:eastAsia="en-US"/>
              </w:rPr>
              <w:t>³</w:t>
            </w:r>
          </w:p>
        </w:tc>
        <w:tc>
          <w:tcPr>
            <w:tcW w:w="2212" w:type="dxa"/>
          </w:tcPr>
          <w:p w14:paraId="7FB3C364">
            <w:pPr>
              <w:rPr>
                <w:rFonts w:hint="eastAsia" w:ascii="仿宋" w:hAnsi="仿宋" w:eastAsia="仿宋" w:cs="仿宋"/>
                <w:kern w:val="2"/>
                <w:sz w:val="21"/>
                <w:szCs w:val="22"/>
                <w:lang w:eastAsia="en-US"/>
              </w:rPr>
            </w:pPr>
          </w:p>
        </w:tc>
        <w:tc>
          <w:tcPr>
            <w:tcW w:w="1725" w:type="dxa"/>
          </w:tcPr>
          <w:p w14:paraId="73BB0974">
            <w:pPr>
              <w:rPr>
                <w:rFonts w:hint="eastAsia" w:ascii="仿宋" w:hAnsi="仿宋" w:eastAsia="仿宋" w:cs="仿宋"/>
                <w:kern w:val="2"/>
                <w:sz w:val="21"/>
                <w:szCs w:val="22"/>
                <w:lang w:eastAsia="en-US"/>
              </w:rPr>
            </w:pPr>
          </w:p>
        </w:tc>
      </w:tr>
      <w:tr w14:paraId="4F7BD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765" w:type="dxa"/>
          </w:tcPr>
          <w:p w14:paraId="277DEAE3">
            <w:pPr>
              <w:spacing w:before="67" w:line="221" w:lineRule="auto"/>
              <w:ind w:left="708"/>
              <w:rPr>
                <w:rFonts w:hint="eastAsia" w:ascii="仿宋" w:hAnsi="仿宋" w:eastAsia="仿宋" w:cs="仿宋"/>
                <w:kern w:val="2"/>
                <w:sz w:val="18"/>
                <w:szCs w:val="18"/>
                <w:lang w:eastAsia="en-US"/>
              </w:rPr>
            </w:pPr>
            <w:r>
              <w:rPr>
                <w:rFonts w:hint="eastAsia" w:ascii="仿宋" w:hAnsi="仿宋" w:eastAsia="仿宋" w:cs="仿宋"/>
                <w:spacing w:val="-2"/>
                <w:kern w:val="2"/>
                <w:sz w:val="18"/>
                <w:szCs w:val="18"/>
                <w:lang w:eastAsia="en-US"/>
              </w:rPr>
              <w:t>合计</w:t>
            </w:r>
          </w:p>
        </w:tc>
        <w:tc>
          <w:tcPr>
            <w:tcW w:w="1876" w:type="dxa"/>
          </w:tcPr>
          <w:p w14:paraId="4B988864">
            <w:pPr>
              <w:rPr>
                <w:rFonts w:hint="eastAsia" w:ascii="仿宋" w:hAnsi="仿宋" w:eastAsia="仿宋" w:cs="仿宋"/>
                <w:kern w:val="2"/>
                <w:sz w:val="21"/>
                <w:szCs w:val="22"/>
                <w:lang w:eastAsia="en-US"/>
              </w:rPr>
            </w:pPr>
          </w:p>
        </w:tc>
        <w:tc>
          <w:tcPr>
            <w:tcW w:w="1987" w:type="dxa"/>
          </w:tcPr>
          <w:p w14:paraId="22028CFF">
            <w:pPr>
              <w:rPr>
                <w:rFonts w:hint="eastAsia" w:ascii="仿宋" w:hAnsi="仿宋" w:eastAsia="仿宋" w:cs="仿宋"/>
                <w:kern w:val="2"/>
                <w:sz w:val="21"/>
                <w:szCs w:val="22"/>
                <w:lang w:eastAsia="en-US"/>
              </w:rPr>
            </w:pPr>
          </w:p>
        </w:tc>
        <w:tc>
          <w:tcPr>
            <w:tcW w:w="2212" w:type="dxa"/>
          </w:tcPr>
          <w:p w14:paraId="4D037FBF">
            <w:pPr>
              <w:rPr>
                <w:rFonts w:hint="eastAsia" w:ascii="仿宋" w:hAnsi="仿宋" w:eastAsia="仿宋" w:cs="仿宋"/>
                <w:kern w:val="2"/>
                <w:sz w:val="21"/>
                <w:szCs w:val="22"/>
                <w:lang w:eastAsia="en-US"/>
              </w:rPr>
            </w:pPr>
          </w:p>
        </w:tc>
        <w:tc>
          <w:tcPr>
            <w:tcW w:w="1725" w:type="dxa"/>
          </w:tcPr>
          <w:p w14:paraId="6AF2A882">
            <w:pPr>
              <w:rPr>
                <w:rFonts w:hint="eastAsia" w:ascii="仿宋" w:hAnsi="仿宋" w:eastAsia="仿宋" w:cs="仿宋"/>
                <w:kern w:val="2"/>
                <w:sz w:val="21"/>
                <w:szCs w:val="22"/>
                <w:lang w:eastAsia="en-US"/>
              </w:rPr>
            </w:pPr>
          </w:p>
        </w:tc>
      </w:tr>
    </w:tbl>
    <w:p w14:paraId="540893D6">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 xml:space="preserve">第四条 节能目标 </w:t>
      </w:r>
    </w:p>
    <w:p w14:paraId="681C495D">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4.1在满足同等需求或达到同等目标的前提下，托管期间的年节能量与基准期能源用量之比应达到</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  (</w:t>
      </w:r>
      <w:r>
        <w:rPr>
          <w:rFonts w:hint="eastAsia" w:ascii="仿宋" w:hAnsi="仿宋" w:eastAsia="仿宋" w:cs="仿宋"/>
          <w:spacing w:val="4"/>
          <w:kern w:val="2"/>
          <w:sz w:val="24"/>
          <w:szCs w:val="24"/>
          <w:highlight w:val="yellow"/>
          <w:lang w:eastAsia="zh-CN"/>
        </w:rPr>
        <w:t>节费率</w:t>
      </w:r>
      <w:r>
        <w:rPr>
          <w:rFonts w:hint="eastAsia" w:ascii="仿宋" w:hAnsi="仿宋" w:eastAsia="仿宋" w:cs="仿宋"/>
          <w:spacing w:val="4"/>
          <w:kern w:val="2"/>
          <w:sz w:val="24"/>
          <w:szCs w:val="24"/>
        </w:rPr>
        <w:t>) 。</w:t>
      </w:r>
    </w:p>
    <w:p w14:paraId="20375FB6">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4.2如果在托管期间需要进行中期评估或托管结束时进行节能效果评估，可以委托第三方评估，或双方协商评估。节能效果评估费用由</w:t>
      </w:r>
      <w:r>
        <w:rPr>
          <w:rFonts w:hint="eastAsia" w:ascii="仿宋" w:hAnsi="仿宋" w:eastAsia="仿宋" w:cs="仿宋"/>
          <w:spacing w:val="4"/>
          <w:kern w:val="2"/>
          <w:sz w:val="24"/>
          <w:szCs w:val="24"/>
          <w:u w:val="single"/>
        </w:rPr>
        <w:t xml:space="preserve">     方</w:t>
      </w:r>
      <w:r>
        <w:rPr>
          <w:rFonts w:hint="eastAsia" w:ascii="仿宋" w:hAnsi="仿宋" w:eastAsia="仿宋" w:cs="仿宋"/>
          <w:spacing w:val="4"/>
          <w:kern w:val="2"/>
          <w:sz w:val="24"/>
          <w:szCs w:val="24"/>
        </w:rPr>
        <w:t>承担。</w:t>
      </w:r>
    </w:p>
    <w:p w14:paraId="075F8450">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4.3节能目标(根据项目实际情况举例)：</w:t>
      </w:r>
      <w:r>
        <w:rPr>
          <w:rFonts w:hint="eastAsia" w:ascii="仿宋" w:hAnsi="仿宋" w:eastAsia="仿宋" w:cs="仿宋"/>
          <w:strike w:val="0"/>
          <w:dstrike w:val="0"/>
          <w:spacing w:val="4"/>
          <w:kern w:val="2"/>
          <w:sz w:val="24"/>
          <w:szCs w:val="24"/>
          <w:u w:val="single"/>
        </w:rPr>
        <w:t xml:space="preserve">                         </w:t>
      </w:r>
      <w:r>
        <w:rPr>
          <w:rFonts w:hint="eastAsia" w:ascii="仿宋" w:hAnsi="仿宋" w:eastAsia="仿宋" w:cs="仿宋"/>
          <w:spacing w:val="4"/>
          <w:kern w:val="2"/>
          <w:sz w:val="24"/>
          <w:szCs w:val="24"/>
        </w:rPr>
        <w:t>。</w:t>
      </w:r>
    </w:p>
    <w:p w14:paraId="7663B791">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4.4达到节能目标的奖励：</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；达不到节能目标的惩罚：</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w:t>
      </w:r>
    </w:p>
    <w:p w14:paraId="6A8632F4">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第五条 托管期限</w:t>
      </w:r>
    </w:p>
    <w:p w14:paraId="395DAF74">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5.1本项目的建设期为</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天，自</w:t>
      </w:r>
      <w:r>
        <w:rPr>
          <w:rFonts w:hint="eastAsia" w:ascii="仿宋" w:hAnsi="仿宋" w:eastAsia="仿宋" w:cs="仿宋"/>
          <w:spacing w:val="4"/>
          <w:kern w:val="2"/>
          <w:sz w:val="24"/>
          <w:szCs w:val="24"/>
          <w:u w:val="single"/>
        </w:rPr>
        <w:t xml:space="preserve">     年    月    日(以开工令为准) ，至     年    月 日</w:t>
      </w:r>
      <w:r>
        <w:rPr>
          <w:rFonts w:hint="eastAsia" w:ascii="仿宋" w:hAnsi="仿宋" w:eastAsia="仿宋" w:cs="仿宋"/>
          <w:spacing w:val="4"/>
          <w:kern w:val="2"/>
          <w:sz w:val="24"/>
          <w:szCs w:val="24"/>
        </w:rPr>
        <w:t>。托管期限为</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年，自项目移交之日起至托管期限届满</w:t>
      </w:r>
      <w:r>
        <w:rPr>
          <w:rFonts w:hint="eastAsia" w:ascii="仿宋" w:hAnsi="仿宋" w:eastAsia="仿宋" w:cs="仿宋"/>
          <w:spacing w:val="4"/>
          <w:kern w:val="2"/>
          <w:sz w:val="24"/>
          <w:szCs w:val="24"/>
          <w:u w:val="single"/>
        </w:rPr>
        <w:t xml:space="preserve">(即   年   月   日开始，至      年 月    日为止) </w:t>
      </w:r>
      <w:r>
        <w:rPr>
          <w:rFonts w:hint="eastAsia" w:ascii="仿宋" w:hAnsi="仿宋" w:eastAsia="仿宋" w:cs="仿宋"/>
          <w:spacing w:val="4"/>
          <w:kern w:val="2"/>
          <w:sz w:val="24"/>
          <w:szCs w:val="24"/>
        </w:rPr>
        <w:t>。</w:t>
      </w:r>
    </w:p>
    <w:p w14:paraId="5A20D5CC">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5.2托管期限届满，乙方将托管的能源系统设备、设施移交给甲方或甲方指定的单位。</w:t>
      </w:r>
    </w:p>
    <w:p w14:paraId="38B6D916">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5.3本合同期限届满，乙方如约完成节能目标并且达到本合同约定的服务标准，如果甲方继续采用能源费用托管的形式进行能源系统的管理，在同等条件下，乙方享有优先续约的权利。</w:t>
      </w:r>
    </w:p>
    <w:p w14:paraId="59B302FF">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第六条 乙方的管理和服务标准</w:t>
      </w:r>
    </w:p>
    <w:p w14:paraId="4386E0F4">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6.1托管期限内，托管区域内的供暖(冷)、用电、用水、用气等系统的经营及管理权归乙方，由乙方自主经营，自负盈亏。</w:t>
      </w:r>
    </w:p>
    <w:p w14:paraId="2870D532">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6.2乙方在本项目设有专门的能源管理人员负责托管事宜，并建立专业的管理团队提供服务，人员 配置要求为</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。管理团队成员名单、相应的资质资格证书应提交甲方备案。</w:t>
      </w:r>
    </w:p>
    <w:p w14:paraId="0BAFAFDE">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6.3乙方提供的服务范围和项目包括：用电、供暖、供冷、燃气、用水系统。</w:t>
      </w:r>
    </w:p>
    <w:p w14:paraId="6DFA7CCF">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(注：服务范围和内容应当具体全面。)</w:t>
      </w:r>
    </w:p>
    <w:p w14:paraId="3D931500">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6.4乙方的服务标准</w:t>
      </w:r>
    </w:p>
    <w:p w14:paraId="4E9967F5">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6.4.1供暖期间的室内温度标准</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，供冷期间的室内温度标准</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，生活热水的出水温度</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。(注：按建筑功能要求室内温度不低于</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。医院、学校、机关供冷供热时间不同。)</w:t>
      </w:r>
    </w:p>
    <w:p w14:paraId="6E35FC5D">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6.4.2托管期间，</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设备的维护、保养由乙方负责，维护保养频次为</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。现场用能设备日常巡视服务频次为</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w:t>
      </w:r>
    </w:p>
    <w:p w14:paraId="281F7E3D">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6.4.3托管期间，</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设备的维修由乙方负责，报修方式为</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。设备检修服务的 时限为接到通知后</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小时内到场，     小时内处理完毕。设备抢修服务的时限为接到通知后</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小时 到场，</w:t>
      </w:r>
      <w:r>
        <w:rPr>
          <w:rFonts w:hint="eastAsia" w:ascii="仿宋" w:hAnsi="仿宋" w:eastAsia="仿宋" w:cs="仿宋"/>
          <w:spacing w:val="4"/>
          <w:kern w:val="2"/>
          <w:sz w:val="24"/>
          <w:szCs w:val="24"/>
          <w:u w:val="single"/>
          <w:lang w:val="en-US" w:eastAsia="zh-CN"/>
        </w:rPr>
        <w:t xml:space="preserve">   </w:t>
      </w:r>
      <w:r>
        <w:rPr>
          <w:rFonts w:hint="eastAsia" w:ascii="仿宋" w:hAnsi="仿宋" w:eastAsia="仿宋" w:cs="仿宋"/>
          <w:spacing w:val="4"/>
          <w:kern w:val="2"/>
          <w:sz w:val="24"/>
          <w:szCs w:val="24"/>
        </w:rPr>
        <w:t>小时内处理完毕。</w:t>
      </w:r>
    </w:p>
    <w:p w14:paraId="5B3AA6C7">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6.4.4托管期间，</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(用能系统)设备开关由</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负责执行，设备开关及控制策略由乙方制定 后报业主方审核确认，该用能系统的日常管理/值班人员</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人次。</w:t>
      </w:r>
    </w:p>
    <w:p w14:paraId="741CF81B">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6.5乙方的服务标准应当体现文明、高效、及时、优质的服务，“乙方的服务标准”应当制作专门文件，作为本合同的附件二。</w:t>
      </w:r>
    </w:p>
    <w:p w14:paraId="16671F85">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第七条 双方责任</w:t>
      </w:r>
    </w:p>
    <w:p w14:paraId="0D30E099">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7.1甲、乙双方应当建立健全能源管理使用制度，各方人员应当切实遵守。相关的能源管理使用制度应当由双方签字确认。</w:t>
      </w:r>
    </w:p>
    <w:p w14:paraId="272518A9">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7.2甲、乙双方应当建立能源托管日常工作协调机制，定期组织双方现场管理人员召开工作例会；每年度进行一次综合分析评估，协商解决因客观情况变化而产生的利益分配等问题。</w:t>
      </w:r>
    </w:p>
    <w:p w14:paraId="552FE562">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7.3甲方义务</w:t>
      </w:r>
    </w:p>
    <w:p w14:paraId="297FC036">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(1)甲方应协助乙方办理甲方</w:t>
      </w:r>
      <w:r>
        <w:rPr>
          <w:rFonts w:hint="eastAsia" w:ascii="仿宋" w:hAnsi="仿宋" w:eastAsia="仿宋" w:cs="仿宋"/>
          <w:spacing w:val="4"/>
          <w:kern w:val="2"/>
          <w:sz w:val="24"/>
          <w:szCs w:val="24"/>
          <w:lang w:val="en-US" w:eastAsia="zh-CN"/>
        </w:rPr>
        <w:t>蒸汽费</w:t>
      </w:r>
      <w:r>
        <w:rPr>
          <w:rFonts w:hint="eastAsia" w:ascii="仿宋" w:hAnsi="仿宋" w:eastAsia="仿宋" w:cs="仿宋"/>
          <w:spacing w:val="4"/>
          <w:kern w:val="2"/>
          <w:sz w:val="24"/>
          <w:szCs w:val="24"/>
        </w:rPr>
        <w:t>和电费、水费分割手续，实际每月产生的</w:t>
      </w:r>
      <w:r>
        <w:rPr>
          <w:rFonts w:hint="eastAsia" w:ascii="仿宋" w:hAnsi="仿宋" w:eastAsia="仿宋" w:cs="仿宋"/>
          <w:spacing w:val="4"/>
          <w:kern w:val="2"/>
          <w:sz w:val="24"/>
          <w:szCs w:val="24"/>
          <w:lang w:eastAsia="zh-CN"/>
        </w:rPr>
        <w:t>蒸汽</w:t>
      </w:r>
      <w:r>
        <w:rPr>
          <w:rFonts w:hint="eastAsia" w:ascii="仿宋" w:hAnsi="仿宋" w:eastAsia="仿宋" w:cs="仿宋"/>
          <w:spacing w:val="4"/>
          <w:kern w:val="2"/>
          <w:sz w:val="24"/>
          <w:szCs w:val="24"/>
        </w:rPr>
        <w:t>费、电费、水费由乙方承担并直接支付给</w:t>
      </w:r>
      <w:r>
        <w:rPr>
          <w:rFonts w:hint="eastAsia" w:ascii="仿宋" w:hAnsi="仿宋" w:eastAsia="仿宋" w:cs="仿宋"/>
          <w:spacing w:val="4"/>
          <w:kern w:val="2"/>
          <w:sz w:val="24"/>
          <w:szCs w:val="24"/>
          <w:lang w:val="en-US" w:eastAsia="zh-CN"/>
        </w:rPr>
        <w:t>供热</w:t>
      </w:r>
      <w:r>
        <w:rPr>
          <w:rFonts w:hint="eastAsia" w:ascii="仿宋" w:hAnsi="仿宋" w:eastAsia="仿宋" w:cs="仿宋"/>
          <w:spacing w:val="4"/>
          <w:kern w:val="2"/>
          <w:sz w:val="24"/>
          <w:szCs w:val="24"/>
        </w:rPr>
        <w:t>公司、电力公司、水务集团，发票抬头为乙方。为了便于管理及核算项目节能量，能源过户时双方应确定各计量仪表的过户数量、覆盖范围、计量底数及仪表编码等。</w:t>
      </w:r>
    </w:p>
    <w:p w14:paraId="24FDA8C4">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(2)甲方应当与乙方共同协商做好原设备操作人员工作安排，由甲乙双方共同管理相关人员。</w:t>
      </w:r>
    </w:p>
    <w:p w14:paraId="3240362E">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(3)甲方应当提供必要的资料，协助、配合第三方机构开展节能量测量和验证。在托管期间积极配合政府主管部门对托管项目进行核查和监督，并提供有关证明材料。</w:t>
      </w:r>
    </w:p>
    <w:p w14:paraId="646B476B">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(4)甲方应当切实履行节能管理主体责任，加强对用能场所的管控，强化日常考核和监督检查，形成合理用能、节约用能的良好场景。</w:t>
      </w:r>
    </w:p>
    <w:p w14:paraId="029FC35E">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(5)有新增/减设备或用能区域变更的需提前向乙方提供增/减设备或变更情况的书面记录。</w:t>
      </w:r>
    </w:p>
    <w:p w14:paraId="4616AB6A">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(6)甲方应当将与托管项目有关的其内部规章制度和特殊安全规定提前告知乙方并书面提交给乙方。</w:t>
      </w:r>
    </w:p>
    <w:p w14:paraId="6EBAD92C">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(7)甲方应当协助乙方向有关政府机构或者组织申请与项目相关的补助、奖励或其他可适用的优惠政策，甲乙双方可以约定分成比例，以奖补资金继续推进实施节能技改项目。</w:t>
      </w:r>
    </w:p>
    <w:p w14:paraId="112A71C3">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(8)甲方应当为乙方的管理服务工作提供必要的方便条件，包括但不限于提供必要的场所、通讯、水电以及合理调整办公、设备试运行等便利。</w:t>
      </w:r>
    </w:p>
    <w:p w14:paraId="245AF439">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(9)甲方应当组织有关用能岗位的人员学习能源管理使用的规章制度并切实遵守；应配合乙方落实合同约定的用能系统设备开关策略及能源供应标准。</w:t>
      </w:r>
    </w:p>
    <w:p w14:paraId="5057F2E4">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7.4乙方义务</w:t>
      </w:r>
    </w:p>
    <w:p w14:paraId="590DF9E8">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(1)乙方应当配合甲方建立和完善能源管理和使用规章制度，并组织甲方有关用能岗位的人员学习落实，同时定期对能源使用情况进行检查和监督，制止能源浪费行为。</w:t>
      </w:r>
    </w:p>
    <w:p w14:paraId="08391466">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(2)乙方投资的设备、工程等在合同期内的维保及质量问题由乙方负责，并应定期向甲方提供设备维护、更新情况记录。</w:t>
      </w:r>
    </w:p>
    <w:p w14:paraId="10D03BBD">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(3)乙方应在完成所投资设备的安装和调试后，对甲方指派的操作人员定期进行专业培训，以使其能承担相应的操作和设施维护要求。</w:t>
      </w:r>
    </w:p>
    <w:p w14:paraId="1F907B5B">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(4)乙方若发现有私自拆、改、破坏能源系统的行为应及时上报甲方，并马上采取措施制止，若严重威胁到能源系统的可暂停服务。</w:t>
      </w:r>
    </w:p>
    <w:p w14:paraId="04D926A8">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(5)因乙方未缴纳能源费用或乙方实施改造原因，导致甲方断水、断电、断天然气事故或造成其他损失的，责任由乙方承担，但不可抗力或甲方有违约行为的除外。</w:t>
      </w:r>
    </w:p>
    <w:p w14:paraId="19ACB148">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(6)乙方应负责本方人员的安全管理，在合同履行期内，因乙方原因出现的安全(工伤)事故由乙方负责承担。</w:t>
      </w:r>
    </w:p>
    <w:p w14:paraId="1119DE1E">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(7)乙方管理人员进入甲方的相关场所，应当遵守甲方的规章制度。乙方的维修维护管理等项工作，应当不影响甲方的正常工作。必须要甲方停止相关工作时，乙方应当提前通报甲方的负责人，协调安排好相应的工作。</w:t>
      </w:r>
    </w:p>
    <w:p w14:paraId="286AD8E7">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(8)乙方应当协助、配合第三方机构或者甲方开展节能量测量和验证。</w:t>
      </w:r>
    </w:p>
    <w:p w14:paraId="260FCBA5">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7.</w:t>
      </w:r>
      <w:r>
        <w:rPr>
          <w:rFonts w:hint="eastAsia" w:ascii="仿宋" w:hAnsi="仿宋" w:eastAsia="仿宋" w:cs="仿宋"/>
          <w:spacing w:val="4"/>
          <w:kern w:val="2"/>
          <w:sz w:val="24"/>
          <w:szCs w:val="24"/>
          <w:lang w:val="en-US" w:eastAsia="zh-CN"/>
        </w:rPr>
        <w:t>5</w:t>
      </w:r>
      <w:r>
        <w:rPr>
          <w:rFonts w:hint="eastAsia" w:ascii="仿宋" w:hAnsi="仿宋" w:eastAsia="仿宋" w:cs="仿宋"/>
          <w:spacing w:val="4"/>
          <w:kern w:val="2"/>
          <w:sz w:val="24"/>
          <w:szCs w:val="24"/>
        </w:rPr>
        <w:t>其他需要互相配合的事项：</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w:t>
      </w:r>
    </w:p>
    <w:p w14:paraId="4704357C">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7.</w:t>
      </w:r>
      <w:r>
        <w:rPr>
          <w:rFonts w:hint="eastAsia" w:ascii="仿宋" w:hAnsi="仿宋" w:eastAsia="仿宋" w:cs="仿宋"/>
          <w:spacing w:val="4"/>
          <w:kern w:val="2"/>
          <w:sz w:val="24"/>
          <w:szCs w:val="24"/>
          <w:lang w:val="en-US" w:eastAsia="zh-CN"/>
        </w:rPr>
        <w:t>6</w:t>
      </w:r>
      <w:r>
        <w:rPr>
          <w:rFonts w:hint="eastAsia" w:ascii="仿宋" w:hAnsi="仿宋" w:eastAsia="仿宋" w:cs="仿宋"/>
          <w:spacing w:val="4"/>
          <w:kern w:val="2"/>
          <w:sz w:val="24"/>
          <w:szCs w:val="24"/>
        </w:rPr>
        <w:t>甲方的项目负责人为：</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；乙方的项目负责人为：</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 任何一方更换项目负责人应以书面形式通知对方。</w:t>
      </w:r>
    </w:p>
    <w:p w14:paraId="0784A6E6">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项目负责人可以就本合同的履行过程中的事项签署相关洽商文件，该洽商文件对双方具有约束力，其他相关人员无权签署此类洽商文件。</w:t>
      </w:r>
    </w:p>
    <w:p w14:paraId="070378A9">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第八条 项目移交事项</w:t>
      </w:r>
    </w:p>
    <w:p w14:paraId="2B389A3A">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8.1乙方在接管项目之前，甲、乙双方应当完成附件一的全部工作。在移交之前由甲方主导，乙方参与，双方共同对用能系统进行一次全面检修。检修费用由甲方承担。用能系统移交时甲方应保证设备和设施的完整性和能够正常运行。</w:t>
      </w:r>
    </w:p>
    <w:p w14:paraId="35816AB4">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8.2移交过程中，甲方需要向乙方提供有关项目审批、验收、备案、行政许可等相关手续的复印件，供暖、供电、供水、燃气系统及消防系统申报、批准验收等手续；供暖及供冷系统相关资料等。</w:t>
      </w:r>
    </w:p>
    <w:p w14:paraId="40E747BE">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8.3移交相关的文件资料包括设备、设施的购买、维修、使用文件、能源管理的规章制度、行政许可证照及其他全部有关文件。</w:t>
      </w:r>
    </w:p>
    <w:p w14:paraId="03B82163">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8.4其他移交事项：</w:t>
      </w:r>
      <w:r>
        <w:rPr>
          <w:rFonts w:hint="eastAsia" w:ascii="仿宋" w:hAnsi="仿宋" w:eastAsia="仿宋" w:cs="仿宋"/>
          <w:spacing w:val="4"/>
          <w:kern w:val="2"/>
          <w:sz w:val="24"/>
          <w:szCs w:val="24"/>
          <w:u w:val="single"/>
          <w:lang w:val="en-US" w:eastAsia="zh-CN"/>
        </w:rPr>
        <w:t xml:space="preserve">       </w:t>
      </w:r>
      <w:r>
        <w:rPr>
          <w:rFonts w:hint="eastAsia" w:ascii="仿宋" w:hAnsi="仿宋" w:eastAsia="仿宋" w:cs="仿宋"/>
          <w:spacing w:val="4"/>
          <w:kern w:val="2"/>
          <w:sz w:val="24"/>
          <w:szCs w:val="24"/>
          <w:lang w:val="en-US" w:eastAsia="zh-CN"/>
        </w:rPr>
        <w:t xml:space="preserve"> </w:t>
      </w:r>
      <w:r>
        <w:rPr>
          <w:rFonts w:hint="eastAsia" w:ascii="仿宋" w:hAnsi="仿宋" w:eastAsia="仿宋" w:cs="仿宋"/>
          <w:spacing w:val="4"/>
          <w:kern w:val="2"/>
          <w:sz w:val="24"/>
          <w:szCs w:val="24"/>
        </w:rPr>
        <w:t>。</w:t>
      </w:r>
    </w:p>
    <w:p w14:paraId="49E592E1">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8.5针对移交的设备、设施、物品及有关事项，双方应当签署移交清单。</w:t>
      </w:r>
    </w:p>
    <w:p w14:paraId="07409942">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8.6本合同约定的托管期限届满，乙方应将其投资形成的有形和无形资产以人民币壹元价值向甲方移交，同时需移交投资、验收、运行等相关的全部文件资料。</w:t>
      </w:r>
    </w:p>
    <w:p w14:paraId="54443272">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移交之前由乙方主导，甲方参与，双方共同对用能系统进行一次全面检修。检修费用由乙方承担。用能系统移交时乙方应保证设备和设施的完整性和能够正常运行。</w:t>
      </w:r>
    </w:p>
    <w:p w14:paraId="57502577">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8.7本合同第五条第5.1款约定的托管期限开始日的30日之前，甲方向乙方的移交事项应当办理完毕，以便于乙方进行准备工作。</w:t>
      </w:r>
    </w:p>
    <w:p w14:paraId="38BA2F35">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第九条 托管费用的标准及支付</w:t>
      </w:r>
    </w:p>
    <w:p w14:paraId="59B1CA16">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9.1年度能源托管费用包括能源费用和能源系统的日常运营、维修维护管理费、消耗性材料费等。</w:t>
      </w:r>
    </w:p>
    <w:tbl>
      <w:tblPr>
        <w:tblStyle w:val="645"/>
        <w:tblW w:w="957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353"/>
        <w:gridCol w:w="931"/>
        <w:gridCol w:w="1574"/>
        <w:gridCol w:w="1732"/>
        <w:gridCol w:w="2785"/>
        <w:gridCol w:w="1195"/>
      </w:tblGrid>
      <w:tr w14:paraId="05277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21" w:hRule="atLeast"/>
        </w:trPr>
        <w:tc>
          <w:tcPr>
            <w:tcW w:w="3858" w:type="dxa"/>
            <w:gridSpan w:val="3"/>
            <w:shd w:val="clear" w:color="auto" w:fill="auto"/>
            <w:vAlign w:val="top"/>
          </w:tcPr>
          <w:p w14:paraId="162A62B4">
            <w:pPr>
              <w:keepNext w:val="0"/>
              <w:keepLines w:val="0"/>
              <w:widowControl w:val="0"/>
              <w:suppressLineNumbers w:val="0"/>
              <w:spacing w:before="68" w:beforeAutospacing="0" w:after="0" w:afterAutospacing="0"/>
              <w:ind w:left="1014" w:right="0"/>
              <w:jc w:val="both"/>
              <w:rPr>
                <w:rFonts w:hint="eastAsia" w:ascii="仿宋" w:hAnsi="仿宋" w:eastAsia="仿宋" w:cs="仿宋"/>
                <w:kern w:val="2"/>
                <w:sz w:val="18"/>
                <w:szCs w:val="18"/>
              </w:rPr>
            </w:pPr>
            <w:r>
              <w:rPr>
                <w:rFonts w:hint="eastAsia" w:ascii="仿宋" w:hAnsi="仿宋" w:eastAsia="仿宋" w:cs="仿宋"/>
                <w:spacing w:val="8"/>
                <w:kern w:val="2"/>
                <w:sz w:val="18"/>
                <w:szCs w:val="18"/>
                <w:lang w:val="en-US" w:eastAsia="zh-CN" w:bidi="ar"/>
              </w:rPr>
              <w:t>能</w:t>
            </w:r>
            <w:r>
              <w:rPr>
                <w:rFonts w:hint="eastAsia" w:ascii="仿宋" w:hAnsi="仿宋" w:eastAsia="仿宋" w:cs="仿宋"/>
                <w:spacing w:val="6"/>
                <w:kern w:val="2"/>
                <w:sz w:val="18"/>
                <w:szCs w:val="18"/>
                <w:lang w:val="en-US" w:eastAsia="zh-CN" w:bidi="ar"/>
              </w:rPr>
              <w:t>源费用基数(元/年)</w:t>
            </w:r>
          </w:p>
        </w:tc>
        <w:tc>
          <w:tcPr>
            <w:tcW w:w="5712" w:type="dxa"/>
            <w:gridSpan w:val="3"/>
            <w:shd w:val="clear" w:color="auto" w:fill="auto"/>
            <w:vAlign w:val="top"/>
          </w:tcPr>
          <w:p w14:paraId="5ADE78CB">
            <w:pPr>
              <w:keepNext w:val="0"/>
              <w:keepLines w:val="0"/>
              <w:widowControl w:val="0"/>
              <w:suppressLineNumbers w:val="0"/>
              <w:spacing w:before="68" w:beforeAutospacing="0" w:after="0" w:afterAutospacing="0"/>
              <w:ind w:left="1931" w:right="0"/>
              <w:jc w:val="both"/>
              <w:rPr>
                <w:rFonts w:hint="eastAsia" w:ascii="仿宋" w:hAnsi="仿宋" w:eastAsia="仿宋" w:cs="仿宋"/>
                <w:kern w:val="2"/>
                <w:sz w:val="18"/>
                <w:szCs w:val="18"/>
              </w:rPr>
            </w:pPr>
            <w:r>
              <w:rPr>
                <w:rFonts w:hint="eastAsia" w:ascii="仿宋" w:hAnsi="仿宋" w:eastAsia="仿宋" w:cs="仿宋"/>
                <w:spacing w:val="7"/>
                <w:kern w:val="2"/>
                <w:sz w:val="18"/>
                <w:szCs w:val="18"/>
                <w:lang w:val="en-US" w:eastAsia="zh-CN" w:bidi="ar"/>
              </w:rPr>
              <w:t>运维费用基数(元/年</w:t>
            </w:r>
            <w:r>
              <w:rPr>
                <w:rFonts w:hint="eastAsia" w:ascii="仿宋" w:hAnsi="仿宋" w:eastAsia="仿宋" w:cs="仿宋"/>
                <w:spacing w:val="5"/>
                <w:kern w:val="2"/>
                <w:sz w:val="18"/>
                <w:szCs w:val="18"/>
                <w:lang w:val="en-US" w:eastAsia="zh-CN" w:bidi="ar"/>
              </w:rPr>
              <w:t>)</w:t>
            </w:r>
          </w:p>
        </w:tc>
      </w:tr>
      <w:tr w14:paraId="0B3A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6" w:hRule="atLeast"/>
        </w:trPr>
        <w:tc>
          <w:tcPr>
            <w:tcW w:w="1353" w:type="dxa"/>
            <w:vMerge w:val="restart"/>
            <w:shd w:val="clear" w:color="auto" w:fill="auto"/>
            <w:vAlign w:val="top"/>
          </w:tcPr>
          <w:p w14:paraId="787BA882">
            <w:pPr>
              <w:keepNext w:val="0"/>
              <w:keepLines w:val="0"/>
              <w:widowControl w:val="0"/>
              <w:suppressLineNumbers w:val="0"/>
              <w:spacing w:before="0" w:beforeAutospacing="0" w:after="0" w:afterAutospacing="0" w:line="321" w:lineRule="auto"/>
              <w:ind w:left="0" w:right="0"/>
              <w:jc w:val="both"/>
              <w:rPr>
                <w:rFonts w:hint="eastAsia" w:ascii="仿宋" w:hAnsi="仿宋" w:eastAsia="仿宋" w:cs="仿宋"/>
                <w:kern w:val="2"/>
                <w:sz w:val="21"/>
                <w:szCs w:val="21"/>
              </w:rPr>
            </w:pPr>
          </w:p>
          <w:p w14:paraId="3EA80CAD">
            <w:pPr>
              <w:keepNext w:val="0"/>
              <w:keepLines w:val="0"/>
              <w:widowControl w:val="0"/>
              <w:suppressLineNumbers w:val="0"/>
              <w:spacing w:before="0" w:beforeAutospacing="0" w:after="0" w:afterAutospacing="0" w:line="321" w:lineRule="auto"/>
              <w:ind w:left="0" w:right="0"/>
              <w:jc w:val="both"/>
              <w:rPr>
                <w:rFonts w:hint="eastAsia" w:ascii="仿宋" w:hAnsi="仿宋" w:eastAsia="仿宋" w:cs="仿宋"/>
                <w:kern w:val="2"/>
                <w:sz w:val="21"/>
                <w:szCs w:val="21"/>
              </w:rPr>
            </w:pPr>
          </w:p>
          <w:p w14:paraId="4A65CAC9">
            <w:pPr>
              <w:keepNext w:val="0"/>
              <w:keepLines w:val="0"/>
              <w:widowControl w:val="0"/>
              <w:suppressLineNumbers w:val="0"/>
              <w:spacing w:before="59" w:beforeAutospacing="0" w:after="0" w:afterAutospacing="0"/>
              <w:ind w:left="138" w:right="0"/>
              <w:jc w:val="both"/>
              <w:rPr>
                <w:rFonts w:hint="eastAsia" w:ascii="仿宋" w:hAnsi="仿宋" w:eastAsia="仿宋" w:cs="仿宋"/>
                <w:kern w:val="2"/>
                <w:sz w:val="18"/>
                <w:szCs w:val="18"/>
              </w:rPr>
            </w:pPr>
            <w:r>
              <w:rPr>
                <w:rFonts w:hint="eastAsia" w:ascii="仿宋" w:hAnsi="仿宋" w:eastAsia="仿宋" w:cs="仿宋"/>
                <w:spacing w:val="-1"/>
                <w:kern w:val="2"/>
                <w:sz w:val="18"/>
                <w:szCs w:val="18"/>
                <w:lang w:val="en-US" w:eastAsia="zh-CN" w:bidi="ar"/>
              </w:rPr>
              <w:t>托管能源类型</w:t>
            </w:r>
          </w:p>
        </w:tc>
        <w:tc>
          <w:tcPr>
            <w:tcW w:w="931" w:type="dxa"/>
            <w:shd w:val="clear" w:color="auto" w:fill="auto"/>
            <w:vAlign w:val="top"/>
          </w:tcPr>
          <w:p w14:paraId="661BAB28">
            <w:pPr>
              <w:keepNext w:val="0"/>
              <w:keepLines w:val="0"/>
              <w:widowControl w:val="0"/>
              <w:suppressLineNumbers w:val="0"/>
              <w:spacing w:before="64" w:beforeAutospacing="0" w:after="0" w:afterAutospacing="0"/>
              <w:ind w:left="398" w:right="0"/>
              <w:jc w:val="both"/>
              <w:rPr>
                <w:rFonts w:hint="eastAsia" w:ascii="仿宋" w:hAnsi="仿宋" w:eastAsia="仿宋" w:cs="仿宋"/>
                <w:kern w:val="2"/>
                <w:sz w:val="18"/>
                <w:szCs w:val="18"/>
              </w:rPr>
            </w:pPr>
            <w:r>
              <w:rPr>
                <w:rFonts w:hint="eastAsia" w:ascii="仿宋" w:hAnsi="仿宋" w:eastAsia="仿宋" w:cs="仿宋"/>
                <w:kern w:val="2"/>
                <w:sz w:val="18"/>
                <w:szCs w:val="18"/>
                <w:lang w:val="en-US" w:eastAsia="zh-CN" w:bidi="ar"/>
              </w:rPr>
              <w:t>电</w:t>
            </w:r>
          </w:p>
        </w:tc>
        <w:tc>
          <w:tcPr>
            <w:tcW w:w="1574" w:type="dxa"/>
            <w:shd w:val="clear" w:color="auto" w:fill="auto"/>
            <w:vAlign w:val="top"/>
          </w:tcPr>
          <w:p w14:paraId="6D42E5D2">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rPr>
            </w:pPr>
          </w:p>
        </w:tc>
        <w:tc>
          <w:tcPr>
            <w:tcW w:w="1732" w:type="dxa"/>
            <w:vMerge w:val="restart"/>
            <w:shd w:val="clear" w:color="auto" w:fill="auto"/>
            <w:vAlign w:val="top"/>
          </w:tcPr>
          <w:p w14:paraId="78DC5A46">
            <w:pPr>
              <w:keepNext w:val="0"/>
              <w:keepLines w:val="0"/>
              <w:widowControl w:val="0"/>
              <w:suppressLineNumbers w:val="0"/>
              <w:spacing w:before="0" w:beforeAutospacing="0" w:after="0" w:afterAutospacing="0" w:line="321" w:lineRule="auto"/>
              <w:ind w:left="0" w:right="0"/>
              <w:jc w:val="both"/>
              <w:rPr>
                <w:rFonts w:hint="eastAsia" w:ascii="仿宋" w:hAnsi="仿宋" w:eastAsia="仿宋" w:cs="仿宋"/>
                <w:kern w:val="2"/>
                <w:sz w:val="21"/>
                <w:szCs w:val="21"/>
              </w:rPr>
            </w:pPr>
          </w:p>
          <w:p w14:paraId="667D8A03">
            <w:pPr>
              <w:keepNext w:val="0"/>
              <w:keepLines w:val="0"/>
              <w:widowControl w:val="0"/>
              <w:suppressLineNumbers w:val="0"/>
              <w:spacing w:before="0" w:beforeAutospacing="0" w:after="0" w:afterAutospacing="0" w:line="321" w:lineRule="auto"/>
              <w:ind w:left="0" w:right="0"/>
              <w:jc w:val="both"/>
              <w:rPr>
                <w:rFonts w:hint="eastAsia" w:ascii="仿宋" w:hAnsi="仿宋" w:eastAsia="仿宋" w:cs="仿宋"/>
                <w:kern w:val="2"/>
                <w:sz w:val="21"/>
                <w:szCs w:val="21"/>
              </w:rPr>
            </w:pPr>
          </w:p>
          <w:p w14:paraId="5CA6BA84">
            <w:pPr>
              <w:keepNext w:val="0"/>
              <w:keepLines w:val="0"/>
              <w:widowControl w:val="0"/>
              <w:suppressLineNumbers w:val="0"/>
              <w:spacing w:before="59" w:beforeAutospacing="0" w:after="0" w:afterAutospacing="0"/>
              <w:ind w:left="109" w:right="0"/>
              <w:jc w:val="both"/>
              <w:rPr>
                <w:rFonts w:hint="eastAsia" w:ascii="仿宋" w:hAnsi="仿宋" w:eastAsia="仿宋" w:cs="仿宋"/>
                <w:kern w:val="2"/>
                <w:sz w:val="18"/>
                <w:szCs w:val="18"/>
              </w:rPr>
            </w:pPr>
            <w:r>
              <w:rPr>
                <w:rFonts w:hint="eastAsia" w:ascii="仿宋" w:hAnsi="仿宋" w:eastAsia="仿宋" w:cs="仿宋"/>
                <w:spacing w:val="-1"/>
                <w:kern w:val="2"/>
                <w:sz w:val="18"/>
                <w:szCs w:val="18"/>
                <w:lang w:val="en-US" w:eastAsia="zh-CN" w:bidi="ar"/>
              </w:rPr>
              <w:t>托管运维费用类</w:t>
            </w:r>
            <w:r>
              <w:rPr>
                <w:rFonts w:hint="eastAsia" w:ascii="仿宋" w:hAnsi="仿宋" w:eastAsia="仿宋" w:cs="仿宋"/>
                <w:kern w:val="2"/>
                <w:sz w:val="18"/>
                <w:szCs w:val="18"/>
                <w:lang w:val="en-US" w:eastAsia="zh-CN" w:bidi="ar"/>
              </w:rPr>
              <w:t>型</w:t>
            </w:r>
          </w:p>
        </w:tc>
        <w:tc>
          <w:tcPr>
            <w:tcW w:w="2785" w:type="dxa"/>
            <w:shd w:val="clear" w:color="auto" w:fill="auto"/>
            <w:vAlign w:val="top"/>
          </w:tcPr>
          <w:p w14:paraId="252C9598">
            <w:pPr>
              <w:keepNext w:val="0"/>
              <w:keepLines w:val="0"/>
              <w:widowControl w:val="0"/>
              <w:suppressLineNumbers w:val="0"/>
              <w:spacing w:before="63" w:beforeAutospacing="0" w:after="0" w:afterAutospacing="0"/>
              <w:ind w:left="245" w:right="0"/>
              <w:jc w:val="both"/>
              <w:rPr>
                <w:rFonts w:hint="eastAsia" w:ascii="仿宋" w:hAnsi="仿宋" w:eastAsia="仿宋" w:cs="仿宋"/>
                <w:kern w:val="2"/>
                <w:sz w:val="18"/>
                <w:szCs w:val="18"/>
              </w:rPr>
            </w:pPr>
            <w:r>
              <w:rPr>
                <w:rFonts w:hint="eastAsia" w:ascii="仿宋" w:hAnsi="仿宋" w:eastAsia="仿宋" w:cs="仿宋"/>
                <w:spacing w:val="-2"/>
                <w:kern w:val="2"/>
                <w:sz w:val="18"/>
                <w:szCs w:val="18"/>
                <w:lang w:val="en-US" w:eastAsia="zh-CN" w:bidi="ar"/>
              </w:rPr>
              <w:t>中央空调系统运行及维</w:t>
            </w:r>
            <w:r>
              <w:rPr>
                <w:rFonts w:hint="eastAsia" w:ascii="仿宋" w:hAnsi="仿宋" w:eastAsia="仿宋" w:cs="仿宋"/>
                <w:spacing w:val="-1"/>
                <w:kern w:val="2"/>
                <w:sz w:val="18"/>
                <w:szCs w:val="18"/>
                <w:lang w:val="en-US" w:eastAsia="zh-CN" w:bidi="ar"/>
              </w:rPr>
              <w:t>修维护</w:t>
            </w:r>
          </w:p>
        </w:tc>
        <w:tc>
          <w:tcPr>
            <w:tcW w:w="1195" w:type="dxa"/>
            <w:shd w:val="clear" w:color="auto" w:fill="auto"/>
            <w:vAlign w:val="top"/>
          </w:tcPr>
          <w:p w14:paraId="2CD7B5E9">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rPr>
            </w:pPr>
          </w:p>
        </w:tc>
      </w:tr>
      <w:tr w14:paraId="40A1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6" w:hRule="atLeast"/>
        </w:trPr>
        <w:tc>
          <w:tcPr>
            <w:tcW w:w="1353" w:type="dxa"/>
            <w:vMerge w:val="continue"/>
            <w:shd w:val="clear" w:color="auto" w:fill="auto"/>
            <w:vAlign w:val="top"/>
          </w:tcPr>
          <w:p w14:paraId="4D63E5E9">
            <w:pPr>
              <w:rPr>
                <w:rFonts w:hint="eastAsia" w:ascii="仿宋" w:hAnsi="仿宋" w:eastAsia="仿宋" w:cs="仿宋"/>
                <w:sz w:val="20"/>
                <w:szCs w:val="20"/>
              </w:rPr>
            </w:pPr>
          </w:p>
        </w:tc>
        <w:tc>
          <w:tcPr>
            <w:tcW w:w="931" w:type="dxa"/>
            <w:shd w:val="clear" w:color="auto" w:fill="auto"/>
            <w:vAlign w:val="top"/>
          </w:tcPr>
          <w:p w14:paraId="30965609">
            <w:pPr>
              <w:keepNext w:val="0"/>
              <w:keepLines w:val="0"/>
              <w:widowControl w:val="0"/>
              <w:suppressLineNumbers w:val="0"/>
              <w:spacing w:before="64" w:beforeAutospacing="0" w:after="0" w:afterAutospacing="0"/>
              <w:ind w:left="379" w:right="0"/>
              <w:jc w:val="both"/>
              <w:rPr>
                <w:rFonts w:hint="eastAsia" w:ascii="仿宋" w:hAnsi="仿宋" w:eastAsia="仿宋" w:cs="仿宋"/>
                <w:kern w:val="2"/>
                <w:sz w:val="18"/>
                <w:szCs w:val="18"/>
              </w:rPr>
            </w:pPr>
            <w:r>
              <w:rPr>
                <w:rFonts w:hint="eastAsia" w:ascii="仿宋" w:hAnsi="仿宋" w:eastAsia="仿宋" w:cs="仿宋"/>
                <w:kern w:val="2"/>
                <w:sz w:val="18"/>
                <w:szCs w:val="18"/>
                <w:lang w:val="en-US" w:eastAsia="zh-CN" w:bidi="ar"/>
              </w:rPr>
              <w:t>水</w:t>
            </w:r>
          </w:p>
        </w:tc>
        <w:tc>
          <w:tcPr>
            <w:tcW w:w="1574" w:type="dxa"/>
            <w:shd w:val="clear" w:color="auto" w:fill="auto"/>
            <w:vAlign w:val="top"/>
          </w:tcPr>
          <w:p w14:paraId="28865198">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rPr>
            </w:pPr>
          </w:p>
        </w:tc>
        <w:tc>
          <w:tcPr>
            <w:tcW w:w="1732" w:type="dxa"/>
            <w:vMerge w:val="continue"/>
            <w:shd w:val="clear" w:color="auto" w:fill="auto"/>
            <w:vAlign w:val="top"/>
          </w:tcPr>
          <w:p w14:paraId="1E70E598">
            <w:pPr>
              <w:rPr>
                <w:rFonts w:hint="eastAsia" w:ascii="仿宋" w:hAnsi="仿宋" w:eastAsia="仿宋" w:cs="仿宋"/>
                <w:sz w:val="20"/>
                <w:szCs w:val="20"/>
              </w:rPr>
            </w:pPr>
          </w:p>
        </w:tc>
        <w:tc>
          <w:tcPr>
            <w:tcW w:w="2785" w:type="dxa"/>
            <w:shd w:val="clear" w:color="auto" w:fill="auto"/>
            <w:vAlign w:val="top"/>
          </w:tcPr>
          <w:p w14:paraId="13E96F4E">
            <w:pPr>
              <w:keepNext w:val="0"/>
              <w:keepLines w:val="0"/>
              <w:widowControl w:val="0"/>
              <w:suppressLineNumbers w:val="0"/>
              <w:spacing w:before="64" w:beforeAutospacing="0" w:after="0" w:afterAutospacing="0"/>
              <w:ind w:left="136" w:right="0"/>
              <w:jc w:val="both"/>
              <w:rPr>
                <w:rFonts w:hint="eastAsia" w:ascii="仿宋" w:hAnsi="仿宋" w:eastAsia="仿宋" w:cs="仿宋"/>
                <w:kern w:val="2"/>
                <w:sz w:val="18"/>
                <w:szCs w:val="18"/>
              </w:rPr>
            </w:pPr>
            <w:r>
              <w:rPr>
                <w:rFonts w:hint="eastAsia" w:ascii="仿宋" w:hAnsi="仿宋" w:eastAsia="仿宋" w:cs="仿宋"/>
                <w:spacing w:val="-1"/>
                <w:kern w:val="2"/>
                <w:sz w:val="18"/>
                <w:szCs w:val="18"/>
                <w:lang w:val="en-US" w:eastAsia="zh-CN" w:bidi="ar"/>
              </w:rPr>
              <w:t>锅炉房系统设备</w:t>
            </w:r>
            <w:r>
              <w:rPr>
                <w:rFonts w:hint="eastAsia" w:ascii="仿宋" w:hAnsi="仿宋" w:eastAsia="仿宋" w:cs="仿宋"/>
                <w:kern w:val="2"/>
                <w:sz w:val="18"/>
                <w:szCs w:val="18"/>
                <w:lang w:val="en-US" w:eastAsia="zh-CN" w:bidi="ar"/>
              </w:rPr>
              <w:t>运行及维修维护</w:t>
            </w:r>
          </w:p>
        </w:tc>
        <w:tc>
          <w:tcPr>
            <w:tcW w:w="1195" w:type="dxa"/>
            <w:shd w:val="clear" w:color="auto" w:fill="auto"/>
            <w:vAlign w:val="top"/>
          </w:tcPr>
          <w:p w14:paraId="39753763">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rPr>
            </w:pPr>
          </w:p>
        </w:tc>
      </w:tr>
      <w:tr w14:paraId="49692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8" w:hRule="atLeast"/>
        </w:trPr>
        <w:tc>
          <w:tcPr>
            <w:tcW w:w="1353" w:type="dxa"/>
            <w:vMerge w:val="continue"/>
            <w:shd w:val="clear" w:color="auto" w:fill="auto"/>
            <w:vAlign w:val="top"/>
          </w:tcPr>
          <w:p w14:paraId="5921246D">
            <w:pPr>
              <w:rPr>
                <w:rFonts w:hint="eastAsia" w:ascii="仿宋" w:hAnsi="仿宋" w:eastAsia="仿宋" w:cs="仿宋"/>
                <w:sz w:val="20"/>
                <w:szCs w:val="20"/>
              </w:rPr>
            </w:pPr>
          </w:p>
        </w:tc>
        <w:tc>
          <w:tcPr>
            <w:tcW w:w="931" w:type="dxa"/>
            <w:shd w:val="clear" w:color="auto" w:fill="auto"/>
            <w:vAlign w:val="top"/>
          </w:tcPr>
          <w:p w14:paraId="0D86A228">
            <w:pPr>
              <w:keepNext w:val="0"/>
              <w:keepLines w:val="0"/>
              <w:widowControl w:val="0"/>
              <w:suppressLineNumbers w:val="0"/>
              <w:spacing w:before="67" w:beforeAutospacing="0" w:after="0" w:afterAutospacing="0"/>
              <w:ind w:left="200" w:right="0"/>
              <w:jc w:val="both"/>
              <w:rPr>
                <w:rFonts w:hint="eastAsia" w:ascii="仿宋" w:hAnsi="仿宋" w:eastAsia="仿宋" w:cs="仿宋"/>
                <w:kern w:val="2"/>
                <w:sz w:val="18"/>
                <w:szCs w:val="18"/>
              </w:rPr>
            </w:pPr>
            <w:r>
              <w:rPr>
                <w:rFonts w:hint="eastAsia" w:ascii="仿宋" w:hAnsi="仿宋" w:eastAsia="仿宋" w:cs="仿宋"/>
                <w:spacing w:val="-4"/>
                <w:kern w:val="2"/>
                <w:sz w:val="18"/>
                <w:szCs w:val="18"/>
                <w:lang w:val="en-US" w:eastAsia="zh-CN" w:bidi="ar"/>
              </w:rPr>
              <w:t>天</w:t>
            </w:r>
            <w:r>
              <w:rPr>
                <w:rFonts w:hint="eastAsia" w:ascii="仿宋" w:hAnsi="仿宋" w:eastAsia="仿宋" w:cs="仿宋"/>
                <w:spacing w:val="-2"/>
                <w:kern w:val="2"/>
                <w:sz w:val="18"/>
                <w:szCs w:val="18"/>
                <w:lang w:val="en-US" w:eastAsia="zh-CN" w:bidi="ar"/>
              </w:rPr>
              <w:t>然气</w:t>
            </w:r>
          </w:p>
        </w:tc>
        <w:tc>
          <w:tcPr>
            <w:tcW w:w="1574" w:type="dxa"/>
            <w:shd w:val="clear" w:color="auto" w:fill="auto"/>
            <w:vAlign w:val="top"/>
          </w:tcPr>
          <w:p w14:paraId="35EC17CA">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rPr>
            </w:pPr>
          </w:p>
        </w:tc>
        <w:tc>
          <w:tcPr>
            <w:tcW w:w="1732" w:type="dxa"/>
            <w:vMerge w:val="continue"/>
            <w:shd w:val="clear" w:color="auto" w:fill="auto"/>
            <w:vAlign w:val="top"/>
          </w:tcPr>
          <w:p w14:paraId="748A1A2D">
            <w:pPr>
              <w:rPr>
                <w:rFonts w:hint="eastAsia" w:ascii="仿宋" w:hAnsi="仿宋" w:eastAsia="仿宋" w:cs="仿宋"/>
                <w:sz w:val="20"/>
                <w:szCs w:val="20"/>
              </w:rPr>
            </w:pPr>
          </w:p>
        </w:tc>
        <w:tc>
          <w:tcPr>
            <w:tcW w:w="2785" w:type="dxa"/>
            <w:shd w:val="clear" w:color="auto" w:fill="auto"/>
            <w:vAlign w:val="top"/>
          </w:tcPr>
          <w:p w14:paraId="484BDC56">
            <w:pPr>
              <w:keepNext w:val="0"/>
              <w:keepLines w:val="0"/>
              <w:widowControl w:val="0"/>
              <w:suppressLineNumbers w:val="0"/>
              <w:spacing w:before="67" w:beforeAutospacing="0" w:after="0" w:afterAutospacing="0"/>
              <w:ind w:left="228" w:right="0"/>
              <w:jc w:val="both"/>
              <w:rPr>
                <w:rFonts w:hint="eastAsia" w:ascii="仿宋" w:hAnsi="仿宋" w:eastAsia="仿宋" w:cs="仿宋"/>
                <w:kern w:val="2"/>
                <w:sz w:val="18"/>
                <w:szCs w:val="18"/>
              </w:rPr>
            </w:pPr>
            <w:r>
              <w:rPr>
                <w:rFonts w:hint="eastAsia" w:ascii="仿宋" w:hAnsi="仿宋" w:eastAsia="仿宋" w:cs="仿宋"/>
                <w:spacing w:val="-1"/>
                <w:kern w:val="2"/>
                <w:sz w:val="18"/>
                <w:szCs w:val="18"/>
                <w:lang w:val="en-US" w:eastAsia="zh-CN" w:bidi="ar"/>
              </w:rPr>
              <w:t>其他机电设备运行</w:t>
            </w:r>
            <w:r>
              <w:rPr>
                <w:rFonts w:hint="eastAsia" w:ascii="仿宋" w:hAnsi="仿宋" w:eastAsia="仿宋" w:cs="仿宋"/>
                <w:kern w:val="2"/>
                <w:sz w:val="18"/>
                <w:szCs w:val="18"/>
                <w:lang w:val="en-US" w:eastAsia="zh-CN" w:bidi="ar"/>
              </w:rPr>
              <w:t>及维修维护</w:t>
            </w:r>
          </w:p>
        </w:tc>
        <w:tc>
          <w:tcPr>
            <w:tcW w:w="1195" w:type="dxa"/>
            <w:shd w:val="clear" w:color="auto" w:fill="auto"/>
            <w:vAlign w:val="top"/>
          </w:tcPr>
          <w:p w14:paraId="00E8D5AC">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rPr>
            </w:pPr>
          </w:p>
        </w:tc>
      </w:tr>
      <w:tr w14:paraId="0CE9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6" w:hRule="atLeast"/>
        </w:trPr>
        <w:tc>
          <w:tcPr>
            <w:tcW w:w="1353" w:type="dxa"/>
            <w:vMerge w:val="continue"/>
            <w:shd w:val="clear" w:color="auto" w:fill="auto"/>
            <w:vAlign w:val="top"/>
          </w:tcPr>
          <w:p w14:paraId="6EAFC096">
            <w:pPr>
              <w:rPr>
                <w:rFonts w:hint="eastAsia" w:ascii="仿宋" w:hAnsi="仿宋" w:eastAsia="仿宋" w:cs="仿宋"/>
                <w:sz w:val="20"/>
                <w:szCs w:val="20"/>
              </w:rPr>
            </w:pPr>
          </w:p>
        </w:tc>
        <w:tc>
          <w:tcPr>
            <w:tcW w:w="931" w:type="dxa"/>
            <w:shd w:val="clear" w:color="auto" w:fill="auto"/>
            <w:vAlign w:val="top"/>
          </w:tcPr>
          <w:p w14:paraId="3560EB63">
            <w:pPr>
              <w:keepNext w:val="0"/>
              <w:keepLines w:val="0"/>
              <w:widowControl w:val="0"/>
              <w:suppressLineNumbers w:val="0"/>
              <w:spacing w:before="66" w:beforeAutospacing="0" w:after="0" w:afterAutospacing="0"/>
              <w:ind w:left="287" w:right="0"/>
              <w:jc w:val="both"/>
              <w:rPr>
                <w:rFonts w:hint="eastAsia" w:ascii="仿宋" w:hAnsi="仿宋" w:eastAsia="仿宋" w:cs="仿宋"/>
                <w:kern w:val="2"/>
                <w:sz w:val="18"/>
                <w:szCs w:val="18"/>
              </w:rPr>
            </w:pPr>
            <w:r>
              <w:rPr>
                <w:rFonts w:hint="eastAsia" w:ascii="仿宋" w:hAnsi="仿宋" w:eastAsia="仿宋" w:cs="仿宋"/>
                <w:spacing w:val="-3"/>
                <w:kern w:val="2"/>
                <w:sz w:val="18"/>
                <w:szCs w:val="18"/>
                <w:lang w:val="en-US" w:eastAsia="zh-CN" w:bidi="ar"/>
              </w:rPr>
              <w:t>蒸</w:t>
            </w:r>
            <w:r>
              <w:rPr>
                <w:rFonts w:hint="eastAsia" w:ascii="仿宋" w:hAnsi="仿宋" w:eastAsia="仿宋" w:cs="仿宋"/>
                <w:spacing w:val="-2"/>
                <w:kern w:val="2"/>
                <w:sz w:val="18"/>
                <w:szCs w:val="18"/>
                <w:lang w:val="en-US" w:eastAsia="zh-CN" w:bidi="ar"/>
              </w:rPr>
              <w:t>汽</w:t>
            </w:r>
          </w:p>
        </w:tc>
        <w:tc>
          <w:tcPr>
            <w:tcW w:w="1574" w:type="dxa"/>
            <w:shd w:val="clear" w:color="auto" w:fill="auto"/>
            <w:vAlign w:val="top"/>
          </w:tcPr>
          <w:p w14:paraId="35AB82BD">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rPr>
            </w:pPr>
          </w:p>
        </w:tc>
        <w:tc>
          <w:tcPr>
            <w:tcW w:w="1732" w:type="dxa"/>
            <w:vMerge w:val="continue"/>
            <w:shd w:val="clear" w:color="auto" w:fill="auto"/>
            <w:vAlign w:val="top"/>
          </w:tcPr>
          <w:p w14:paraId="38769F47">
            <w:pPr>
              <w:rPr>
                <w:rFonts w:hint="eastAsia" w:ascii="仿宋" w:hAnsi="仿宋" w:eastAsia="仿宋" w:cs="仿宋"/>
                <w:sz w:val="20"/>
                <w:szCs w:val="20"/>
              </w:rPr>
            </w:pPr>
          </w:p>
        </w:tc>
        <w:tc>
          <w:tcPr>
            <w:tcW w:w="2785" w:type="dxa"/>
            <w:shd w:val="clear" w:color="auto" w:fill="auto"/>
            <w:vAlign w:val="top"/>
          </w:tcPr>
          <w:p w14:paraId="5054DA55">
            <w:pPr>
              <w:keepNext w:val="0"/>
              <w:keepLines w:val="0"/>
              <w:widowControl w:val="0"/>
              <w:suppressLineNumbers w:val="0"/>
              <w:spacing w:before="65" w:beforeAutospacing="0" w:after="0" w:afterAutospacing="0"/>
              <w:ind w:left="496" w:right="0"/>
              <w:jc w:val="both"/>
              <w:rPr>
                <w:rFonts w:hint="eastAsia" w:ascii="仿宋" w:hAnsi="仿宋" w:eastAsia="仿宋" w:cs="仿宋"/>
                <w:kern w:val="2"/>
                <w:sz w:val="18"/>
                <w:szCs w:val="18"/>
              </w:rPr>
            </w:pPr>
            <w:r>
              <w:rPr>
                <w:rFonts w:hint="eastAsia" w:ascii="仿宋" w:hAnsi="仿宋" w:eastAsia="仿宋" w:cs="仿宋"/>
                <w:spacing w:val="-1"/>
                <w:kern w:val="2"/>
                <w:sz w:val="18"/>
                <w:szCs w:val="18"/>
                <w:lang w:val="en-US" w:eastAsia="zh-CN" w:bidi="ar"/>
              </w:rPr>
              <w:t>配电房运行及维</w:t>
            </w:r>
            <w:r>
              <w:rPr>
                <w:rFonts w:hint="eastAsia" w:ascii="仿宋" w:hAnsi="仿宋" w:eastAsia="仿宋" w:cs="仿宋"/>
                <w:kern w:val="2"/>
                <w:sz w:val="18"/>
                <w:szCs w:val="18"/>
                <w:lang w:val="en-US" w:eastAsia="zh-CN" w:bidi="ar"/>
              </w:rPr>
              <w:t>修维护</w:t>
            </w:r>
          </w:p>
        </w:tc>
        <w:tc>
          <w:tcPr>
            <w:tcW w:w="1195" w:type="dxa"/>
            <w:shd w:val="clear" w:color="auto" w:fill="auto"/>
            <w:vAlign w:val="top"/>
          </w:tcPr>
          <w:p w14:paraId="3CDFFF44">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rPr>
            </w:pPr>
          </w:p>
        </w:tc>
      </w:tr>
      <w:tr w14:paraId="52D4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6" w:hRule="atLeast"/>
        </w:trPr>
        <w:tc>
          <w:tcPr>
            <w:tcW w:w="1353" w:type="dxa"/>
            <w:vMerge w:val="continue"/>
            <w:shd w:val="clear" w:color="auto" w:fill="auto"/>
            <w:vAlign w:val="top"/>
          </w:tcPr>
          <w:p w14:paraId="380E31CE">
            <w:pPr>
              <w:rPr>
                <w:rFonts w:hint="eastAsia" w:ascii="仿宋" w:hAnsi="仿宋" w:eastAsia="仿宋" w:cs="仿宋"/>
                <w:sz w:val="20"/>
                <w:szCs w:val="20"/>
              </w:rPr>
            </w:pPr>
          </w:p>
        </w:tc>
        <w:tc>
          <w:tcPr>
            <w:tcW w:w="931" w:type="dxa"/>
            <w:shd w:val="clear" w:color="auto" w:fill="auto"/>
            <w:vAlign w:val="top"/>
          </w:tcPr>
          <w:p w14:paraId="524AF9B0">
            <w:pPr>
              <w:keepNext w:val="0"/>
              <w:keepLines w:val="0"/>
              <w:widowControl w:val="0"/>
              <w:suppressLineNumbers w:val="0"/>
              <w:spacing w:before="204" w:beforeAutospacing="0" w:after="0" w:afterAutospacing="0" w:line="56" w:lineRule="exact"/>
              <w:ind w:left="390" w:right="0"/>
              <w:jc w:val="both"/>
              <w:rPr>
                <w:rFonts w:hint="eastAsia" w:ascii="仿宋" w:hAnsi="仿宋" w:eastAsia="仿宋" w:cs="仿宋"/>
                <w:kern w:val="2"/>
                <w:sz w:val="18"/>
                <w:szCs w:val="18"/>
              </w:rPr>
            </w:pPr>
            <w:r>
              <w:rPr>
                <w:rFonts w:hint="eastAsia" w:ascii="仿宋" w:hAnsi="仿宋" w:eastAsia="仿宋" w:cs="仿宋"/>
                <w:kern w:val="2"/>
                <w:position w:val="1"/>
                <w:sz w:val="18"/>
                <w:szCs w:val="18"/>
                <w:lang w:val="en-US" w:eastAsia="zh-CN" w:bidi="ar"/>
              </w:rPr>
              <w:t>…</w:t>
            </w:r>
          </w:p>
        </w:tc>
        <w:tc>
          <w:tcPr>
            <w:tcW w:w="1574" w:type="dxa"/>
            <w:shd w:val="clear" w:color="auto" w:fill="auto"/>
            <w:vAlign w:val="top"/>
          </w:tcPr>
          <w:p w14:paraId="776E7F2C">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rPr>
            </w:pPr>
          </w:p>
        </w:tc>
        <w:tc>
          <w:tcPr>
            <w:tcW w:w="1732" w:type="dxa"/>
            <w:vMerge w:val="continue"/>
            <w:shd w:val="clear" w:color="auto" w:fill="auto"/>
            <w:vAlign w:val="top"/>
          </w:tcPr>
          <w:p w14:paraId="761D6CAA">
            <w:pPr>
              <w:rPr>
                <w:rFonts w:hint="eastAsia" w:ascii="仿宋" w:hAnsi="仿宋" w:eastAsia="仿宋" w:cs="仿宋"/>
                <w:sz w:val="20"/>
                <w:szCs w:val="20"/>
              </w:rPr>
            </w:pPr>
          </w:p>
        </w:tc>
        <w:tc>
          <w:tcPr>
            <w:tcW w:w="2785" w:type="dxa"/>
            <w:shd w:val="clear" w:color="auto" w:fill="auto"/>
            <w:vAlign w:val="top"/>
          </w:tcPr>
          <w:p w14:paraId="1A141E75">
            <w:pPr>
              <w:keepNext w:val="0"/>
              <w:keepLines w:val="0"/>
              <w:widowControl w:val="0"/>
              <w:suppressLineNumbers w:val="0"/>
              <w:spacing w:before="204" w:beforeAutospacing="0" w:after="0" w:afterAutospacing="0" w:line="56" w:lineRule="exact"/>
              <w:ind w:left="1321" w:right="0"/>
              <w:jc w:val="both"/>
              <w:rPr>
                <w:rFonts w:hint="eastAsia" w:ascii="仿宋" w:hAnsi="仿宋" w:eastAsia="仿宋" w:cs="仿宋"/>
                <w:kern w:val="2"/>
                <w:sz w:val="18"/>
                <w:szCs w:val="18"/>
              </w:rPr>
            </w:pPr>
            <w:r>
              <w:rPr>
                <w:rFonts w:hint="eastAsia" w:ascii="仿宋" w:hAnsi="仿宋" w:eastAsia="仿宋" w:cs="仿宋"/>
                <w:kern w:val="2"/>
                <w:position w:val="1"/>
                <w:sz w:val="18"/>
                <w:szCs w:val="18"/>
                <w:lang w:val="en-US" w:eastAsia="zh-CN" w:bidi="ar"/>
              </w:rPr>
              <w:t>…</w:t>
            </w:r>
          </w:p>
        </w:tc>
        <w:tc>
          <w:tcPr>
            <w:tcW w:w="1195" w:type="dxa"/>
            <w:shd w:val="clear" w:color="auto" w:fill="auto"/>
            <w:vAlign w:val="top"/>
          </w:tcPr>
          <w:p w14:paraId="27361366">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rPr>
            </w:pPr>
          </w:p>
        </w:tc>
      </w:tr>
      <w:tr w14:paraId="1235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20" w:hRule="atLeast"/>
        </w:trPr>
        <w:tc>
          <w:tcPr>
            <w:tcW w:w="2284" w:type="dxa"/>
            <w:gridSpan w:val="2"/>
            <w:shd w:val="clear" w:color="auto" w:fill="auto"/>
            <w:vAlign w:val="top"/>
          </w:tcPr>
          <w:p w14:paraId="4176EA9C">
            <w:pPr>
              <w:keepNext w:val="0"/>
              <w:keepLines w:val="0"/>
              <w:widowControl w:val="0"/>
              <w:suppressLineNumbers w:val="0"/>
              <w:spacing w:before="67" w:beforeAutospacing="0" w:after="0" w:afterAutospacing="0"/>
              <w:ind w:left="967" w:right="0"/>
              <w:jc w:val="both"/>
              <w:rPr>
                <w:rFonts w:hint="eastAsia" w:ascii="仿宋" w:hAnsi="仿宋" w:eastAsia="仿宋" w:cs="仿宋"/>
                <w:kern w:val="2"/>
                <w:sz w:val="18"/>
                <w:szCs w:val="18"/>
              </w:rPr>
            </w:pPr>
            <w:r>
              <w:rPr>
                <w:rFonts w:hint="eastAsia" w:ascii="仿宋" w:hAnsi="仿宋" w:eastAsia="仿宋" w:cs="仿宋"/>
                <w:spacing w:val="-2"/>
                <w:kern w:val="2"/>
                <w:sz w:val="18"/>
                <w:szCs w:val="18"/>
                <w:lang w:val="en-US" w:eastAsia="zh-CN" w:bidi="ar"/>
              </w:rPr>
              <w:t>合计</w:t>
            </w:r>
          </w:p>
        </w:tc>
        <w:tc>
          <w:tcPr>
            <w:tcW w:w="1574" w:type="dxa"/>
            <w:shd w:val="clear" w:color="auto" w:fill="auto"/>
            <w:vAlign w:val="top"/>
          </w:tcPr>
          <w:p w14:paraId="0291605E">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rPr>
            </w:pPr>
          </w:p>
        </w:tc>
        <w:tc>
          <w:tcPr>
            <w:tcW w:w="4517" w:type="dxa"/>
            <w:gridSpan w:val="2"/>
            <w:shd w:val="clear" w:color="auto" w:fill="auto"/>
            <w:vAlign w:val="top"/>
          </w:tcPr>
          <w:p w14:paraId="6A83EBB4">
            <w:pPr>
              <w:keepNext w:val="0"/>
              <w:keepLines w:val="0"/>
              <w:widowControl w:val="0"/>
              <w:suppressLineNumbers w:val="0"/>
              <w:spacing w:before="67" w:beforeAutospacing="0" w:after="0" w:afterAutospacing="0"/>
              <w:ind w:left="2080" w:right="0"/>
              <w:jc w:val="both"/>
              <w:rPr>
                <w:rFonts w:hint="eastAsia" w:ascii="仿宋" w:hAnsi="仿宋" w:eastAsia="仿宋" w:cs="仿宋"/>
                <w:kern w:val="2"/>
                <w:sz w:val="18"/>
                <w:szCs w:val="18"/>
              </w:rPr>
            </w:pPr>
            <w:r>
              <w:rPr>
                <w:rFonts w:hint="eastAsia" w:ascii="仿宋" w:hAnsi="仿宋" w:eastAsia="仿宋" w:cs="仿宋"/>
                <w:spacing w:val="-2"/>
                <w:kern w:val="2"/>
                <w:sz w:val="18"/>
                <w:szCs w:val="18"/>
                <w:lang w:val="en-US" w:eastAsia="zh-CN" w:bidi="ar"/>
              </w:rPr>
              <w:t>合计</w:t>
            </w:r>
          </w:p>
        </w:tc>
        <w:tc>
          <w:tcPr>
            <w:tcW w:w="1195" w:type="dxa"/>
            <w:shd w:val="clear" w:color="auto" w:fill="auto"/>
            <w:vAlign w:val="top"/>
          </w:tcPr>
          <w:p w14:paraId="0BB87F21">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rPr>
            </w:pPr>
          </w:p>
        </w:tc>
      </w:tr>
    </w:tbl>
    <w:p w14:paraId="4C4C14B5">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9.2托管费用总额为</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元，支付年限为</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年，支付标准为每年支付</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次，每次</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元，支付时间为</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w:t>
      </w:r>
    </w:p>
    <w:p w14:paraId="383AF022">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向供电、供热、燃气、供水等机构交纳的能源费、水费等，根据项目当地的实际情况，以乙方的名义交纳，从托管费用中由乙方代为支付。如果有关机构对于支付上述费用有规定的，按照规定方式支付。乙方开具相应金额的能源费用发票给甲方，每期托管费用与能源费用的差值开具服务费发票给甲方。</w:t>
      </w:r>
    </w:p>
    <w:p w14:paraId="481B2B7B">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9.3合同约定的节能改造范围以外的供能设备(包括供暖设备、制冷设备、配电室、变压器、风机盘管、管道等设备)的更新改造和大修费用不包括在托管费用之内，列入甲方的固定资产投资计划，由甲方另行承担。合同约定的节能改造范围以内、乙方投资的供能设备，日常维修保养费用由乙方承担。</w:t>
      </w:r>
    </w:p>
    <w:p w14:paraId="555FF36F">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9.4上述能源托管费用由乙方包干使用，通过能源系统管理运营节约的能源费用作为乙方的合理利润。</w:t>
      </w:r>
    </w:p>
    <w:p w14:paraId="5D0ADCCA">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第十条 托管费用的调整和调节</w:t>
      </w:r>
    </w:p>
    <w:p w14:paraId="04C507B4">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10.1托管期间，若发生用能设备的增减、用能人数增减、用能区域变化、能源价格调整、用能行为改变、极端气候以及其他致使用能边界发生变化的情况，双方需对能源托管费用基数进行调整，调整约定如下：</w:t>
      </w:r>
    </w:p>
    <w:p w14:paraId="15C54176">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 调整方式：甲乙双方协商确定，或聘请第三方机构进行核定，第三方核定费用由</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支付。</w:t>
      </w:r>
    </w:p>
    <w:p w14:paraId="4B6D00C4">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(2)调整周期：双方应依据协商确定或第三方机构核定的调整量签订补充协议，在每个托管年度结算期满后的</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天内一次性结清。</w:t>
      </w:r>
    </w:p>
    <w:p w14:paraId="2FC3422F">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10.2甲方的用能设备和其他用能项的增加或减少，应当通知乙方。甲、乙双方应当对增加或减少的设备和其他用能项予以书面确认。其他用能项包括但不限于用能建筑面积、用能时间、用能人员等。因用能设备和其他用能项的增减，应当调整基准能耗，并相应地据实增减能源托管费用基数。本项目调整方式为</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w:t>
      </w:r>
    </w:p>
    <w:p w14:paraId="70CEDCE3">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10.3项目托管期间，因建筑改扩建增加的临时用能能耗需单独计量；新增用能区域的能耗需单独计量；如用能区域建筑功能发生改变，则该功能区能耗需单独计量。因用能区域变化导致的用能增减，应当调整基准能耗，并相应地据实增减能源托管费用基数。本项目调整方式为</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w:t>
      </w:r>
    </w:p>
    <w:p w14:paraId="4AFCEC2C">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10.4项目托管期间，如因极端天气导致空调用能时间明显延长且设定温度超出供能条件，合同双方可协商能源费用调整方式；非极端天气条件下，如因上班时间调整、持续加班、特殊情况用能等业主方原因导致用能时间增加，则业主方应及时告知</w:t>
      </w:r>
      <w:r>
        <w:rPr>
          <w:rFonts w:hint="eastAsia" w:ascii="仿宋" w:hAnsi="仿宋" w:eastAsia="仿宋" w:cs="仿宋"/>
          <w:spacing w:val="4"/>
          <w:kern w:val="2"/>
          <w:sz w:val="24"/>
          <w:szCs w:val="24"/>
          <w:lang w:eastAsia="zh-CN"/>
        </w:rPr>
        <w:t>乙方</w:t>
      </w:r>
      <w:r>
        <w:rPr>
          <w:rFonts w:hint="eastAsia" w:ascii="仿宋" w:hAnsi="仿宋" w:eastAsia="仿宋" w:cs="仿宋"/>
          <w:spacing w:val="4"/>
          <w:kern w:val="2"/>
          <w:sz w:val="24"/>
          <w:szCs w:val="24"/>
        </w:rPr>
        <w:t>，双方可协商托管费用调整方式。本项目调整方式为</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w:t>
      </w:r>
    </w:p>
    <w:p w14:paraId="63FD29A0">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10.5托管期间的能源单价调整，甲方支付给乙方的托管费用亦应按比例调整。具体调整结算方式可由</w:t>
      </w:r>
      <w:r>
        <w:rPr>
          <w:rFonts w:hint="eastAsia" w:ascii="仿宋" w:hAnsi="仿宋" w:eastAsia="仿宋" w:cs="仿宋"/>
          <w:spacing w:val="4"/>
          <w:kern w:val="2"/>
          <w:sz w:val="24"/>
          <w:szCs w:val="24"/>
          <w:lang w:eastAsia="zh-CN"/>
        </w:rPr>
        <w:t>甲方</w:t>
      </w:r>
      <w:r>
        <w:rPr>
          <w:rFonts w:hint="eastAsia" w:ascii="仿宋" w:hAnsi="仿宋" w:eastAsia="仿宋" w:cs="仿宋"/>
          <w:spacing w:val="4"/>
          <w:kern w:val="2"/>
          <w:sz w:val="24"/>
          <w:szCs w:val="24"/>
        </w:rPr>
        <w:t>与</w:t>
      </w:r>
      <w:r>
        <w:rPr>
          <w:rFonts w:hint="eastAsia" w:ascii="仿宋" w:hAnsi="仿宋" w:eastAsia="仿宋" w:cs="仿宋"/>
          <w:spacing w:val="4"/>
          <w:kern w:val="2"/>
          <w:sz w:val="24"/>
          <w:szCs w:val="24"/>
          <w:lang w:eastAsia="zh-CN"/>
        </w:rPr>
        <w:t>乙方</w:t>
      </w:r>
      <w:r>
        <w:rPr>
          <w:rFonts w:hint="eastAsia" w:ascii="仿宋" w:hAnsi="仿宋" w:eastAsia="仿宋" w:cs="仿宋"/>
          <w:spacing w:val="4"/>
          <w:kern w:val="2"/>
          <w:sz w:val="24"/>
          <w:szCs w:val="24"/>
        </w:rPr>
        <w:t>双方协商确定</w:t>
      </w:r>
      <w:r>
        <w:rPr>
          <w:rFonts w:hint="eastAsia" w:ascii="仿宋" w:hAnsi="仿宋" w:eastAsia="仿宋" w:cs="仿宋"/>
          <w:spacing w:val="4"/>
          <w:kern w:val="2"/>
          <w:sz w:val="24"/>
          <w:szCs w:val="24"/>
          <w:lang w:eastAsia="zh-CN"/>
        </w:rPr>
        <w:t>。</w:t>
      </w:r>
      <w:r>
        <w:rPr>
          <w:rFonts w:hint="eastAsia" w:ascii="仿宋" w:hAnsi="仿宋" w:eastAsia="仿宋" w:cs="仿宋"/>
          <w:spacing w:val="4"/>
          <w:kern w:val="2"/>
          <w:sz w:val="24"/>
          <w:szCs w:val="24"/>
        </w:rPr>
        <w:t>本项目调整方式为</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w:t>
      </w:r>
    </w:p>
    <w:p w14:paraId="0232D092">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10.6基于甲方提供的数据错误导致基准能耗核定错误，可以据实修正基准期能耗和能源托管费用基数，相应的责任应当由甲方承担，费用补偿及调整方式为</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w:t>
      </w:r>
    </w:p>
    <w:p w14:paraId="727824A9">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第十一条 节能改造</w:t>
      </w:r>
    </w:p>
    <w:p w14:paraId="06236D5F">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11.1托管项目范围内，如需进行节能改造，乙方应当制定专项或者综合节能改造方案。甲、乙双方应当就改造的范围、拟使用的节能技术、产品，投资数额、投资形成的资产所有权、施工时间等问题进行协商，乙方在前述基础上就节能改造事项制定专项方案，并经甲方签字、盖章确认方可实施。</w:t>
      </w:r>
    </w:p>
    <w:p w14:paraId="18279760">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11.2节能改造所需投资和收益由甲乙双方本着经济合理性的原则协商确定。</w:t>
      </w:r>
    </w:p>
    <w:p w14:paraId="41E70AC0">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“节能改造方案”详见本合同附件三。</w:t>
      </w:r>
    </w:p>
    <w:p w14:paraId="57944F86">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第十二条 安全生产和环境保护</w:t>
      </w:r>
    </w:p>
    <w:p w14:paraId="6FBBB778">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12.1乙方在运营管理过程中应当严格遵守能源管理使用的法律、法规、规章制度，因违章操作或不尽职尽责导致在运行期间出现安全事故和经济损失由乙方负责。</w:t>
      </w:r>
    </w:p>
    <w:p w14:paraId="0F7A7719">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12.2乙方进行的节能改造部分，由于乙方原因导致改造自身存在系统缺陷或施工质量导致安全事故和经济损失由乙方负责。</w:t>
      </w:r>
    </w:p>
    <w:p w14:paraId="6837C156">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12.3甲方先期建设的能源供应和使用系统，由于系统缺陷或施工质量导致的安全事故和经济损失由甲方负责。</w:t>
      </w:r>
    </w:p>
    <w:p w14:paraId="3E00F67B">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12.4针对安全生产和环境保护，甲、乙双方应当制定专项规范，划分相关的责任。“安全生产和环境保护规范”详见本合同附件四。</w:t>
      </w:r>
    </w:p>
    <w:p w14:paraId="45FC9849">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第十三条 禁止商业贿赂</w:t>
      </w:r>
    </w:p>
    <w:p w14:paraId="066B0CED">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甲、乙双方应当遵守廉洁从政、廉洁经商的有关规定，禁止一方向另一方提供实物、现金、有价证券、超标准宴请、高消费娱乐活动等违反“廉洁协议书”约定的行为。</w:t>
      </w:r>
    </w:p>
    <w:p w14:paraId="53DBA2DC">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“廉洁协议书”详见本合同附件五。</w:t>
      </w:r>
    </w:p>
    <w:p w14:paraId="2C03A5B1">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第十四条 保密义务</w:t>
      </w:r>
    </w:p>
    <w:p w14:paraId="22F853FD">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14.1甲、乙双方及其项目参加人员应对在合同履行过程中了解到的涉及到对方技术信息、经验信息、商业秘密以及其他尚未公开的有关信息、资料负有保密义务，并采取相应的保密措施。双方应承担的保密义务包括但不限于：</w:t>
      </w:r>
    </w:p>
    <w:p w14:paraId="2BBADED6">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14.1.1未经对方书面同意，不得将上述信息、资料披露给任何第三人；</w:t>
      </w:r>
    </w:p>
    <w:p w14:paraId="3B038DFC">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14.1.2不得将上述信息、资料用于本合同以外的其他目的；</w:t>
      </w:r>
    </w:p>
    <w:p w14:paraId="126AD903">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14.1.3在本合同终止或解除后应按对方要求，及时将上述信息、资料返还对方或按对方要求作适当处理。</w:t>
      </w:r>
    </w:p>
    <w:p w14:paraId="2814011D">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14.2本合同项下的保密义务至相关商业秘密信息、资料正式向社会公开之日或一方书面解除另一方本合同项下保密义务之日起终止。</w:t>
      </w:r>
    </w:p>
    <w:p w14:paraId="227B71C8">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14.3本条约定在本合同终止后仍然继续有效，且不受合同解除、终止或无效的影响。</w:t>
      </w:r>
    </w:p>
    <w:p w14:paraId="74C8BAA1">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第十五条 合同变更、中止、解除</w:t>
      </w:r>
    </w:p>
    <w:p w14:paraId="53AC9C70">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15.1出现需要变更合同内容的客观情形，或者一方提出合理的诉求，经双方协商一致可以变更合同内容。</w:t>
      </w:r>
    </w:p>
    <w:p w14:paraId="1FFA4889">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15.2本合同的权利义务不可转让，特殊情况下，如乙方确需转让本合同权利义务，须经甲方书面同意，并另行签署合同约定。</w:t>
      </w:r>
    </w:p>
    <w:p w14:paraId="5FBD6D0F">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15.3甲方发生必须停止办公或经营的情况，例如房屋大修或者部分拆除，可以中止合同履行。导致合同中止的事由消除后，恢复合同履行。</w:t>
      </w:r>
    </w:p>
    <w:p w14:paraId="010DC89F">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15.4双方协商一致可以解除本合同。</w:t>
      </w:r>
    </w:p>
    <w:p w14:paraId="08D62C05">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15.5一方严重违约，导致合同不能继续履行或者使合同履行成为不必要。守约方有权解除合同，守约方应当书面通知对方，书面通知到达违约方时即产生解除合同的效力。</w:t>
      </w:r>
    </w:p>
    <w:p w14:paraId="1B636E66">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15.6本合同经双方签字并盖章之日起90天内没有实际履行，任何一方均可书面通知对方解除合同。</w:t>
      </w:r>
    </w:p>
    <w:p w14:paraId="508EEEF8">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第十六条 违约责任</w:t>
      </w:r>
    </w:p>
    <w:p w14:paraId="16729339">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16.1甲方违约责任</w:t>
      </w:r>
    </w:p>
    <w:p w14:paraId="4486BBE3">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16.1.1如甲方未能按时足额支付托管费用经乙方催告后仍不支付时，按照拖延支付的金额每日万分之五向乙方支付违约金。</w:t>
      </w:r>
    </w:p>
    <w:p w14:paraId="7FE2C68F">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16.1.2如甲方未遵守本合同附件及其他条款约定，导致乙方经济损失，甲方应当按照乙方的实际损失额向乙方赔偿。</w:t>
      </w:r>
    </w:p>
    <w:p w14:paraId="39E846A6">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16.2乙方违约责任</w:t>
      </w:r>
    </w:p>
    <w:p w14:paraId="1EEB1AF5">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16.2.1如乙方未能按照服务标准提供服务，违反操作规章制度、违反相关的服务标准，经甲方催仍不能改正的，按照对甲方的实际影响，向甲方支付违约金不少于</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 xml:space="preserve"> 。</w:t>
      </w:r>
    </w:p>
    <w:p w14:paraId="3C75FBE0">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16.2.2如乙方未遵守本合同附件及其他条款规定，导致甲方经济损失，应当按照甲方的实际损失额向甲方赔偿。</w:t>
      </w:r>
    </w:p>
    <w:p w14:paraId="154C962C">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16.2.3乙方应始终本着服务至上、保障运行的原则，积极响应和满足甲方的特殊和应急用能需求，所产生的额外能源费用事后双方协商解决。</w:t>
      </w:r>
    </w:p>
    <w:p w14:paraId="3629C8A3">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第十七条 不可抗力</w:t>
      </w:r>
    </w:p>
    <w:p w14:paraId="7C02E6F5">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17.1由于地震、水灾、战争、暴乱及其他不能预见并且对其发生和后果不能避免并不能克服的不可抗力事件，直接导致本合同及附件的全部或部分不能履行时，遇有不可抗力事件的一方应立即将详细情况通知另一方，并随后提供事件详情的有效证明文件。按照不可抗力事件对履行合同的影响程度，由甲、乙双方协商确定：延期履行或终止合同。</w:t>
      </w:r>
    </w:p>
    <w:p w14:paraId="16634BBA">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17.2遇有不可抗力事件的一方可以中止履行，直至不可抗力事件结束，但中止最长时间不超过90天，超过90天，终止本合同的履行。</w:t>
      </w:r>
    </w:p>
    <w:p w14:paraId="7A5CE8D2">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17.3遇有不可抗力事件的一方可以在通知另一方后10日内终止合同，任何一方将不对另一方继续承担义务，但甲方和乙方应当据实结算托管费用。仅仅发生不可抗力事件并不能必然减轻或影响具有付款义务的一方向另一方付款。</w:t>
      </w:r>
    </w:p>
    <w:p w14:paraId="595CC0B7">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17.4遇有不可抗力事件的一方应采取措施，避免损失的扩大。如果因为未采取相应的措施而导致损失扩大，应向另一方承担赔偿责任。</w:t>
      </w:r>
    </w:p>
    <w:p w14:paraId="565A1335">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第十八条 法律适用和争议解决</w:t>
      </w:r>
    </w:p>
    <w:p w14:paraId="589FB337">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18.1本合同的订立、履行和解释，应遵守中华人民共和国法律、法规，并应遵守行业惯例。</w:t>
      </w:r>
    </w:p>
    <w:p w14:paraId="01AB3274">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18.2因本合同的履行、解释等引起的争议，双方应友好协商解决。如在一方提出书面协商请求后 15 日内 双方无法达成一致，任何一方均可选择</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w:t>
      </w:r>
    </w:p>
    <w:p w14:paraId="1FBB4E14">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(1)依法向项目所在地有管辖权的人民法院提起诉讼。</w:t>
      </w:r>
    </w:p>
    <w:p w14:paraId="6FAF291C">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 xml:space="preserve">(2)将争议提交 </w:t>
      </w:r>
      <w:r>
        <w:rPr>
          <w:rFonts w:hint="eastAsia" w:ascii="仿宋" w:hAnsi="仿宋" w:eastAsia="仿宋" w:cs="仿宋"/>
          <w:spacing w:val="4"/>
          <w:kern w:val="2"/>
          <w:sz w:val="24"/>
          <w:szCs w:val="24"/>
          <w:u w:val="single"/>
        </w:rPr>
        <w:t xml:space="preserve">       </w:t>
      </w:r>
      <w:r>
        <w:rPr>
          <w:rFonts w:hint="eastAsia" w:ascii="仿宋" w:hAnsi="仿宋" w:eastAsia="仿宋" w:cs="仿宋"/>
          <w:spacing w:val="4"/>
          <w:kern w:val="2"/>
          <w:sz w:val="24"/>
          <w:szCs w:val="24"/>
        </w:rPr>
        <w:t>仲裁委员会，按照该会的仲裁程序和规则进行仲裁。</w:t>
      </w:r>
    </w:p>
    <w:p w14:paraId="15BDD932">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18.3无论采用仲裁还是诉讼，由此产生的律师代理费、交通差旅费、举证费、鉴定费及其他与仲裁或诉讼相关的费用，均由败诉方承担。</w:t>
      </w:r>
    </w:p>
    <w:p w14:paraId="2F420B36">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第十九条合同的生效及其他</w:t>
      </w:r>
    </w:p>
    <w:p w14:paraId="13B4EB5D">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19.1本合同适用于能源费用托管形式的合同能源管理项目，包括但不限于政府机关、政府投资的医院、学校、社团组织及其他事业单位的办公和经营场所。</w:t>
      </w:r>
    </w:p>
    <w:p w14:paraId="1EB612F9">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19.2  本合同一式</w:t>
      </w:r>
      <w:r>
        <w:rPr>
          <w:rFonts w:hint="eastAsia" w:ascii="仿宋" w:hAnsi="仿宋" w:eastAsia="仿宋" w:cs="仿宋"/>
          <w:spacing w:val="4"/>
          <w:kern w:val="2"/>
          <w:sz w:val="24"/>
          <w:szCs w:val="24"/>
          <w:u w:val="single"/>
          <w:lang w:val="en-US" w:eastAsia="zh-CN"/>
        </w:rPr>
        <w:t xml:space="preserve">   </w:t>
      </w:r>
      <w:r>
        <w:rPr>
          <w:rFonts w:hint="eastAsia" w:ascii="仿宋" w:hAnsi="仿宋" w:eastAsia="仿宋" w:cs="仿宋"/>
          <w:spacing w:val="4"/>
          <w:kern w:val="2"/>
          <w:sz w:val="24"/>
          <w:szCs w:val="24"/>
        </w:rPr>
        <w:t>份，甲、乙双方各执</w:t>
      </w:r>
      <w:r>
        <w:rPr>
          <w:rFonts w:hint="eastAsia" w:ascii="仿宋" w:hAnsi="仿宋" w:eastAsia="仿宋" w:cs="仿宋"/>
          <w:spacing w:val="4"/>
          <w:kern w:val="2"/>
          <w:sz w:val="24"/>
          <w:szCs w:val="24"/>
          <w:u w:val="single"/>
          <w:lang w:val="en-US" w:eastAsia="zh-CN"/>
        </w:rPr>
        <w:t xml:space="preserve">   </w:t>
      </w:r>
      <w:r>
        <w:rPr>
          <w:rFonts w:hint="eastAsia" w:ascii="仿宋" w:hAnsi="仿宋" w:eastAsia="仿宋" w:cs="仿宋"/>
          <w:spacing w:val="4"/>
          <w:kern w:val="2"/>
          <w:sz w:val="24"/>
          <w:szCs w:val="24"/>
        </w:rPr>
        <w:t>份，具有同等法律效力。本合同经双方法定代表人或授 权代表签字并加盖公章之日起生效。</w:t>
      </w:r>
    </w:p>
    <w:p w14:paraId="4A02992C">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rPr>
      </w:pPr>
      <w:r>
        <w:rPr>
          <w:rFonts w:hint="eastAsia" w:ascii="仿宋" w:hAnsi="仿宋" w:eastAsia="仿宋" w:cs="仿宋"/>
          <w:spacing w:val="4"/>
          <w:kern w:val="2"/>
          <w:sz w:val="24"/>
          <w:szCs w:val="24"/>
        </w:rPr>
        <w:t>19.3本合同的附件为本合同不可分割的组成部分，与本合同具有同等法律效力。本合同与附件及附件之间规定不一致时，以规定详细的文件为准。</w:t>
      </w:r>
    </w:p>
    <w:p w14:paraId="60BB0818">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highlight w:val="none"/>
        </w:rPr>
      </w:pPr>
      <w:r>
        <w:rPr>
          <w:rFonts w:hint="eastAsia" w:ascii="仿宋" w:hAnsi="仿宋" w:eastAsia="仿宋" w:cs="仿宋"/>
          <w:spacing w:val="4"/>
          <w:kern w:val="2"/>
          <w:sz w:val="24"/>
          <w:szCs w:val="24"/>
          <w:highlight w:val="none"/>
        </w:rPr>
        <w:t>附件共</w:t>
      </w:r>
      <w:r>
        <w:rPr>
          <w:rFonts w:hint="eastAsia" w:ascii="仿宋" w:hAnsi="仿宋" w:eastAsia="仿宋" w:cs="仿宋"/>
          <w:spacing w:val="4"/>
          <w:kern w:val="2"/>
          <w:sz w:val="24"/>
          <w:szCs w:val="24"/>
          <w:highlight w:val="none"/>
          <w:u w:val="single"/>
        </w:rPr>
        <w:t xml:space="preserve">     </w:t>
      </w:r>
      <w:r>
        <w:rPr>
          <w:rFonts w:hint="eastAsia" w:ascii="仿宋" w:hAnsi="仿宋" w:eastAsia="仿宋" w:cs="仿宋"/>
          <w:spacing w:val="4"/>
          <w:kern w:val="2"/>
          <w:sz w:val="24"/>
          <w:szCs w:val="24"/>
          <w:highlight w:val="none"/>
        </w:rPr>
        <w:t>份：</w:t>
      </w:r>
    </w:p>
    <w:p w14:paraId="02327C21">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highlight w:val="none"/>
        </w:rPr>
      </w:pPr>
      <w:r>
        <w:rPr>
          <w:rFonts w:hint="eastAsia" w:ascii="仿宋" w:hAnsi="仿宋" w:eastAsia="仿宋" w:cs="仿宋"/>
          <w:spacing w:val="4"/>
          <w:kern w:val="2"/>
          <w:sz w:val="24"/>
          <w:szCs w:val="24"/>
          <w:highlight w:val="none"/>
        </w:rPr>
        <w:t>附件一：项目现有用能情况；</w:t>
      </w:r>
    </w:p>
    <w:p w14:paraId="65D0B7AE">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highlight w:val="none"/>
        </w:rPr>
      </w:pPr>
      <w:r>
        <w:rPr>
          <w:rFonts w:hint="eastAsia" w:ascii="仿宋" w:hAnsi="仿宋" w:eastAsia="仿宋" w:cs="仿宋"/>
          <w:spacing w:val="4"/>
          <w:kern w:val="2"/>
          <w:sz w:val="24"/>
          <w:szCs w:val="24"/>
          <w:highlight w:val="none"/>
        </w:rPr>
        <w:t>附件二：乙方的服务标准；</w:t>
      </w:r>
    </w:p>
    <w:p w14:paraId="1323892C">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highlight w:val="none"/>
        </w:rPr>
      </w:pPr>
      <w:r>
        <w:rPr>
          <w:rFonts w:hint="eastAsia" w:ascii="仿宋" w:hAnsi="仿宋" w:eastAsia="仿宋" w:cs="仿宋"/>
          <w:spacing w:val="4"/>
          <w:kern w:val="2"/>
          <w:sz w:val="24"/>
          <w:szCs w:val="24"/>
          <w:highlight w:val="none"/>
        </w:rPr>
        <w:t>附件三：节能改造方案；</w:t>
      </w:r>
    </w:p>
    <w:p w14:paraId="55522A3C">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highlight w:val="none"/>
        </w:rPr>
      </w:pPr>
      <w:r>
        <w:rPr>
          <w:rFonts w:hint="eastAsia" w:ascii="仿宋" w:hAnsi="仿宋" w:eastAsia="仿宋" w:cs="仿宋"/>
          <w:spacing w:val="4"/>
          <w:kern w:val="2"/>
          <w:sz w:val="24"/>
          <w:szCs w:val="24"/>
          <w:highlight w:val="none"/>
        </w:rPr>
        <w:t>附件四：安全生产和环境保护规范；</w:t>
      </w:r>
    </w:p>
    <w:p w14:paraId="4C2B240D">
      <w:pPr>
        <w:keepNext w:val="0"/>
        <w:keepLines w:val="0"/>
        <w:pageBreakBefore w:val="0"/>
        <w:kinsoku/>
        <w:wordWrap/>
        <w:overflowPunct/>
        <w:topLinePunct w:val="0"/>
        <w:autoSpaceDE/>
        <w:autoSpaceDN/>
        <w:bidi w:val="0"/>
        <w:adjustRightInd/>
        <w:snapToGrid/>
        <w:spacing w:line="500" w:lineRule="exact"/>
        <w:ind w:left="0" w:right="0" w:firstLine="426"/>
        <w:textAlignment w:val="auto"/>
        <w:rPr>
          <w:rFonts w:hint="eastAsia" w:ascii="仿宋" w:hAnsi="仿宋" w:eastAsia="仿宋" w:cs="仿宋"/>
          <w:spacing w:val="4"/>
          <w:kern w:val="2"/>
          <w:sz w:val="24"/>
          <w:szCs w:val="24"/>
          <w:highlight w:val="none"/>
        </w:rPr>
      </w:pPr>
      <w:r>
        <w:rPr>
          <w:rFonts w:hint="eastAsia" w:ascii="仿宋" w:hAnsi="仿宋" w:eastAsia="仿宋" w:cs="仿宋"/>
          <w:spacing w:val="4"/>
          <w:kern w:val="2"/>
          <w:sz w:val="24"/>
          <w:szCs w:val="24"/>
          <w:highlight w:val="none"/>
        </w:rPr>
        <w:t>附件五：廉洁协议书</w:t>
      </w:r>
    </w:p>
    <w:p w14:paraId="140826CF">
      <w:pPr>
        <w:keepNext w:val="0"/>
        <w:keepLines w:val="0"/>
        <w:pageBreakBefore w:val="0"/>
        <w:kinsoku/>
        <w:wordWrap/>
        <w:overflowPunct/>
        <w:topLinePunct w:val="0"/>
        <w:autoSpaceDE/>
        <w:autoSpaceDN/>
        <w:bidi w:val="0"/>
        <w:adjustRightInd/>
        <w:snapToGrid/>
        <w:spacing w:line="500" w:lineRule="exact"/>
        <w:ind w:left="0" w:right="0" w:firstLine="480"/>
        <w:textAlignment w:val="auto"/>
        <w:rPr>
          <w:rFonts w:hint="eastAsia" w:ascii="仿宋" w:hAnsi="仿宋" w:eastAsia="仿宋" w:cs="仿宋"/>
          <w:sz w:val="24"/>
          <w:szCs w:val="24"/>
        </w:rPr>
      </w:pPr>
      <w:r>
        <w:rPr>
          <w:rFonts w:hint="eastAsia" w:ascii="仿宋" w:hAnsi="仿宋" w:eastAsia="仿宋" w:cs="仿宋"/>
          <w:spacing w:val="4"/>
          <w:kern w:val="2"/>
          <w:sz w:val="24"/>
          <w:szCs w:val="24"/>
        </w:rPr>
        <w:t>19.4甲、乙双方发送给对方的通知，如用电话、微信、传真、电子邮件等形式发送通知时，凡涉及各方权利、义务的，应随之以书面形式通知对方。本合同中所列甲、乙双方的地址即为甲、乙双方的收件地址。如果任何一方地址发生变化，应在15日内书面通知对方。</w:t>
      </w:r>
    </w:p>
    <w:p w14:paraId="4EACF1AD">
      <w:pPr>
        <w:ind w:firstLine="420"/>
        <w:rPr>
          <w:rFonts w:ascii="宋体"/>
          <w:color w:val="000000"/>
          <w:szCs w:val="20"/>
        </w:rPr>
      </w:pPr>
    </w:p>
    <w:p w14:paraId="3469D624">
      <w:pPr>
        <w:widowControl w:val="0"/>
        <w:spacing w:after="0"/>
        <w:jc w:val="center"/>
        <w:rPr>
          <w:rFonts w:hint="eastAsia" w:ascii="宋体" w:hAnsi="宋体" w:eastAsia="宋体" w:cs="宋体"/>
          <w:b/>
          <w:bCs/>
          <w:spacing w:val="-20"/>
          <w:sz w:val="48"/>
          <w:szCs w:val="48"/>
          <w:highlight w:val="none"/>
          <w:lang w:val="en-US" w:eastAsia="zh-CN" w:bidi="ar-SA"/>
        </w:rPr>
      </w:pPr>
    </w:p>
    <w:p w14:paraId="455596D3">
      <w:pPr>
        <w:rPr>
          <w:rFonts w:hint="default" w:ascii="Times New Roman" w:hAnsi="Times New Roman" w:eastAsia="宋体" w:cs="Times New Roman"/>
          <w:kern w:val="2"/>
          <w:sz w:val="21"/>
          <w:highlight w:val="none"/>
        </w:rPr>
      </w:pPr>
      <w:r>
        <w:rPr>
          <w:rFonts w:hint="eastAsia" w:ascii="Times New Roman" w:hAnsi="Times New Roman" w:eastAsia="宋体" w:cs="Times New Roman"/>
          <w:b/>
          <w:color w:val="auto"/>
          <w:sz w:val="44"/>
          <w:szCs w:val="20"/>
          <w:highlight w:val="none"/>
          <w:lang w:val="en-US" w:eastAsia="zh-CN" w:bidi="ar-SA"/>
        </w:rPr>
        <w:br w:type="page" w:clear="all"/>
      </w:r>
    </w:p>
    <w:p w14:paraId="6D1AFE0C">
      <w:pPr>
        <w:pStyle w:val="228"/>
        <w:numPr>
          <w:ilvl w:val="0"/>
          <w:numId w:val="4"/>
        </w:numPr>
        <w:spacing w:before="160" w:after="150" w:line="240" w:lineRule="auto"/>
        <w:jc w:val="center"/>
        <w:rPr>
          <w:highlight w:val="none"/>
        </w:rPr>
      </w:pPr>
      <w:bookmarkStart w:id="46" w:name="_Toc25166"/>
      <w:bookmarkStart w:id="47" w:name="_Toc30821"/>
      <w:r>
        <w:rPr>
          <w:rFonts w:hint="eastAsia"/>
          <w:color w:val="auto"/>
          <w:highlight w:val="none"/>
          <w:lang w:val="en-US" w:eastAsia="zh-CN"/>
        </w:rPr>
        <w:t xml:space="preserve">  </w:t>
      </w:r>
      <w:r>
        <w:rPr>
          <w:rFonts w:hint="eastAsia"/>
          <w:color w:val="auto"/>
          <w:highlight w:val="none"/>
        </w:rPr>
        <w:t>采购需求</w:t>
      </w:r>
      <w:bookmarkEnd w:id="46"/>
      <w:bookmarkEnd w:id="47"/>
    </w:p>
    <w:p w14:paraId="0B93F41F">
      <w:pPr>
        <w:spacing w:line="360" w:lineRule="auto"/>
        <w:ind w:firstLine="482" w:firstLineChars="200"/>
        <w:outlineLvl w:val="1"/>
        <w:rPr>
          <w:rFonts w:hint="eastAsia" w:ascii="仿宋" w:hAnsi="仿宋" w:eastAsia="仿宋" w:cs="仿宋"/>
          <w:b/>
          <w:bCs/>
          <w:sz w:val="24"/>
          <w:szCs w:val="24"/>
        </w:rPr>
      </w:pPr>
      <w:bookmarkStart w:id="48" w:name="_Toc3358"/>
      <w:r>
        <w:rPr>
          <w:rFonts w:hint="eastAsia" w:ascii="仿宋" w:hAnsi="仿宋" w:eastAsia="仿宋" w:cs="仿宋"/>
          <w:b/>
          <w:bCs/>
          <w:sz w:val="24"/>
          <w:szCs w:val="24"/>
        </w:rPr>
        <w:t>一、项目概况</w:t>
      </w:r>
    </w:p>
    <w:p w14:paraId="5C501A97">
      <w:pPr>
        <w:spacing w:line="360" w:lineRule="auto"/>
        <w:ind w:firstLine="480" w:firstLineChars="200"/>
        <w:rPr>
          <w:rFonts w:hint="eastAsia" w:ascii="仿宋" w:hAnsi="仿宋" w:eastAsia="仿宋" w:cs="仿宋"/>
          <w:bCs/>
          <w:color w:val="000000"/>
          <w:kern w:val="2"/>
          <w:shd w:val="clear" w:color="auto" w:fill="FFFFFF"/>
        </w:rPr>
      </w:pPr>
      <w:r>
        <w:rPr>
          <w:rFonts w:hint="eastAsia" w:ascii="仿宋" w:hAnsi="仿宋" w:eastAsia="仿宋" w:cs="仿宋"/>
          <w:lang w:val="en-US" w:eastAsia="zh-CN"/>
        </w:rPr>
        <w:t>1.</w:t>
      </w:r>
      <w:r>
        <w:rPr>
          <w:rFonts w:hint="eastAsia" w:ascii="仿宋" w:hAnsi="仿宋" w:eastAsia="仿宋" w:cs="仿宋"/>
          <w:bCs/>
          <w:color w:val="000000"/>
          <w:kern w:val="2"/>
          <w:shd w:val="clear" w:color="auto" w:fill="FFFFFF"/>
        </w:rPr>
        <w:t>采购需求：本项目采用能源费用托管型合同能源管理模式，由中标人负责投资与实施节能技改及综合能源服务。主要包括以下内容（包含但不限于以下内容）：扬州市中医院（文昌路院区）共10栋楼（1、2、3、5、6、8、10、11、15、16号楼）共计55930.08㎡的（</w:t>
      </w:r>
      <w:r>
        <w:rPr>
          <w:rFonts w:hint="eastAsia" w:ascii="仿宋" w:hAnsi="仿宋" w:eastAsia="仿宋" w:cs="仿宋"/>
          <w:bCs/>
          <w:color w:val="000000"/>
          <w:kern w:val="2"/>
          <w:shd w:val="clear" w:color="auto" w:fill="FFFFFF"/>
          <w:lang w:eastAsia="zh-CN"/>
        </w:rPr>
        <w:t>食堂除外</w:t>
      </w:r>
      <w:r>
        <w:rPr>
          <w:rFonts w:hint="eastAsia" w:ascii="仿宋" w:hAnsi="仿宋" w:eastAsia="仿宋" w:cs="仿宋"/>
          <w:bCs/>
          <w:color w:val="000000"/>
          <w:kern w:val="2"/>
          <w:shd w:val="clear" w:color="auto" w:fill="FFFFFF"/>
        </w:rPr>
        <w:t>），能源托管服务年限10年，拟由</w:t>
      </w:r>
      <w:r>
        <w:rPr>
          <w:rFonts w:hint="eastAsia" w:ascii="仿宋" w:hAnsi="仿宋" w:eastAsia="仿宋" w:cs="仿宋"/>
          <w:bCs/>
          <w:color w:val="000000"/>
          <w:kern w:val="2"/>
          <w:shd w:val="clear" w:color="auto" w:fill="FFFFFF"/>
          <w:lang w:eastAsia="zh-CN"/>
        </w:rPr>
        <w:t>投标人</w:t>
      </w:r>
      <w:r>
        <w:rPr>
          <w:rFonts w:hint="eastAsia" w:ascii="仿宋" w:hAnsi="仿宋" w:eastAsia="仿宋" w:cs="仿宋"/>
          <w:bCs/>
          <w:color w:val="000000"/>
          <w:kern w:val="2"/>
          <w:shd w:val="clear" w:color="auto" w:fill="FFFFFF"/>
        </w:rPr>
        <w:t>提供服务范围内的水、电、蒸汽（不含食堂、药膳坊、超市，此部分单独计量收费）能源供应及保障服务、节能技术改造及相关设备维保服务、医院能源管理平台搭建及运维服务、综合能源服务。</w:t>
      </w:r>
    </w:p>
    <w:p w14:paraId="0818F949">
      <w:pPr>
        <w:spacing w:line="360" w:lineRule="auto"/>
        <w:ind w:firstLine="480" w:firstLineChars="200"/>
        <w:rPr>
          <w:rFonts w:hint="eastAsia" w:ascii="仿宋" w:hAnsi="仿宋" w:eastAsia="仿宋" w:cs="仿宋"/>
        </w:rPr>
      </w:pPr>
      <w:r>
        <w:rPr>
          <w:rFonts w:hint="eastAsia" w:ascii="仿宋" w:hAnsi="仿宋" w:eastAsia="仿宋" w:cs="仿宋"/>
          <w:lang w:val="en-US" w:eastAsia="zh-CN"/>
        </w:rPr>
        <w:t>2.</w:t>
      </w:r>
      <w:r>
        <w:rPr>
          <w:rFonts w:hint="eastAsia" w:ascii="仿宋" w:hAnsi="仿宋" w:eastAsia="仿宋" w:cs="仿宋"/>
        </w:rPr>
        <w:t>服务地点：扬州市中医院（文昌路院区）（扬州市邗江区文昌中路577号）。</w:t>
      </w:r>
    </w:p>
    <w:p w14:paraId="2B082CE5">
      <w:pPr>
        <w:spacing w:line="360" w:lineRule="auto"/>
        <w:ind w:firstLine="480" w:firstLineChars="200"/>
        <w:rPr>
          <w:rFonts w:hint="eastAsia" w:ascii="仿宋" w:hAnsi="仿宋" w:eastAsia="仿宋" w:cs="仿宋"/>
          <w:highlight w:val="none"/>
        </w:rPr>
      </w:pPr>
      <w:r>
        <w:rPr>
          <w:rFonts w:hint="eastAsia" w:ascii="仿宋" w:hAnsi="仿宋" w:eastAsia="仿宋" w:cs="仿宋"/>
          <w:lang w:val="en-US" w:eastAsia="zh-CN"/>
        </w:rPr>
        <w:t>3.</w:t>
      </w:r>
      <w:r>
        <w:rPr>
          <w:rFonts w:hint="eastAsia" w:ascii="仿宋" w:hAnsi="仿宋" w:eastAsia="仿宋" w:cs="仿宋"/>
        </w:rPr>
        <w:t>招标范围及要求：鉴于医院当前现状，拟委托专业综合能源服务公司，采用能源费用托管型合同能源管理方式，利用国内外最新能源及信息技术发展成果，统筹推进扬州市中医院（文昌路院区）实现能源利用高效化、清洁化、智能化、数字化。本次项目旨在通过实施包括技术、管理等专业化能源解决方案，实现综合能源</w:t>
      </w:r>
      <w:r>
        <w:rPr>
          <w:rFonts w:hint="eastAsia" w:ascii="仿宋" w:hAnsi="仿宋" w:eastAsia="仿宋" w:cs="仿宋"/>
          <w:highlight w:val="none"/>
        </w:rPr>
        <w:t>费用逐渐降低、机电运行安全提升。</w:t>
      </w:r>
    </w:p>
    <w:p w14:paraId="0F049CD0">
      <w:pPr>
        <w:pStyle w:val="661"/>
        <w:widowControl/>
        <w:spacing w:line="360" w:lineRule="auto"/>
        <w:ind w:firstLine="480" w:firstLineChars="200"/>
        <w:rPr>
          <w:rFonts w:ascii="仿宋" w:hAnsi="仿宋" w:eastAsia="仿宋" w:cs="仿宋"/>
          <w:b/>
          <w:bCs/>
          <w:i/>
          <w:iCs/>
          <w:color w:val="000000" w:themeColor="text1"/>
          <w:highlight w:val="none"/>
          <w:u w:val="single"/>
          <w14:textFill>
            <w14:solidFill>
              <w14:schemeClr w14:val="tx1"/>
            </w14:solidFill>
          </w14:textFill>
        </w:rPr>
      </w:pPr>
      <w:r>
        <w:rPr>
          <w:rFonts w:ascii="仿宋" w:hAnsi="仿宋" w:eastAsia="仿宋" w:cs="仿宋"/>
          <w:b w:val="0"/>
          <w:bCs w:val="0"/>
          <w:i w:val="0"/>
          <w:iCs w:val="0"/>
          <w:color w:val="000000" w:themeColor="text1"/>
          <w:highlight w:val="none"/>
          <w:u w:val="none"/>
          <w14:textFill>
            <w14:solidFill>
              <w14:schemeClr w14:val="tx1"/>
            </w14:solidFill>
          </w14:textFill>
        </w:rPr>
        <w:t>★</w:t>
      </w:r>
      <w:r>
        <w:rPr>
          <w:rFonts w:hint="eastAsia" w:ascii="仿宋" w:hAnsi="仿宋" w:eastAsia="仿宋" w:cs="仿宋"/>
          <w:color w:val="auto"/>
          <w:highlight w:val="none"/>
          <w:lang w:val="en-US" w:eastAsia="zh-CN"/>
        </w:rPr>
        <w:t>4.</w:t>
      </w:r>
      <w:r>
        <w:rPr>
          <w:rFonts w:ascii="仿宋" w:hAnsi="仿宋" w:eastAsia="仿宋" w:cs="仿宋"/>
          <w:b/>
          <w:bCs/>
          <w:i/>
          <w:iCs/>
          <w:color w:val="000000" w:themeColor="text1"/>
          <w:highlight w:val="none"/>
          <w:u w:val="single"/>
          <w14:textFill>
            <w14:solidFill>
              <w14:schemeClr w14:val="tx1"/>
            </w14:solidFill>
          </w14:textFill>
        </w:rPr>
        <w:t>投标人在进行节能改造过程中投入的信息化软件必须满足国家信创和等保测评要求，配合医院后期进行五级电子病历评级、四级互联互通测评、三级智慧医院建设和进一步评级，须提供相应承诺函并盖公章。</w:t>
      </w:r>
    </w:p>
    <w:p w14:paraId="09F8A508">
      <w:pPr>
        <w:spacing w:line="360" w:lineRule="auto"/>
        <w:ind w:firstLine="480" w:firstLineChars="2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highlight w:val="none"/>
          <w:lang w:val="en-US" w:eastAsia="zh-CN"/>
        </w:rPr>
        <w:t>5.</w:t>
      </w:r>
      <w:r>
        <w:rPr>
          <w:rFonts w:hint="eastAsia" w:ascii="仿宋" w:hAnsi="仿宋" w:eastAsia="仿宋" w:cs="仿宋"/>
          <w:color w:val="000000" w:themeColor="text1"/>
          <w:highlight w:val="none"/>
          <w14:textFill>
            <w14:solidFill>
              <w14:schemeClr w14:val="tx1"/>
            </w14:solidFill>
          </w14:textFill>
        </w:rPr>
        <w:t>数据安全。投标人进行节能技改及信息智慧建设过程中涉及所有的数据必须进行存储，同时考虑数据容灾，存储的数据必须进行备份；后期按照医院要求，配合医院信息部门定期将数据进行备份处理</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便于采购人数据随时调取</w:t>
      </w:r>
      <w:r>
        <w:rPr>
          <w:rFonts w:hint="eastAsia" w:ascii="仿宋" w:hAnsi="仿宋" w:eastAsia="仿宋" w:cs="仿宋"/>
          <w:color w:val="000000" w:themeColor="text1"/>
          <w:highlight w:val="none"/>
          <w14:textFill>
            <w14:solidFill>
              <w14:schemeClr w14:val="tx1"/>
            </w14:solidFill>
          </w14:textFill>
        </w:rPr>
        <w:t>。</w:t>
      </w:r>
    </w:p>
    <w:p w14:paraId="1EFFA885">
      <w:pPr>
        <w:spacing w:line="360" w:lineRule="auto"/>
        <w:ind w:firstLine="482" w:firstLineChars="200"/>
        <w:outlineLvl w:val="1"/>
        <w:rPr>
          <w:rFonts w:hint="default" w:ascii="仿宋" w:hAnsi="仿宋" w:eastAsia="仿宋" w:cs="仿宋"/>
          <w:b/>
          <w:bCs/>
          <w:sz w:val="24"/>
          <w:szCs w:val="24"/>
          <w:highlight w:val="none"/>
          <w:lang w:val="en-US" w:eastAsia="zh-CN"/>
        </w:rPr>
      </w:pPr>
      <w:r>
        <w:rPr>
          <w:rFonts w:hint="eastAsia" w:ascii="仿宋" w:hAnsi="仿宋" w:eastAsia="仿宋" w:cs="仿宋"/>
          <w:b/>
          <w:bCs/>
          <w:sz w:val="24"/>
          <w:szCs w:val="24"/>
          <w:highlight w:val="none"/>
        </w:rPr>
        <w:t>二、</w:t>
      </w:r>
      <w:r>
        <w:rPr>
          <w:rFonts w:hint="eastAsia" w:ascii="仿宋" w:hAnsi="仿宋" w:eastAsia="仿宋" w:cs="仿宋"/>
          <w:b/>
          <w:bCs/>
          <w:sz w:val="24"/>
          <w:szCs w:val="24"/>
          <w:highlight w:val="none"/>
          <w:lang w:val="en-US" w:eastAsia="zh-CN"/>
        </w:rPr>
        <w:t>相关事项说明</w:t>
      </w:r>
    </w:p>
    <w:p w14:paraId="50F0C7EA">
      <w:pPr>
        <w:spacing w:before="0" w:line="360" w:lineRule="auto"/>
        <w:ind w:firstLine="464" w:firstLineChars="200"/>
        <w:rPr>
          <w:rFonts w:hint="eastAsia" w:ascii="仿宋" w:hAnsi="仿宋" w:eastAsia="仿宋" w:cs="仿宋"/>
          <w:spacing w:val="-4"/>
          <w:kern w:val="2"/>
          <w:szCs w:val="24"/>
        </w:rPr>
      </w:pPr>
      <w:r>
        <w:rPr>
          <w:rFonts w:hint="eastAsia" w:ascii="仿宋" w:hAnsi="仿宋" w:eastAsia="仿宋" w:cs="仿宋"/>
          <w:spacing w:val="-4"/>
          <w:kern w:val="2"/>
          <w:szCs w:val="24"/>
        </w:rPr>
        <w:t>1</w:t>
      </w:r>
      <w:r>
        <w:rPr>
          <w:rFonts w:hint="eastAsia" w:ascii="仿宋" w:hAnsi="仿宋" w:eastAsia="仿宋" w:cs="仿宋"/>
          <w:spacing w:val="-4"/>
          <w:kern w:val="2"/>
          <w:szCs w:val="24"/>
          <w:lang w:val="en-US" w:eastAsia="zh-CN"/>
        </w:rPr>
        <w:t>.</w:t>
      </w:r>
      <w:r>
        <w:rPr>
          <w:rFonts w:hint="eastAsia" w:ascii="仿宋" w:hAnsi="仿宋" w:eastAsia="仿宋" w:cs="仿宋"/>
          <w:spacing w:val="-4"/>
          <w:kern w:val="2"/>
          <w:szCs w:val="24"/>
        </w:rPr>
        <w:t>合同能源管理：</w:t>
      </w:r>
      <w:r>
        <w:rPr>
          <w:rFonts w:hint="eastAsia" w:ascii="仿宋" w:hAnsi="仿宋" w:eastAsia="仿宋" w:cs="仿宋"/>
          <w:spacing w:val="-4"/>
          <w:kern w:val="2"/>
          <w:szCs w:val="24"/>
          <w:lang w:eastAsia="zh-CN"/>
        </w:rPr>
        <w:t>投标人</w:t>
      </w:r>
      <w:r>
        <w:rPr>
          <w:rFonts w:hint="eastAsia" w:ascii="仿宋" w:hAnsi="仿宋" w:eastAsia="仿宋" w:cs="仿宋"/>
          <w:spacing w:val="-4"/>
          <w:kern w:val="2"/>
          <w:szCs w:val="24"/>
        </w:rPr>
        <w:t>与</w:t>
      </w:r>
      <w:r>
        <w:rPr>
          <w:rFonts w:hint="eastAsia" w:ascii="仿宋" w:hAnsi="仿宋" w:eastAsia="仿宋" w:cs="仿宋"/>
          <w:spacing w:val="-4"/>
          <w:kern w:val="2"/>
          <w:szCs w:val="24"/>
          <w:lang w:eastAsia="zh-CN"/>
        </w:rPr>
        <w:t>采购人</w:t>
      </w:r>
      <w:r>
        <w:rPr>
          <w:rFonts w:hint="eastAsia" w:ascii="仿宋" w:hAnsi="仿宋" w:eastAsia="仿宋" w:cs="仿宋"/>
          <w:spacing w:val="-4"/>
          <w:kern w:val="2"/>
          <w:szCs w:val="24"/>
        </w:rPr>
        <w:t>以合同形式约定能源托管项目的实施内容，</w:t>
      </w:r>
      <w:r>
        <w:rPr>
          <w:rFonts w:hint="eastAsia" w:ascii="仿宋" w:hAnsi="仿宋" w:eastAsia="仿宋" w:cs="仿宋"/>
          <w:spacing w:val="-4"/>
          <w:kern w:val="2"/>
          <w:szCs w:val="24"/>
          <w:lang w:eastAsia="zh-CN"/>
        </w:rPr>
        <w:t>投标人</w:t>
      </w:r>
      <w:r>
        <w:rPr>
          <w:rFonts w:hint="eastAsia" w:ascii="仿宋" w:hAnsi="仿宋" w:eastAsia="仿宋" w:cs="仿宋"/>
          <w:spacing w:val="-4"/>
          <w:kern w:val="2"/>
          <w:szCs w:val="24"/>
        </w:rPr>
        <w:t>向</w:t>
      </w:r>
      <w:r>
        <w:rPr>
          <w:rFonts w:hint="eastAsia" w:ascii="仿宋" w:hAnsi="仿宋" w:eastAsia="仿宋" w:cs="仿宋"/>
          <w:spacing w:val="-4"/>
          <w:kern w:val="2"/>
          <w:szCs w:val="24"/>
          <w:lang w:eastAsia="zh-CN"/>
        </w:rPr>
        <w:t>采购人</w:t>
      </w:r>
      <w:r>
        <w:rPr>
          <w:rFonts w:hint="eastAsia" w:ascii="仿宋" w:hAnsi="仿宋" w:eastAsia="仿宋" w:cs="仿宋"/>
          <w:spacing w:val="-4"/>
          <w:kern w:val="2"/>
          <w:szCs w:val="24"/>
        </w:rPr>
        <w:t>提供必要的服务，</w:t>
      </w:r>
      <w:r>
        <w:rPr>
          <w:rFonts w:hint="eastAsia" w:ascii="仿宋" w:hAnsi="仿宋" w:eastAsia="仿宋" w:cs="仿宋"/>
          <w:spacing w:val="-4"/>
          <w:kern w:val="2"/>
          <w:szCs w:val="24"/>
          <w:lang w:eastAsia="zh-CN"/>
        </w:rPr>
        <w:t>采购人</w:t>
      </w:r>
      <w:r>
        <w:rPr>
          <w:rFonts w:hint="eastAsia" w:ascii="仿宋" w:hAnsi="仿宋" w:eastAsia="仿宋" w:cs="仿宋"/>
          <w:spacing w:val="-4"/>
          <w:kern w:val="2"/>
          <w:szCs w:val="24"/>
        </w:rPr>
        <w:t>以节能效益，节能服务费或能源托管费支付</w:t>
      </w:r>
      <w:r>
        <w:rPr>
          <w:rFonts w:hint="eastAsia" w:ascii="仿宋" w:hAnsi="仿宋" w:eastAsia="仿宋" w:cs="仿宋"/>
          <w:spacing w:val="-4"/>
          <w:kern w:val="2"/>
          <w:szCs w:val="24"/>
          <w:lang w:eastAsia="zh-CN"/>
        </w:rPr>
        <w:t>投标人</w:t>
      </w:r>
      <w:r>
        <w:rPr>
          <w:rFonts w:hint="eastAsia" w:ascii="仿宋" w:hAnsi="仿宋" w:eastAsia="仿宋" w:cs="仿宋"/>
          <w:spacing w:val="-4"/>
          <w:kern w:val="2"/>
          <w:szCs w:val="24"/>
        </w:rPr>
        <w:t>的投入及其合理利润的节能服务机制。</w:t>
      </w:r>
    </w:p>
    <w:p w14:paraId="40322E6E">
      <w:pPr>
        <w:spacing w:before="0" w:line="360" w:lineRule="auto"/>
        <w:ind w:firstLine="464" w:firstLineChars="200"/>
        <w:rPr>
          <w:rFonts w:hint="eastAsia" w:ascii="仿宋" w:hAnsi="仿宋" w:eastAsia="仿宋" w:cs="仿宋"/>
          <w:spacing w:val="-4"/>
          <w:kern w:val="2"/>
          <w:szCs w:val="24"/>
        </w:rPr>
      </w:pPr>
      <w:r>
        <w:rPr>
          <w:rFonts w:hint="eastAsia" w:ascii="仿宋" w:hAnsi="仿宋" w:eastAsia="仿宋" w:cs="仿宋"/>
          <w:spacing w:val="-4"/>
          <w:kern w:val="2"/>
          <w:szCs w:val="24"/>
        </w:rPr>
        <w:t>2</w:t>
      </w:r>
      <w:r>
        <w:rPr>
          <w:rFonts w:hint="eastAsia" w:ascii="仿宋" w:hAnsi="仿宋" w:eastAsia="仿宋" w:cs="仿宋"/>
          <w:spacing w:val="-4"/>
          <w:kern w:val="2"/>
          <w:szCs w:val="24"/>
          <w:lang w:val="en-US" w:eastAsia="zh-CN"/>
        </w:rPr>
        <w:t>.</w:t>
      </w:r>
      <w:r>
        <w:rPr>
          <w:rFonts w:hint="eastAsia" w:ascii="仿宋" w:hAnsi="仿宋" w:eastAsia="仿宋" w:cs="仿宋"/>
          <w:spacing w:val="-4"/>
          <w:kern w:val="2"/>
          <w:szCs w:val="24"/>
        </w:rPr>
        <w:t>能源费用托管型合同能源管理：合同能源管理的一种形式。由</w:t>
      </w:r>
      <w:r>
        <w:rPr>
          <w:rFonts w:hint="eastAsia" w:ascii="仿宋" w:hAnsi="仿宋" w:eastAsia="仿宋" w:cs="仿宋"/>
          <w:spacing w:val="-4"/>
          <w:kern w:val="2"/>
          <w:szCs w:val="24"/>
          <w:lang w:val="en-US" w:eastAsia="zh-CN"/>
        </w:rPr>
        <w:t>采购人</w:t>
      </w:r>
      <w:r>
        <w:rPr>
          <w:rFonts w:hint="eastAsia" w:ascii="仿宋" w:hAnsi="仿宋" w:eastAsia="仿宋" w:cs="仿宋"/>
          <w:spacing w:val="-4"/>
          <w:kern w:val="2"/>
          <w:szCs w:val="24"/>
        </w:rPr>
        <w:t>委托</w:t>
      </w:r>
      <w:r>
        <w:rPr>
          <w:rFonts w:hint="eastAsia" w:ascii="仿宋" w:hAnsi="仿宋" w:eastAsia="仿宋" w:cs="仿宋"/>
          <w:spacing w:val="-4"/>
          <w:kern w:val="2"/>
          <w:szCs w:val="24"/>
          <w:lang w:val="en-US" w:eastAsia="zh-CN"/>
        </w:rPr>
        <w:t>投标人</w:t>
      </w:r>
      <w:r>
        <w:rPr>
          <w:rFonts w:hint="eastAsia" w:ascii="仿宋" w:hAnsi="仿宋" w:eastAsia="仿宋" w:cs="仿宋"/>
          <w:spacing w:val="-4"/>
          <w:kern w:val="2"/>
          <w:szCs w:val="24"/>
        </w:rPr>
        <w:t>进行能源系统的运行、管理、维护或（和）节能改造。</w:t>
      </w:r>
      <w:r>
        <w:rPr>
          <w:rFonts w:hint="eastAsia" w:ascii="仿宋" w:hAnsi="仿宋" w:eastAsia="仿宋" w:cs="仿宋"/>
          <w:spacing w:val="-4"/>
          <w:kern w:val="2"/>
          <w:szCs w:val="24"/>
          <w:lang w:eastAsia="zh-CN"/>
        </w:rPr>
        <w:t>采购人</w:t>
      </w:r>
      <w:r>
        <w:rPr>
          <w:rFonts w:hint="eastAsia" w:ascii="仿宋" w:hAnsi="仿宋" w:eastAsia="仿宋" w:cs="仿宋"/>
          <w:spacing w:val="-4"/>
          <w:kern w:val="2"/>
          <w:szCs w:val="24"/>
        </w:rPr>
        <w:t>根据能源基准确定的能源系统运行、管理、维护和能源使用的费用作为托管费用。</w:t>
      </w:r>
      <w:r>
        <w:rPr>
          <w:rFonts w:hint="eastAsia" w:ascii="仿宋" w:hAnsi="仿宋" w:eastAsia="仿宋" w:cs="仿宋"/>
          <w:spacing w:val="-4"/>
          <w:kern w:val="2"/>
          <w:szCs w:val="24"/>
          <w:lang w:eastAsia="zh-CN"/>
        </w:rPr>
        <w:t>投标人</w:t>
      </w:r>
      <w:r>
        <w:rPr>
          <w:rFonts w:hint="eastAsia" w:ascii="仿宋" w:hAnsi="仿宋" w:eastAsia="仿宋" w:cs="仿宋"/>
          <w:spacing w:val="-4"/>
          <w:kern w:val="2"/>
          <w:szCs w:val="24"/>
        </w:rPr>
        <w:t>通过科学的管理运行和节能技术的应用达到节约能源，减少费用支出或增加收益，获取合理的利润。托管范围可包括：电、气、煤、油、市政热力、水等项目所发生的费用，能源系统的运行、管理、维护维修费用（含人工、消耗性材料、工具）。</w:t>
      </w:r>
    </w:p>
    <w:p w14:paraId="602C044E">
      <w:pPr>
        <w:spacing w:before="0" w:line="360" w:lineRule="auto"/>
        <w:ind w:firstLine="464" w:firstLineChars="200"/>
        <w:rPr>
          <w:rFonts w:hint="eastAsia" w:ascii="仿宋" w:hAnsi="仿宋" w:eastAsia="仿宋" w:cs="仿宋"/>
          <w:spacing w:val="-4"/>
          <w:kern w:val="2"/>
          <w:szCs w:val="24"/>
        </w:rPr>
      </w:pPr>
      <w:r>
        <w:rPr>
          <w:rFonts w:hint="eastAsia" w:ascii="仿宋" w:hAnsi="仿宋" w:eastAsia="仿宋" w:cs="仿宋"/>
          <w:spacing w:val="-4"/>
          <w:kern w:val="2"/>
          <w:szCs w:val="24"/>
        </w:rPr>
        <w:t>3</w:t>
      </w:r>
      <w:r>
        <w:rPr>
          <w:rFonts w:hint="eastAsia" w:ascii="仿宋" w:hAnsi="仿宋" w:eastAsia="仿宋" w:cs="仿宋"/>
          <w:spacing w:val="-4"/>
          <w:kern w:val="2"/>
          <w:szCs w:val="24"/>
          <w:lang w:val="en-US" w:eastAsia="zh-CN"/>
        </w:rPr>
        <w:t>.</w:t>
      </w:r>
      <w:r>
        <w:rPr>
          <w:rFonts w:hint="eastAsia" w:ascii="仿宋" w:hAnsi="仿宋" w:eastAsia="仿宋" w:cs="仿宋"/>
        </w:rPr>
        <w:t>综合能源服务公司</w:t>
      </w:r>
      <w:r>
        <w:rPr>
          <w:rFonts w:hint="eastAsia" w:ascii="仿宋" w:hAnsi="仿宋" w:eastAsia="仿宋" w:cs="仿宋"/>
          <w:spacing w:val="-4"/>
          <w:kern w:val="2"/>
          <w:szCs w:val="24"/>
        </w:rPr>
        <w:t>：提供用能状况诊断、节能项目设计、融资、改造（施工、设备安装、调试）、运行管理等服务的专业化公司。</w:t>
      </w:r>
    </w:p>
    <w:p w14:paraId="13AE1615">
      <w:pPr>
        <w:spacing w:before="0" w:line="360" w:lineRule="auto"/>
        <w:ind w:firstLine="464" w:firstLineChars="200"/>
        <w:rPr>
          <w:rFonts w:hint="eastAsia" w:ascii="仿宋" w:hAnsi="仿宋" w:eastAsia="仿宋" w:cs="仿宋"/>
          <w:spacing w:val="-4"/>
          <w:kern w:val="2"/>
          <w:szCs w:val="24"/>
        </w:rPr>
      </w:pPr>
      <w:r>
        <w:rPr>
          <w:rFonts w:hint="eastAsia" w:ascii="仿宋" w:hAnsi="仿宋" w:eastAsia="仿宋" w:cs="仿宋"/>
          <w:spacing w:val="-4"/>
          <w:kern w:val="2"/>
          <w:szCs w:val="24"/>
        </w:rPr>
        <w:t>4</w:t>
      </w:r>
      <w:r>
        <w:rPr>
          <w:rFonts w:hint="eastAsia" w:ascii="仿宋" w:hAnsi="仿宋" w:eastAsia="仿宋" w:cs="仿宋"/>
          <w:spacing w:val="-4"/>
          <w:kern w:val="2"/>
          <w:szCs w:val="24"/>
          <w:lang w:val="en-US" w:eastAsia="zh-CN"/>
        </w:rPr>
        <w:t>.</w:t>
      </w:r>
      <w:r>
        <w:rPr>
          <w:rFonts w:hint="eastAsia" w:ascii="仿宋" w:hAnsi="仿宋" w:eastAsia="仿宋" w:cs="仿宋"/>
          <w:spacing w:val="-4"/>
          <w:kern w:val="2"/>
          <w:szCs w:val="24"/>
        </w:rPr>
        <w:t>能源基准：用作比较能源绩效的定量参考依据，反映了特定时间段的能源利用状况，可采用建筑能源审计所确定的基准期内、项目边界内建筑或各用能设备（系统）的能源消耗量作为能源绩效参数，也可作为能源绩效改进措施实施前后的参照来计算节能量。</w:t>
      </w:r>
    </w:p>
    <w:p w14:paraId="1891CCC4">
      <w:pPr>
        <w:spacing w:before="0" w:line="360" w:lineRule="auto"/>
        <w:ind w:firstLine="464" w:firstLineChars="200"/>
        <w:rPr>
          <w:rFonts w:hint="eastAsia" w:ascii="仿宋" w:hAnsi="仿宋" w:eastAsia="仿宋" w:cs="仿宋"/>
          <w:spacing w:val="-4"/>
          <w:kern w:val="2"/>
          <w:szCs w:val="24"/>
        </w:rPr>
      </w:pPr>
      <w:r>
        <w:rPr>
          <w:rFonts w:hint="eastAsia" w:ascii="仿宋" w:hAnsi="仿宋" w:eastAsia="仿宋" w:cs="仿宋"/>
          <w:spacing w:val="-4"/>
          <w:kern w:val="2"/>
          <w:szCs w:val="24"/>
        </w:rPr>
        <w:t>5</w:t>
      </w:r>
      <w:r>
        <w:rPr>
          <w:rFonts w:hint="eastAsia" w:ascii="仿宋" w:hAnsi="仿宋" w:eastAsia="仿宋" w:cs="仿宋"/>
          <w:spacing w:val="-4"/>
          <w:kern w:val="2"/>
          <w:szCs w:val="24"/>
          <w:lang w:val="en-US" w:eastAsia="zh-CN"/>
        </w:rPr>
        <w:t>.</w:t>
      </w:r>
      <w:r>
        <w:rPr>
          <w:rFonts w:hint="eastAsia" w:ascii="仿宋" w:hAnsi="仿宋" w:eastAsia="仿宋" w:cs="仿宋"/>
          <w:spacing w:val="-4"/>
          <w:kern w:val="2"/>
          <w:szCs w:val="24"/>
        </w:rPr>
        <w:t>能源托管费用基数：能源托管项目根据能源基准和项目服务范围确定的年度能源托管费用，可包括能源费用基数和运行管理及维护费用基数等。其中，能源费用基数是指</w:t>
      </w:r>
      <w:r>
        <w:rPr>
          <w:rFonts w:hint="eastAsia" w:ascii="仿宋" w:hAnsi="仿宋" w:eastAsia="仿宋" w:cs="仿宋"/>
          <w:spacing w:val="-4"/>
          <w:kern w:val="2"/>
          <w:szCs w:val="24"/>
          <w:lang w:eastAsia="zh-CN"/>
        </w:rPr>
        <w:t>采购人</w:t>
      </w:r>
      <w:r>
        <w:rPr>
          <w:rFonts w:hint="eastAsia" w:ascii="仿宋" w:hAnsi="仿宋" w:eastAsia="仿宋" w:cs="仿宋"/>
          <w:spacing w:val="-4"/>
          <w:kern w:val="2"/>
          <w:szCs w:val="24"/>
        </w:rPr>
        <w:t>在基准期所花费的能源费用；运行管理及维护费用基数是指根据能源托管范围中所包含的能源系统运行、管理、维护维修范围确定的年度费用。</w:t>
      </w:r>
    </w:p>
    <w:p w14:paraId="2C694A54">
      <w:pPr>
        <w:spacing w:before="0" w:line="360" w:lineRule="auto"/>
        <w:ind w:firstLine="464" w:firstLineChars="200"/>
        <w:rPr>
          <w:rFonts w:hint="eastAsia" w:ascii="仿宋" w:hAnsi="仿宋" w:eastAsia="仿宋" w:cs="仿宋"/>
          <w:spacing w:val="-4"/>
          <w:kern w:val="2"/>
          <w:szCs w:val="24"/>
        </w:rPr>
      </w:pPr>
      <w:r>
        <w:rPr>
          <w:rFonts w:hint="eastAsia" w:ascii="仿宋" w:hAnsi="仿宋" w:eastAsia="仿宋" w:cs="仿宋"/>
          <w:spacing w:val="-4"/>
          <w:kern w:val="2"/>
          <w:szCs w:val="24"/>
        </w:rPr>
        <w:t>6</w:t>
      </w:r>
      <w:r>
        <w:rPr>
          <w:rFonts w:hint="eastAsia" w:ascii="仿宋" w:hAnsi="仿宋" w:eastAsia="仿宋" w:cs="仿宋"/>
          <w:spacing w:val="-4"/>
          <w:kern w:val="2"/>
          <w:szCs w:val="24"/>
          <w:lang w:val="en-US" w:eastAsia="zh-CN"/>
        </w:rPr>
        <w:t>.</w:t>
      </w:r>
      <w:r>
        <w:rPr>
          <w:rFonts w:hint="eastAsia" w:ascii="仿宋" w:hAnsi="仿宋" w:eastAsia="仿宋" w:cs="仿宋"/>
          <w:spacing w:val="-4"/>
          <w:kern w:val="2"/>
          <w:szCs w:val="24"/>
        </w:rPr>
        <w:t>建设期：</w:t>
      </w:r>
      <w:r>
        <w:rPr>
          <w:rFonts w:hint="eastAsia" w:ascii="仿宋" w:hAnsi="仿宋" w:eastAsia="仿宋" w:cs="仿宋"/>
          <w:spacing w:val="-4"/>
          <w:kern w:val="2"/>
          <w:szCs w:val="24"/>
          <w:lang w:eastAsia="zh-CN"/>
        </w:rPr>
        <w:t>投标人</w:t>
      </w:r>
      <w:r>
        <w:rPr>
          <w:rFonts w:hint="eastAsia" w:ascii="仿宋" w:hAnsi="仿宋" w:eastAsia="仿宋" w:cs="仿宋"/>
          <w:spacing w:val="-4"/>
          <w:kern w:val="2"/>
          <w:szCs w:val="24"/>
        </w:rPr>
        <w:t>完成改造（施工、设备安装、调试）并通过</w:t>
      </w:r>
      <w:r>
        <w:rPr>
          <w:rFonts w:hint="eastAsia" w:ascii="仿宋" w:hAnsi="仿宋" w:eastAsia="仿宋" w:cs="仿宋"/>
          <w:spacing w:val="-4"/>
          <w:kern w:val="2"/>
          <w:szCs w:val="24"/>
          <w:lang w:eastAsia="zh-CN"/>
        </w:rPr>
        <w:t>采购人</w:t>
      </w:r>
      <w:r>
        <w:rPr>
          <w:rFonts w:hint="eastAsia" w:ascii="仿宋" w:hAnsi="仿宋" w:eastAsia="仿宋" w:cs="仿宋"/>
          <w:spacing w:val="-4"/>
          <w:kern w:val="2"/>
          <w:szCs w:val="24"/>
        </w:rPr>
        <w:t>验收的期限。</w:t>
      </w:r>
    </w:p>
    <w:p w14:paraId="5E554B29">
      <w:pPr>
        <w:spacing w:before="0" w:line="360" w:lineRule="auto"/>
        <w:ind w:firstLine="464" w:firstLineChars="200"/>
        <w:rPr>
          <w:rFonts w:hint="eastAsia" w:ascii="仿宋" w:hAnsi="仿宋" w:eastAsia="仿宋" w:cs="仿宋"/>
          <w:spacing w:val="-4"/>
          <w:kern w:val="2"/>
          <w:szCs w:val="24"/>
        </w:rPr>
      </w:pPr>
      <w:r>
        <w:rPr>
          <w:rFonts w:hint="eastAsia" w:ascii="仿宋" w:hAnsi="仿宋" w:eastAsia="仿宋" w:cs="仿宋"/>
          <w:spacing w:val="-4"/>
          <w:kern w:val="2"/>
          <w:szCs w:val="24"/>
        </w:rPr>
        <w:t>7</w:t>
      </w:r>
      <w:r>
        <w:rPr>
          <w:rFonts w:hint="eastAsia" w:ascii="仿宋" w:hAnsi="仿宋" w:eastAsia="仿宋" w:cs="仿宋"/>
          <w:spacing w:val="-4"/>
          <w:kern w:val="2"/>
          <w:szCs w:val="24"/>
          <w:lang w:val="en-US" w:eastAsia="zh-CN"/>
        </w:rPr>
        <w:t>.</w:t>
      </w:r>
      <w:r>
        <w:rPr>
          <w:rFonts w:hint="eastAsia" w:ascii="仿宋" w:hAnsi="仿宋" w:eastAsia="仿宋" w:cs="仿宋"/>
          <w:spacing w:val="-4"/>
          <w:kern w:val="2"/>
          <w:szCs w:val="24"/>
        </w:rPr>
        <w:t>能源托管服务期限：指</w:t>
      </w:r>
      <w:r>
        <w:rPr>
          <w:rFonts w:hint="eastAsia" w:ascii="仿宋" w:hAnsi="仿宋" w:eastAsia="仿宋" w:cs="仿宋"/>
          <w:spacing w:val="-4"/>
          <w:kern w:val="2"/>
          <w:szCs w:val="24"/>
          <w:lang w:eastAsia="zh-CN"/>
        </w:rPr>
        <w:t>投标人</w:t>
      </w:r>
      <w:r>
        <w:rPr>
          <w:rFonts w:hint="eastAsia" w:ascii="仿宋" w:hAnsi="仿宋" w:eastAsia="仿宋" w:cs="仿宋"/>
          <w:spacing w:val="-4"/>
          <w:kern w:val="2"/>
          <w:szCs w:val="24"/>
        </w:rPr>
        <w:t>向</w:t>
      </w:r>
      <w:r>
        <w:rPr>
          <w:rFonts w:hint="eastAsia" w:ascii="仿宋" w:hAnsi="仿宋" w:eastAsia="仿宋" w:cs="仿宋"/>
          <w:spacing w:val="-4"/>
          <w:kern w:val="2"/>
          <w:szCs w:val="24"/>
          <w:lang w:eastAsia="zh-CN"/>
        </w:rPr>
        <w:t>采购人</w:t>
      </w:r>
      <w:r>
        <w:rPr>
          <w:rFonts w:hint="eastAsia" w:ascii="仿宋" w:hAnsi="仿宋" w:eastAsia="仿宋" w:cs="仿宋"/>
          <w:spacing w:val="-4"/>
          <w:kern w:val="2"/>
          <w:szCs w:val="24"/>
        </w:rPr>
        <w:t>提供能源托管服务，</w:t>
      </w:r>
      <w:r>
        <w:rPr>
          <w:rFonts w:hint="eastAsia" w:ascii="仿宋" w:hAnsi="仿宋" w:eastAsia="仿宋" w:cs="仿宋"/>
          <w:spacing w:val="-4"/>
          <w:kern w:val="2"/>
          <w:szCs w:val="24"/>
          <w:lang w:eastAsia="zh-CN"/>
        </w:rPr>
        <w:t>采购人</w:t>
      </w:r>
      <w:r>
        <w:rPr>
          <w:rFonts w:hint="eastAsia" w:ascii="仿宋" w:hAnsi="仿宋" w:eastAsia="仿宋" w:cs="仿宋"/>
          <w:spacing w:val="-4"/>
          <w:kern w:val="2"/>
          <w:szCs w:val="24"/>
        </w:rPr>
        <w:t>向</w:t>
      </w:r>
      <w:r>
        <w:rPr>
          <w:rFonts w:hint="eastAsia" w:ascii="仿宋" w:hAnsi="仿宋" w:eastAsia="仿宋" w:cs="仿宋"/>
          <w:spacing w:val="-4"/>
          <w:kern w:val="2"/>
          <w:szCs w:val="24"/>
          <w:lang w:eastAsia="zh-CN"/>
        </w:rPr>
        <w:t>投标人</w:t>
      </w:r>
      <w:r>
        <w:rPr>
          <w:rFonts w:hint="eastAsia" w:ascii="仿宋" w:hAnsi="仿宋" w:eastAsia="仿宋" w:cs="仿宋"/>
          <w:spacing w:val="-4"/>
          <w:kern w:val="2"/>
          <w:szCs w:val="24"/>
        </w:rPr>
        <w:t>支付能源托管费用的期限。</w:t>
      </w:r>
    </w:p>
    <w:p w14:paraId="09314B26">
      <w:pPr>
        <w:spacing w:before="0" w:line="360" w:lineRule="auto"/>
        <w:ind w:firstLine="464" w:firstLineChars="200"/>
        <w:rPr>
          <w:rFonts w:hint="eastAsia" w:ascii="仿宋" w:hAnsi="仿宋" w:eastAsia="仿宋" w:cs="仿宋"/>
          <w:spacing w:val="-4"/>
          <w:kern w:val="2"/>
          <w:szCs w:val="24"/>
        </w:rPr>
      </w:pPr>
      <w:r>
        <w:rPr>
          <w:rFonts w:hint="eastAsia" w:ascii="仿宋" w:hAnsi="仿宋" w:eastAsia="仿宋" w:cs="仿宋"/>
          <w:spacing w:val="-4"/>
          <w:kern w:val="2"/>
          <w:szCs w:val="24"/>
        </w:rPr>
        <w:t>8</w:t>
      </w:r>
      <w:r>
        <w:rPr>
          <w:rFonts w:hint="eastAsia" w:ascii="仿宋" w:hAnsi="仿宋" w:eastAsia="仿宋" w:cs="仿宋"/>
          <w:spacing w:val="-4"/>
          <w:kern w:val="2"/>
          <w:szCs w:val="24"/>
          <w:lang w:val="en-US" w:eastAsia="zh-CN"/>
        </w:rPr>
        <w:t>.</w:t>
      </w:r>
      <w:r>
        <w:rPr>
          <w:rFonts w:hint="eastAsia" w:ascii="仿宋" w:hAnsi="仿宋" w:eastAsia="仿宋" w:cs="仿宋"/>
          <w:spacing w:val="-4"/>
          <w:kern w:val="2"/>
          <w:szCs w:val="24"/>
        </w:rPr>
        <w:t>节能设备：指本项目下所有由</w:t>
      </w:r>
      <w:r>
        <w:rPr>
          <w:rFonts w:hint="eastAsia" w:ascii="仿宋" w:hAnsi="仿宋" w:eastAsia="仿宋" w:cs="仿宋"/>
          <w:spacing w:val="-4"/>
          <w:kern w:val="2"/>
          <w:szCs w:val="24"/>
          <w:lang w:eastAsia="zh-CN"/>
        </w:rPr>
        <w:t>投标人</w:t>
      </w:r>
      <w:r>
        <w:rPr>
          <w:rFonts w:hint="eastAsia" w:ascii="仿宋" w:hAnsi="仿宋" w:eastAsia="仿宋" w:cs="仿宋"/>
          <w:spacing w:val="-4"/>
          <w:kern w:val="2"/>
          <w:szCs w:val="24"/>
        </w:rPr>
        <w:t>采购并安装的设备、设施、仪器和系统等财产。</w:t>
      </w:r>
    </w:p>
    <w:p w14:paraId="0A8BD1DE">
      <w:pPr>
        <w:spacing w:line="360" w:lineRule="auto"/>
        <w:ind w:firstLine="482" w:firstLineChars="200"/>
        <w:outlineLvl w:val="1"/>
        <w:rPr>
          <w:rFonts w:hint="eastAsia" w:ascii="仿宋" w:hAnsi="仿宋" w:eastAsia="仿宋" w:cs="仿宋"/>
          <w:b/>
          <w:bCs/>
          <w:sz w:val="24"/>
          <w:szCs w:val="24"/>
        </w:rPr>
      </w:pPr>
      <w:r>
        <w:rPr>
          <w:rFonts w:hint="eastAsia" w:ascii="仿宋" w:hAnsi="仿宋" w:eastAsia="仿宋" w:cs="仿宋"/>
          <w:b/>
          <w:bCs/>
          <w:sz w:val="24"/>
          <w:szCs w:val="24"/>
        </w:rPr>
        <w:t>三、项目需求</w:t>
      </w:r>
    </w:p>
    <w:p w14:paraId="30FEE6EC">
      <w:pPr>
        <w:spacing w:line="360" w:lineRule="auto"/>
        <w:ind w:firstLine="482" w:firstLineChars="200"/>
        <w:outlineLvl w:val="2"/>
        <w:rPr>
          <w:rFonts w:hint="eastAsia" w:ascii="仿宋" w:hAnsi="仿宋" w:eastAsia="仿宋" w:cs="仿宋"/>
          <w:b/>
          <w:bCs/>
          <w:sz w:val="24"/>
          <w:szCs w:val="24"/>
        </w:rPr>
      </w:pPr>
      <w:bookmarkStart w:id="49" w:name="_Toc5391"/>
      <w:r>
        <w:rPr>
          <w:rFonts w:hint="eastAsia" w:ascii="仿宋" w:hAnsi="仿宋" w:eastAsia="仿宋" w:cs="仿宋"/>
          <w:b/>
          <w:bCs/>
          <w:sz w:val="24"/>
          <w:szCs w:val="24"/>
        </w:rPr>
        <w:t>（一）</w:t>
      </w:r>
      <w:bookmarkEnd w:id="49"/>
      <w:r>
        <w:rPr>
          <w:rFonts w:hint="eastAsia" w:ascii="仿宋" w:hAnsi="仿宋" w:eastAsia="仿宋" w:cs="仿宋"/>
          <w:b/>
          <w:bCs/>
          <w:sz w:val="24"/>
          <w:szCs w:val="24"/>
        </w:rPr>
        <w:t>项目背景</w:t>
      </w:r>
    </w:p>
    <w:p w14:paraId="5C23EED9">
      <w:pPr>
        <w:spacing w:before="0" w:line="360" w:lineRule="auto"/>
        <w:ind w:firstLine="464" w:firstLineChars="200"/>
        <w:rPr>
          <w:rFonts w:hint="eastAsia" w:ascii="仿宋" w:hAnsi="仿宋" w:eastAsia="仿宋" w:cs="仿宋"/>
          <w:spacing w:val="-4"/>
        </w:rPr>
      </w:pPr>
      <w:r>
        <w:rPr>
          <w:rFonts w:hint="eastAsia" w:ascii="仿宋" w:hAnsi="仿宋" w:eastAsia="仿宋" w:cs="仿宋"/>
          <w:spacing w:val="-4"/>
        </w:rPr>
        <w:t>近些年来，伴随着扬州市中医院门诊住院人数的增加和设备老化严重，加之人们对医院服务水平的要求不断提升，以及现有能耗计量精度和后勤信息化建设的限制，医院的能源费用呈现逐年增长情况，难以通过简单的节能方式遏制住能源增长态势，医院能源管理难度越来越大，为深入贯彻习近平新时代中国特色社会主义思想，落实国家、省、市节能管理政策要求，推动</w:t>
      </w:r>
      <w:r>
        <w:rPr>
          <w:rFonts w:hint="eastAsia" w:ascii="仿宋" w:hAnsi="仿宋" w:eastAsia="仿宋" w:cs="仿宋"/>
          <w:spacing w:val="-4"/>
          <w:lang w:val="en-US" w:eastAsia="zh-CN"/>
        </w:rPr>
        <w:t>能源</w:t>
      </w:r>
      <w:r>
        <w:rPr>
          <w:rFonts w:hint="eastAsia" w:ascii="仿宋" w:hAnsi="仿宋" w:eastAsia="仿宋" w:cs="仿宋"/>
          <w:spacing w:val="-4"/>
        </w:rPr>
        <w:t>管理工作，起到节能示范引领作用。本项目旨在保障用能安全的情况下，通过实施专业化节能解决方案，采用能源费用托管型合同能源管理方式，委托第三方专业能源服务公司对我院进行节能改造和综合能源服务，提升医院能源综合利用水平，实现医院绿色低碳发展。</w:t>
      </w:r>
    </w:p>
    <w:p w14:paraId="6699005F">
      <w:pPr>
        <w:spacing w:line="360" w:lineRule="auto"/>
        <w:ind w:firstLine="482" w:firstLineChars="200"/>
        <w:outlineLvl w:val="2"/>
        <w:rPr>
          <w:rFonts w:hint="eastAsia" w:ascii="仿宋" w:hAnsi="仿宋" w:eastAsia="仿宋" w:cs="仿宋"/>
          <w:b/>
          <w:bCs/>
          <w:sz w:val="24"/>
          <w:szCs w:val="24"/>
        </w:rPr>
      </w:pPr>
      <w:r>
        <w:rPr>
          <w:rFonts w:hint="eastAsia" w:ascii="仿宋" w:hAnsi="仿宋" w:eastAsia="仿宋" w:cs="仿宋"/>
          <w:b/>
          <w:bCs/>
          <w:sz w:val="24"/>
          <w:szCs w:val="24"/>
        </w:rPr>
        <w:t>（二）项目基本情况</w:t>
      </w:r>
    </w:p>
    <w:p w14:paraId="01B16EAF">
      <w:pPr>
        <w:snapToGrid w:val="0"/>
        <w:spacing w:line="360" w:lineRule="auto"/>
        <w:ind w:firstLine="464" w:firstLineChars="200"/>
        <w:rPr>
          <w:rFonts w:hint="eastAsia" w:ascii="仿宋" w:hAnsi="仿宋" w:eastAsia="仿宋" w:cs="仿宋"/>
          <w:szCs w:val="24"/>
        </w:rPr>
      </w:pPr>
      <w:r>
        <w:rPr>
          <w:rFonts w:hint="eastAsia" w:ascii="仿宋" w:hAnsi="仿宋" w:eastAsia="仿宋" w:cs="仿宋"/>
          <w:spacing w:val="-4"/>
        </w:rPr>
        <w:t>扬州市中医院（文昌路院区）位于扬州市邗江区文昌西路577号，是一所集医疗、教学、科研、预防、保健、康复为一体的国家三级甲等中医医院。本次能源托管服务对象为文昌路院区全部在用建筑，总建筑面积57800㎡。主要建筑包括门诊医技病房综合楼、急诊综合楼、内科病房楼、行政楼、中医传统疗法中心、康复中心、食堂、药剂楼、教学楼、宿舍楼。急诊、病房等实行24小时不间断运行，门诊及办公区域建筑运行时间7:30-18:00，食堂运行时间6:00～19:00。2025年常驻人数1144人，开放床位数量688张，床位使用率88.4%，年门诊量572338人，急诊量28767人。</w:t>
      </w:r>
    </w:p>
    <w:p w14:paraId="6B1B9545">
      <w:pPr>
        <w:snapToGrid w:val="0"/>
        <w:spacing w:line="360" w:lineRule="auto"/>
        <w:ind w:firstLine="464" w:firstLineChars="200"/>
        <w:rPr>
          <w:rFonts w:hint="eastAsia" w:ascii="仿宋" w:hAnsi="仿宋" w:eastAsia="仿宋" w:cs="仿宋"/>
          <w:spacing w:val="-4"/>
        </w:rPr>
      </w:pPr>
      <w:r>
        <w:rPr>
          <w:rFonts w:hint="eastAsia" w:ascii="仿宋" w:hAnsi="仿宋" w:eastAsia="仿宋" w:cs="仿宋"/>
          <w:spacing w:val="-4"/>
        </w:rPr>
        <w:t>具体建筑信息见下表：</w:t>
      </w:r>
    </w:p>
    <w:tbl>
      <w:tblPr>
        <w:tblStyle w:val="39"/>
        <w:tblW w:w="51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7"/>
        <w:gridCol w:w="1770"/>
        <w:gridCol w:w="1255"/>
        <w:gridCol w:w="1519"/>
        <w:gridCol w:w="1255"/>
        <w:gridCol w:w="1787"/>
      </w:tblGrid>
      <w:tr w14:paraId="32B8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3" w:type="pct"/>
            <w:vAlign w:val="center"/>
          </w:tcPr>
          <w:p w14:paraId="26BFA66E">
            <w:pPr>
              <w:spacing w:before="0" w:after="0"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楼号</w:t>
            </w:r>
          </w:p>
        </w:tc>
        <w:tc>
          <w:tcPr>
            <w:tcW w:w="944" w:type="pct"/>
            <w:vAlign w:val="center"/>
          </w:tcPr>
          <w:p w14:paraId="6FE0004E">
            <w:pPr>
              <w:spacing w:before="0" w:after="0"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建筑名称</w:t>
            </w:r>
          </w:p>
        </w:tc>
        <w:tc>
          <w:tcPr>
            <w:tcW w:w="669" w:type="pct"/>
            <w:vAlign w:val="center"/>
          </w:tcPr>
          <w:p w14:paraId="7F78A200">
            <w:pPr>
              <w:spacing w:before="0" w:after="0"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建筑面积（m</w:t>
            </w:r>
            <w:r>
              <w:rPr>
                <w:rFonts w:hint="eastAsia" w:ascii="仿宋" w:hAnsi="仿宋" w:eastAsia="仿宋" w:cs="仿宋"/>
                <w:b/>
                <w:bCs/>
                <w:sz w:val="24"/>
                <w:szCs w:val="24"/>
                <w:vertAlign w:val="superscript"/>
              </w:rPr>
              <w:t>2</w:t>
            </w:r>
            <w:r>
              <w:rPr>
                <w:rFonts w:hint="eastAsia" w:ascii="仿宋" w:hAnsi="仿宋" w:eastAsia="仿宋" w:cs="仿宋"/>
                <w:b/>
                <w:bCs/>
                <w:sz w:val="24"/>
                <w:szCs w:val="24"/>
              </w:rPr>
              <w:t>）</w:t>
            </w:r>
          </w:p>
        </w:tc>
        <w:tc>
          <w:tcPr>
            <w:tcW w:w="810" w:type="pct"/>
            <w:vAlign w:val="center"/>
          </w:tcPr>
          <w:p w14:paraId="51EBD482">
            <w:pPr>
              <w:spacing w:before="0" w:after="0"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主要功能</w:t>
            </w:r>
          </w:p>
        </w:tc>
        <w:tc>
          <w:tcPr>
            <w:tcW w:w="669" w:type="pct"/>
            <w:vAlign w:val="center"/>
          </w:tcPr>
          <w:p w14:paraId="5F445877">
            <w:pPr>
              <w:spacing w:before="0" w:after="0"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建筑年代</w:t>
            </w:r>
          </w:p>
        </w:tc>
        <w:tc>
          <w:tcPr>
            <w:tcW w:w="953" w:type="pct"/>
            <w:vAlign w:val="center"/>
          </w:tcPr>
          <w:p w14:paraId="5C02B3E1">
            <w:pPr>
              <w:spacing w:before="0" w:after="0"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用能种类</w:t>
            </w:r>
          </w:p>
        </w:tc>
      </w:tr>
      <w:tr w14:paraId="0982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953" w:type="pct"/>
            <w:vAlign w:val="center"/>
          </w:tcPr>
          <w:p w14:paraId="11D51407">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1号楼</w:t>
            </w:r>
          </w:p>
        </w:tc>
        <w:tc>
          <w:tcPr>
            <w:tcW w:w="944" w:type="pct"/>
            <w:vAlign w:val="center"/>
          </w:tcPr>
          <w:p w14:paraId="7490219F">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门急诊医技病房综合楼</w:t>
            </w:r>
          </w:p>
        </w:tc>
        <w:tc>
          <w:tcPr>
            <w:tcW w:w="669" w:type="pct"/>
            <w:vAlign w:val="center"/>
          </w:tcPr>
          <w:p w14:paraId="5866CE7E">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38754.08</w:t>
            </w:r>
          </w:p>
        </w:tc>
        <w:tc>
          <w:tcPr>
            <w:tcW w:w="810" w:type="pct"/>
            <w:vAlign w:val="center"/>
          </w:tcPr>
          <w:p w14:paraId="7B0C89D1">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卫生医疗</w:t>
            </w:r>
          </w:p>
        </w:tc>
        <w:tc>
          <w:tcPr>
            <w:tcW w:w="669" w:type="pct"/>
            <w:vAlign w:val="center"/>
          </w:tcPr>
          <w:p w14:paraId="2B101329">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2011年</w:t>
            </w:r>
          </w:p>
        </w:tc>
        <w:tc>
          <w:tcPr>
            <w:tcW w:w="953" w:type="pct"/>
            <w:vAlign w:val="center"/>
          </w:tcPr>
          <w:p w14:paraId="22BBC5AB">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水、电、蒸汽</w:t>
            </w:r>
          </w:p>
        </w:tc>
      </w:tr>
      <w:tr w14:paraId="4F80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 w:type="pct"/>
            <w:vAlign w:val="center"/>
          </w:tcPr>
          <w:p w14:paraId="3979D900">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2号楼</w:t>
            </w:r>
          </w:p>
        </w:tc>
        <w:tc>
          <w:tcPr>
            <w:tcW w:w="944" w:type="pct"/>
            <w:vAlign w:val="center"/>
          </w:tcPr>
          <w:p w14:paraId="75B1817C">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急诊综合楼</w:t>
            </w:r>
          </w:p>
        </w:tc>
        <w:tc>
          <w:tcPr>
            <w:tcW w:w="669" w:type="pct"/>
            <w:vAlign w:val="center"/>
          </w:tcPr>
          <w:p w14:paraId="35C16F41">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4171</w:t>
            </w:r>
          </w:p>
        </w:tc>
        <w:tc>
          <w:tcPr>
            <w:tcW w:w="810" w:type="pct"/>
            <w:vAlign w:val="center"/>
          </w:tcPr>
          <w:p w14:paraId="58D5D82B">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卫生医疗</w:t>
            </w:r>
          </w:p>
        </w:tc>
        <w:tc>
          <w:tcPr>
            <w:tcW w:w="669" w:type="pct"/>
            <w:vAlign w:val="center"/>
          </w:tcPr>
          <w:p w14:paraId="1ED2D55F">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1986年</w:t>
            </w:r>
          </w:p>
        </w:tc>
        <w:tc>
          <w:tcPr>
            <w:tcW w:w="953" w:type="pct"/>
            <w:vAlign w:val="center"/>
          </w:tcPr>
          <w:p w14:paraId="195058A2">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水、电</w:t>
            </w:r>
          </w:p>
        </w:tc>
      </w:tr>
      <w:tr w14:paraId="0303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 w:type="pct"/>
            <w:vAlign w:val="center"/>
          </w:tcPr>
          <w:p w14:paraId="5421FD73">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3号楼</w:t>
            </w:r>
          </w:p>
        </w:tc>
        <w:tc>
          <w:tcPr>
            <w:tcW w:w="944" w:type="pct"/>
            <w:vAlign w:val="center"/>
          </w:tcPr>
          <w:p w14:paraId="00F36D3A">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内科病房楼</w:t>
            </w:r>
          </w:p>
        </w:tc>
        <w:tc>
          <w:tcPr>
            <w:tcW w:w="669" w:type="pct"/>
            <w:vAlign w:val="center"/>
          </w:tcPr>
          <w:p w14:paraId="15B207E4">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7711</w:t>
            </w:r>
          </w:p>
        </w:tc>
        <w:tc>
          <w:tcPr>
            <w:tcW w:w="810" w:type="pct"/>
            <w:vAlign w:val="center"/>
          </w:tcPr>
          <w:p w14:paraId="69E563AF">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卫生医疗</w:t>
            </w:r>
          </w:p>
        </w:tc>
        <w:tc>
          <w:tcPr>
            <w:tcW w:w="669" w:type="pct"/>
            <w:vAlign w:val="center"/>
          </w:tcPr>
          <w:p w14:paraId="202E1C36">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1992年</w:t>
            </w:r>
          </w:p>
        </w:tc>
        <w:tc>
          <w:tcPr>
            <w:tcW w:w="953" w:type="pct"/>
            <w:vAlign w:val="center"/>
          </w:tcPr>
          <w:p w14:paraId="23FD0781">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水、电</w:t>
            </w:r>
          </w:p>
        </w:tc>
      </w:tr>
      <w:tr w14:paraId="4991D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 w:type="pct"/>
            <w:vAlign w:val="center"/>
          </w:tcPr>
          <w:p w14:paraId="55F94173">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5号楼</w:t>
            </w:r>
          </w:p>
        </w:tc>
        <w:tc>
          <w:tcPr>
            <w:tcW w:w="944" w:type="pct"/>
            <w:vAlign w:val="center"/>
          </w:tcPr>
          <w:p w14:paraId="46396B7A">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行政楼</w:t>
            </w:r>
          </w:p>
        </w:tc>
        <w:tc>
          <w:tcPr>
            <w:tcW w:w="669" w:type="pct"/>
            <w:vAlign w:val="center"/>
          </w:tcPr>
          <w:p w14:paraId="23DCEF1B">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1352</w:t>
            </w:r>
          </w:p>
        </w:tc>
        <w:tc>
          <w:tcPr>
            <w:tcW w:w="810" w:type="pct"/>
            <w:vAlign w:val="center"/>
          </w:tcPr>
          <w:p w14:paraId="6DCDA9BC">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卫生医疗</w:t>
            </w:r>
          </w:p>
        </w:tc>
        <w:tc>
          <w:tcPr>
            <w:tcW w:w="669" w:type="pct"/>
            <w:vAlign w:val="center"/>
          </w:tcPr>
          <w:p w14:paraId="05F583B7">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2015年</w:t>
            </w:r>
          </w:p>
        </w:tc>
        <w:tc>
          <w:tcPr>
            <w:tcW w:w="953" w:type="pct"/>
            <w:vAlign w:val="center"/>
          </w:tcPr>
          <w:p w14:paraId="36CAC50B">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水、电</w:t>
            </w:r>
          </w:p>
        </w:tc>
      </w:tr>
      <w:tr w14:paraId="490D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 w:type="pct"/>
            <w:vAlign w:val="center"/>
          </w:tcPr>
          <w:p w14:paraId="70C46A5C">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6号楼</w:t>
            </w:r>
          </w:p>
        </w:tc>
        <w:tc>
          <w:tcPr>
            <w:tcW w:w="944" w:type="pct"/>
            <w:vAlign w:val="center"/>
          </w:tcPr>
          <w:p w14:paraId="7B0C1C81">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中医传统疗法中心</w:t>
            </w:r>
          </w:p>
        </w:tc>
        <w:tc>
          <w:tcPr>
            <w:tcW w:w="669" w:type="pct"/>
            <w:vAlign w:val="center"/>
          </w:tcPr>
          <w:p w14:paraId="1AAE6917">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332</w:t>
            </w:r>
          </w:p>
        </w:tc>
        <w:tc>
          <w:tcPr>
            <w:tcW w:w="810" w:type="pct"/>
            <w:vAlign w:val="center"/>
          </w:tcPr>
          <w:p w14:paraId="3002644F">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卫生医疗</w:t>
            </w:r>
          </w:p>
        </w:tc>
        <w:tc>
          <w:tcPr>
            <w:tcW w:w="669" w:type="pct"/>
            <w:vAlign w:val="center"/>
          </w:tcPr>
          <w:p w14:paraId="66CEF314">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1996年</w:t>
            </w:r>
          </w:p>
        </w:tc>
        <w:tc>
          <w:tcPr>
            <w:tcW w:w="953" w:type="pct"/>
            <w:vAlign w:val="center"/>
          </w:tcPr>
          <w:p w14:paraId="2C5031F0">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水、电</w:t>
            </w:r>
          </w:p>
        </w:tc>
      </w:tr>
      <w:tr w14:paraId="330F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 w:type="pct"/>
            <w:vAlign w:val="center"/>
          </w:tcPr>
          <w:p w14:paraId="108B06BD">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8号楼</w:t>
            </w:r>
          </w:p>
        </w:tc>
        <w:tc>
          <w:tcPr>
            <w:tcW w:w="944" w:type="pct"/>
            <w:vAlign w:val="center"/>
          </w:tcPr>
          <w:p w14:paraId="18068463">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康复中心</w:t>
            </w:r>
          </w:p>
        </w:tc>
        <w:tc>
          <w:tcPr>
            <w:tcW w:w="669" w:type="pct"/>
            <w:vAlign w:val="center"/>
          </w:tcPr>
          <w:p w14:paraId="4D119B90">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815</w:t>
            </w:r>
          </w:p>
        </w:tc>
        <w:tc>
          <w:tcPr>
            <w:tcW w:w="810" w:type="pct"/>
            <w:vAlign w:val="center"/>
          </w:tcPr>
          <w:p w14:paraId="3789B5BC">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卫生医疗</w:t>
            </w:r>
          </w:p>
        </w:tc>
        <w:tc>
          <w:tcPr>
            <w:tcW w:w="669" w:type="pct"/>
            <w:vAlign w:val="center"/>
          </w:tcPr>
          <w:p w14:paraId="390DBFA5">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2005年</w:t>
            </w:r>
          </w:p>
        </w:tc>
        <w:tc>
          <w:tcPr>
            <w:tcW w:w="953" w:type="pct"/>
            <w:vAlign w:val="center"/>
          </w:tcPr>
          <w:p w14:paraId="5F7DE851">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水、电</w:t>
            </w:r>
          </w:p>
        </w:tc>
      </w:tr>
      <w:tr w14:paraId="4909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3" w:type="pct"/>
            <w:vAlign w:val="center"/>
          </w:tcPr>
          <w:p w14:paraId="28E9261B">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9号楼</w:t>
            </w:r>
          </w:p>
        </w:tc>
        <w:tc>
          <w:tcPr>
            <w:tcW w:w="944" w:type="pct"/>
            <w:vAlign w:val="center"/>
          </w:tcPr>
          <w:p w14:paraId="66BED65F">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食堂</w:t>
            </w:r>
          </w:p>
        </w:tc>
        <w:tc>
          <w:tcPr>
            <w:tcW w:w="669" w:type="pct"/>
            <w:vAlign w:val="center"/>
          </w:tcPr>
          <w:p w14:paraId="4232E1C3">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888</w:t>
            </w:r>
          </w:p>
        </w:tc>
        <w:tc>
          <w:tcPr>
            <w:tcW w:w="810" w:type="pct"/>
            <w:vAlign w:val="center"/>
          </w:tcPr>
          <w:p w14:paraId="350BDB38">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餐饮</w:t>
            </w:r>
          </w:p>
        </w:tc>
        <w:tc>
          <w:tcPr>
            <w:tcW w:w="669" w:type="pct"/>
            <w:vAlign w:val="center"/>
          </w:tcPr>
          <w:p w14:paraId="22E5C3F8">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1995年</w:t>
            </w:r>
          </w:p>
        </w:tc>
        <w:tc>
          <w:tcPr>
            <w:tcW w:w="953" w:type="pct"/>
            <w:vAlign w:val="center"/>
          </w:tcPr>
          <w:p w14:paraId="639BC5A7">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水、电、蒸汽、天然气</w:t>
            </w:r>
          </w:p>
        </w:tc>
      </w:tr>
      <w:tr w14:paraId="65E4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 w:type="pct"/>
            <w:vAlign w:val="center"/>
          </w:tcPr>
          <w:p w14:paraId="0AB1AC82">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10号楼</w:t>
            </w:r>
          </w:p>
        </w:tc>
        <w:tc>
          <w:tcPr>
            <w:tcW w:w="944" w:type="pct"/>
            <w:vAlign w:val="center"/>
          </w:tcPr>
          <w:p w14:paraId="099740B0">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药剂楼</w:t>
            </w:r>
          </w:p>
        </w:tc>
        <w:tc>
          <w:tcPr>
            <w:tcW w:w="669" w:type="pct"/>
            <w:vAlign w:val="center"/>
          </w:tcPr>
          <w:p w14:paraId="0A994807">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937</w:t>
            </w:r>
          </w:p>
        </w:tc>
        <w:tc>
          <w:tcPr>
            <w:tcW w:w="810" w:type="pct"/>
            <w:vAlign w:val="center"/>
          </w:tcPr>
          <w:p w14:paraId="356CEED7">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卫生医疗</w:t>
            </w:r>
          </w:p>
        </w:tc>
        <w:tc>
          <w:tcPr>
            <w:tcW w:w="669" w:type="pct"/>
            <w:vAlign w:val="center"/>
          </w:tcPr>
          <w:p w14:paraId="2F136DB9">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1988年</w:t>
            </w:r>
          </w:p>
        </w:tc>
        <w:tc>
          <w:tcPr>
            <w:tcW w:w="953" w:type="pct"/>
            <w:vAlign w:val="center"/>
          </w:tcPr>
          <w:p w14:paraId="17650DDA">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水、电</w:t>
            </w:r>
          </w:p>
        </w:tc>
      </w:tr>
      <w:tr w14:paraId="47B1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 w:type="pct"/>
            <w:vAlign w:val="center"/>
          </w:tcPr>
          <w:p w14:paraId="235C1F3A">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11号楼</w:t>
            </w:r>
          </w:p>
        </w:tc>
        <w:tc>
          <w:tcPr>
            <w:tcW w:w="944" w:type="pct"/>
            <w:vAlign w:val="center"/>
          </w:tcPr>
          <w:p w14:paraId="02523620">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教学楼</w:t>
            </w:r>
          </w:p>
        </w:tc>
        <w:tc>
          <w:tcPr>
            <w:tcW w:w="669" w:type="pct"/>
            <w:vAlign w:val="center"/>
          </w:tcPr>
          <w:p w14:paraId="26F30ECB">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748</w:t>
            </w:r>
          </w:p>
        </w:tc>
        <w:tc>
          <w:tcPr>
            <w:tcW w:w="810" w:type="pct"/>
            <w:vAlign w:val="center"/>
          </w:tcPr>
          <w:p w14:paraId="558B38D2">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教学</w:t>
            </w:r>
          </w:p>
        </w:tc>
        <w:tc>
          <w:tcPr>
            <w:tcW w:w="669" w:type="pct"/>
            <w:vAlign w:val="center"/>
          </w:tcPr>
          <w:p w14:paraId="590FAE2C">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1997年</w:t>
            </w:r>
          </w:p>
        </w:tc>
        <w:tc>
          <w:tcPr>
            <w:tcW w:w="953" w:type="pct"/>
            <w:vAlign w:val="center"/>
          </w:tcPr>
          <w:p w14:paraId="4999BEAD">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水、电</w:t>
            </w:r>
          </w:p>
        </w:tc>
      </w:tr>
      <w:tr w14:paraId="21FA2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 w:type="pct"/>
            <w:vAlign w:val="center"/>
          </w:tcPr>
          <w:p w14:paraId="08CDB6D1">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15、16号楼</w:t>
            </w:r>
          </w:p>
        </w:tc>
        <w:tc>
          <w:tcPr>
            <w:tcW w:w="944" w:type="pct"/>
            <w:vAlign w:val="center"/>
          </w:tcPr>
          <w:p w14:paraId="761EE890">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宿舍</w:t>
            </w:r>
          </w:p>
        </w:tc>
        <w:tc>
          <w:tcPr>
            <w:tcW w:w="669" w:type="pct"/>
            <w:vAlign w:val="center"/>
          </w:tcPr>
          <w:p w14:paraId="1ACCCE81">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1110</w:t>
            </w:r>
          </w:p>
        </w:tc>
        <w:tc>
          <w:tcPr>
            <w:tcW w:w="810" w:type="pct"/>
            <w:vAlign w:val="center"/>
          </w:tcPr>
          <w:p w14:paraId="3E1AFDCF">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住宿</w:t>
            </w:r>
          </w:p>
        </w:tc>
        <w:tc>
          <w:tcPr>
            <w:tcW w:w="669" w:type="pct"/>
            <w:vAlign w:val="center"/>
          </w:tcPr>
          <w:p w14:paraId="2C87CAF6">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1991年</w:t>
            </w:r>
          </w:p>
        </w:tc>
        <w:tc>
          <w:tcPr>
            <w:tcW w:w="953" w:type="pct"/>
            <w:vAlign w:val="center"/>
          </w:tcPr>
          <w:p w14:paraId="70821442">
            <w:pPr>
              <w:spacing w:before="0" w:after="0" w:line="400" w:lineRule="exact"/>
              <w:jc w:val="center"/>
              <w:rPr>
                <w:rFonts w:hint="eastAsia" w:ascii="仿宋" w:hAnsi="仿宋" w:eastAsia="仿宋" w:cs="仿宋"/>
                <w:sz w:val="24"/>
                <w:szCs w:val="24"/>
              </w:rPr>
            </w:pPr>
            <w:r>
              <w:rPr>
                <w:rFonts w:hint="eastAsia" w:ascii="仿宋" w:hAnsi="仿宋" w:eastAsia="仿宋" w:cs="仿宋"/>
                <w:sz w:val="24"/>
                <w:szCs w:val="24"/>
              </w:rPr>
              <w:t>水、电、蒸汽</w:t>
            </w:r>
          </w:p>
        </w:tc>
      </w:tr>
    </w:tbl>
    <w:p w14:paraId="7A2EECA7">
      <w:pPr>
        <w:spacing w:before="0" w:line="360" w:lineRule="auto"/>
        <w:ind w:firstLine="464" w:firstLineChars="200"/>
        <w:rPr>
          <w:rFonts w:hint="eastAsia" w:ascii="仿宋" w:hAnsi="仿宋" w:eastAsia="仿宋" w:cs="仿宋"/>
          <w:spacing w:val="-4"/>
        </w:rPr>
      </w:pPr>
      <w:r>
        <w:rPr>
          <w:rFonts w:hint="eastAsia" w:ascii="仿宋" w:hAnsi="仿宋" w:eastAsia="仿宋" w:cs="仿宋"/>
          <w:spacing w:val="-4"/>
        </w:rPr>
        <w:t>综合能源托管服务范围包括扬州市中医院（文昌路院区）共10栋楼（1、2、3、5、6、8、10、11、15、16号楼）共计55930.08</w:t>
      </w:r>
      <w:r>
        <w:rPr>
          <w:rFonts w:hint="eastAsia" w:ascii="仿宋" w:hAnsi="仿宋" w:eastAsia="仿宋" w:cs="仿宋"/>
          <w:spacing w:val="-4"/>
          <w:lang w:eastAsia="zh-CN"/>
        </w:rPr>
        <w:t>㎡</w:t>
      </w:r>
      <w:r>
        <w:rPr>
          <w:rFonts w:hint="eastAsia" w:ascii="仿宋" w:hAnsi="仿宋" w:eastAsia="仿宋" w:cs="仿宋"/>
          <w:spacing w:val="-4"/>
        </w:rPr>
        <w:t>（</w:t>
      </w:r>
      <w:r>
        <w:rPr>
          <w:rFonts w:hint="eastAsia" w:ascii="仿宋" w:hAnsi="仿宋" w:eastAsia="仿宋" w:cs="仿宋"/>
          <w:spacing w:val="-4"/>
          <w:lang w:eastAsia="zh-CN"/>
        </w:rPr>
        <w:t>食堂除外</w:t>
      </w:r>
      <w:r>
        <w:rPr>
          <w:rFonts w:hint="eastAsia" w:ascii="仿宋" w:hAnsi="仿宋" w:eastAsia="仿宋" w:cs="仿宋"/>
          <w:spacing w:val="-4"/>
        </w:rPr>
        <w:t>）的用电、蒸汽及用水，其它能源不在此次托管范围内。</w:t>
      </w:r>
    </w:p>
    <w:p w14:paraId="285318C4">
      <w:pPr>
        <w:spacing w:line="360" w:lineRule="auto"/>
        <w:ind w:firstLine="482" w:firstLineChars="200"/>
        <w:outlineLvl w:val="2"/>
        <w:rPr>
          <w:rFonts w:hint="eastAsia" w:ascii="仿宋" w:hAnsi="仿宋" w:eastAsia="仿宋" w:cs="仿宋"/>
          <w:b/>
          <w:bCs/>
          <w:sz w:val="24"/>
          <w:szCs w:val="24"/>
        </w:rPr>
      </w:pPr>
      <w:r>
        <w:rPr>
          <w:rFonts w:hint="eastAsia" w:ascii="仿宋" w:hAnsi="仿宋" w:eastAsia="仿宋" w:cs="仿宋"/>
          <w:b/>
          <w:bCs/>
          <w:sz w:val="24"/>
          <w:szCs w:val="24"/>
        </w:rPr>
        <w:t>（三）医院用能系统现状</w:t>
      </w:r>
    </w:p>
    <w:p w14:paraId="1F8E6695">
      <w:pPr>
        <w:spacing w:line="360" w:lineRule="auto"/>
        <w:ind w:right="-159" w:firstLine="480"/>
        <w:rPr>
          <w:rFonts w:hint="eastAsia" w:ascii="仿宋" w:hAnsi="仿宋" w:eastAsia="仿宋" w:cs="仿宋"/>
          <w:spacing w:val="-4"/>
        </w:rPr>
      </w:pPr>
      <w:r>
        <w:rPr>
          <w:rFonts w:hint="eastAsia" w:ascii="仿宋" w:hAnsi="仿宋" w:eastAsia="仿宋" w:cs="仿宋"/>
          <w:spacing w:val="-4"/>
        </w:rPr>
        <w:t>医院用能系统主要包括以下子系统：暖通空调、热水系统、蒸汽系统、照明系统、办公系统、动力系统、餐饮设备、医疗系统以及其他系统等。各用能系统消耗的能源主要为电力、市政蒸汽、自来水和天然气，其中电力主要用于空调系统、照明系统、动力系统、生活热水、信息机房、消防及其它等；市政蒸汽主要用于暖通系统、生活热水、供应室消毒及食堂餐饮等；自来水主要用于住院医疗用水、暖通空调和食堂餐饮等；天然气主要用于食堂餐饮，具体设备清单详见相关能源审计文件。</w:t>
      </w:r>
    </w:p>
    <w:tbl>
      <w:tblPr>
        <w:tblStyle w:val="38"/>
        <w:tblW w:w="83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64" w:type="dxa"/>
          <w:left w:w="128" w:type="dxa"/>
          <w:bottom w:w="64" w:type="dxa"/>
          <w:right w:w="128" w:type="dxa"/>
        </w:tblCellMar>
      </w:tblPr>
      <w:tblGrid>
        <w:gridCol w:w="1813"/>
        <w:gridCol w:w="6524"/>
      </w:tblGrid>
      <w:tr w14:paraId="3A41A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64" w:type="dxa"/>
            <w:left w:w="128" w:type="dxa"/>
            <w:bottom w:w="64" w:type="dxa"/>
            <w:right w:w="128" w:type="dxa"/>
          </w:tblCellMar>
        </w:tblPrEx>
        <w:trPr>
          <w:trHeight w:val="616" w:hRule="atLeast"/>
          <w:tblHeader/>
          <w:jc w:val="center"/>
        </w:trPr>
        <w:tc>
          <w:tcPr>
            <w:tcW w:w="1813" w:type="dxa"/>
            <w:vAlign w:val="center"/>
          </w:tcPr>
          <w:p w14:paraId="33194FFB">
            <w:pPr>
              <w:pStyle w:val="662"/>
              <w:spacing w:before="0" w:line="400" w:lineRule="exact"/>
              <w:ind w:left="236" w:right="229"/>
              <w:jc w:val="center"/>
              <w:rPr>
                <w:rFonts w:hint="eastAsia" w:ascii="仿宋" w:hAnsi="仿宋" w:eastAsia="仿宋" w:cs="仿宋"/>
                <w:b/>
                <w:bCs w:val="0"/>
                <w:sz w:val="24"/>
              </w:rPr>
            </w:pPr>
            <w:r>
              <w:rPr>
                <w:rFonts w:hint="eastAsia" w:ascii="仿宋" w:hAnsi="仿宋" w:eastAsia="仿宋" w:cs="仿宋"/>
                <w:b/>
                <w:bCs w:val="0"/>
                <w:sz w:val="24"/>
              </w:rPr>
              <w:t>类别</w:t>
            </w:r>
          </w:p>
        </w:tc>
        <w:tc>
          <w:tcPr>
            <w:tcW w:w="6524" w:type="dxa"/>
            <w:vAlign w:val="center"/>
          </w:tcPr>
          <w:p w14:paraId="6D1E30C4">
            <w:pPr>
              <w:pStyle w:val="662"/>
              <w:spacing w:before="0" w:line="400" w:lineRule="exact"/>
              <w:ind w:left="236" w:right="229"/>
              <w:jc w:val="center"/>
              <w:rPr>
                <w:rFonts w:hint="eastAsia" w:ascii="仿宋" w:hAnsi="仿宋" w:eastAsia="仿宋" w:cs="仿宋"/>
                <w:b/>
                <w:bCs w:val="0"/>
                <w:sz w:val="24"/>
              </w:rPr>
            </w:pPr>
            <w:r>
              <w:rPr>
                <w:rFonts w:hint="eastAsia" w:ascii="仿宋" w:hAnsi="仿宋" w:eastAsia="仿宋" w:cs="仿宋"/>
                <w:b/>
                <w:bCs w:val="0"/>
                <w:sz w:val="24"/>
              </w:rPr>
              <w:t>主要内容</w:t>
            </w:r>
          </w:p>
        </w:tc>
      </w:tr>
      <w:tr w14:paraId="0128B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64" w:type="dxa"/>
            <w:left w:w="128" w:type="dxa"/>
            <w:bottom w:w="64" w:type="dxa"/>
            <w:right w:w="128" w:type="dxa"/>
          </w:tblCellMar>
        </w:tblPrEx>
        <w:trPr>
          <w:trHeight w:val="693" w:hRule="atLeast"/>
          <w:jc w:val="center"/>
        </w:trPr>
        <w:tc>
          <w:tcPr>
            <w:tcW w:w="1813" w:type="dxa"/>
            <w:vAlign w:val="center"/>
          </w:tcPr>
          <w:p w14:paraId="04C533C0">
            <w:pPr>
              <w:pStyle w:val="662"/>
              <w:spacing w:line="400" w:lineRule="exact"/>
              <w:ind w:left="236" w:right="229"/>
              <w:jc w:val="center"/>
              <w:rPr>
                <w:rFonts w:hint="eastAsia" w:ascii="仿宋" w:hAnsi="仿宋" w:eastAsia="仿宋" w:cs="仿宋"/>
                <w:sz w:val="24"/>
              </w:rPr>
            </w:pPr>
            <w:r>
              <w:rPr>
                <w:rFonts w:hint="eastAsia" w:ascii="仿宋" w:hAnsi="仿宋" w:eastAsia="仿宋" w:cs="仿宋"/>
                <w:sz w:val="24"/>
              </w:rPr>
              <w:t>暖通空调</w:t>
            </w:r>
          </w:p>
        </w:tc>
        <w:tc>
          <w:tcPr>
            <w:tcW w:w="6524" w:type="dxa"/>
            <w:vAlign w:val="center"/>
          </w:tcPr>
          <w:p w14:paraId="1C5EEFF8">
            <w:pPr>
              <w:pStyle w:val="662"/>
              <w:spacing w:before="0" w:line="400" w:lineRule="exact"/>
              <w:ind w:left="106" w:right="101"/>
              <w:jc w:val="center"/>
              <w:rPr>
                <w:rFonts w:hint="eastAsia" w:ascii="仿宋" w:hAnsi="仿宋" w:eastAsia="仿宋" w:cs="仿宋"/>
                <w:sz w:val="24"/>
              </w:rPr>
            </w:pPr>
            <w:r>
              <w:rPr>
                <w:rFonts w:hint="eastAsia" w:ascii="仿宋" w:hAnsi="仿宋" w:eastAsia="仿宋" w:cs="仿宋"/>
                <w:sz w:val="24"/>
              </w:rPr>
              <w:t>主要为冷水机组、风冷热泵、循环水泵、多联式空调机组、分体空调、市政蒸汽、换热器等</w:t>
            </w:r>
          </w:p>
        </w:tc>
      </w:tr>
      <w:tr w14:paraId="79CFC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64" w:type="dxa"/>
            <w:left w:w="128" w:type="dxa"/>
            <w:bottom w:w="64" w:type="dxa"/>
            <w:right w:w="128" w:type="dxa"/>
          </w:tblCellMar>
        </w:tblPrEx>
        <w:trPr>
          <w:jc w:val="center"/>
        </w:trPr>
        <w:tc>
          <w:tcPr>
            <w:tcW w:w="1813" w:type="dxa"/>
            <w:vAlign w:val="center"/>
          </w:tcPr>
          <w:p w14:paraId="48D32917">
            <w:pPr>
              <w:pStyle w:val="662"/>
              <w:spacing w:before="0" w:line="400" w:lineRule="exact"/>
              <w:ind w:left="236" w:right="229"/>
              <w:jc w:val="center"/>
              <w:rPr>
                <w:rFonts w:hint="eastAsia" w:ascii="仿宋" w:hAnsi="仿宋" w:eastAsia="仿宋" w:cs="仿宋"/>
                <w:sz w:val="24"/>
              </w:rPr>
            </w:pPr>
            <w:r>
              <w:rPr>
                <w:rFonts w:hint="eastAsia" w:ascii="仿宋" w:hAnsi="仿宋" w:eastAsia="仿宋" w:cs="仿宋"/>
                <w:sz w:val="24"/>
              </w:rPr>
              <w:t>热水系统</w:t>
            </w:r>
          </w:p>
        </w:tc>
        <w:tc>
          <w:tcPr>
            <w:tcW w:w="6524" w:type="dxa"/>
            <w:vAlign w:val="center"/>
          </w:tcPr>
          <w:p w14:paraId="6F8CD985">
            <w:pPr>
              <w:pStyle w:val="662"/>
              <w:spacing w:before="0" w:line="400" w:lineRule="exact"/>
              <w:ind w:left="106"/>
              <w:jc w:val="center"/>
              <w:rPr>
                <w:rFonts w:hint="eastAsia" w:ascii="仿宋" w:hAnsi="仿宋" w:eastAsia="仿宋" w:cs="仿宋"/>
                <w:sz w:val="24"/>
              </w:rPr>
            </w:pPr>
            <w:r>
              <w:rPr>
                <w:rFonts w:hint="eastAsia" w:ascii="仿宋" w:hAnsi="仿宋" w:eastAsia="仿宋" w:cs="仿宋"/>
                <w:sz w:val="24"/>
              </w:rPr>
              <w:t>市政蒸汽、换热器等</w:t>
            </w:r>
          </w:p>
        </w:tc>
      </w:tr>
      <w:tr w14:paraId="478AE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64" w:type="dxa"/>
            <w:left w:w="128" w:type="dxa"/>
            <w:bottom w:w="64" w:type="dxa"/>
            <w:right w:w="128" w:type="dxa"/>
          </w:tblCellMar>
        </w:tblPrEx>
        <w:trPr>
          <w:jc w:val="center"/>
        </w:trPr>
        <w:tc>
          <w:tcPr>
            <w:tcW w:w="1813" w:type="dxa"/>
            <w:vAlign w:val="center"/>
          </w:tcPr>
          <w:p w14:paraId="6D01E6C2">
            <w:pPr>
              <w:pStyle w:val="662"/>
              <w:spacing w:before="0" w:line="400" w:lineRule="exact"/>
              <w:ind w:left="236" w:right="229"/>
              <w:jc w:val="center"/>
              <w:rPr>
                <w:rFonts w:hint="eastAsia" w:ascii="仿宋" w:hAnsi="仿宋" w:eastAsia="仿宋" w:cs="仿宋"/>
                <w:sz w:val="24"/>
              </w:rPr>
            </w:pPr>
            <w:r>
              <w:rPr>
                <w:rFonts w:hint="eastAsia" w:ascii="仿宋" w:hAnsi="仿宋" w:eastAsia="仿宋" w:cs="仿宋"/>
                <w:sz w:val="24"/>
              </w:rPr>
              <w:t>蒸汽系统</w:t>
            </w:r>
          </w:p>
        </w:tc>
        <w:tc>
          <w:tcPr>
            <w:tcW w:w="6524" w:type="dxa"/>
            <w:vAlign w:val="center"/>
          </w:tcPr>
          <w:p w14:paraId="654F09AC">
            <w:pPr>
              <w:pStyle w:val="662"/>
              <w:spacing w:before="0" w:line="400" w:lineRule="exact"/>
              <w:ind w:left="106"/>
              <w:jc w:val="center"/>
              <w:rPr>
                <w:rFonts w:hint="eastAsia" w:ascii="仿宋" w:hAnsi="仿宋" w:eastAsia="仿宋" w:cs="仿宋"/>
                <w:sz w:val="24"/>
              </w:rPr>
            </w:pPr>
            <w:r>
              <w:rPr>
                <w:rFonts w:hint="eastAsia" w:ascii="仿宋" w:hAnsi="仿宋" w:eastAsia="仿宋" w:cs="仿宋"/>
                <w:sz w:val="24"/>
              </w:rPr>
              <w:t>市政蒸汽、分汽缸等</w:t>
            </w:r>
          </w:p>
        </w:tc>
      </w:tr>
      <w:tr w14:paraId="78E45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64" w:type="dxa"/>
            <w:left w:w="128" w:type="dxa"/>
            <w:bottom w:w="64" w:type="dxa"/>
            <w:right w:w="128" w:type="dxa"/>
          </w:tblCellMar>
        </w:tblPrEx>
        <w:trPr>
          <w:jc w:val="center"/>
        </w:trPr>
        <w:tc>
          <w:tcPr>
            <w:tcW w:w="1813" w:type="dxa"/>
            <w:vAlign w:val="center"/>
          </w:tcPr>
          <w:p w14:paraId="132CCA24">
            <w:pPr>
              <w:pStyle w:val="662"/>
              <w:spacing w:before="0" w:line="400" w:lineRule="exact"/>
              <w:ind w:left="236" w:right="229"/>
              <w:jc w:val="center"/>
              <w:rPr>
                <w:rFonts w:hint="eastAsia" w:ascii="仿宋" w:hAnsi="仿宋" w:eastAsia="仿宋" w:cs="仿宋"/>
                <w:sz w:val="24"/>
              </w:rPr>
            </w:pPr>
            <w:r>
              <w:rPr>
                <w:rFonts w:hint="eastAsia" w:ascii="仿宋" w:hAnsi="仿宋" w:eastAsia="仿宋" w:cs="仿宋"/>
                <w:sz w:val="24"/>
              </w:rPr>
              <w:t>照明系统</w:t>
            </w:r>
          </w:p>
        </w:tc>
        <w:tc>
          <w:tcPr>
            <w:tcW w:w="6524" w:type="dxa"/>
            <w:vAlign w:val="center"/>
          </w:tcPr>
          <w:p w14:paraId="385390BC">
            <w:pPr>
              <w:pStyle w:val="662"/>
              <w:spacing w:before="0" w:line="400" w:lineRule="exact"/>
              <w:ind w:left="106"/>
              <w:jc w:val="center"/>
              <w:rPr>
                <w:rFonts w:hint="eastAsia" w:ascii="仿宋" w:hAnsi="仿宋" w:eastAsia="仿宋" w:cs="仿宋"/>
                <w:sz w:val="24"/>
              </w:rPr>
            </w:pPr>
            <w:r>
              <w:rPr>
                <w:rFonts w:hint="eastAsia" w:ascii="仿宋" w:hAnsi="仿宋" w:eastAsia="仿宋" w:cs="仿宋"/>
                <w:sz w:val="24"/>
              </w:rPr>
              <w:t>LED灯、筒灯、平板灯等</w:t>
            </w:r>
          </w:p>
        </w:tc>
      </w:tr>
      <w:tr w14:paraId="48A26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64" w:type="dxa"/>
            <w:left w:w="128" w:type="dxa"/>
            <w:bottom w:w="64" w:type="dxa"/>
            <w:right w:w="128" w:type="dxa"/>
          </w:tblCellMar>
        </w:tblPrEx>
        <w:trPr>
          <w:jc w:val="center"/>
        </w:trPr>
        <w:tc>
          <w:tcPr>
            <w:tcW w:w="1813" w:type="dxa"/>
            <w:vAlign w:val="center"/>
          </w:tcPr>
          <w:p w14:paraId="69F0481C">
            <w:pPr>
              <w:pStyle w:val="662"/>
              <w:spacing w:before="0" w:line="400" w:lineRule="exact"/>
              <w:ind w:left="236" w:right="229"/>
              <w:jc w:val="center"/>
              <w:rPr>
                <w:rFonts w:hint="eastAsia" w:ascii="仿宋" w:hAnsi="仿宋" w:eastAsia="仿宋" w:cs="仿宋"/>
                <w:sz w:val="24"/>
              </w:rPr>
            </w:pPr>
            <w:r>
              <w:rPr>
                <w:rFonts w:hint="eastAsia" w:ascii="仿宋" w:hAnsi="仿宋" w:eastAsia="仿宋" w:cs="仿宋"/>
                <w:sz w:val="24"/>
              </w:rPr>
              <w:t>动力系统</w:t>
            </w:r>
          </w:p>
        </w:tc>
        <w:tc>
          <w:tcPr>
            <w:tcW w:w="6524" w:type="dxa"/>
            <w:vAlign w:val="center"/>
          </w:tcPr>
          <w:p w14:paraId="420B5AAD">
            <w:pPr>
              <w:pStyle w:val="662"/>
              <w:spacing w:before="0" w:line="400" w:lineRule="exact"/>
              <w:ind w:left="106"/>
              <w:jc w:val="center"/>
              <w:rPr>
                <w:rFonts w:hint="eastAsia" w:ascii="仿宋" w:hAnsi="仿宋" w:eastAsia="仿宋" w:cs="仿宋"/>
                <w:sz w:val="24"/>
              </w:rPr>
            </w:pPr>
            <w:r>
              <w:rPr>
                <w:rFonts w:hint="eastAsia" w:ascii="仿宋" w:hAnsi="仿宋" w:eastAsia="仿宋" w:cs="仿宋"/>
                <w:sz w:val="24"/>
              </w:rPr>
              <w:t>电梯、生活水泵、污水泵、消防水泵等</w:t>
            </w:r>
          </w:p>
        </w:tc>
      </w:tr>
      <w:tr w14:paraId="0200E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64" w:type="dxa"/>
            <w:left w:w="128" w:type="dxa"/>
            <w:bottom w:w="64" w:type="dxa"/>
            <w:right w:w="128" w:type="dxa"/>
          </w:tblCellMar>
        </w:tblPrEx>
        <w:trPr>
          <w:jc w:val="center"/>
        </w:trPr>
        <w:tc>
          <w:tcPr>
            <w:tcW w:w="1813" w:type="dxa"/>
            <w:vAlign w:val="center"/>
          </w:tcPr>
          <w:p w14:paraId="47162B81">
            <w:pPr>
              <w:pStyle w:val="662"/>
              <w:spacing w:before="0" w:line="400" w:lineRule="exact"/>
              <w:ind w:left="236" w:right="229"/>
              <w:jc w:val="center"/>
              <w:rPr>
                <w:rFonts w:hint="eastAsia" w:ascii="仿宋" w:hAnsi="仿宋" w:eastAsia="仿宋" w:cs="仿宋"/>
                <w:sz w:val="24"/>
              </w:rPr>
            </w:pPr>
            <w:r>
              <w:rPr>
                <w:rFonts w:hint="eastAsia" w:ascii="仿宋" w:hAnsi="仿宋" w:eastAsia="仿宋" w:cs="仿宋"/>
                <w:sz w:val="24"/>
              </w:rPr>
              <w:t>餐饮设备</w:t>
            </w:r>
          </w:p>
        </w:tc>
        <w:tc>
          <w:tcPr>
            <w:tcW w:w="6524" w:type="dxa"/>
            <w:vAlign w:val="center"/>
          </w:tcPr>
          <w:p w14:paraId="388FDC3D">
            <w:pPr>
              <w:pStyle w:val="662"/>
              <w:spacing w:before="0" w:line="400" w:lineRule="exact"/>
              <w:ind w:left="106"/>
              <w:jc w:val="center"/>
              <w:rPr>
                <w:rFonts w:hint="eastAsia" w:ascii="仿宋" w:hAnsi="仿宋" w:eastAsia="仿宋" w:cs="仿宋"/>
                <w:sz w:val="24"/>
              </w:rPr>
            </w:pPr>
            <w:r>
              <w:rPr>
                <w:rFonts w:hint="eastAsia" w:ascii="仿宋" w:hAnsi="仿宋" w:eastAsia="仿宋" w:cs="仿宋"/>
                <w:sz w:val="24"/>
              </w:rPr>
              <w:t>冰箱、电烤炉、灶具等</w:t>
            </w:r>
          </w:p>
        </w:tc>
      </w:tr>
      <w:tr w14:paraId="1FE1F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64" w:type="dxa"/>
            <w:left w:w="128" w:type="dxa"/>
            <w:bottom w:w="64" w:type="dxa"/>
            <w:right w:w="128" w:type="dxa"/>
          </w:tblCellMar>
        </w:tblPrEx>
        <w:trPr>
          <w:jc w:val="center"/>
        </w:trPr>
        <w:tc>
          <w:tcPr>
            <w:tcW w:w="1813" w:type="dxa"/>
            <w:vAlign w:val="center"/>
          </w:tcPr>
          <w:p w14:paraId="784331FD">
            <w:pPr>
              <w:pStyle w:val="662"/>
              <w:spacing w:before="0" w:line="400" w:lineRule="exact"/>
              <w:ind w:left="236" w:right="229"/>
              <w:jc w:val="center"/>
              <w:rPr>
                <w:rFonts w:hint="eastAsia" w:ascii="仿宋" w:hAnsi="仿宋" w:eastAsia="仿宋" w:cs="仿宋"/>
                <w:sz w:val="24"/>
              </w:rPr>
            </w:pPr>
            <w:r>
              <w:rPr>
                <w:rFonts w:hint="eastAsia" w:ascii="仿宋" w:hAnsi="仿宋" w:eastAsia="仿宋" w:cs="仿宋"/>
                <w:sz w:val="24"/>
              </w:rPr>
              <w:t>办公设备</w:t>
            </w:r>
          </w:p>
        </w:tc>
        <w:tc>
          <w:tcPr>
            <w:tcW w:w="6524" w:type="dxa"/>
            <w:vAlign w:val="center"/>
          </w:tcPr>
          <w:p w14:paraId="44E1A774">
            <w:pPr>
              <w:pStyle w:val="662"/>
              <w:spacing w:before="0" w:line="400" w:lineRule="exact"/>
              <w:ind w:left="106"/>
              <w:jc w:val="center"/>
              <w:rPr>
                <w:rFonts w:hint="eastAsia" w:ascii="仿宋" w:hAnsi="仿宋" w:eastAsia="仿宋" w:cs="仿宋"/>
                <w:sz w:val="24"/>
              </w:rPr>
            </w:pPr>
            <w:r>
              <w:rPr>
                <w:rFonts w:hint="eastAsia" w:ascii="仿宋" w:hAnsi="仿宋" w:eastAsia="仿宋" w:cs="仿宋"/>
                <w:sz w:val="24"/>
              </w:rPr>
              <w:t>电脑、打印机等</w:t>
            </w:r>
          </w:p>
        </w:tc>
      </w:tr>
      <w:tr w14:paraId="65E82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64" w:type="dxa"/>
            <w:left w:w="128" w:type="dxa"/>
            <w:bottom w:w="64" w:type="dxa"/>
            <w:right w:w="128" w:type="dxa"/>
          </w:tblCellMar>
        </w:tblPrEx>
        <w:trPr>
          <w:jc w:val="center"/>
        </w:trPr>
        <w:tc>
          <w:tcPr>
            <w:tcW w:w="1813" w:type="dxa"/>
            <w:vAlign w:val="center"/>
          </w:tcPr>
          <w:p w14:paraId="3AD9A0AA">
            <w:pPr>
              <w:pStyle w:val="662"/>
              <w:spacing w:before="0" w:line="400" w:lineRule="exact"/>
              <w:ind w:left="236" w:right="229"/>
              <w:jc w:val="center"/>
              <w:rPr>
                <w:rFonts w:hint="eastAsia" w:ascii="仿宋" w:hAnsi="仿宋" w:eastAsia="仿宋" w:cs="仿宋"/>
                <w:sz w:val="24"/>
              </w:rPr>
            </w:pPr>
            <w:r>
              <w:rPr>
                <w:rFonts w:hint="eastAsia" w:ascii="仿宋" w:hAnsi="仿宋" w:eastAsia="仿宋" w:cs="仿宋"/>
                <w:sz w:val="24"/>
              </w:rPr>
              <w:t>医疗系统</w:t>
            </w:r>
          </w:p>
        </w:tc>
        <w:tc>
          <w:tcPr>
            <w:tcW w:w="6524" w:type="dxa"/>
            <w:vAlign w:val="center"/>
          </w:tcPr>
          <w:p w14:paraId="49F5631D">
            <w:pPr>
              <w:pStyle w:val="662"/>
              <w:spacing w:before="0" w:line="400" w:lineRule="exact"/>
              <w:ind w:left="106"/>
              <w:jc w:val="center"/>
              <w:rPr>
                <w:rFonts w:hint="eastAsia" w:ascii="仿宋" w:hAnsi="仿宋" w:eastAsia="仿宋" w:cs="仿宋"/>
                <w:sz w:val="24"/>
              </w:rPr>
            </w:pPr>
            <w:r>
              <w:rPr>
                <w:rFonts w:hint="eastAsia" w:ascii="仿宋" w:hAnsi="仿宋" w:eastAsia="仿宋" w:cs="仿宋"/>
                <w:sz w:val="24"/>
              </w:rPr>
              <w:t>CT、超声诊断仪、呼吸机、消毒机、无影灯等</w:t>
            </w:r>
          </w:p>
        </w:tc>
      </w:tr>
      <w:tr w14:paraId="28A12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64" w:type="dxa"/>
            <w:left w:w="128" w:type="dxa"/>
            <w:bottom w:w="64" w:type="dxa"/>
            <w:right w:w="128" w:type="dxa"/>
          </w:tblCellMar>
        </w:tblPrEx>
        <w:trPr>
          <w:jc w:val="center"/>
        </w:trPr>
        <w:tc>
          <w:tcPr>
            <w:tcW w:w="1813" w:type="dxa"/>
            <w:vAlign w:val="center"/>
          </w:tcPr>
          <w:p w14:paraId="1588450F">
            <w:pPr>
              <w:pStyle w:val="662"/>
              <w:spacing w:before="0" w:line="400" w:lineRule="exact"/>
              <w:ind w:left="236" w:right="229"/>
              <w:jc w:val="center"/>
              <w:rPr>
                <w:rFonts w:hint="eastAsia" w:ascii="仿宋" w:hAnsi="仿宋" w:eastAsia="仿宋" w:cs="仿宋"/>
                <w:sz w:val="24"/>
              </w:rPr>
            </w:pPr>
            <w:r>
              <w:rPr>
                <w:rFonts w:hint="eastAsia" w:ascii="仿宋" w:hAnsi="仿宋" w:eastAsia="仿宋" w:cs="仿宋"/>
                <w:sz w:val="24"/>
              </w:rPr>
              <w:t>其他</w:t>
            </w:r>
          </w:p>
        </w:tc>
        <w:tc>
          <w:tcPr>
            <w:tcW w:w="6524" w:type="dxa"/>
            <w:vAlign w:val="center"/>
          </w:tcPr>
          <w:p w14:paraId="27CE18FB">
            <w:pPr>
              <w:pStyle w:val="662"/>
              <w:spacing w:before="0" w:line="400" w:lineRule="exact"/>
              <w:ind w:left="106"/>
              <w:jc w:val="center"/>
              <w:rPr>
                <w:rFonts w:hint="eastAsia" w:ascii="仿宋" w:hAnsi="仿宋" w:eastAsia="仿宋" w:cs="仿宋"/>
                <w:sz w:val="24"/>
              </w:rPr>
            </w:pPr>
            <w:r>
              <w:rPr>
                <w:rFonts w:hint="eastAsia" w:ascii="仿宋" w:hAnsi="仿宋" w:eastAsia="仿宋" w:cs="仿宋"/>
                <w:sz w:val="24"/>
              </w:rPr>
              <w:t>信息机房、小型用能设备等</w:t>
            </w:r>
          </w:p>
        </w:tc>
      </w:tr>
    </w:tbl>
    <w:p w14:paraId="4EA9661D">
      <w:pPr>
        <w:pStyle w:val="19"/>
        <w:snapToGrid w:val="0"/>
        <w:spacing w:line="360" w:lineRule="auto"/>
        <w:ind w:firstLine="482" w:firstLineChars="200"/>
        <w:rPr>
          <w:rFonts w:hint="eastAsia" w:ascii="仿宋" w:hAnsi="仿宋" w:eastAsia="仿宋" w:cs="仿宋"/>
          <w:b/>
          <w:bCs/>
          <w:kern w:val="2"/>
          <w:szCs w:val="24"/>
        </w:rPr>
      </w:pPr>
      <w:r>
        <w:rPr>
          <w:rFonts w:hint="eastAsia" w:ascii="仿宋" w:hAnsi="仿宋" w:eastAsia="仿宋" w:cs="仿宋"/>
          <w:b/>
          <w:bCs/>
          <w:kern w:val="2"/>
          <w:szCs w:val="24"/>
        </w:rPr>
        <w:t>3.1 暖通空调系统</w:t>
      </w:r>
    </w:p>
    <w:p w14:paraId="53BF514F">
      <w:pPr>
        <w:spacing w:line="360" w:lineRule="auto"/>
        <w:ind w:firstLine="466" w:firstLineChars="200"/>
        <w:rPr>
          <w:rFonts w:hint="eastAsia" w:ascii="仿宋" w:hAnsi="仿宋" w:eastAsia="仿宋" w:cs="仿宋"/>
        </w:rPr>
      </w:pPr>
      <w:r>
        <w:rPr>
          <w:rFonts w:hint="eastAsia" w:ascii="仿宋" w:hAnsi="仿宋" w:eastAsia="仿宋" w:cs="仿宋"/>
          <w:b/>
          <w:bCs/>
          <w:spacing w:val="-4"/>
        </w:rPr>
        <w:t>冷源：</w:t>
      </w:r>
      <w:r>
        <w:rPr>
          <w:rFonts w:hint="eastAsia" w:ascii="仿宋" w:hAnsi="仿宋" w:eastAsia="仿宋" w:cs="仿宋"/>
          <w:spacing w:val="-4"/>
        </w:rPr>
        <w:t>1号楼门急诊医技综合楼为集中冷源，冷源由3台开利螺杆式冷水机组（单台制冷量1218kW，总制冷量3654kW，出厂日期2011年）供冷；另有风冷螺杆热泵机组为手术室备用系统，部分区域采用多联机及分体机等供冷。其余楼栋均采用多联机及分体机供冷。</w:t>
      </w:r>
    </w:p>
    <w:p w14:paraId="045C4F88">
      <w:pPr>
        <w:spacing w:line="360" w:lineRule="auto"/>
        <w:ind w:firstLine="466" w:firstLineChars="200"/>
        <w:rPr>
          <w:rFonts w:hint="eastAsia" w:ascii="仿宋" w:hAnsi="仿宋" w:eastAsia="仿宋" w:cs="仿宋"/>
          <w:b/>
          <w:bCs/>
          <w:spacing w:val="-4"/>
        </w:rPr>
      </w:pPr>
      <w:r>
        <w:rPr>
          <w:rFonts w:hint="eastAsia" w:ascii="仿宋" w:hAnsi="仿宋" w:eastAsia="仿宋" w:cs="仿宋"/>
          <w:b/>
          <w:bCs/>
          <w:spacing w:val="-4"/>
        </w:rPr>
        <w:t>热源：</w:t>
      </w:r>
      <w:r>
        <w:rPr>
          <w:rFonts w:hint="eastAsia" w:ascii="仿宋" w:hAnsi="仿宋" w:eastAsia="仿宋" w:cs="仿宋"/>
          <w:spacing w:val="-4"/>
        </w:rPr>
        <w:t>1号楼门急诊医技综合楼为集中热源，以市政蒸汽为源，经管壳式换热器采暖，换热量为2616kW，热源侧为0.6MPa过热蒸汽，供回水温度60/50℃。其余楼栋均采用多联机及分体机供热。</w:t>
      </w:r>
    </w:p>
    <w:p w14:paraId="0B4E738B">
      <w:pPr>
        <w:spacing w:line="360" w:lineRule="auto"/>
        <w:ind w:firstLine="466" w:firstLineChars="200"/>
        <w:rPr>
          <w:rFonts w:hint="eastAsia" w:ascii="仿宋" w:hAnsi="仿宋" w:eastAsia="仿宋" w:cs="仿宋"/>
          <w:spacing w:val="-4"/>
        </w:rPr>
      </w:pPr>
      <w:r>
        <w:rPr>
          <w:rFonts w:hint="eastAsia" w:ascii="仿宋" w:hAnsi="仿宋" w:eastAsia="仿宋" w:cs="仿宋"/>
          <w:b/>
          <w:bCs/>
          <w:spacing w:val="-4"/>
        </w:rPr>
        <w:t>输配与末端：</w:t>
      </w:r>
      <w:r>
        <w:rPr>
          <w:rFonts w:hint="eastAsia" w:ascii="仿宋" w:hAnsi="仿宋" w:eastAsia="仿宋" w:cs="仿宋"/>
          <w:spacing w:val="-4"/>
        </w:rPr>
        <w:t>1号楼主要输配水泵（冷冻泵、冷却泵、热水循环泵）共13台，均配置变频器（控制失效）；冷却塔3组；末端主要为空调柜、风机盘管+独立新风系统。</w:t>
      </w:r>
    </w:p>
    <w:p w14:paraId="49230680">
      <w:pPr>
        <w:spacing w:line="360" w:lineRule="auto"/>
        <w:ind w:firstLine="464" w:firstLineChars="200"/>
        <w:rPr>
          <w:rFonts w:hint="eastAsia" w:ascii="仿宋" w:hAnsi="仿宋" w:eastAsia="仿宋" w:cs="仿宋"/>
          <w:spacing w:val="-4"/>
        </w:rPr>
      </w:pPr>
      <w:r>
        <w:rPr>
          <w:rFonts w:hint="eastAsia" w:ascii="仿宋" w:hAnsi="仿宋" w:eastAsia="仿宋" w:cs="仿宋"/>
          <w:spacing w:val="-4"/>
        </w:rPr>
        <w:t>暖通空调设备表如下：</w:t>
      </w:r>
    </w:p>
    <w:p w14:paraId="22C2EFF4">
      <w:pPr>
        <w:spacing w:line="360" w:lineRule="auto"/>
        <w:jc w:val="center"/>
        <w:rPr>
          <w:rFonts w:hint="eastAsia" w:ascii="仿宋" w:hAnsi="仿宋" w:eastAsia="仿宋" w:cs="仿宋"/>
        </w:rPr>
      </w:pPr>
      <w:r>
        <w:rPr>
          <w:rFonts w:hint="eastAsia" w:ascii="仿宋" w:hAnsi="仿宋" w:eastAsia="仿宋" w:cs="仿宋"/>
          <w:b/>
          <w:bCs/>
        </w:rPr>
        <w:t>表1 中央空调系统主要设备表</w:t>
      </w:r>
    </w:p>
    <w:tbl>
      <w:tblPr>
        <w:tblStyle w:val="38"/>
        <w:tblW w:w="5000" w:type="pct"/>
        <w:jc w:val="center"/>
        <w:tblLayout w:type="autofit"/>
        <w:tblCellMar>
          <w:top w:w="0" w:type="dxa"/>
          <w:left w:w="0" w:type="dxa"/>
          <w:bottom w:w="0" w:type="dxa"/>
          <w:right w:w="0" w:type="dxa"/>
        </w:tblCellMar>
      </w:tblPr>
      <w:tblGrid>
        <w:gridCol w:w="1833"/>
        <w:gridCol w:w="3604"/>
        <w:gridCol w:w="867"/>
        <w:gridCol w:w="1458"/>
        <w:gridCol w:w="1466"/>
      </w:tblGrid>
      <w:tr w14:paraId="511BEE29">
        <w:tblPrEx>
          <w:tblCellMar>
            <w:top w:w="0" w:type="dxa"/>
            <w:left w:w="0" w:type="dxa"/>
            <w:bottom w:w="0" w:type="dxa"/>
            <w:right w:w="0" w:type="dxa"/>
          </w:tblCellMar>
        </w:tblPrEx>
        <w:trPr>
          <w:trHeight w:val="710" w:hRule="atLeast"/>
          <w:jc w:val="center"/>
        </w:trPr>
        <w:tc>
          <w:tcPr>
            <w:tcW w:w="993"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4BB3CA12">
            <w:pPr>
              <w:spacing w:line="400" w:lineRule="exact"/>
              <w:jc w:val="center"/>
              <w:rPr>
                <w:rFonts w:hint="eastAsia" w:ascii="仿宋" w:hAnsi="仿宋" w:eastAsia="仿宋" w:cs="仿宋"/>
                <w:szCs w:val="24"/>
              </w:rPr>
            </w:pPr>
            <w:r>
              <w:rPr>
                <w:rFonts w:hint="eastAsia" w:ascii="仿宋" w:hAnsi="仿宋" w:eastAsia="仿宋" w:cs="仿宋"/>
                <w:b/>
                <w:bCs/>
                <w:szCs w:val="24"/>
              </w:rPr>
              <w:t>设备名称</w:t>
            </w:r>
          </w:p>
        </w:tc>
        <w:tc>
          <w:tcPr>
            <w:tcW w:w="1953"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4B5BE1A4">
            <w:pPr>
              <w:spacing w:line="400" w:lineRule="exact"/>
              <w:jc w:val="center"/>
              <w:rPr>
                <w:rFonts w:hint="eastAsia" w:ascii="仿宋" w:hAnsi="仿宋" w:eastAsia="仿宋" w:cs="仿宋"/>
                <w:szCs w:val="24"/>
              </w:rPr>
            </w:pPr>
            <w:r>
              <w:rPr>
                <w:rFonts w:hint="eastAsia" w:ascii="仿宋" w:hAnsi="仿宋" w:eastAsia="仿宋" w:cs="仿宋"/>
                <w:b/>
                <w:bCs/>
                <w:szCs w:val="24"/>
              </w:rPr>
              <w:t>型号规格</w:t>
            </w:r>
          </w:p>
        </w:tc>
        <w:tc>
          <w:tcPr>
            <w:tcW w:w="470"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1EEC26E6">
            <w:pPr>
              <w:spacing w:line="400" w:lineRule="exact"/>
              <w:rPr>
                <w:rFonts w:hint="eastAsia" w:ascii="仿宋" w:hAnsi="仿宋" w:eastAsia="仿宋" w:cs="仿宋"/>
                <w:szCs w:val="24"/>
              </w:rPr>
            </w:pPr>
            <w:r>
              <w:rPr>
                <w:rFonts w:hint="eastAsia" w:ascii="仿宋" w:hAnsi="仿宋" w:eastAsia="仿宋" w:cs="仿宋"/>
                <w:b/>
                <w:bCs/>
                <w:szCs w:val="24"/>
              </w:rPr>
              <w:t>数量</w:t>
            </w:r>
          </w:p>
        </w:tc>
        <w:tc>
          <w:tcPr>
            <w:tcW w:w="790"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649D029F">
            <w:pPr>
              <w:spacing w:line="400" w:lineRule="exact"/>
              <w:rPr>
                <w:rFonts w:hint="eastAsia" w:ascii="仿宋" w:hAnsi="仿宋" w:eastAsia="仿宋" w:cs="仿宋"/>
                <w:szCs w:val="24"/>
              </w:rPr>
            </w:pPr>
            <w:r>
              <w:rPr>
                <w:rFonts w:hint="eastAsia" w:ascii="仿宋" w:hAnsi="仿宋" w:eastAsia="仿宋" w:cs="仿宋"/>
                <w:b/>
                <w:bCs/>
                <w:szCs w:val="24"/>
              </w:rPr>
              <w:t>品牌</w:t>
            </w:r>
          </w:p>
        </w:tc>
        <w:tc>
          <w:tcPr>
            <w:tcW w:w="794"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767A6905">
            <w:pPr>
              <w:spacing w:line="400" w:lineRule="exact"/>
              <w:rPr>
                <w:rFonts w:hint="eastAsia" w:ascii="仿宋" w:hAnsi="仿宋" w:eastAsia="仿宋" w:cs="仿宋"/>
                <w:szCs w:val="24"/>
              </w:rPr>
            </w:pPr>
            <w:r>
              <w:rPr>
                <w:rFonts w:hint="eastAsia" w:ascii="仿宋" w:hAnsi="仿宋" w:eastAsia="仿宋" w:cs="仿宋"/>
                <w:b/>
                <w:bCs/>
                <w:szCs w:val="24"/>
              </w:rPr>
              <w:t>备注</w:t>
            </w:r>
          </w:p>
        </w:tc>
      </w:tr>
      <w:tr w14:paraId="29834B7C">
        <w:tblPrEx>
          <w:tblCellMar>
            <w:top w:w="0" w:type="dxa"/>
            <w:left w:w="0" w:type="dxa"/>
            <w:bottom w:w="0" w:type="dxa"/>
            <w:right w:w="0" w:type="dxa"/>
          </w:tblCellMar>
        </w:tblPrEx>
        <w:trPr>
          <w:trHeight w:val="1591" w:hRule="atLeast"/>
          <w:jc w:val="center"/>
        </w:trPr>
        <w:tc>
          <w:tcPr>
            <w:tcW w:w="993"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378C72C9">
            <w:pPr>
              <w:spacing w:line="400" w:lineRule="exact"/>
              <w:jc w:val="center"/>
              <w:rPr>
                <w:rFonts w:hint="eastAsia" w:ascii="仿宋" w:hAnsi="仿宋" w:eastAsia="仿宋" w:cs="仿宋"/>
                <w:szCs w:val="24"/>
              </w:rPr>
            </w:pPr>
            <w:r>
              <w:rPr>
                <w:rFonts w:hint="eastAsia" w:ascii="仿宋" w:hAnsi="仿宋" w:eastAsia="仿宋" w:cs="仿宋"/>
                <w:szCs w:val="24"/>
              </w:rPr>
              <w:t>制冷螺杆机</w:t>
            </w:r>
          </w:p>
        </w:tc>
        <w:tc>
          <w:tcPr>
            <w:tcW w:w="1953"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221C6555">
            <w:pPr>
              <w:spacing w:line="400" w:lineRule="exact"/>
              <w:jc w:val="center"/>
              <w:rPr>
                <w:rFonts w:hint="eastAsia" w:ascii="仿宋" w:hAnsi="仿宋" w:eastAsia="仿宋" w:cs="仿宋"/>
                <w:szCs w:val="24"/>
              </w:rPr>
            </w:pPr>
            <w:r>
              <w:rPr>
                <w:rFonts w:hint="eastAsia" w:ascii="仿宋" w:hAnsi="仿宋" w:eastAsia="仿宋" w:cs="仿宋"/>
                <w:szCs w:val="24"/>
              </w:rPr>
              <w:t>制冷量1218</w:t>
            </w:r>
            <w:r>
              <w:rPr>
                <w:rFonts w:hint="eastAsia" w:ascii="仿宋" w:hAnsi="仿宋" w:eastAsia="仿宋" w:cs="仿宋"/>
                <w:szCs w:val="24"/>
                <w:lang w:eastAsia="zh-CN"/>
              </w:rPr>
              <w:t>kW</w:t>
            </w:r>
            <w:r>
              <w:rPr>
                <w:rFonts w:hint="eastAsia" w:ascii="仿宋" w:hAnsi="仿宋" w:eastAsia="仿宋" w:cs="仿宋"/>
                <w:szCs w:val="24"/>
              </w:rPr>
              <w:t>，输入功率234</w:t>
            </w:r>
            <w:r>
              <w:rPr>
                <w:rFonts w:hint="eastAsia" w:ascii="仿宋" w:hAnsi="仿宋" w:eastAsia="仿宋" w:cs="仿宋"/>
                <w:szCs w:val="24"/>
                <w:lang w:eastAsia="zh-CN"/>
              </w:rPr>
              <w:t>kW</w:t>
            </w:r>
            <w:r>
              <w:rPr>
                <w:rFonts w:hint="eastAsia" w:ascii="仿宋" w:hAnsi="仿宋" w:eastAsia="仿宋" w:cs="仿宋"/>
                <w:szCs w:val="24"/>
              </w:rPr>
              <w:t>，COP=5.205，出厂日期2011年6月</w:t>
            </w:r>
          </w:p>
        </w:tc>
        <w:tc>
          <w:tcPr>
            <w:tcW w:w="470"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36683F54">
            <w:pPr>
              <w:spacing w:line="400" w:lineRule="exact"/>
              <w:jc w:val="center"/>
              <w:rPr>
                <w:rFonts w:hint="eastAsia" w:ascii="仿宋" w:hAnsi="仿宋" w:eastAsia="仿宋" w:cs="仿宋"/>
                <w:szCs w:val="24"/>
              </w:rPr>
            </w:pPr>
            <w:r>
              <w:rPr>
                <w:rFonts w:hint="eastAsia" w:ascii="仿宋" w:hAnsi="仿宋" w:eastAsia="仿宋" w:cs="仿宋"/>
                <w:szCs w:val="24"/>
              </w:rPr>
              <w:t>3</w:t>
            </w:r>
          </w:p>
        </w:tc>
        <w:tc>
          <w:tcPr>
            <w:tcW w:w="790"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58523E00">
            <w:pPr>
              <w:spacing w:line="400" w:lineRule="exact"/>
              <w:jc w:val="center"/>
              <w:rPr>
                <w:rFonts w:hint="eastAsia" w:ascii="仿宋" w:hAnsi="仿宋" w:eastAsia="仿宋" w:cs="仿宋"/>
                <w:szCs w:val="24"/>
              </w:rPr>
            </w:pPr>
            <w:r>
              <w:rPr>
                <w:rFonts w:hint="eastAsia" w:ascii="仿宋" w:hAnsi="仿宋" w:eastAsia="仿宋" w:cs="仿宋"/>
                <w:szCs w:val="24"/>
              </w:rPr>
              <w:t>开利</w:t>
            </w:r>
          </w:p>
        </w:tc>
        <w:tc>
          <w:tcPr>
            <w:tcW w:w="794"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66216096">
            <w:pPr>
              <w:spacing w:line="400" w:lineRule="exact"/>
              <w:rPr>
                <w:rFonts w:hint="eastAsia" w:ascii="仿宋" w:hAnsi="仿宋" w:eastAsia="仿宋" w:cs="仿宋"/>
                <w:szCs w:val="24"/>
              </w:rPr>
            </w:pPr>
            <w:r>
              <w:rPr>
                <w:rFonts w:hint="eastAsia" w:ascii="仿宋" w:hAnsi="仿宋" w:eastAsia="仿宋" w:cs="仿宋"/>
                <w:szCs w:val="24"/>
              </w:rPr>
              <w:t>两用一备</w:t>
            </w:r>
          </w:p>
        </w:tc>
      </w:tr>
      <w:tr w14:paraId="505D2459">
        <w:tblPrEx>
          <w:tblCellMar>
            <w:top w:w="0" w:type="dxa"/>
            <w:left w:w="0" w:type="dxa"/>
            <w:bottom w:w="0" w:type="dxa"/>
            <w:right w:w="0" w:type="dxa"/>
          </w:tblCellMar>
        </w:tblPrEx>
        <w:trPr>
          <w:trHeight w:val="920" w:hRule="atLeast"/>
          <w:jc w:val="center"/>
        </w:trPr>
        <w:tc>
          <w:tcPr>
            <w:tcW w:w="993"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2CF3AA97">
            <w:pPr>
              <w:spacing w:line="400" w:lineRule="exact"/>
              <w:jc w:val="center"/>
              <w:rPr>
                <w:rFonts w:hint="eastAsia" w:ascii="仿宋" w:hAnsi="仿宋" w:eastAsia="仿宋" w:cs="仿宋"/>
                <w:szCs w:val="24"/>
              </w:rPr>
            </w:pPr>
            <w:r>
              <w:rPr>
                <w:rFonts w:hint="eastAsia" w:ascii="仿宋" w:hAnsi="仿宋" w:eastAsia="仿宋" w:cs="仿宋"/>
                <w:szCs w:val="24"/>
              </w:rPr>
              <w:t>冷冻水泵</w:t>
            </w:r>
          </w:p>
        </w:tc>
        <w:tc>
          <w:tcPr>
            <w:tcW w:w="1953"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1AE434D4">
            <w:pPr>
              <w:spacing w:line="400" w:lineRule="exact"/>
              <w:jc w:val="center"/>
              <w:rPr>
                <w:rFonts w:hint="eastAsia" w:ascii="仿宋" w:hAnsi="仿宋" w:eastAsia="仿宋" w:cs="仿宋"/>
                <w:szCs w:val="24"/>
              </w:rPr>
            </w:pPr>
            <w:r>
              <w:rPr>
                <w:rFonts w:hint="eastAsia" w:ascii="仿宋" w:hAnsi="仿宋" w:eastAsia="仿宋" w:cs="仿宋"/>
                <w:szCs w:val="24"/>
              </w:rPr>
              <w:t>230m</w:t>
            </w:r>
            <w:r>
              <w:rPr>
                <w:rFonts w:hint="eastAsia" w:ascii="仿宋" w:hAnsi="仿宋" w:eastAsia="仿宋" w:cs="仿宋"/>
                <w:szCs w:val="24"/>
                <w:vertAlign w:val="superscript"/>
              </w:rPr>
              <w:t>3</w:t>
            </w:r>
            <w:r>
              <w:rPr>
                <w:rFonts w:hint="eastAsia" w:ascii="仿宋" w:hAnsi="仿宋" w:eastAsia="仿宋" w:cs="仿宋"/>
                <w:szCs w:val="24"/>
              </w:rPr>
              <w:t>/h，H=33米，N=33.5</w:t>
            </w:r>
            <w:r>
              <w:rPr>
                <w:rFonts w:hint="eastAsia" w:ascii="仿宋" w:hAnsi="仿宋" w:eastAsia="仿宋" w:cs="仿宋"/>
                <w:szCs w:val="24"/>
                <w:lang w:eastAsia="zh-CN"/>
              </w:rPr>
              <w:t>kW</w:t>
            </w:r>
          </w:p>
        </w:tc>
        <w:tc>
          <w:tcPr>
            <w:tcW w:w="470"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3FCB77EA">
            <w:pPr>
              <w:spacing w:line="400" w:lineRule="exact"/>
              <w:jc w:val="center"/>
              <w:rPr>
                <w:rFonts w:hint="eastAsia" w:ascii="仿宋" w:hAnsi="仿宋" w:eastAsia="仿宋" w:cs="仿宋"/>
                <w:szCs w:val="24"/>
              </w:rPr>
            </w:pPr>
            <w:r>
              <w:rPr>
                <w:rFonts w:hint="eastAsia" w:ascii="仿宋" w:hAnsi="仿宋" w:eastAsia="仿宋" w:cs="仿宋"/>
                <w:szCs w:val="24"/>
              </w:rPr>
              <w:t>4</w:t>
            </w:r>
          </w:p>
        </w:tc>
        <w:tc>
          <w:tcPr>
            <w:tcW w:w="790"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7BC4301C">
            <w:pPr>
              <w:spacing w:line="400" w:lineRule="exact"/>
              <w:jc w:val="center"/>
              <w:rPr>
                <w:rFonts w:hint="eastAsia" w:ascii="仿宋" w:hAnsi="仿宋" w:eastAsia="仿宋" w:cs="仿宋"/>
                <w:szCs w:val="24"/>
              </w:rPr>
            </w:pPr>
            <w:r>
              <w:rPr>
                <w:rFonts w:hint="eastAsia" w:ascii="仿宋" w:hAnsi="仿宋" w:eastAsia="仿宋" w:cs="仿宋"/>
                <w:szCs w:val="24"/>
              </w:rPr>
              <w:t>西门子</w:t>
            </w:r>
          </w:p>
        </w:tc>
        <w:tc>
          <w:tcPr>
            <w:tcW w:w="794"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307695CA">
            <w:pPr>
              <w:spacing w:line="400" w:lineRule="exact"/>
              <w:rPr>
                <w:rFonts w:hint="eastAsia" w:ascii="仿宋" w:hAnsi="仿宋" w:eastAsia="仿宋" w:cs="仿宋"/>
                <w:szCs w:val="24"/>
              </w:rPr>
            </w:pPr>
            <w:r>
              <w:rPr>
                <w:rFonts w:hint="eastAsia" w:ascii="仿宋" w:hAnsi="仿宋" w:eastAsia="仿宋" w:cs="仿宋"/>
                <w:szCs w:val="24"/>
              </w:rPr>
              <w:t>变频（控制失效）</w:t>
            </w:r>
          </w:p>
        </w:tc>
      </w:tr>
      <w:tr w14:paraId="3892645B">
        <w:tblPrEx>
          <w:tblCellMar>
            <w:top w:w="0" w:type="dxa"/>
            <w:left w:w="0" w:type="dxa"/>
            <w:bottom w:w="0" w:type="dxa"/>
            <w:right w:w="0" w:type="dxa"/>
          </w:tblCellMar>
        </w:tblPrEx>
        <w:trPr>
          <w:trHeight w:val="894" w:hRule="atLeast"/>
          <w:jc w:val="center"/>
        </w:trPr>
        <w:tc>
          <w:tcPr>
            <w:tcW w:w="993"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20484C7E">
            <w:pPr>
              <w:spacing w:line="400" w:lineRule="exact"/>
              <w:jc w:val="center"/>
              <w:rPr>
                <w:rFonts w:hint="eastAsia" w:ascii="仿宋" w:hAnsi="仿宋" w:eastAsia="仿宋" w:cs="仿宋"/>
                <w:szCs w:val="24"/>
              </w:rPr>
            </w:pPr>
            <w:r>
              <w:rPr>
                <w:rFonts w:hint="eastAsia" w:ascii="仿宋" w:hAnsi="仿宋" w:eastAsia="仿宋" w:cs="仿宋"/>
                <w:szCs w:val="24"/>
              </w:rPr>
              <w:t>冷却水泵</w:t>
            </w:r>
          </w:p>
        </w:tc>
        <w:tc>
          <w:tcPr>
            <w:tcW w:w="1953"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10AB2F4E">
            <w:pPr>
              <w:spacing w:line="400" w:lineRule="exact"/>
              <w:jc w:val="center"/>
              <w:rPr>
                <w:rFonts w:hint="eastAsia" w:ascii="仿宋" w:hAnsi="仿宋" w:eastAsia="仿宋" w:cs="仿宋"/>
                <w:szCs w:val="24"/>
              </w:rPr>
            </w:pPr>
            <w:r>
              <w:rPr>
                <w:rFonts w:hint="eastAsia" w:ascii="仿宋" w:hAnsi="仿宋" w:eastAsia="仿宋" w:cs="仿宋"/>
                <w:szCs w:val="24"/>
              </w:rPr>
              <w:t>294m</w:t>
            </w:r>
            <w:r>
              <w:rPr>
                <w:rFonts w:hint="eastAsia" w:ascii="仿宋" w:hAnsi="仿宋" w:eastAsia="仿宋" w:cs="仿宋"/>
                <w:szCs w:val="24"/>
                <w:vertAlign w:val="superscript"/>
              </w:rPr>
              <w:t>3</w:t>
            </w:r>
            <w:r>
              <w:rPr>
                <w:rFonts w:hint="eastAsia" w:ascii="仿宋" w:hAnsi="仿宋" w:eastAsia="仿宋" w:cs="仿宋"/>
                <w:szCs w:val="24"/>
              </w:rPr>
              <w:t>/h，H=27米，N=33.5</w:t>
            </w:r>
            <w:r>
              <w:rPr>
                <w:rFonts w:hint="eastAsia" w:ascii="仿宋" w:hAnsi="仿宋" w:eastAsia="仿宋" w:cs="仿宋"/>
                <w:szCs w:val="24"/>
                <w:lang w:eastAsia="zh-CN"/>
              </w:rPr>
              <w:t>kW</w:t>
            </w:r>
          </w:p>
        </w:tc>
        <w:tc>
          <w:tcPr>
            <w:tcW w:w="470"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1242794A">
            <w:pPr>
              <w:spacing w:line="400" w:lineRule="exact"/>
              <w:jc w:val="center"/>
              <w:rPr>
                <w:rFonts w:hint="eastAsia" w:ascii="仿宋" w:hAnsi="仿宋" w:eastAsia="仿宋" w:cs="仿宋"/>
                <w:szCs w:val="24"/>
              </w:rPr>
            </w:pPr>
            <w:r>
              <w:rPr>
                <w:rFonts w:hint="eastAsia" w:ascii="仿宋" w:hAnsi="仿宋" w:eastAsia="仿宋" w:cs="仿宋"/>
                <w:szCs w:val="24"/>
              </w:rPr>
              <w:t>4</w:t>
            </w:r>
          </w:p>
        </w:tc>
        <w:tc>
          <w:tcPr>
            <w:tcW w:w="790"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1B33B6F8">
            <w:pPr>
              <w:spacing w:line="400" w:lineRule="exact"/>
              <w:jc w:val="center"/>
              <w:rPr>
                <w:rFonts w:hint="eastAsia" w:ascii="仿宋" w:hAnsi="仿宋" w:eastAsia="仿宋" w:cs="仿宋"/>
                <w:szCs w:val="24"/>
              </w:rPr>
            </w:pPr>
            <w:r>
              <w:rPr>
                <w:rFonts w:hint="eastAsia" w:ascii="仿宋" w:hAnsi="仿宋" w:eastAsia="仿宋" w:cs="仿宋"/>
                <w:szCs w:val="24"/>
              </w:rPr>
              <w:t>西门子</w:t>
            </w:r>
          </w:p>
        </w:tc>
        <w:tc>
          <w:tcPr>
            <w:tcW w:w="794"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29FF0C94">
            <w:pPr>
              <w:spacing w:line="400" w:lineRule="exact"/>
              <w:rPr>
                <w:rFonts w:hint="eastAsia" w:ascii="仿宋" w:hAnsi="仿宋" w:eastAsia="仿宋" w:cs="仿宋"/>
                <w:szCs w:val="24"/>
              </w:rPr>
            </w:pPr>
            <w:r>
              <w:rPr>
                <w:rFonts w:hint="eastAsia" w:ascii="仿宋" w:hAnsi="仿宋" w:eastAsia="仿宋" w:cs="仿宋"/>
                <w:szCs w:val="24"/>
              </w:rPr>
              <w:t>变频（控制失效）</w:t>
            </w:r>
          </w:p>
        </w:tc>
      </w:tr>
      <w:tr w14:paraId="11F007B6">
        <w:tblPrEx>
          <w:tblCellMar>
            <w:top w:w="0" w:type="dxa"/>
            <w:left w:w="0" w:type="dxa"/>
            <w:bottom w:w="0" w:type="dxa"/>
            <w:right w:w="0" w:type="dxa"/>
          </w:tblCellMar>
        </w:tblPrEx>
        <w:trPr>
          <w:trHeight w:val="896" w:hRule="atLeast"/>
          <w:jc w:val="center"/>
        </w:trPr>
        <w:tc>
          <w:tcPr>
            <w:tcW w:w="993"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6320C1AF">
            <w:pPr>
              <w:spacing w:line="400" w:lineRule="exact"/>
              <w:jc w:val="center"/>
              <w:rPr>
                <w:rFonts w:hint="eastAsia" w:ascii="仿宋" w:hAnsi="仿宋" w:eastAsia="仿宋" w:cs="仿宋"/>
                <w:szCs w:val="24"/>
              </w:rPr>
            </w:pPr>
            <w:r>
              <w:rPr>
                <w:rFonts w:hint="eastAsia" w:ascii="仿宋" w:hAnsi="仿宋" w:eastAsia="仿宋" w:cs="仿宋"/>
                <w:szCs w:val="24"/>
              </w:rPr>
              <w:t>冷却塔</w:t>
            </w:r>
          </w:p>
        </w:tc>
        <w:tc>
          <w:tcPr>
            <w:tcW w:w="1953"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7AB3537A">
            <w:pPr>
              <w:spacing w:line="400" w:lineRule="exact"/>
              <w:ind w:firstLine="0" w:firstLineChars="0"/>
              <w:jc w:val="center"/>
              <w:rPr>
                <w:rFonts w:hint="eastAsia" w:ascii="仿宋" w:hAnsi="仿宋" w:eastAsia="仿宋" w:cs="仿宋"/>
                <w:szCs w:val="24"/>
              </w:rPr>
            </w:pPr>
            <w:r>
              <w:rPr>
                <w:rFonts w:hint="eastAsia" w:ascii="仿宋" w:hAnsi="仿宋" w:eastAsia="仿宋" w:cs="仿宋"/>
                <w:szCs w:val="24"/>
              </w:rPr>
              <w:t>1050m</w:t>
            </w:r>
            <w:r>
              <w:rPr>
                <w:rFonts w:hint="eastAsia" w:ascii="仿宋" w:hAnsi="仿宋" w:eastAsia="仿宋" w:cs="仿宋"/>
                <w:szCs w:val="24"/>
                <w:vertAlign w:val="superscript"/>
              </w:rPr>
              <w:t>3</w:t>
            </w:r>
            <w:r>
              <w:rPr>
                <w:rFonts w:hint="eastAsia" w:ascii="仿宋" w:hAnsi="仿宋" w:eastAsia="仿宋" w:cs="仿宋"/>
                <w:szCs w:val="24"/>
              </w:rPr>
              <w:t>/h,2×5.5kW</w:t>
            </w:r>
          </w:p>
        </w:tc>
        <w:tc>
          <w:tcPr>
            <w:tcW w:w="470"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4C9667A8">
            <w:pPr>
              <w:spacing w:line="400" w:lineRule="exact"/>
              <w:jc w:val="center"/>
              <w:rPr>
                <w:rFonts w:hint="eastAsia" w:ascii="仿宋" w:hAnsi="仿宋" w:eastAsia="仿宋" w:cs="仿宋"/>
                <w:szCs w:val="24"/>
              </w:rPr>
            </w:pPr>
            <w:r>
              <w:rPr>
                <w:rFonts w:hint="eastAsia" w:ascii="仿宋" w:hAnsi="仿宋" w:eastAsia="仿宋" w:cs="仿宋"/>
                <w:szCs w:val="24"/>
              </w:rPr>
              <w:t>3组</w:t>
            </w:r>
          </w:p>
        </w:tc>
        <w:tc>
          <w:tcPr>
            <w:tcW w:w="790"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41136715">
            <w:pPr>
              <w:spacing w:line="400" w:lineRule="exact"/>
              <w:jc w:val="center"/>
              <w:rPr>
                <w:rFonts w:hint="eastAsia" w:ascii="仿宋" w:hAnsi="仿宋" w:eastAsia="仿宋" w:cs="仿宋"/>
                <w:szCs w:val="24"/>
              </w:rPr>
            </w:pPr>
            <w:r>
              <w:rPr>
                <w:rFonts w:hint="eastAsia" w:ascii="仿宋" w:hAnsi="仿宋" w:eastAsia="仿宋" w:cs="仿宋"/>
                <w:szCs w:val="24"/>
              </w:rPr>
              <w:t>海水</w:t>
            </w:r>
          </w:p>
        </w:tc>
        <w:tc>
          <w:tcPr>
            <w:tcW w:w="794"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20665C4F">
            <w:pPr>
              <w:spacing w:line="400" w:lineRule="exact"/>
              <w:rPr>
                <w:rFonts w:hint="eastAsia" w:ascii="仿宋" w:hAnsi="仿宋" w:eastAsia="仿宋" w:cs="仿宋"/>
                <w:szCs w:val="24"/>
              </w:rPr>
            </w:pPr>
            <w:r>
              <w:rPr>
                <w:rFonts w:hint="eastAsia" w:ascii="仿宋" w:hAnsi="仿宋" w:eastAsia="仿宋" w:cs="仿宋"/>
                <w:szCs w:val="24"/>
              </w:rPr>
              <w:t>定频</w:t>
            </w:r>
          </w:p>
        </w:tc>
      </w:tr>
      <w:tr w14:paraId="032C1AB8">
        <w:tblPrEx>
          <w:tblCellMar>
            <w:top w:w="0" w:type="dxa"/>
            <w:left w:w="0" w:type="dxa"/>
            <w:bottom w:w="0" w:type="dxa"/>
            <w:right w:w="0" w:type="dxa"/>
          </w:tblCellMar>
        </w:tblPrEx>
        <w:trPr>
          <w:trHeight w:val="877" w:hRule="atLeast"/>
          <w:jc w:val="center"/>
        </w:trPr>
        <w:tc>
          <w:tcPr>
            <w:tcW w:w="993"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40648FC2">
            <w:pPr>
              <w:spacing w:line="400" w:lineRule="exact"/>
              <w:jc w:val="center"/>
              <w:rPr>
                <w:rFonts w:hint="eastAsia" w:ascii="仿宋" w:hAnsi="仿宋" w:eastAsia="仿宋" w:cs="仿宋"/>
                <w:szCs w:val="24"/>
              </w:rPr>
            </w:pPr>
            <w:r>
              <w:rPr>
                <w:rFonts w:hint="eastAsia" w:ascii="仿宋" w:hAnsi="仿宋" w:eastAsia="仿宋" w:cs="仿宋"/>
                <w:szCs w:val="24"/>
              </w:rPr>
              <w:t>采暖泵</w:t>
            </w:r>
          </w:p>
        </w:tc>
        <w:tc>
          <w:tcPr>
            <w:tcW w:w="1953"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6CEBD99E">
            <w:pPr>
              <w:spacing w:line="400" w:lineRule="exact"/>
              <w:jc w:val="center"/>
              <w:rPr>
                <w:rFonts w:hint="eastAsia" w:ascii="仿宋" w:hAnsi="仿宋" w:eastAsia="仿宋" w:cs="仿宋"/>
                <w:szCs w:val="24"/>
              </w:rPr>
            </w:pPr>
            <w:r>
              <w:rPr>
                <w:rFonts w:hint="eastAsia" w:ascii="仿宋" w:hAnsi="仿宋" w:eastAsia="仿宋" w:cs="仿宋"/>
                <w:szCs w:val="24"/>
              </w:rPr>
              <w:t>130m</w:t>
            </w:r>
            <w:r>
              <w:rPr>
                <w:rFonts w:hint="eastAsia" w:ascii="仿宋" w:hAnsi="仿宋" w:eastAsia="仿宋" w:cs="仿宋"/>
                <w:szCs w:val="24"/>
                <w:vertAlign w:val="superscript"/>
              </w:rPr>
              <w:t>3</w:t>
            </w:r>
            <w:r>
              <w:rPr>
                <w:rFonts w:hint="eastAsia" w:ascii="仿宋" w:hAnsi="仿宋" w:eastAsia="仿宋" w:cs="仿宋"/>
                <w:szCs w:val="24"/>
              </w:rPr>
              <w:t>/h，H=26米，N=15kW</w:t>
            </w:r>
          </w:p>
        </w:tc>
        <w:tc>
          <w:tcPr>
            <w:tcW w:w="470"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2F0881EE">
            <w:pPr>
              <w:spacing w:line="400" w:lineRule="exact"/>
              <w:jc w:val="center"/>
              <w:rPr>
                <w:rFonts w:hint="eastAsia" w:ascii="仿宋" w:hAnsi="仿宋" w:eastAsia="仿宋" w:cs="仿宋"/>
                <w:szCs w:val="24"/>
              </w:rPr>
            </w:pPr>
            <w:r>
              <w:rPr>
                <w:rFonts w:hint="eastAsia" w:ascii="仿宋" w:hAnsi="仿宋" w:eastAsia="仿宋" w:cs="仿宋"/>
                <w:szCs w:val="24"/>
              </w:rPr>
              <w:t>2</w:t>
            </w:r>
          </w:p>
        </w:tc>
        <w:tc>
          <w:tcPr>
            <w:tcW w:w="790"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746D40EE">
            <w:pPr>
              <w:spacing w:line="400" w:lineRule="exact"/>
              <w:rPr>
                <w:rFonts w:hint="eastAsia" w:ascii="仿宋" w:hAnsi="仿宋" w:eastAsia="仿宋" w:cs="仿宋"/>
                <w:szCs w:val="24"/>
              </w:rPr>
            </w:pPr>
            <w:r>
              <w:rPr>
                <w:rFonts w:hint="eastAsia" w:ascii="仿宋" w:hAnsi="仿宋" w:eastAsia="仿宋" w:cs="仿宋"/>
                <w:szCs w:val="24"/>
              </w:rPr>
              <w:t>西门子</w:t>
            </w:r>
          </w:p>
        </w:tc>
        <w:tc>
          <w:tcPr>
            <w:tcW w:w="794"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1E60D084">
            <w:pPr>
              <w:spacing w:line="400" w:lineRule="exact"/>
              <w:rPr>
                <w:rFonts w:hint="eastAsia" w:ascii="仿宋" w:hAnsi="仿宋" w:eastAsia="仿宋" w:cs="仿宋"/>
                <w:szCs w:val="24"/>
              </w:rPr>
            </w:pPr>
            <w:r>
              <w:rPr>
                <w:rFonts w:hint="eastAsia" w:ascii="仿宋" w:hAnsi="仿宋" w:eastAsia="仿宋" w:cs="仿宋"/>
                <w:szCs w:val="24"/>
              </w:rPr>
              <w:t>变频（控制失效）</w:t>
            </w:r>
          </w:p>
        </w:tc>
      </w:tr>
      <w:tr w14:paraId="659CD3BF">
        <w:tblPrEx>
          <w:tblCellMar>
            <w:top w:w="0" w:type="dxa"/>
            <w:left w:w="0" w:type="dxa"/>
            <w:bottom w:w="0" w:type="dxa"/>
            <w:right w:w="0" w:type="dxa"/>
          </w:tblCellMar>
        </w:tblPrEx>
        <w:trPr>
          <w:trHeight w:val="685" w:hRule="atLeast"/>
          <w:jc w:val="center"/>
        </w:trPr>
        <w:tc>
          <w:tcPr>
            <w:tcW w:w="993"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4E09B240">
            <w:pPr>
              <w:spacing w:line="400" w:lineRule="exact"/>
              <w:jc w:val="center"/>
              <w:rPr>
                <w:rFonts w:hint="eastAsia" w:ascii="仿宋" w:hAnsi="仿宋" w:eastAsia="仿宋" w:cs="仿宋"/>
                <w:szCs w:val="24"/>
              </w:rPr>
            </w:pPr>
            <w:r>
              <w:rPr>
                <w:rFonts w:hint="eastAsia" w:ascii="仿宋" w:hAnsi="仿宋" w:eastAsia="仿宋" w:cs="仿宋"/>
                <w:szCs w:val="24"/>
              </w:rPr>
              <w:t>换热模块</w:t>
            </w:r>
          </w:p>
        </w:tc>
        <w:tc>
          <w:tcPr>
            <w:tcW w:w="1953"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65081DF0">
            <w:pPr>
              <w:spacing w:line="400" w:lineRule="exact"/>
              <w:jc w:val="center"/>
              <w:rPr>
                <w:rFonts w:hint="eastAsia" w:ascii="仿宋" w:hAnsi="仿宋" w:eastAsia="仿宋" w:cs="仿宋"/>
                <w:szCs w:val="24"/>
              </w:rPr>
            </w:pPr>
            <w:r>
              <w:rPr>
                <w:rFonts w:hint="eastAsia" w:ascii="仿宋" w:hAnsi="仿宋" w:eastAsia="仿宋" w:cs="仿宋"/>
                <w:szCs w:val="24"/>
              </w:rPr>
              <w:t>换热量2616kW，供回水温度60/50℃</w:t>
            </w:r>
          </w:p>
        </w:tc>
        <w:tc>
          <w:tcPr>
            <w:tcW w:w="470"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0371651F">
            <w:pPr>
              <w:spacing w:line="400" w:lineRule="exact"/>
              <w:jc w:val="center"/>
              <w:rPr>
                <w:rFonts w:hint="eastAsia" w:ascii="仿宋" w:hAnsi="仿宋" w:eastAsia="仿宋" w:cs="仿宋"/>
                <w:szCs w:val="24"/>
              </w:rPr>
            </w:pPr>
            <w:r>
              <w:rPr>
                <w:rFonts w:hint="eastAsia" w:ascii="仿宋" w:hAnsi="仿宋" w:eastAsia="仿宋" w:cs="仿宋"/>
                <w:szCs w:val="24"/>
              </w:rPr>
              <w:t>1</w:t>
            </w:r>
          </w:p>
        </w:tc>
        <w:tc>
          <w:tcPr>
            <w:tcW w:w="790"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3040FD13">
            <w:pPr>
              <w:spacing w:line="400" w:lineRule="exact"/>
              <w:rPr>
                <w:rFonts w:hint="eastAsia" w:ascii="仿宋" w:hAnsi="仿宋" w:eastAsia="仿宋" w:cs="仿宋"/>
                <w:szCs w:val="24"/>
              </w:rPr>
            </w:pPr>
            <w:r>
              <w:rPr>
                <w:rFonts w:hint="eastAsia" w:ascii="仿宋" w:hAnsi="仿宋" w:eastAsia="仿宋" w:cs="仿宋"/>
                <w:szCs w:val="24"/>
              </w:rPr>
              <w:t>江阴双球</w:t>
            </w:r>
          </w:p>
        </w:tc>
        <w:tc>
          <w:tcPr>
            <w:tcW w:w="794"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48399F30">
            <w:pPr>
              <w:spacing w:line="400" w:lineRule="exact"/>
              <w:rPr>
                <w:rFonts w:hint="eastAsia" w:ascii="仿宋" w:hAnsi="仿宋" w:eastAsia="仿宋" w:cs="仿宋"/>
                <w:szCs w:val="24"/>
              </w:rPr>
            </w:pPr>
            <w:r>
              <w:rPr>
                <w:rFonts w:hint="eastAsia" w:ascii="仿宋" w:hAnsi="仿宋" w:eastAsia="仿宋" w:cs="仿宋"/>
                <w:szCs w:val="24"/>
              </w:rPr>
              <w:t>/</w:t>
            </w:r>
          </w:p>
        </w:tc>
      </w:tr>
      <w:tr w14:paraId="6821597B">
        <w:tblPrEx>
          <w:tblCellMar>
            <w:top w:w="0" w:type="dxa"/>
            <w:left w:w="0" w:type="dxa"/>
            <w:bottom w:w="0" w:type="dxa"/>
            <w:right w:w="0" w:type="dxa"/>
          </w:tblCellMar>
        </w:tblPrEx>
        <w:trPr>
          <w:trHeight w:val="694" w:hRule="atLeast"/>
          <w:jc w:val="center"/>
        </w:trPr>
        <w:tc>
          <w:tcPr>
            <w:tcW w:w="993"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4968F23B">
            <w:pPr>
              <w:spacing w:line="400" w:lineRule="exact"/>
              <w:jc w:val="center"/>
              <w:rPr>
                <w:rFonts w:hint="eastAsia" w:ascii="仿宋" w:hAnsi="仿宋" w:eastAsia="仿宋" w:cs="仿宋"/>
                <w:szCs w:val="24"/>
              </w:rPr>
            </w:pPr>
            <w:r>
              <w:rPr>
                <w:rFonts w:hint="eastAsia" w:ascii="仿宋" w:hAnsi="仿宋" w:eastAsia="仿宋" w:cs="仿宋"/>
                <w:szCs w:val="24"/>
              </w:rPr>
              <w:t>定压补水泵</w:t>
            </w:r>
          </w:p>
        </w:tc>
        <w:tc>
          <w:tcPr>
            <w:tcW w:w="1953"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5757F25F">
            <w:pPr>
              <w:spacing w:line="400" w:lineRule="exact"/>
              <w:jc w:val="center"/>
              <w:rPr>
                <w:rFonts w:hint="eastAsia" w:ascii="仿宋" w:hAnsi="仿宋" w:eastAsia="仿宋" w:cs="仿宋"/>
                <w:szCs w:val="24"/>
              </w:rPr>
            </w:pPr>
            <w:r>
              <w:rPr>
                <w:rFonts w:hint="eastAsia" w:ascii="仿宋" w:hAnsi="仿宋" w:eastAsia="仿宋" w:cs="仿宋"/>
                <w:szCs w:val="24"/>
              </w:rPr>
              <w:t>N=3kW</w:t>
            </w:r>
          </w:p>
        </w:tc>
        <w:tc>
          <w:tcPr>
            <w:tcW w:w="470"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23FA0F3A">
            <w:pPr>
              <w:spacing w:line="400" w:lineRule="exact"/>
              <w:jc w:val="center"/>
              <w:rPr>
                <w:rFonts w:hint="eastAsia" w:ascii="仿宋" w:hAnsi="仿宋" w:eastAsia="仿宋" w:cs="仿宋"/>
                <w:szCs w:val="24"/>
              </w:rPr>
            </w:pPr>
            <w:r>
              <w:rPr>
                <w:rFonts w:hint="eastAsia" w:ascii="仿宋" w:hAnsi="仿宋" w:eastAsia="仿宋" w:cs="仿宋"/>
                <w:szCs w:val="24"/>
              </w:rPr>
              <w:t>2</w:t>
            </w:r>
          </w:p>
        </w:tc>
        <w:tc>
          <w:tcPr>
            <w:tcW w:w="790"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3B44AE22">
            <w:pPr>
              <w:spacing w:line="400" w:lineRule="exact"/>
              <w:rPr>
                <w:rFonts w:hint="eastAsia" w:ascii="仿宋" w:hAnsi="仿宋" w:eastAsia="仿宋" w:cs="仿宋"/>
                <w:szCs w:val="24"/>
              </w:rPr>
            </w:pPr>
            <w:r>
              <w:rPr>
                <w:rFonts w:hint="eastAsia" w:ascii="仿宋" w:hAnsi="仿宋" w:eastAsia="仿宋" w:cs="仿宋"/>
                <w:szCs w:val="24"/>
              </w:rPr>
              <w:t>/</w:t>
            </w:r>
          </w:p>
        </w:tc>
        <w:tc>
          <w:tcPr>
            <w:tcW w:w="794"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3CDD7393">
            <w:pPr>
              <w:spacing w:line="400" w:lineRule="exact"/>
              <w:rPr>
                <w:rFonts w:hint="eastAsia" w:ascii="仿宋" w:hAnsi="仿宋" w:eastAsia="仿宋" w:cs="仿宋"/>
                <w:szCs w:val="24"/>
              </w:rPr>
            </w:pPr>
            <w:r>
              <w:rPr>
                <w:rFonts w:hint="eastAsia" w:ascii="仿宋" w:hAnsi="仿宋" w:eastAsia="仿宋" w:cs="仿宋"/>
                <w:szCs w:val="24"/>
              </w:rPr>
              <w:t>定频</w:t>
            </w:r>
          </w:p>
        </w:tc>
      </w:tr>
      <w:tr w14:paraId="2DA0D01E">
        <w:tblPrEx>
          <w:tblCellMar>
            <w:top w:w="0" w:type="dxa"/>
            <w:left w:w="0" w:type="dxa"/>
            <w:bottom w:w="0" w:type="dxa"/>
            <w:right w:w="0" w:type="dxa"/>
          </w:tblCellMar>
        </w:tblPrEx>
        <w:trPr>
          <w:trHeight w:val="694" w:hRule="atLeast"/>
          <w:jc w:val="center"/>
        </w:trPr>
        <w:tc>
          <w:tcPr>
            <w:tcW w:w="993"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0A3F4CDC">
            <w:pPr>
              <w:spacing w:line="400" w:lineRule="exact"/>
              <w:jc w:val="center"/>
              <w:rPr>
                <w:rFonts w:hint="eastAsia" w:ascii="仿宋" w:hAnsi="仿宋" w:eastAsia="仿宋" w:cs="仿宋"/>
                <w:szCs w:val="24"/>
              </w:rPr>
            </w:pPr>
            <w:r>
              <w:rPr>
                <w:rFonts w:hint="eastAsia" w:ascii="仿宋" w:hAnsi="仿宋" w:eastAsia="仿宋" w:cs="仿宋"/>
                <w:szCs w:val="24"/>
              </w:rPr>
              <w:t>风冷螺杆热泵</w:t>
            </w:r>
          </w:p>
        </w:tc>
        <w:tc>
          <w:tcPr>
            <w:tcW w:w="1953"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4217AF07">
            <w:pPr>
              <w:spacing w:line="400" w:lineRule="exact"/>
              <w:jc w:val="center"/>
              <w:rPr>
                <w:rFonts w:hint="eastAsia" w:ascii="仿宋" w:hAnsi="仿宋" w:eastAsia="仿宋" w:cs="仿宋"/>
                <w:szCs w:val="24"/>
              </w:rPr>
            </w:pPr>
            <w:r>
              <w:rPr>
                <w:rFonts w:hint="eastAsia" w:ascii="仿宋" w:hAnsi="仿宋" w:eastAsia="仿宋" w:cs="仿宋"/>
                <w:szCs w:val="24"/>
              </w:rPr>
              <w:t>制冷量373.4kW，输入功率125.8kW，</w:t>
            </w:r>
          </w:p>
          <w:p w14:paraId="56D1B47A">
            <w:pPr>
              <w:spacing w:line="400" w:lineRule="exact"/>
              <w:jc w:val="center"/>
              <w:rPr>
                <w:rFonts w:hint="eastAsia" w:ascii="仿宋" w:hAnsi="仿宋" w:eastAsia="仿宋" w:cs="仿宋"/>
                <w:szCs w:val="24"/>
              </w:rPr>
            </w:pPr>
            <w:r>
              <w:rPr>
                <w:rFonts w:hint="eastAsia" w:ascii="仿宋" w:hAnsi="仿宋" w:eastAsia="仿宋" w:cs="仿宋"/>
                <w:szCs w:val="24"/>
              </w:rPr>
              <w:t>出厂日期2011年7月</w:t>
            </w:r>
          </w:p>
        </w:tc>
        <w:tc>
          <w:tcPr>
            <w:tcW w:w="470"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24DD1A3A">
            <w:pPr>
              <w:spacing w:line="400" w:lineRule="exact"/>
              <w:jc w:val="center"/>
              <w:rPr>
                <w:rFonts w:hint="eastAsia" w:ascii="仿宋" w:hAnsi="仿宋" w:eastAsia="仿宋" w:cs="仿宋"/>
                <w:szCs w:val="24"/>
              </w:rPr>
            </w:pPr>
            <w:r>
              <w:rPr>
                <w:rFonts w:hint="eastAsia" w:ascii="仿宋" w:hAnsi="仿宋" w:eastAsia="仿宋" w:cs="仿宋"/>
                <w:szCs w:val="24"/>
              </w:rPr>
              <w:t>2</w:t>
            </w:r>
          </w:p>
        </w:tc>
        <w:tc>
          <w:tcPr>
            <w:tcW w:w="790"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7F4010EF">
            <w:pPr>
              <w:spacing w:line="400" w:lineRule="exact"/>
              <w:rPr>
                <w:rFonts w:hint="eastAsia" w:ascii="仿宋" w:hAnsi="仿宋" w:eastAsia="仿宋" w:cs="仿宋"/>
                <w:szCs w:val="24"/>
              </w:rPr>
            </w:pPr>
            <w:r>
              <w:rPr>
                <w:rFonts w:hint="eastAsia" w:ascii="仿宋" w:hAnsi="仿宋" w:eastAsia="仿宋" w:cs="仿宋"/>
                <w:szCs w:val="24"/>
              </w:rPr>
              <w:t>宁波惠康</w:t>
            </w:r>
          </w:p>
        </w:tc>
        <w:tc>
          <w:tcPr>
            <w:tcW w:w="794"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57B0CD18">
            <w:pPr>
              <w:spacing w:line="400" w:lineRule="exact"/>
              <w:rPr>
                <w:rFonts w:hint="eastAsia" w:ascii="仿宋" w:hAnsi="仿宋" w:eastAsia="仿宋" w:cs="仿宋"/>
                <w:szCs w:val="24"/>
              </w:rPr>
            </w:pPr>
            <w:r>
              <w:rPr>
                <w:rFonts w:hint="eastAsia" w:ascii="仿宋" w:hAnsi="仿宋" w:eastAsia="仿宋" w:cs="仿宋"/>
                <w:szCs w:val="24"/>
              </w:rPr>
              <w:t>一用一备</w:t>
            </w:r>
          </w:p>
        </w:tc>
      </w:tr>
      <w:tr w14:paraId="07AD37F5">
        <w:tblPrEx>
          <w:tblCellMar>
            <w:top w:w="0" w:type="dxa"/>
            <w:left w:w="0" w:type="dxa"/>
            <w:bottom w:w="0" w:type="dxa"/>
            <w:right w:w="0" w:type="dxa"/>
          </w:tblCellMar>
        </w:tblPrEx>
        <w:trPr>
          <w:trHeight w:val="694" w:hRule="atLeast"/>
          <w:jc w:val="center"/>
        </w:trPr>
        <w:tc>
          <w:tcPr>
            <w:tcW w:w="993"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031B85BC">
            <w:pPr>
              <w:spacing w:line="400" w:lineRule="exact"/>
              <w:jc w:val="center"/>
              <w:rPr>
                <w:rFonts w:hint="eastAsia" w:ascii="仿宋" w:hAnsi="仿宋" w:eastAsia="仿宋" w:cs="仿宋"/>
                <w:szCs w:val="24"/>
              </w:rPr>
            </w:pPr>
            <w:r>
              <w:rPr>
                <w:rFonts w:hint="eastAsia" w:ascii="仿宋" w:hAnsi="仿宋" w:eastAsia="仿宋" w:cs="仿宋"/>
                <w:szCs w:val="24"/>
              </w:rPr>
              <w:t>手术室循环水泵</w:t>
            </w:r>
          </w:p>
        </w:tc>
        <w:tc>
          <w:tcPr>
            <w:tcW w:w="1953"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12BF14D5">
            <w:pPr>
              <w:spacing w:line="400" w:lineRule="exact"/>
              <w:jc w:val="center"/>
              <w:rPr>
                <w:rFonts w:hint="eastAsia" w:ascii="仿宋" w:hAnsi="仿宋" w:eastAsia="仿宋" w:cs="仿宋"/>
                <w:szCs w:val="24"/>
              </w:rPr>
            </w:pPr>
            <w:r>
              <w:rPr>
                <w:rFonts w:hint="eastAsia" w:ascii="仿宋" w:hAnsi="仿宋" w:eastAsia="仿宋" w:cs="仿宋"/>
                <w:szCs w:val="24"/>
              </w:rPr>
              <w:t>70m3/h，H=29.2m，N=11kW</w:t>
            </w:r>
          </w:p>
        </w:tc>
        <w:tc>
          <w:tcPr>
            <w:tcW w:w="470"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623B7B43">
            <w:pPr>
              <w:spacing w:line="400" w:lineRule="exact"/>
              <w:jc w:val="center"/>
              <w:rPr>
                <w:rFonts w:hint="eastAsia" w:ascii="仿宋" w:hAnsi="仿宋" w:eastAsia="仿宋" w:cs="仿宋"/>
                <w:szCs w:val="24"/>
              </w:rPr>
            </w:pPr>
            <w:r>
              <w:rPr>
                <w:rFonts w:hint="eastAsia" w:ascii="仿宋" w:hAnsi="仿宋" w:eastAsia="仿宋" w:cs="仿宋"/>
                <w:szCs w:val="24"/>
              </w:rPr>
              <w:t>3</w:t>
            </w:r>
          </w:p>
        </w:tc>
        <w:tc>
          <w:tcPr>
            <w:tcW w:w="790"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14759535">
            <w:pPr>
              <w:spacing w:line="400" w:lineRule="exact"/>
              <w:rPr>
                <w:rFonts w:hint="eastAsia" w:ascii="仿宋" w:hAnsi="仿宋" w:eastAsia="仿宋" w:cs="仿宋"/>
                <w:szCs w:val="24"/>
              </w:rPr>
            </w:pPr>
            <w:r>
              <w:rPr>
                <w:rFonts w:hint="eastAsia" w:ascii="仿宋" w:hAnsi="仿宋" w:eastAsia="仿宋" w:cs="仿宋"/>
                <w:szCs w:val="24"/>
              </w:rPr>
              <w:t>西门子</w:t>
            </w:r>
          </w:p>
        </w:tc>
        <w:tc>
          <w:tcPr>
            <w:tcW w:w="794" w:type="pct"/>
            <w:tcBorders>
              <w:top w:val="single" w:color="auto" w:sz="2" w:space="0"/>
              <w:left w:val="single" w:color="auto" w:sz="2" w:space="0"/>
              <w:bottom w:val="single" w:color="auto" w:sz="2" w:space="0"/>
              <w:right w:val="single" w:color="auto" w:sz="2" w:space="0"/>
            </w:tcBorders>
            <w:tcMar>
              <w:top w:w="96" w:type="dxa"/>
              <w:left w:w="192" w:type="dxa"/>
              <w:bottom w:w="96" w:type="dxa"/>
              <w:right w:w="192" w:type="dxa"/>
            </w:tcMar>
            <w:vAlign w:val="center"/>
          </w:tcPr>
          <w:p w14:paraId="728D957B">
            <w:pPr>
              <w:spacing w:line="400" w:lineRule="exact"/>
              <w:rPr>
                <w:rFonts w:hint="eastAsia" w:ascii="仿宋" w:hAnsi="仿宋" w:eastAsia="仿宋" w:cs="仿宋"/>
                <w:szCs w:val="24"/>
              </w:rPr>
            </w:pPr>
            <w:r>
              <w:rPr>
                <w:rFonts w:hint="eastAsia" w:ascii="仿宋" w:hAnsi="仿宋" w:eastAsia="仿宋" w:cs="仿宋"/>
                <w:szCs w:val="24"/>
              </w:rPr>
              <w:t>一用两备</w:t>
            </w:r>
          </w:p>
        </w:tc>
      </w:tr>
    </w:tbl>
    <w:p w14:paraId="74EB20D8">
      <w:pPr>
        <w:spacing w:line="360" w:lineRule="auto"/>
        <w:jc w:val="center"/>
        <w:rPr>
          <w:rFonts w:hint="eastAsia" w:ascii="仿宋" w:hAnsi="仿宋" w:eastAsia="仿宋" w:cs="仿宋"/>
        </w:rPr>
      </w:pPr>
      <w:r>
        <w:rPr>
          <w:rFonts w:hint="eastAsia" w:ascii="仿宋" w:hAnsi="仿宋" w:eastAsia="仿宋" w:cs="仿宋"/>
          <w:b/>
          <w:bCs/>
        </w:rPr>
        <w:t>表2.多联机空调设备表</w:t>
      </w:r>
    </w:p>
    <w:tbl>
      <w:tblPr>
        <w:tblStyle w:val="38"/>
        <w:tblW w:w="5000" w:type="pct"/>
        <w:tblInd w:w="0" w:type="dxa"/>
        <w:tblLayout w:type="autofit"/>
        <w:tblCellMar>
          <w:top w:w="0" w:type="dxa"/>
          <w:left w:w="108" w:type="dxa"/>
          <w:bottom w:w="0" w:type="dxa"/>
          <w:right w:w="108" w:type="dxa"/>
        </w:tblCellMar>
      </w:tblPr>
      <w:tblGrid>
        <w:gridCol w:w="842"/>
        <w:gridCol w:w="1470"/>
        <w:gridCol w:w="1882"/>
        <w:gridCol w:w="1844"/>
        <w:gridCol w:w="769"/>
        <w:gridCol w:w="2253"/>
      </w:tblGrid>
      <w:tr w14:paraId="75832C89">
        <w:tblPrEx>
          <w:tblCellMar>
            <w:top w:w="0" w:type="dxa"/>
            <w:left w:w="108" w:type="dxa"/>
            <w:bottom w:w="0" w:type="dxa"/>
            <w:right w:w="108" w:type="dxa"/>
          </w:tblCellMar>
        </w:tblPrEx>
        <w:trPr>
          <w:trHeight w:val="671" w:hRule="atLeast"/>
        </w:trPr>
        <w:tc>
          <w:tcPr>
            <w:tcW w:w="465" w:type="pct"/>
            <w:tcBorders>
              <w:top w:val="single" w:color="auto" w:sz="2" w:space="0"/>
              <w:left w:val="single" w:color="auto" w:sz="2" w:space="0"/>
              <w:bottom w:val="single" w:color="auto" w:sz="2" w:space="0"/>
              <w:right w:val="single" w:color="auto" w:sz="2" w:space="0"/>
            </w:tcBorders>
            <w:vAlign w:val="center"/>
          </w:tcPr>
          <w:p w14:paraId="40C5B36A">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序号</w:t>
            </w:r>
          </w:p>
        </w:tc>
        <w:tc>
          <w:tcPr>
            <w:tcW w:w="811" w:type="pct"/>
            <w:tcBorders>
              <w:top w:val="single" w:color="auto" w:sz="2" w:space="0"/>
              <w:left w:val="single" w:color="auto" w:sz="2" w:space="0"/>
              <w:bottom w:val="single" w:color="auto" w:sz="2" w:space="0"/>
              <w:right w:val="single" w:color="auto" w:sz="2" w:space="0"/>
            </w:tcBorders>
            <w:vAlign w:val="center"/>
          </w:tcPr>
          <w:p w14:paraId="7B80B5C8">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设备名称</w:t>
            </w:r>
          </w:p>
        </w:tc>
        <w:tc>
          <w:tcPr>
            <w:tcW w:w="1038" w:type="pct"/>
            <w:tcBorders>
              <w:top w:val="single" w:color="auto" w:sz="2" w:space="0"/>
              <w:left w:val="single" w:color="auto" w:sz="2" w:space="0"/>
              <w:bottom w:val="single" w:color="auto" w:sz="2" w:space="0"/>
              <w:right w:val="single" w:color="auto" w:sz="2" w:space="0"/>
            </w:tcBorders>
            <w:vAlign w:val="center"/>
          </w:tcPr>
          <w:p w14:paraId="13CAB66A">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制冷功率 (kW)</w:t>
            </w:r>
          </w:p>
        </w:tc>
        <w:tc>
          <w:tcPr>
            <w:tcW w:w="1017" w:type="pct"/>
            <w:tcBorders>
              <w:top w:val="single" w:color="auto" w:sz="2" w:space="0"/>
              <w:left w:val="single" w:color="auto" w:sz="2" w:space="0"/>
              <w:bottom w:val="single" w:color="auto" w:sz="2" w:space="0"/>
              <w:right w:val="single" w:color="auto" w:sz="2" w:space="0"/>
            </w:tcBorders>
            <w:vAlign w:val="center"/>
          </w:tcPr>
          <w:p w14:paraId="62C4C49E">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制热功率 (kW)</w:t>
            </w:r>
          </w:p>
        </w:tc>
        <w:tc>
          <w:tcPr>
            <w:tcW w:w="424" w:type="pct"/>
            <w:tcBorders>
              <w:top w:val="single" w:color="auto" w:sz="2" w:space="0"/>
              <w:left w:val="single" w:color="auto" w:sz="2" w:space="0"/>
              <w:bottom w:val="single" w:color="auto" w:sz="2" w:space="0"/>
              <w:right w:val="single" w:color="auto" w:sz="2" w:space="0"/>
            </w:tcBorders>
            <w:vAlign w:val="center"/>
          </w:tcPr>
          <w:p w14:paraId="31B7BF82">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数量</w:t>
            </w:r>
          </w:p>
        </w:tc>
        <w:tc>
          <w:tcPr>
            <w:tcW w:w="1243" w:type="pct"/>
            <w:tcBorders>
              <w:top w:val="single" w:color="auto" w:sz="2" w:space="0"/>
              <w:left w:val="single" w:color="auto" w:sz="2" w:space="0"/>
              <w:bottom w:val="single" w:color="auto" w:sz="2" w:space="0"/>
              <w:right w:val="single" w:color="auto" w:sz="2" w:space="0"/>
            </w:tcBorders>
            <w:vAlign w:val="center"/>
          </w:tcPr>
          <w:p w14:paraId="713ABD75">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安装位置</w:t>
            </w:r>
          </w:p>
        </w:tc>
      </w:tr>
      <w:tr w14:paraId="54E043C6">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4450678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811" w:type="pct"/>
            <w:tcBorders>
              <w:top w:val="single" w:color="auto" w:sz="2" w:space="0"/>
              <w:left w:val="single" w:color="auto" w:sz="2" w:space="0"/>
              <w:bottom w:val="single" w:color="auto" w:sz="2" w:space="0"/>
              <w:right w:val="single" w:color="auto" w:sz="2" w:space="0"/>
            </w:tcBorders>
            <w:vAlign w:val="center"/>
          </w:tcPr>
          <w:p w14:paraId="5B9F6A5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0DBFB1C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10.5</w:t>
            </w:r>
          </w:p>
        </w:tc>
        <w:tc>
          <w:tcPr>
            <w:tcW w:w="1017" w:type="pct"/>
            <w:tcBorders>
              <w:top w:val="single" w:color="auto" w:sz="2" w:space="0"/>
              <w:left w:val="single" w:color="auto" w:sz="2" w:space="0"/>
              <w:bottom w:val="single" w:color="auto" w:sz="2" w:space="0"/>
              <w:right w:val="single" w:color="auto" w:sz="2" w:space="0"/>
            </w:tcBorders>
            <w:vAlign w:val="center"/>
          </w:tcPr>
          <w:p w14:paraId="0E14B44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10.2</w:t>
            </w:r>
          </w:p>
        </w:tc>
        <w:tc>
          <w:tcPr>
            <w:tcW w:w="424" w:type="pct"/>
            <w:tcBorders>
              <w:top w:val="single" w:color="auto" w:sz="2" w:space="0"/>
              <w:left w:val="single" w:color="auto" w:sz="2" w:space="0"/>
              <w:bottom w:val="single" w:color="auto" w:sz="2" w:space="0"/>
              <w:right w:val="single" w:color="auto" w:sz="2" w:space="0"/>
            </w:tcBorders>
            <w:vAlign w:val="center"/>
          </w:tcPr>
          <w:p w14:paraId="4B55DBF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37E4857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门诊1号楼楼顶东侧</w:t>
            </w:r>
          </w:p>
        </w:tc>
      </w:tr>
      <w:tr w14:paraId="58D69153">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3A94E93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811" w:type="pct"/>
            <w:tcBorders>
              <w:top w:val="single" w:color="auto" w:sz="2" w:space="0"/>
              <w:left w:val="single" w:color="auto" w:sz="2" w:space="0"/>
              <w:bottom w:val="single" w:color="auto" w:sz="2" w:space="0"/>
              <w:right w:val="single" w:color="auto" w:sz="2" w:space="0"/>
            </w:tcBorders>
            <w:vAlign w:val="center"/>
          </w:tcPr>
          <w:p w14:paraId="7DC36DC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4D56FE6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7.75</w:t>
            </w:r>
          </w:p>
        </w:tc>
        <w:tc>
          <w:tcPr>
            <w:tcW w:w="1017" w:type="pct"/>
            <w:tcBorders>
              <w:top w:val="single" w:color="auto" w:sz="2" w:space="0"/>
              <w:left w:val="single" w:color="auto" w:sz="2" w:space="0"/>
              <w:bottom w:val="single" w:color="auto" w:sz="2" w:space="0"/>
              <w:right w:val="single" w:color="auto" w:sz="2" w:space="0"/>
            </w:tcBorders>
            <w:vAlign w:val="center"/>
          </w:tcPr>
          <w:p w14:paraId="1D6A752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7.69</w:t>
            </w:r>
          </w:p>
        </w:tc>
        <w:tc>
          <w:tcPr>
            <w:tcW w:w="424" w:type="pct"/>
            <w:tcBorders>
              <w:top w:val="single" w:color="auto" w:sz="2" w:space="0"/>
              <w:left w:val="single" w:color="auto" w:sz="2" w:space="0"/>
              <w:bottom w:val="single" w:color="auto" w:sz="2" w:space="0"/>
              <w:right w:val="single" w:color="auto" w:sz="2" w:space="0"/>
            </w:tcBorders>
            <w:vAlign w:val="center"/>
          </w:tcPr>
          <w:p w14:paraId="181E55A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5EC8CFB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1号楼楼顶平台东侧</w:t>
            </w:r>
          </w:p>
        </w:tc>
      </w:tr>
      <w:tr w14:paraId="06B6B4C6">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3A920D2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w:t>
            </w:r>
          </w:p>
        </w:tc>
        <w:tc>
          <w:tcPr>
            <w:tcW w:w="811" w:type="pct"/>
            <w:tcBorders>
              <w:top w:val="single" w:color="auto" w:sz="2" w:space="0"/>
              <w:left w:val="single" w:color="auto" w:sz="2" w:space="0"/>
              <w:bottom w:val="single" w:color="auto" w:sz="2" w:space="0"/>
              <w:right w:val="single" w:color="auto" w:sz="2" w:space="0"/>
            </w:tcBorders>
            <w:vAlign w:val="center"/>
          </w:tcPr>
          <w:p w14:paraId="101019A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54B56FF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7.75</w:t>
            </w:r>
          </w:p>
        </w:tc>
        <w:tc>
          <w:tcPr>
            <w:tcW w:w="1017" w:type="pct"/>
            <w:tcBorders>
              <w:top w:val="single" w:color="auto" w:sz="2" w:space="0"/>
              <w:left w:val="single" w:color="auto" w:sz="2" w:space="0"/>
              <w:bottom w:val="single" w:color="auto" w:sz="2" w:space="0"/>
              <w:right w:val="single" w:color="auto" w:sz="2" w:space="0"/>
            </w:tcBorders>
            <w:vAlign w:val="center"/>
          </w:tcPr>
          <w:p w14:paraId="4F943A9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7.69</w:t>
            </w:r>
          </w:p>
        </w:tc>
        <w:tc>
          <w:tcPr>
            <w:tcW w:w="424" w:type="pct"/>
            <w:tcBorders>
              <w:top w:val="single" w:color="auto" w:sz="2" w:space="0"/>
              <w:left w:val="single" w:color="auto" w:sz="2" w:space="0"/>
              <w:bottom w:val="single" w:color="auto" w:sz="2" w:space="0"/>
              <w:right w:val="single" w:color="auto" w:sz="2" w:space="0"/>
            </w:tcBorders>
            <w:vAlign w:val="center"/>
          </w:tcPr>
          <w:p w14:paraId="04982B4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1243" w:type="pct"/>
            <w:tcBorders>
              <w:top w:val="single" w:color="auto" w:sz="2" w:space="0"/>
              <w:left w:val="single" w:color="auto" w:sz="2" w:space="0"/>
              <w:bottom w:val="single" w:color="auto" w:sz="2" w:space="0"/>
              <w:right w:val="single" w:color="auto" w:sz="2" w:space="0"/>
            </w:tcBorders>
            <w:vAlign w:val="center"/>
          </w:tcPr>
          <w:p w14:paraId="5CC1827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门诊1号楼顶平台西侧</w:t>
            </w:r>
          </w:p>
        </w:tc>
      </w:tr>
      <w:tr w14:paraId="1B205DA2">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2A41C37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4</w:t>
            </w:r>
          </w:p>
        </w:tc>
        <w:tc>
          <w:tcPr>
            <w:tcW w:w="811" w:type="pct"/>
            <w:tcBorders>
              <w:top w:val="single" w:color="auto" w:sz="2" w:space="0"/>
              <w:left w:val="single" w:color="auto" w:sz="2" w:space="0"/>
              <w:bottom w:val="single" w:color="auto" w:sz="2" w:space="0"/>
              <w:right w:val="single" w:color="auto" w:sz="2" w:space="0"/>
            </w:tcBorders>
            <w:vAlign w:val="center"/>
          </w:tcPr>
          <w:p w14:paraId="37F51E5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51992B6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12.09</w:t>
            </w:r>
          </w:p>
        </w:tc>
        <w:tc>
          <w:tcPr>
            <w:tcW w:w="1017" w:type="pct"/>
            <w:tcBorders>
              <w:top w:val="single" w:color="auto" w:sz="2" w:space="0"/>
              <w:left w:val="single" w:color="auto" w:sz="2" w:space="0"/>
              <w:bottom w:val="single" w:color="auto" w:sz="2" w:space="0"/>
              <w:right w:val="single" w:color="auto" w:sz="2" w:space="0"/>
            </w:tcBorders>
            <w:vAlign w:val="center"/>
          </w:tcPr>
          <w:p w14:paraId="7C239CD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12.12</w:t>
            </w:r>
          </w:p>
        </w:tc>
        <w:tc>
          <w:tcPr>
            <w:tcW w:w="424" w:type="pct"/>
            <w:tcBorders>
              <w:top w:val="single" w:color="auto" w:sz="2" w:space="0"/>
              <w:left w:val="single" w:color="auto" w:sz="2" w:space="0"/>
              <w:bottom w:val="single" w:color="auto" w:sz="2" w:space="0"/>
              <w:right w:val="single" w:color="auto" w:sz="2" w:space="0"/>
            </w:tcBorders>
            <w:vAlign w:val="center"/>
          </w:tcPr>
          <w:p w14:paraId="7D4485F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48D47F3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1号楼设备层北侧</w:t>
            </w:r>
          </w:p>
        </w:tc>
      </w:tr>
      <w:tr w14:paraId="530EC9A1">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43B4D9B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5</w:t>
            </w:r>
          </w:p>
        </w:tc>
        <w:tc>
          <w:tcPr>
            <w:tcW w:w="811" w:type="pct"/>
            <w:tcBorders>
              <w:top w:val="single" w:color="auto" w:sz="2" w:space="0"/>
              <w:left w:val="single" w:color="auto" w:sz="2" w:space="0"/>
              <w:bottom w:val="single" w:color="auto" w:sz="2" w:space="0"/>
              <w:right w:val="single" w:color="auto" w:sz="2" w:space="0"/>
            </w:tcBorders>
            <w:vAlign w:val="center"/>
          </w:tcPr>
          <w:p w14:paraId="0C11B88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1EE09B2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3.65</w:t>
            </w:r>
          </w:p>
        </w:tc>
        <w:tc>
          <w:tcPr>
            <w:tcW w:w="1017" w:type="pct"/>
            <w:tcBorders>
              <w:top w:val="single" w:color="auto" w:sz="2" w:space="0"/>
              <w:left w:val="single" w:color="auto" w:sz="2" w:space="0"/>
              <w:bottom w:val="single" w:color="auto" w:sz="2" w:space="0"/>
              <w:right w:val="single" w:color="auto" w:sz="2" w:space="0"/>
            </w:tcBorders>
            <w:vAlign w:val="center"/>
          </w:tcPr>
          <w:p w14:paraId="29AC58D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3.15</w:t>
            </w:r>
          </w:p>
        </w:tc>
        <w:tc>
          <w:tcPr>
            <w:tcW w:w="424" w:type="pct"/>
            <w:tcBorders>
              <w:top w:val="single" w:color="auto" w:sz="2" w:space="0"/>
              <w:left w:val="single" w:color="auto" w:sz="2" w:space="0"/>
              <w:bottom w:val="single" w:color="auto" w:sz="2" w:space="0"/>
              <w:right w:val="single" w:color="auto" w:sz="2" w:space="0"/>
            </w:tcBorders>
            <w:vAlign w:val="center"/>
          </w:tcPr>
          <w:p w14:paraId="53DA1D9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71AE9EC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1号楼设备层北侧</w:t>
            </w:r>
          </w:p>
        </w:tc>
      </w:tr>
      <w:tr w14:paraId="22E7179E">
        <w:tblPrEx>
          <w:tblCellMar>
            <w:top w:w="0" w:type="dxa"/>
            <w:left w:w="108" w:type="dxa"/>
            <w:bottom w:w="0" w:type="dxa"/>
            <w:right w:w="108" w:type="dxa"/>
          </w:tblCellMar>
        </w:tblPrEx>
        <w:trPr>
          <w:trHeight w:val="290" w:hRule="atLeast"/>
        </w:trPr>
        <w:tc>
          <w:tcPr>
            <w:tcW w:w="465" w:type="pct"/>
            <w:tcBorders>
              <w:top w:val="single" w:color="auto" w:sz="2" w:space="0"/>
              <w:left w:val="single" w:color="auto" w:sz="2" w:space="0"/>
              <w:bottom w:val="single" w:color="auto" w:sz="2" w:space="0"/>
              <w:right w:val="single" w:color="auto" w:sz="2" w:space="0"/>
            </w:tcBorders>
            <w:vAlign w:val="center"/>
          </w:tcPr>
          <w:p w14:paraId="795A174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w:t>
            </w:r>
          </w:p>
        </w:tc>
        <w:tc>
          <w:tcPr>
            <w:tcW w:w="811" w:type="pct"/>
            <w:tcBorders>
              <w:top w:val="single" w:color="auto" w:sz="2" w:space="0"/>
              <w:left w:val="single" w:color="auto" w:sz="2" w:space="0"/>
              <w:bottom w:val="single" w:color="auto" w:sz="2" w:space="0"/>
              <w:right w:val="single" w:color="auto" w:sz="2" w:space="0"/>
            </w:tcBorders>
            <w:vAlign w:val="center"/>
          </w:tcPr>
          <w:p w14:paraId="103CE1C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0AAF66F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6.9</w:t>
            </w:r>
          </w:p>
        </w:tc>
        <w:tc>
          <w:tcPr>
            <w:tcW w:w="1017" w:type="pct"/>
            <w:tcBorders>
              <w:top w:val="single" w:color="auto" w:sz="2" w:space="0"/>
              <w:left w:val="single" w:color="auto" w:sz="2" w:space="0"/>
              <w:bottom w:val="single" w:color="auto" w:sz="2" w:space="0"/>
              <w:right w:val="single" w:color="auto" w:sz="2" w:space="0"/>
            </w:tcBorders>
            <w:vAlign w:val="center"/>
          </w:tcPr>
          <w:p w14:paraId="060ED8D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7.5</w:t>
            </w:r>
          </w:p>
        </w:tc>
        <w:tc>
          <w:tcPr>
            <w:tcW w:w="424" w:type="pct"/>
            <w:tcBorders>
              <w:top w:val="single" w:color="auto" w:sz="2" w:space="0"/>
              <w:left w:val="single" w:color="auto" w:sz="2" w:space="0"/>
              <w:bottom w:val="single" w:color="auto" w:sz="2" w:space="0"/>
              <w:right w:val="single" w:color="auto" w:sz="2" w:space="0"/>
            </w:tcBorders>
            <w:vAlign w:val="center"/>
          </w:tcPr>
          <w:p w14:paraId="02A2982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32B3483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1号楼5楼西侧</w:t>
            </w:r>
          </w:p>
        </w:tc>
      </w:tr>
      <w:tr w14:paraId="59C10996">
        <w:tblPrEx>
          <w:tblCellMar>
            <w:top w:w="0" w:type="dxa"/>
            <w:left w:w="108" w:type="dxa"/>
            <w:bottom w:w="0" w:type="dxa"/>
            <w:right w:w="108" w:type="dxa"/>
          </w:tblCellMar>
        </w:tblPrEx>
        <w:trPr>
          <w:trHeight w:val="290" w:hRule="atLeast"/>
        </w:trPr>
        <w:tc>
          <w:tcPr>
            <w:tcW w:w="465" w:type="pct"/>
            <w:tcBorders>
              <w:top w:val="single" w:color="auto" w:sz="2" w:space="0"/>
              <w:left w:val="single" w:color="auto" w:sz="2" w:space="0"/>
              <w:bottom w:val="single" w:color="auto" w:sz="2" w:space="0"/>
              <w:right w:val="single" w:color="auto" w:sz="2" w:space="0"/>
            </w:tcBorders>
            <w:vAlign w:val="center"/>
          </w:tcPr>
          <w:p w14:paraId="1681CF8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7</w:t>
            </w:r>
          </w:p>
        </w:tc>
        <w:tc>
          <w:tcPr>
            <w:tcW w:w="811" w:type="pct"/>
            <w:tcBorders>
              <w:top w:val="single" w:color="auto" w:sz="2" w:space="0"/>
              <w:left w:val="single" w:color="auto" w:sz="2" w:space="0"/>
              <w:bottom w:val="single" w:color="auto" w:sz="2" w:space="0"/>
              <w:right w:val="single" w:color="auto" w:sz="2" w:space="0"/>
            </w:tcBorders>
            <w:vAlign w:val="center"/>
          </w:tcPr>
          <w:p w14:paraId="0D02702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3195CF1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8.55</w:t>
            </w:r>
          </w:p>
        </w:tc>
        <w:tc>
          <w:tcPr>
            <w:tcW w:w="1017" w:type="pct"/>
            <w:tcBorders>
              <w:top w:val="single" w:color="auto" w:sz="2" w:space="0"/>
              <w:left w:val="single" w:color="auto" w:sz="2" w:space="0"/>
              <w:bottom w:val="single" w:color="auto" w:sz="2" w:space="0"/>
              <w:right w:val="single" w:color="auto" w:sz="2" w:space="0"/>
            </w:tcBorders>
            <w:vAlign w:val="center"/>
          </w:tcPr>
          <w:p w14:paraId="5B36FC1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8.46</w:t>
            </w:r>
          </w:p>
        </w:tc>
        <w:tc>
          <w:tcPr>
            <w:tcW w:w="424" w:type="pct"/>
            <w:tcBorders>
              <w:top w:val="single" w:color="auto" w:sz="2" w:space="0"/>
              <w:left w:val="single" w:color="auto" w:sz="2" w:space="0"/>
              <w:bottom w:val="single" w:color="auto" w:sz="2" w:space="0"/>
              <w:right w:val="single" w:color="auto" w:sz="2" w:space="0"/>
            </w:tcBorders>
            <w:vAlign w:val="center"/>
          </w:tcPr>
          <w:p w14:paraId="67723B3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2457DCD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1号楼5楼西侧</w:t>
            </w:r>
          </w:p>
        </w:tc>
      </w:tr>
      <w:tr w14:paraId="07C68196">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5D99B0A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8</w:t>
            </w:r>
          </w:p>
        </w:tc>
        <w:tc>
          <w:tcPr>
            <w:tcW w:w="811" w:type="pct"/>
            <w:tcBorders>
              <w:top w:val="single" w:color="auto" w:sz="2" w:space="0"/>
              <w:left w:val="single" w:color="auto" w:sz="2" w:space="0"/>
              <w:bottom w:val="single" w:color="auto" w:sz="2" w:space="0"/>
              <w:right w:val="single" w:color="auto" w:sz="2" w:space="0"/>
            </w:tcBorders>
            <w:vAlign w:val="center"/>
          </w:tcPr>
          <w:p w14:paraId="6C1A1B5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4097559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20.8</w:t>
            </w:r>
          </w:p>
        </w:tc>
        <w:tc>
          <w:tcPr>
            <w:tcW w:w="1017" w:type="pct"/>
            <w:tcBorders>
              <w:top w:val="single" w:color="auto" w:sz="2" w:space="0"/>
              <w:left w:val="single" w:color="auto" w:sz="2" w:space="0"/>
              <w:bottom w:val="single" w:color="auto" w:sz="2" w:space="0"/>
              <w:right w:val="single" w:color="auto" w:sz="2" w:space="0"/>
            </w:tcBorders>
            <w:vAlign w:val="center"/>
          </w:tcPr>
          <w:p w14:paraId="08BC115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19.8</w:t>
            </w:r>
          </w:p>
        </w:tc>
        <w:tc>
          <w:tcPr>
            <w:tcW w:w="424" w:type="pct"/>
            <w:tcBorders>
              <w:top w:val="single" w:color="auto" w:sz="2" w:space="0"/>
              <w:left w:val="single" w:color="auto" w:sz="2" w:space="0"/>
              <w:bottom w:val="single" w:color="auto" w:sz="2" w:space="0"/>
              <w:right w:val="single" w:color="auto" w:sz="2" w:space="0"/>
            </w:tcBorders>
            <w:vAlign w:val="center"/>
          </w:tcPr>
          <w:p w14:paraId="31F153D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122A9C9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1号楼4楼西侧平台</w:t>
            </w:r>
          </w:p>
        </w:tc>
      </w:tr>
      <w:tr w14:paraId="276B839B">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65660F7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9</w:t>
            </w:r>
          </w:p>
        </w:tc>
        <w:tc>
          <w:tcPr>
            <w:tcW w:w="811" w:type="pct"/>
            <w:tcBorders>
              <w:top w:val="single" w:color="auto" w:sz="2" w:space="0"/>
              <w:left w:val="single" w:color="auto" w:sz="2" w:space="0"/>
              <w:bottom w:val="single" w:color="auto" w:sz="2" w:space="0"/>
              <w:right w:val="single" w:color="auto" w:sz="2" w:space="0"/>
            </w:tcBorders>
            <w:vAlign w:val="center"/>
          </w:tcPr>
          <w:p w14:paraId="176C160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2895130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6.3</w:t>
            </w:r>
          </w:p>
        </w:tc>
        <w:tc>
          <w:tcPr>
            <w:tcW w:w="1017" w:type="pct"/>
            <w:tcBorders>
              <w:top w:val="single" w:color="auto" w:sz="2" w:space="0"/>
              <w:left w:val="single" w:color="auto" w:sz="2" w:space="0"/>
              <w:bottom w:val="single" w:color="auto" w:sz="2" w:space="0"/>
              <w:right w:val="single" w:color="auto" w:sz="2" w:space="0"/>
            </w:tcBorders>
            <w:vAlign w:val="center"/>
          </w:tcPr>
          <w:p w14:paraId="7A07FE9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w:t>
            </w:r>
          </w:p>
        </w:tc>
        <w:tc>
          <w:tcPr>
            <w:tcW w:w="424" w:type="pct"/>
            <w:tcBorders>
              <w:top w:val="single" w:color="auto" w:sz="2" w:space="0"/>
              <w:left w:val="single" w:color="auto" w:sz="2" w:space="0"/>
              <w:bottom w:val="single" w:color="auto" w:sz="2" w:space="0"/>
              <w:right w:val="single" w:color="auto" w:sz="2" w:space="0"/>
            </w:tcBorders>
            <w:vAlign w:val="center"/>
          </w:tcPr>
          <w:p w14:paraId="1FBF854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1169EB1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1号楼4楼西侧平台</w:t>
            </w:r>
          </w:p>
        </w:tc>
      </w:tr>
      <w:tr w14:paraId="051EE0DE">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62A48D0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10</w:t>
            </w:r>
          </w:p>
        </w:tc>
        <w:tc>
          <w:tcPr>
            <w:tcW w:w="811" w:type="pct"/>
            <w:tcBorders>
              <w:top w:val="single" w:color="auto" w:sz="2" w:space="0"/>
              <w:left w:val="single" w:color="auto" w:sz="2" w:space="0"/>
              <w:bottom w:val="single" w:color="auto" w:sz="2" w:space="0"/>
              <w:right w:val="single" w:color="auto" w:sz="2" w:space="0"/>
            </w:tcBorders>
            <w:vAlign w:val="center"/>
          </w:tcPr>
          <w:p w14:paraId="5DC3167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2041B3A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7.2</w:t>
            </w:r>
          </w:p>
        </w:tc>
        <w:tc>
          <w:tcPr>
            <w:tcW w:w="1017" w:type="pct"/>
            <w:tcBorders>
              <w:top w:val="single" w:color="auto" w:sz="2" w:space="0"/>
              <w:left w:val="single" w:color="auto" w:sz="2" w:space="0"/>
              <w:bottom w:val="single" w:color="auto" w:sz="2" w:space="0"/>
              <w:right w:val="single" w:color="auto" w:sz="2" w:space="0"/>
            </w:tcBorders>
            <w:vAlign w:val="center"/>
          </w:tcPr>
          <w:p w14:paraId="139651D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5.95</w:t>
            </w:r>
          </w:p>
        </w:tc>
        <w:tc>
          <w:tcPr>
            <w:tcW w:w="424" w:type="pct"/>
            <w:tcBorders>
              <w:top w:val="single" w:color="auto" w:sz="2" w:space="0"/>
              <w:left w:val="single" w:color="auto" w:sz="2" w:space="0"/>
              <w:bottom w:val="single" w:color="auto" w:sz="2" w:space="0"/>
              <w:right w:val="single" w:color="auto" w:sz="2" w:space="0"/>
            </w:tcBorders>
            <w:vAlign w:val="center"/>
          </w:tcPr>
          <w:p w14:paraId="08CE206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66BD3EC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1号楼4楼西侧平台</w:t>
            </w:r>
          </w:p>
        </w:tc>
      </w:tr>
      <w:tr w14:paraId="4AF46AE9">
        <w:tblPrEx>
          <w:tblCellMar>
            <w:top w:w="0" w:type="dxa"/>
            <w:left w:w="108" w:type="dxa"/>
            <w:bottom w:w="0" w:type="dxa"/>
            <w:right w:w="108" w:type="dxa"/>
          </w:tblCellMar>
        </w:tblPrEx>
        <w:trPr>
          <w:trHeight w:val="290" w:hRule="atLeast"/>
        </w:trPr>
        <w:tc>
          <w:tcPr>
            <w:tcW w:w="465" w:type="pct"/>
            <w:tcBorders>
              <w:top w:val="single" w:color="auto" w:sz="2" w:space="0"/>
              <w:left w:val="single" w:color="auto" w:sz="2" w:space="0"/>
              <w:bottom w:val="single" w:color="auto" w:sz="2" w:space="0"/>
              <w:right w:val="single" w:color="auto" w:sz="2" w:space="0"/>
            </w:tcBorders>
            <w:vAlign w:val="center"/>
          </w:tcPr>
          <w:p w14:paraId="0CA5667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11</w:t>
            </w:r>
          </w:p>
        </w:tc>
        <w:tc>
          <w:tcPr>
            <w:tcW w:w="811" w:type="pct"/>
            <w:tcBorders>
              <w:top w:val="single" w:color="auto" w:sz="2" w:space="0"/>
              <w:left w:val="single" w:color="auto" w:sz="2" w:space="0"/>
              <w:bottom w:val="single" w:color="auto" w:sz="2" w:space="0"/>
              <w:right w:val="single" w:color="auto" w:sz="2" w:space="0"/>
            </w:tcBorders>
            <w:vAlign w:val="center"/>
          </w:tcPr>
          <w:p w14:paraId="40579C9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7C1F5F1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15.76</w:t>
            </w:r>
          </w:p>
        </w:tc>
        <w:tc>
          <w:tcPr>
            <w:tcW w:w="1017" w:type="pct"/>
            <w:tcBorders>
              <w:top w:val="single" w:color="auto" w:sz="2" w:space="0"/>
              <w:left w:val="single" w:color="auto" w:sz="2" w:space="0"/>
              <w:bottom w:val="single" w:color="auto" w:sz="2" w:space="0"/>
              <w:right w:val="single" w:color="auto" w:sz="2" w:space="0"/>
            </w:tcBorders>
            <w:vAlign w:val="center"/>
          </w:tcPr>
          <w:p w14:paraId="5A90CAF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15.42</w:t>
            </w:r>
          </w:p>
        </w:tc>
        <w:tc>
          <w:tcPr>
            <w:tcW w:w="424" w:type="pct"/>
            <w:tcBorders>
              <w:top w:val="single" w:color="auto" w:sz="2" w:space="0"/>
              <w:left w:val="single" w:color="auto" w:sz="2" w:space="0"/>
              <w:bottom w:val="single" w:color="auto" w:sz="2" w:space="0"/>
              <w:right w:val="single" w:color="auto" w:sz="2" w:space="0"/>
            </w:tcBorders>
            <w:vAlign w:val="center"/>
          </w:tcPr>
          <w:p w14:paraId="7FC6D05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0934D5A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1号楼东北角</w:t>
            </w:r>
          </w:p>
        </w:tc>
      </w:tr>
      <w:tr w14:paraId="02ECD71F">
        <w:tblPrEx>
          <w:tblCellMar>
            <w:top w:w="0" w:type="dxa"/>
            <w:left w:w="108" w:type="dxa"/>
            <w:bottom w:w="0" w:type="dxa"/>
            <w:right w:w="108" w:type="dxa"/>
          </w:tblCellMar>
        </w:tblPrEx>
        <w:trPr>
          <w:trHeight w:val="290" w:hRule="atLeast"/>
        </w:trPr>
        <w:tc>
          <w:tcPr>
            <w:tcW w:w="465" w:type="pct"/>
            <w:tcBorders>
              <w:top w:val="single" w:color="auto" w:sz="2" w:space="0"/>
              <w:left w:val="single" w:color="auto" w:sz="2" w:space="0"/>
              <w:bottom w:val="single" w:color="auto" w:sz="2" w:space="0"/>
              <w:right w:val="single" w:color="auto" w:sz="2" w:space="0"/>
            </w:tcBorders>
            <w:vAlign w:val="center"/>
          </w:tcPr>
          <w:p w14:paraId="1DB65C4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12</w:t>
            </w:r>
          </w:p>
        </w:tc>
        <w:tc>
          <w:tcPr>
            <w:tcW w:w="811" w:type="pct"/>
            <w:tcBorders>
              <w:top w:val="single" w:color="auto" w:sz="2" w:space="0"/>
              <w:left w:val="single" w:color="auto" w:sz="2" w:space="0"/>
              <w:bottom w:val="single" w:color="auto" w:sz="2" w:space="0"/>
              <w:right w:val="single" w:color="auto" w:sz="2" w:space="0"/>
            </w:tcBorders>
            <w:vAlign w:val="center"/>
          </w:tcPr>
          <w:p w14:paraId="77FF4F1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1889CE6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18.48</w:t>
            </w:r>
          </w:p>
        </w:tc>
        <w:tc>
          <w:tcPr>
            <w:tcW w:w="1017" w:type="pct"/>
            <w:tcBorders>
              <w:top w:val="single" w:color="auto" w:sz="2" w:space="0"/>
              <w:left w:val="single" w:color="auto" w:sz="2" w:space="0"/>
              <w:bottom w:val="single" w:color="auto" w:sz="2" w:space="0"/>
              <w:right w:val="single" w:color="auto" w:sz="2" w:space="0"/>
            </w:tcBorders>
            <w:vAlign w:val="center"/>
          </w:tcPr>
          <w:p w14:paraId="79C0A70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17.58</w:t>
            </w:r>
          </w:p>
        </w:tc>
        <w:tc>
          <w:tcPr>
            <w:tcW w:w="424" w:type="pct"/>
            <w:tcBorders>
              <w:top w:val="single" w:color="auto" w:sz="2" w:space="0"/>
              <w:left w:val="single" w:color="auto" w:sz="2" w:space="0"/>
              <w:bottom w:val="single" w:color="auto" w:sz="2" w:space="0"/>
              <w:right w:val="single" w:color="auto" w:sz="2" w:space="0"/>
            </w:tcBorders>
            <w:vAlign w:val="center"/>
          </w:tcPr>
          <w:p w14:paraId="6ED48E4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6B6453B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1号楼东北角</w:t>
            </w:r>
          </w:p>
        </w:tc>
      </w:tr>
      <w:tr w14:paraId="487E4111">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53057DE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13</w:t>
            </w:r>
          </w:p>
        </w:tc>
        <w:tc>
          <w:tcPr>
            <w:tcW w:w="811" w:type="pct"/>
            <w:tcBorders>
              <w:top w:val="single" w:color="auto" w:sz="2" w:space="0"/>
              <w:left w:val="single" w:color="auto" w:sz="2" w:space="0"/>
              <w:bottom w:val="single" w:color="auto" w:sz="2" w:space="0"/>
              <w:right w:val="single" w:color="auto" w:sz="2" w:space="0"/>
            </w:tcBorders>
            <w:vAlign w:val="center"/>
          </w:tcPr>
          <w:p w14:paraId="14BCD9C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2BFA4D6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36</w:t>
            </w:r>
          </w:p>
        </w:tc>
        <w:tc>
          <w:tcPr>
            <w:tcW w:w="1017" w:type="pct"/>
            <w:tcBorders>
              <w:top w:val="single" w:color="auto" w:sz="2" w:space="0"/>
              <w:left w:val="single" w:color="auto" w:sz="2" w:space="0"/>
              <w:bottom w:val="single" w:color="auto" w:sz="2" w:space="0"/>
              <w:right w:val="single" w:color="auto" w:sz="2" w:space="0"/>
            </w:tcBorders>
            <w:vAlign w:val="center"/>
          </w:tcPr>
          <w:p w14:paraId="3C783A2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31.5</w:t>
            </w:r>
          </w:p>
        </w:tc>
        <w:tc>
          <w:tcPr>
            <w:tcW w:w="424" w:type="pct"/>
            <w:tcBorders>
              <w:top w:val="single" w:color="auto" w:sz="2" w:space="0"/>
              <w:left w:val="single" w:color="auto" w:sz="2" w:space="0"/>
              <w:bottom w:val="single" w:color="auto" w:sz="2" w:space="0"/>
              <w:right w:val="single" w:color="auto" w:sz="2" w:space="0"/>
            </w:tcBorders>
            <w:vAlign w:val="center"/>
          </w:tcPr>
          <w:p w14:paraId="6B5C3D9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4CB4A08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2号楼急诊2楼平台</w:t>
            </w:r>
          </w:p>
        </w:tc>
      </w:tr>
      <w:tr w14:paraId="17713E3F">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2E92F89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14</w:t>
            </w:r>
          </w:p>
        </w:tc>
        <w:tc>
          <w:tcPr>
            <w:tcW w:w="811" w:type="pct"/>
            <w:tcBorders>
              <w:top w:val="single" w:color="auto" w:sz="2" w:space="0"/>
              <w:left w:val="single" w:color="auto" w:sz="2" w:space="0"/>
              <w:bottom w:val="single" w:color="auto" w:sz="2" w:space="0"/>
              <w:right w:val="single" w:color="auto" w:sz="2" w:space="0"/>
            </w:tcBorders>
            <w:vAlign w:val="center"/>
          </w:tcPr>
          <w:p w14:paraId="5757F41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643C603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15.9</w:t>
            </w:r>
          </w:p>
        </w:tc>
        <w:tc>
          <w:tcPr>
            <w:tcW w:w="1017" w:type="pct"/>
            <w:tcBorders>
              <w:top w:val="single" w:color="auto" w:sz="2" w:space="0"/>
              <w:left w:val="single" w:color="auto" w:sz="2" w:space="0"/>
              <w:bottom w:val="single" w:color="auto" w:sz="2" w:space="0"/>
              <w:right w:val="single" w:color="auto" w:sz="2" w:space="0"/>
            </w:tcBorders>
            <w:vAlign w:val="center"/>
          </w:tcPr>
          <w:p w14:paraId="7B43DE7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14.9</w:t>
            </w:r>
          </w:p>
        </w:tc>
        <w:tc>
          <w:tcPr>
            <w:tcW w:w="424" w:type="pct"/>
            <w:tcBorders>
              <w:top w:val="single" w:color="auto" w:sz="2" w:space="0"/>
              <w:left w:val="single" w:color="auto" w:sz="2" w:space="0"/>
              <w:bottom w:val="single" w:color="auto" w:sz="2" w:space="0"/>
              <w:right w:val="single" w:color="auto" w:sz="2" w:space="0"/>
            </w:tcBorders>
            <w:vAlign w:val="center"/>
          </w:tcPr>
          <w:p w14:paraId="75BB70A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1243" w:type="pct"/>
            <w:tcBorders>
              <w:top w:val="single" w:color="auto" w:sz="2" w:space="0"/>
              <w:left w:val="single" w:color="auto" w:sz="2" w:space="0"/>
              <w:bottom w:val="single" w:color="auto" w:sz="2" w:space="0"/>
              <w:right w:val="single" w:color="auto" w:sz="2" w:space="0"/>
            </w:tcBorders>
            <w:vAlign w:val="center"/>
          </w:tcPr>
          <w:p w14:paraId="32DE5BB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2号楼急诊2楼平台</w:t>
            </w:r>
          </w:p>
        </w:tc>
      </w:tr>
      <w:tr w14:paraId="45A19677">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6E6DA44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15</w:t>
            </w:r>
          </w:p>
        </w:tc>
        <w:tc>
          <w:tcPr>
            <w:tcW w:w="811" w:type="pct"/>
            <w:tcBorders>
              <w:top w:val="single" w:color="auto" w:sz="2" w:space="0"/>
              <w:left w:val="single" w:color="auto" w:sz="2" w:space="0"/>
              <w:bottom w:val="single" w:color="auto" w:sz="2" w:space="0"/>
              <w:right w:val="single" w:color="auto" w:sz="2" w:space="0"/>
            </w:tcBorders>
            <w:vAlign w:val="center"/>
          </w:tcPr>
          <w:p w14:paraId="7F44ADE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08D177D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9.3</w:t>
            </w:r>
          </w:p>
        </w:tc>
        <w:tc>
          <w:tcPr>
            <w:tcW w:w="1017" w:type="pct"/>
            <w:tcBorders>
              <w:top w:val="single" w:color="auto" w:sz="2" w:space="0"/>
              <w:left w:val="single" w:color="auto" w:sz="2" w:space="0"/>
              <w:bottom w:val="single" w:color="auto" w:sz="2" w:space="0"/>
              <w:right w:val="single" w:color="auto" w:sz="2" w:space="0"/>
            </w:tcBorders>
            <w:vAlign w:val="center"/>
          </w:tcPr>
          <w:p w14:paraId="66EEB6F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9.5</w:t>
            </w:r>
          </w:p>
        </w:tc>
        <w:tc>
          <w:tcPr>
            <w:tcW w:w="424" w:type="pct"/>
            <w:tcBorders>
              <w:top w:val="single" w:color="auto" w:sz="2" w:space="0"/>
              <w:left w:val="single" w:color="auto" w:sz="2" w:space="0"/>
              <w:bottom w:val="single" w:color="auto" w:sz="2" w:space="0"/>
              <w:right w:val="single" w:color="auto" w:sz="2" w:space="0"/>
            </w:tcBorders>
            <w:vAlign w:val="center"/>
          </w:tcPr>
          <w:p w14:paraId="6EECF47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136C87C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2号楼急诊2楼平台</w:t>
            </w:r>
          </w:p>
        </w:tc>
      </w:tr>
      <w:tr w14:paraId="0E3C36FF">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3D698A5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16</w:t>
            </w:r>
          </w:p>
        </w:tc>
        <w:tc>
          <w:tcPr>
            <w:tcW w:w="811" w:type="pct"/>
            <w:tcBorders>
              <w:top w:val="single" w:color="auto" w:sz="2" w:space="0"/>
              <w:left w:val="single" w:color="auto" w:sz="2" w:space="0"/>
              <w:bottom w:val="single" w:color="auto" w:sz="2" w:space="0"/>
              <w:right w:val="single" w:color="auto" w:sz="2" w:space="0"/>
            </w:tcBorders>
            <w:vAlign w:val="center"/>
          </w:tcPr>
          <w:p w14:paraId="14ED0DB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6532E9D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10.5</w:t>
            </w:r>
          </w:p>
        </w:tc>
        <w:tc>
          <w:tcPr>
            <w:tcW w:w="1017" w:type="pct"/>
            <w:tcBorders>
              <w:top w:val="single" w:color="auto" w:sz="2" w:space="0"/>
              <w:left w:val="single" w:color="auto" w:sz="2" w:space="0"/>
              <w:bottom w:val="single" w:color="auto" w:sz="2" w:space="0"/>
              <w:right w:val="single" w:color="auto" w:sz="2" w:space="0"/>
            </w:tcBorders>
            <w:vAlign w:val="center"/>
          </w:tcPr>
          <w:p w14:paraId="6D427D5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10.2</w:t>
            </w:r>
          </w:p>
        </w:tc>
        <w:tc>
          <w:tcPr>
            <w:tcW w:w="424" w:type="pct"/>
            <w:tcBorders>
              <w:top w:val="single" w:color="auto" w:sz="2" w:space="0"/>
              <w:left w:val="single" w:color="auto" w:sz="2" w:space="0"/>
              <w:bottom w:val="single" w:color="auto" w:sz="2" w:space="0"/>
              <w:right w:val="single" w:color="auto" w:sz="2" w:space="0"/>
            </w:tcBorders>
            <w:vAlign w:val="center"/>
          </w:tcPr>
          <w:p w14:paraId="2ACFDD2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0363298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2号楼急诊3楼平台</w:t>
            </w:r>
          </w:p>
        </w:tc>
      </w:tr>
      <w:tr w14:paraId="5A15CE3B">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3716952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17</w:t>
            </w:r>
          </w:p>
        </w:tc>
        <w:tc>
          <w:tcPr>
            <w:tcW w:w="811" w:type="pct"/>
            <w:tcBorders>
              <w:top w:val="single" w:color="auto" w:sz="2" w:space="0"/>
              <w:left w:val="single" w:color="auto" w:sz="2" w:space="0"/>
              <w:bottom w:val="single" w:color="auto" w:sz="2" w:space="0"/>
              <w:right w:val="single" w:color="auto" w:sz="2" w:space="0"/>
            </w:tcBorders>
            <w:vAlign w:val="center"/>
          </w:tcPr>
          <w:p w14:paraId="7864BBB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4B81CD9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14.3</w:t>
            </w:r>
          </w:p>
        </w:tc>
        <w:tc>
          <w:tcPr>
            <w:tcW w:w="1017" w:type="pct"/>
            <w:tcBorders>
              <w:top w:val="single" w:color="auto" w:sz="2" w:space="0"/>
              <w:left w:val="single" w:color="auto" w:sz="2" w:space="0"/>
              <w:bottom w:val="single" w:color="auto" w:sz="2" w:space="0"/>
              <w:right w:val="single" w:color="auto" w:sz="2" w:space="0"/>
            </w:tcBorders>
            <w:vAlign w:val="center"/>
          </w:tcPr>
          <w:p w14:paraId="4DBA0F8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13.8</w:t>
            </w:r>
          </w:p>
        </w:tc>
        <w:tc>
          <w:tcPr>
            <w:tcW w:w="424" w:type="pct"/>
            <w:tcBorders>
              <w:top w:val="single" w:color="auto" w:sz="2" w:space="0"/>
              <w:left w:val="single" w:color="auto" w:sz="2" w:space="0"/>
              <w:bottom w:val="single" w:color="auto" w:sz="2" w:space="0"/>
              <w:right w:val="single" w:color="auto" w:sz="2" w:space="0"/>
            </w:tcBorders>
            <w:vAlign w:val="center"/>
          </w:tcPr>
          <w:p w14:paraId="75F25B7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1243" w:type="pct"/>
            <w:tcBorders>
              <w:top w:val="single" w:color="auto" w:sz="2" w:space="0"/>
              <w:left w:val="single" w:color="auto" w:sz="2" w:space="0"/>
              <w:bottom w:val="single" w:color="auto" w:sz="2" w:space="0"/>
              <w:right w:val="single" w:color="auto" w:sz="2" w:space="0"/>
            </w:tcBorders>
            <w:vAlign w:val="center"/>
          </w:tcPr>
          <w:p w14:paraId="6DAB277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2号楼急诊3楼平台</w:t>
            </w:r>
          </w:p>
        </w:tc>
      </w:tr>
      <w:tr w14:paraId="0E6EA531">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11958AB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18</w:t>
            </w:r>
          </w:p>
        </w:tc>
        <w:tc>
          <w:tcPr>
            <w:tcW w:w="811" w:type="pct"/>
            <w:tcBorders>
              <w:top w:val="single" w:color="auto" w:sz="2" w:space="0"/>
              <w:left w:val="single" w:color="auto" w:sz="2" w:space="0"/>
              <w:bottom w:val="single" w:color="auto" w:sz="2" w:space="0"/>
              <w:right w:val="single" w:color="auto" w:sz="2" w:space="0"/>
            </w:tcBorders>
            <w:vAlign w:val="center"/>
          </w:tcPr>
          <w:p w14:paraId="30F7942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24FB77C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25.9</w:t>
            </w:r>
          </w:p>
        </w:tc>
        <w:tc>
          <w:tcPr>
            <w:tcW w:w="1017" w:type="pct"/>
            <w:tcBorders>
              <w:top w:val="single" w:color="auto" w:sz="2" w:space="0"/>
              <w:left w:val="single" w:color="auto" w:sz="2" w:space="0"/>
              <w:bottom w:val="single" w:color="auto" w:sz="2" w:space="0"/>
              <w:right w:val="single" w:color="auto" w:sz="2" w:space="0"/>
            </w:tcBorders>
            <w:vAlign w:val="center"/>
          </w:tcPr>
          <w:p w14:paraId="5E2FF94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24.5</w:t>
            </w:r>
          </w:p>
        </w:tc>
        <w:tc>
          <w:tcPr>
            <w:tcW w:w="424" w:type="pct"/>
            <w:tcBorders>
              <w:top w:val="single" w:color="auto" w:sz="2" w:space="0"/>
              <w:left w:val="single" w:color="auto" w:sz="2" w:space="0"/>
              <w:bottom w:val="single" w:color="auto" w:sz="2" w:space="0"/>
              <w:right w:val="single" w:color="auto" w:sz="2" w:space="0"/>
            </w:tcBorders>
            <w:vAlign w:val="center"/>
          </w:tcPr>
          <w:p w14:paraId="717B9BD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2E159E8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5号楼行政楼楼顶</w:t>
            </w:r>
          </w:p>
        </w:tc>
      </w:tr>
      <w:tr w14:paraId="585E8754">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45C3F29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19</w:t>
            </w:r>
          </w:p>
        </w:tc>
        <w:tc>
          <w:tcPr>
            <w:tcW w:w="811" w:type="pct"/>
            <w:tcBorders>
              <w:top w:val="single" w:color="auto" w:sz="2" w:space="0"/>
              <w:left w:val="single" w:color="auto" w:sz="2" w:space="0"/>
              <w:bottom w:val="single" w:color="auto" w:sz="2" w:space="0"/>
              <w:right w:val="single" w:color="auto" w:sz="2" w:space="0"/>
            </w:tcBorders>
            <w:vAlign w:val="center"/>
          </w:tcPr>
          <w:p w14:paraId="093F322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5873AFB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8.75</w:t>
            </w:r>
          </w:p>
        </w:tc>
        <w:tc>
          <w:tcPr>
            <w:tcW w:w="1017" w:type="pct"/>
            <w:tcBorders>
              <w:top w:val="single" w:color="auto" w:sz="2" w:space="0"/>
              <w:left w:val="single" w:color="auto" w:sz="2" w:space="0"/>
              <w:bottom w:val="single" w:color="auto" w:sz="2" w:space="0"/>
              <w:right w:val="single" w:color="auto" w:sz="2" w:space="0"/>
            </w:tcBorders>
            <w:vAlign w:val="center"/>
          </w:tcPr>
          <w:p w14:paraId="692936D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8.84</w:t>
            </w:r>
          </w:p>
        </w:tc>
        <w:tc>
          <w:tcPr>
            <w:tcW w:w="424" w:type="pct"/>
            <w:tcBorders>
              <w:top w:val="single" w:color="auto" w:sz="2" w:space="0"/>
              <w:left w:val="single" w:color="auto" w:sz="2" w:space="0"/>
              <w:bottom w:val="single" w:color="auto" w:sz="2" w:space="0"/>
              <w:right w:val="single" w:color="auto" w:sz="2" w:space="0"/>
            </w:tcBorders>
            <w:vAlign w:val="center"/>
          </w:tcPr>
          <w:p w14:paraId="6D294F0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64CAEFC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5号楼行政楼楼顶</w:t>
            </w:r>
          </w:p>
        </w:tc>
      </w:tr>
      <w:tr w14:paraId="50BED80E">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3D7A850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20</w:t>
            </w:r>
          </w:p>
        </w:tc>
        <w:tc>
          <w:tcPr>
            <w:tcW w:w="811" w:type="pct"/>
            <w:tcBorders>
              <w:top w:val="single" w:color="auto" w:sz="2" w:space="0"/>
              <w:left w:val="single" w:color="auto" w:sz="2" w:space="0"/>
              <w:bottom w:val="single" w:color="auto" w:sz="2" w:space="0"/>
              <w:right w:val="single" w:color="auto" w:sz="2" w:space="0"/>
            </w:tcBorders>
            <w:vAlign w:val="center"/>
          </w:tcPr>
          <w:p w14:paraId="204DF30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6971F23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18.79</w:t>
            </w:r>
          </w:p>
        </w:tc>
        <w:tc>
          <w:tcPr>
            <w:tcW w:w="1017" w:type="pct"/>
            <w:tcBorders>
              <w:top w:val="single" w:color="auto" w:sz="2" w:space="0"/>
              <w:left w:val="single" w:color="auto" w:sz="2" w:space="0"/>
              <w:bottom w:val="single" w:color="auto" w:sz="2" w:space="0"/>
              <w:right w:val="single" w:color="auto" w:sz="2" w:space="0"/>
            </w:tcBorders>
            <w:vAlign w:val="center"/>
          </w:tcPr>
          <w:p w14:paraId="5366268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17.86</w:t>
            </w:r>
          </w:p>
        </w:tc>
        <w:tc>
          <w:tcPr>
            <w:tcW w:w="424" w:type="pct"/>
            <w:tcBorders>
              <w:top w:val="single" w:color="auto" w:sz="2" w:space="0"/>
              <w:left w:val="single" w:color="auto" w:sz="2" w:space="0"/>
              <w:bottom w:val="single" w:color="auto" w:sz="2" w:space="0"/>
              <w:right w:val="single" w:color="auto" w:sz="2" w:space="0"/>
            </w:tcBorders>
            <w:vAlign w:val="center"/>
          </w:tcPr>
          <w:p w14:paraId="10E1279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1243" w:type="pct"/>
            <w:tcBorders>
              <w:top w:val="single" w:color="auto" w:sz="2" w:space="0"/>
              <w:left w:val="single" w:color="auto" w:sz="2" w:space="0"/>
              <w:bottom w:val="single" w:color="auto" w:sz="2" w:space="0"/>
              <w:right w:val="single" w:color="auto" w:sz="2" w:space="0"/>
            </w:tcBorders>
            <w:vAlign w:val="center"/>
          </w:tcPr>
          <w:p w14:paraId="28B8B32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5号楼行政楼楼顶</w:t>
            </w:r>
          </w:p>
        </w:tc>
      </w:tr>
      <w:tr w14:paraId="202CBCFB">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447383F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21</w:t>
            </w:r>
          </w:p>
        </w:tc>
        <w:tc>
          <w:tcPr>
            <w:tcW w:w="811" w:type="pct"/>
            <w:tcBorders>
              <w:top w:val="single" w:color="auto" w:sz="2" w:space="0"/>
              <w:left w:val="single" w:color="auto" w:sz="2" w:space="0"/>
              <w:bottom w:val="single" w:color="auto" w:sz="2" w:space="0"/>
              <w:right w:val="single" w:color="auto" w:sz="2" w:space="0"/>
            </w:tcBorders>
            <w:vAlign w:val="center"/>
          </w:tcPr>
          <w:p w14:paraId="1E99EC9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1215A17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19.9</w:t>
            </w:r>
          </w:p>
        </w:tc>
        <w:tc>
          <w:tcPr>
            <w:tcW w:w="1017" w:type="pct"/>
            <w:tcBorders>
              <w:top w:val="single" w:color="auto" w:sz="2" w:space="0"/>
              <w:left w:val="single" w:color="auto" w:sz="2" w:space="0"/>
              <w:bottom w:val="single" w:color="auto" w:sz="2" w:space="0"/>
              <w:right w:val="single" w:color="auto" w:sz="2" w:space="0"/>
            </w:tcBorders>
            <w:vAlign w:val="center"/>
          </w:tcPr>
          <w:p w14:paraId="62DF1DF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19.1</w:t>
            </w:r>
          </w:p>
        </w:tc>
        <w:tc>
          <w:tcPr>
            <w:tcW w:w="424" w:type="pct"/>
            <w:tcBorders>
              <w:top w:val="single" w:color="auto" w:sz="2" w:space="0"/>
              <w:left w:val="single" w:color="auto" w:sz="2" w:space="0"/>
              <w:bottom w:val="single" w:color="auto" w:sz="2" w:space="0"/>
              <w:right w:val="single" w:color="auto" w:sz="2" w:space="0"/>
            </w:tcBorders>
            <w:vAlign w:val="center"/>
          </w:tcPr>
          <w:p w14:paraId="248CF26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4E3D492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3号楼7楼西侧平台</w:t>
            </w:r>
          </w:p>
        </w:tc>
      </w:tr>
      <w:tr w14:paraId="3DA6E873">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6F5AB22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22</w:t>
            </w:r>
          </w:p>
        </w:tc>
        <w:tc>
          <w:tcPr>
            <w:tcW w:w="811" w:type="pct"/>
            <w:tcBorders>
              <w:top w:val="single" w:color="auto" w:sz="2" w:space="0"/>
              <w:left w:val="single" w:color="auto" w:sz="2" w:space="0"/>
              <w:bottom w:val="single" w:color="auto" w:sz="2" w:space="0"/>
              <w:right w:val="single" w:color="auto" w:sz="2" w:space="0"/>
            </w:tcBorders>
            <w:vAlign w:val="center"/>
          </w:tcPr>
          <w:p w14:paraId="0571CBF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79AA094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19.9</w:t>
            </w:r>
          </w:p>
        </w:tc>
        <w:tc>
          <w:tcPr>
            <w:tcW w:w="1017" w:type="pct"/>
            <w:tcBorders>
              <w:top w:val="single" w:color="auto" w:sz="2" w:space="0"/>
              <w:left w:val="single" w:color="auto" w:sz="2" w:space="0"/>
              <w:bottom w:val="single" w:color="auto" w:sz="2" w:space="0"/>
              <w:right w:val="single" w:color="auto" w:sz="2" w:space="0"/>
            </w:tcBorders>
            <w:vAlign w:val="center"/>
          </w:tcPr>
          <w:p w14:paraId="0B321CF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19.1</w:t>
            </w:r>
          </w:p>
        </w:tc>
        <w:tc>
          <w:tcPr>
            <w:tcW w:w="424" w:type="pct"/>
            <w:tcBorders>
              <w:top w:val="single" w:color="auto" w:sz="2" w:space="0"/>
              <w:left w:val="single" w:color="auto" w:sz="2" w:space="0"/>
              <w:bottom w:val="single" w:color="auto" w:sz="2" w:space="0"/>
              <w:right w:val="single" w:color="auto" w:sz="2" w:space="0"/>
            </w:tcBorders>
            <w:vAlign w:val="center"/>
          </w:tcPr>
          <w:p w14:paraId="1C8E107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111A6BD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1号楼地下车库</w:t>
            </w:r>
          </w:p>
        </w:tc>
      </w:tr>
      <w:tr w14:paraId="70EB2CB3">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47304E1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23</w:t>
            </w:r>
          </w:p>
        </w:tc>
        <w:tc>
          <w:tcPr>
            <w:tcW w:w="811" w:type="pct"/>
            <w:tcBorders>
              <w:top w:val="single" w:color="auto" w:sz="2" w:space="0"/>
              <w:left w:val="single" w:color="auto" w:sz="2" w:space="0"/>
              <w:bottom w:val="single" w:color="auto" w:sz="2" w:space="0"/>
              <w:right w:val="single" w:color="auto" w:sz="2" w:space="0"/>
            </w:tcBorders>
            <w:vAlign w:val="center"/>
          </w:tcPr>
          <w:p w14:paraId="233142D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33DE149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14</w:t>
            </w:r>
          </w:p>
        </w:tc>
        <w:tc>
          <w:tcPr>
            <w:tcW w:w="1017" w:type="pct"/>
            <w:tcBorders>
              <w:top w:val="single" w:color="auto" w:sz="2" w:space="0"/>
              <w:left w:val="single" w:color="auto" w:sz="2" w:space="0"/>
              <w:bottom w:val="single" w:color="auto" w:sz="2" w:space="0"/>
              <w:right w:val="single" w:color="auto" w:sz="2" w:space="0"/>
            </w:tcBorders>
            <w:vAlign w:val="center"/>
          </w:tcPr>
          <w:p w14:paraId="69C7A5B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12.47</w:t>
            </w:r>
          </w:p>
        </w:tc>
        <w:tc>
          <w:tcPr>
            <w:tcW w:w="424" w:type="pct"/>
            <w:tcBorders>
              <w:top w:val="single" w:color="auto" w:sz="2" w:space="0"/>
              <w:left w:val="single" w:color="auto" w:sz="2" w:space="0"/>
              <w:bottom w:val="single" w:color="auto" w:sz="2" w:space="0"/>
              <w:right w:val="single" w:color="auto" w:sz="2" w:space="0"/>
            </w:tcBorders>
            <w:vAlign w:val="center"/>
          </w:tcPr>
          <w:p w14:paraId="2B2D294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7E968EA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1号楼地下室电瓶车车库</w:t>
            </w:r>
          </w:p>
        </w:tc>
      </w:tr>
      <w:tr w14:paraId="3DF17853">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091ECA7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24</w:t>
            </w:r>
          </w:p>
        </w:tc>
        <w:tc>
          <w:tcPr>
            <w:tcW w:w="811" w:type="pct"/>
            <w:tcBorders>
              <w:top w:val="single" w:color="auto" w:sz="2" w:space="0"/>
              <w:left w:val="single" w:color="auto" w:sz="2" w:space="0"/>
              <w:bottom w:val="single" w:color="auto" w:sz="2" w:space="0"/>
              <w:right w:val="single" w:color="auto" w:sz="2" w:space="0"/>
            </w:tcBorders>
            <w:vAlign w:val="center"/>
          </w:tcPr>
          <w:p w14:paraId="7D48E47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7071381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3.8</w:t>
            </w:r>
          </w:p>
        </w:tc>
        <w:tc>
          <w:tcPr>
            <w:tcW w:w="1017" w:type="pct"/>
            <w:tcBorders>
              <w:top w:val="single" w:color="auto" w:sz="2" w:space="0"/>
              <w:left w:val="single" w:color="auto" w:sz="2" w:space="0"/>
              <w:bottom w:val="single" w:color="auto" w:sz="2" w:space="0"/>
              <w:right w:val="single" w:color="auto" w:sz="2" w:space="0"/>
            </w:tcBorders>
            <w:vAlign w:val="center"/>
          </w:tcPr>
          <w:p w14:paraId="4280BCD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4.05</w:t>
            </w:r>
          </w:p>
        </w:tc>
        <w:tc>
          <w:tcPr>
            <w:tcW w:w="424" w:type="pct"/>
            <w:tcBorders>
              <w:top w:val="single" w:color="auto" w:sz="2" w:space="0"/>
              <w:left w:val="single" w:color="auto" w:sz="2" w:space="0"/>
              <w:bottom w:val="single" w:color="auto" w:sz="2" w:space="0"/>
              <w:right w:val="single" w:color="auto" w:sz="2" w:space="0"/>
            </w:tcBorders>
            <w:vAlign w:val="center"/>
          </w:tcPr>
          <w:p w14:paraId="5FD8734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0DCAF3A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2号楼急诊2楼平台西侧</w:t>
            </w:r>
          </w:p>
        </w:tc>
      </w:tr>
      <w:tr w14:paraId="3D78FA18">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73A1E64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25</w:t>
            </w:r>
          </w:p>
        </w:tc>
        <w:tc>
          <w:tcPr>
            <w:tcW w:w="811" w:type="pct"/>
            <w:tcBorders>
              <w:top w:val="single" w:color="auto" w:sz="2" w:space="0"/>
              <w:left w:val="single" w:color="auto" w:sz="2" w:space="0"/>
              <w:bottom w:val="single" w:color="auto" w:sz="2" w:space="0"/>
              <w:right w:val="single" w:color="auto" w:sz="2" w:space="0"/>
            </w:tcBorders>
            <w:vAlign w:val="center"/>
          </w:tcPr>
          <w:p w14:paraId="250B779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43F7172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4.95</w:t>
            </w:r>
          </w:p>
        </w:tc>
        <w:tc>
          <w:tcPr>
            <w:tcW w:w="1017" w:type="pct"/>
            <w:tcBorders>
              <w:top w:val="single" w:color="auto" w:sz="2" w:space="0"/>
              <w:left w:val="single" w:color="auto" w:sz="2" w:space="0"/>
              <w:bottom w:val="single" w:color="auto" w:sz="2" w:space="0"/>
              <w:right w:val="single" w:color="auto" w:sz="2" w:space="0"/>
            </w:tcBorders>
            <w:vAlign w:val="center"/>
          </w:tcPr>
          <w:p w14:paraId="793FD0F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4.9</w:t>
            </w:r>
          </w:p>
        </w:tc>
        <w:tc>
          <w:tcPr>
            <w:tcW w:w="424" w:type="pct"/>
            <w:tcBorders>
              <w:top w:val="single" w:color="auto" w:sz="2" w:space="0"/>
              <w:left w:val="single" w:color="auto" w:sz="2" w:space="0"/>
              <w:bottom w:val="single" w:color="auto" w:sz="2" w:space="0"/>
              <w:right w:val="single" w:color="auto" w:sz="2" w:space="0"/>
            </w:tcBorders>
            <w:vAlign w:val="center"/>
          </w:tcPr>
          <w:p w14:paraId="20415EF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06E5EB1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2号楼急诊2楼平台西侧</w:t>
            </w:r>
          </w:p>
        </w:tc>
      </w:tr>
      <w:tr w14:paraId="7F713EBC">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651F46A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26</w:t>
            </w:r>
          </w:p>
        </w:tc>
        <w:tc>
          <w:tcPr>
            <w:tcW w:w="811" w:type="pct"/>
            <w:tcBorders>
              <w:top w:val="single" w:color="auto" w:sz="2" w:space="0"/>
              <w:left w:val="single" w:color="auto" w:sz="2" w:space="0"/>
              <w:bottom w:val="single" w:color="auto" w:sz="2" w:space="0"/>
              <w:right w:val="single" w:color="auto" w:sz="2" w:space="0"/>
            </w:tcBorders>
            <w:vAlign w:val="center"/>
          </w:tcPr>
          <w:p w14:paraId="7BE66FF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5263891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3.15</w:t>
            </w:r>
          </w:p>
        </w:tc>
        <w:tc>
          <w:tcPr>
            <w:tcW w:w="1017" w:type="pct"/>
            <w:tcBorders>
              <w:top w:val="single" w:color="auto" w:sz="2" w:space="0"/>
              <w:left w:val="single" w:color="auto" w:sz="2" w:space="0"/>
              <w:bottom w:val="single" w:color="auto" w:sz="2" w:space="0"/>
              <w:right w:val="single" w:color="auto" w:sz="2" w:space="0"/>
            </w:tcBorders>
            <w:vAlign w:val="center"/>
          </w:tcPr>
          <w:p w14:paraId="4F8F102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3.5</w:t>
            </w:r>
          </w:p>
        </w:tc>
        <w:tc>
          <w:tcPr>
            <w:tcW w:w="424" w:type="pct"/>
            <w:tcBorders>
              <w:top w:val="single" w:color="auto" w:sz="2" w:space="0"/>
              <w:left w:val="single" w:color="auto" w:sz="2" w:space="0"/>
              <w:bottom w:val="single" w:color="auto" w:sz="2" w:space="0"/>
              <w:right w:val="single" w:color="auto" w:sz="2" w:space="0"/>
            </w:tcBorders>
            <w:vAlign w:val="center"/>
          </w:tcPr>
          <w:p w14:paraId="3E6B3EA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334F2CA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3号楼二楼东墙</w:t>
            </w:r>
          </w:p>
        </w:tc>
      </w:tr>
      <w:tr w14:paraId="215F0F79">
        <w:tblPrEx>
          <w:tblCellMar>
            <w:top w:w="0" w:type="dxa"/>
            <w:left w:w="108" w:type="dxa"/>
            <w:bottom w:w="0" w:type="dxa"/>
            <w:right w:w="108" w:type="dxa"/>
          </w:tblCellMar>
        </w:tblPrEx>
        <w:trPr>
          <w:trHeight w:val="430" w:hRule="atLeast"/>
        </w:trPr>
        <w:tc>
          <w:tcPr>
            <w:tcW w:w="465" w:type="pct"/>
            <w:tcBorders>
              <w:top w:val="single" w:color="auto" w:sz="2" w:space="0"/>
              <w:left w:val="single" w:color="auto" w:sz="2" w:space="0"/>
              <w:bottom w:val="single" w:color="auto" w:sz="2" w:space="0"/>
              <w:right w:val="single" w:color="auto" w:sz="2" w:space="0"/>
            </w:tcBorders>
            <w:vAlign w:val="center"/>
          </w:tcPr>
          <w:p w14:paraId="3680AF5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27</w:t>
            </w:r>
          </w:p>
        </w:tc>
        <w:tc>
          <w:tcPr>
            <w:tcW w:w="811" w:type="pct"/>
            <w:tcBorders>
              <w:top w:val="single" w:color="auto" w:sz="2" w:space="0"/>
              <w:left w:val="single" w:color="auto" w:sz="2" w:space="0"/>
              <w:bottom w:val="single" w:color="auto" w:sz="2" w:space="0"/>
              <w:right w:val="single" w:color="auto" w:sz="2" w:space="0"/>
            </w:tcBorders>
            <w:vAlign w:val="center"/>
          </w:tcPr>
          <w:p w14:paraId="01D3EFA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多联式机组</w:t>
            </w:r>
          </w:p>
        </w:tc>
        <w:tc>
          <w:tcPr>
            <w:tcW w:w="1038" w:type="pct"/>
            <w:tcBorders>
              <w:top w:val="single" w:color="auto" w:sz="2" w:space="0"/>
              <w:left w:val="single" w:color="auto" w:sz="2" w:space="0"/>
              <w:bottom w:val="single" w:color="auto" w:sz="2" w:space="0"/>
              <w:right w:val="single" w:color="auto" w:sz="2" w:space="0"/>
            </w:tcBorders>
            <w:vAlign w:val="center"/>
          </w:tcPr>
          <w:p w14:paraId="3A9EB3D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12.91</w:t>
            </w:r>
          </w:p>
        </w:tc>
        <w:tc>
          <w:tcPr>
            <w:tcW w:w="1017" w:type="pct"/>
            <w:tcBorders>
              <w:top w:val="single" w:color="auto" w:sz="2" w:space="0"/>
              <w:left w:val="single" w:color="auto" w:sz="2" w:space="0"/>
              <w:bottom w:val="single" w:color="auto" w:sz="2" w:space="0"/>
              <w:right w:val="single" w:color="auto" w:sz="2" w:space="0"/>
            </w:tcBorders>
            <w:vAlign w:val="center"/>
          </w:tcPr>
          <w:p w14:paraId="7565F97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12.5</w:t>
            </w:r>
          </w:p>
        </w:tc>
        <w:tc>
          <w:tcPr>
            <w:tcW w:w="424" w:type="pct"/>
            <w:tcBorders>
              <w:top w:val="single" w:color="auto" w:sz="2" w:space="0"/>
              <w:left w:val="single" w:color="auto" w:sz="2" w:space="0"/>
              <w:bottom w:val="single" w:color="auto" w:sz="2" w:space="0"/>
              <w:right w:val="single" w:color="auto" w:sz="2" w:space="0"/>
            </w:tcBorders>
            <w:vAlign w:val="center"/>
          </w:tcPr>
          <w:p w14:paraId="64209AE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auto" w:sz="2" w:space="0"/>
              <w:left w:val="single" w:color="auto" w:sz="2" w:space="0"/>
              <w:bottom w:val="single" w:color="auto" w:sz="2" w:space="0"/>
              <w:right w:val="single" w:color="auto" w:sz="2" w:space="0"/>
            </w:tcBorders>
            <w:vAlign w:val="center"/>
          </w:tcPr>
          <w:p w14:paraId="51E38B2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11号楼教学楼东南角</w:t>
            </w:r>
          </w:p>
        </w:tc>
      </w:tr>
    </w:tbl>
    <w:p w14:paraId="73110EE2">
      <w:pPr>
        <w:spacing w:line="360" w:lineRule="auto"/>
        <w:jc w:val="center"/>
        <w:rPr>
          <w:rFonts w:hint="eastAsia" w:ascii="仿宋" w:hAnsi="仿宋" w:eastAsia="仿宋" w:cs="仿宋"/>
          <w:b/>
          <w:bCs/>
        </w:rPr>
      </w:pPr>
      <w:r>
        <w:rPr>
          <w:rFonts w:hint="eastAsia" w:ascii="仿宋" w:hAnsi="仿宋" w:eastAsia="仿宋" w:cs="仿宋"/>
          <w:b/>
          <w:bCs/>
        </w:rPr>
        <w:t>表3.分体空调设备表</w:t>
      </w:r>
    </w:p>
    <w:tbl>
      <w:tblPr>
        <w:tblStyle w:val="38"/>
        <w:tblW w:w="5000" w:type="pct"/>
        <w:tblInd w:w="0" w:type="dxa"/>
        <w:tblLayout w:type="autofit"/>
        <w:tblCellMar>
          <w:top w:w="0" w:type="dxa"/>
          <w:left w:w="108" w:type="dxa"/>
          <w:bottom w:w="0" w:type="dxa"/>
          <w:right w:w="108" w:type="dxa"/>
        </w:tblCellMar>
      </w:tblPr>
      <w:tblGrid>
        <w:gridCol w:w="843"/>
        <w:gridCol w:w="1470"/>
        <w:gridCol w:w="1871"/>
        <w:gridCol w:w="1854"/>
        <w:gridCol w:w="769"/>
        <w:gridCol w:w="2253"/>
      </w:tblGrid>
      <w:tr w14:paraId="466B5641">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A6286E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1A340D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798F88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1.08</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FFA069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2.18</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E56BB0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DD5DF0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1号楼-1F</w:t>
            </w:r>
          </w:p>
        </w:tc>
      </w:tr>
      <w:tr w14:paraId="53705209">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7B1012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2B902A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EA8FA6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2.338</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3E75A1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4.932</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E4CB13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84E136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1号楼1F</w:t>
            </w:r>
          </w:p>
        </w:tc>
      </w:tr>
      <w:tr w14:paraId="110DF386">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623AB2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E57E76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B5F42C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1.08</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623C65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2.18</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D4649C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7709BB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1号楼1F</w:t>
            </w:r>
          </w:p>
        </w:tc>
      </w:tr>
      <w:tr w14:paraId="168BAFAD">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F90004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4</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B6C2D2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EFADD1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1.005</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245B08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0.98</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3C41DD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137EE5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1号楼2F</w:t>
            </w:r>
          </w:p>
        </w:tc>
      </w:tr>
      <w:tr w14:paraId="229306BD">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973B4A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5</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031886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FDBFF4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1.08</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86105E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2.18</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832007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31A6E6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1号楼4F</w:t>
            </w:r>
          </w:p>
        </w:tc>
      </w:tr>
      <w:tr w14:paraId="0ECCD936">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B1E501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B62D36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797E63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2.338</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A68FE3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4.932</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73D452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17A4F3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1号楼4F</w:t>
            </w:r>
          </w:p>
        </w:tc>
      </w:tr>
      <w:tr w14:paraId="3AC9C6BF">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E445BE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7</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A17EBA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0D7CA5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0.795</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3562FC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1.235</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B12D88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776058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1号楼5F</w:t>
            </w:r>
          </w:p>
        </w:tc>
      </w:tr>
      <w:tr w14:paraId="732E5A57">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24433D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8</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DD52E2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87141E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4.75</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D8C403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4.65</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9CFE87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C1839A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1号楼配电房</w:t>
            </w:r>
          </w:p>
        </w:tc>
      </w:tr>
      <w:tr w14:paraId="36A55723">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90091A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9</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12FFC3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B06DFA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0.75</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719F01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1.2</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C57AD0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8BA4F0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1号楼维修间</w:t>
            </w:r>
          </w:p>
        </w:tc>
      </w:tr>
      <w:tr w14:paraId="729BBBE8">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644FFC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10</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625B6C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A064EC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3.896</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4779E2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7.46</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458B6F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8</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466E2F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2号楼1F</w:t>
            </w:r>
          </w:p>
        </w:tc>
      </w:tr>
      <w:tr w14:paraId="0D06FFBF">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63234E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11</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EC1D85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2DEA62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1.57</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35C16F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2.87</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5A6440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34</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F5766F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2号楼2、4F</w:t>
            </w:r>
          </w:p>
        </w:tc>
      </w:tr>
      <w:tr w14:paraId="05DA1696">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6E8F37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12</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495903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F5EF6E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0.76</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63CA25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1.2</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31166C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18</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98666A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2号楼3F</w:t>
            </w:r>
          </w:p>
        </w:tc>
      </w:tr>
      <w:tr w14:paraId="63F9A599">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408A87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13</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664FF8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8F662F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1.08</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FBBCC5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2.18</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34A1FF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159</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43A855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3号楼1-6F</w:t>
            </w:r>
          </w:p>
        </w:tc>
      </w:tr>
      <w:tr w14:paraId="72C479AB">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F72961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14</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D0FBDC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77D942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0.98</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0FFF38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2.35</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42DAE1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5</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3EAF2D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3号楼7F血透室</w:t>
            </w:r>
          </w:p>
        </w:tc>
      </w:tr>
      <w:tr w14:paraId="47A11B61">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7267FB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15</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7F5D0F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CB9843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0.978</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04FD0E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1.78</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0CA8B0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5</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6FB5E2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3号楼7F血透室</w:t>
            </w:r>
          </w:p>
        </w:tc>
      </w:tr>
      <w:tr w14:paraId="437C7719">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375F13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16</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CEC65B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D078BB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3.896</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05F0CF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7.46</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E0C955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F2FAAE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3号楼7F血透室</w:t>
            </w:r>
          </w:p>
        </w:tc>
      </w:tr>
      <w:tr w14:paraId="7F52AA5F">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FAE940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17</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B4FA6B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0D8FED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1.147</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B9D501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2.147</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7B535D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99A1A8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3号楼电梯机房</w:t>
            </w:r>
          </w:p>
        </w:tc>
      </w:tr>
      <w:tr w14:paraId="5C8EC7E9">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36307D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18</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375207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AE7448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4.75</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ABC511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8.2</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ECB855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A27DB3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3号楼屋面</w:t>
            </w:r>
          </w:p>
        </w:tc>
      </w:tr>
      <w:tr w14:paraId="30F864D4">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ACEE43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19</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FAE3C6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958CE1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1.78</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9E5150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1.78</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A0C093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18A006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3号楼灾备机房</w:t>
            </w:r>
          </w:p>
        </w:tc>
      </w:tr>
      <w:tr w14:paraId="2125DBAE">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945E9E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20</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2B9703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A3809B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1.81</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67F7B5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1.81</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7CE60C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50C3F0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3号楼灾备机房</w:t>
            </w:r>
          </w:p>
        </w:tc>
      </w:tr>
      <w:tr w14:paraId="58323896">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AB4F11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21</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9C2EBD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7F5E07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1.115</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9116BA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2.15</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643878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F955EA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6号楼</w:t>
            </w:r>
          </w:p>
        </w:tc>
      </w:tr>
      <w:tr w14:paraId="701F27AA">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9CC578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22</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5F79C5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B300FF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0.81</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6FA57B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1.25</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23484D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4</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CD425B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8号楼</w:t>
            </w:r>
          </w:p>
        </w:tc>
      </w:tr>
      <w:tr w14:paraId="7DEB8A4C">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265683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23</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D3E0A7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D7C6DF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2.337</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F61B14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2.35</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7EFF24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A59C8B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8号楼</w:t>
            </w:r>
          </w:p>
        </w:tc>
      </w:tr>
      <w:tr w14:paraId="57257023">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14A146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24</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1509D8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C57D7B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0.75</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D4E52F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1.2</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88360B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8</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4406AE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8号楼</w:t>
            </w:r>
          </w:p>
        </w:tc>
      </w:tr>
      <w:tr w14:paraId="0758DC5F">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BDF5EA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25</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5E065D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2AB384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1.115</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B4E12D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1.1</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AA5858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B6ECC1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8号楼</w:t>
            </w:r>
          </w:p>
        </w:tc>
      </w:tr>
      <w:tr w14:paraId="0200D999">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E30D62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26</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590DF4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F25365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3.896</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5791E2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3.96</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DD4367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EF1E81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8号楼</w:t>
            </w:r>
          </w:p>
        </w:tc>
      </w:tr>
      <w:tr w14:paraId="73737667">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3B2A01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27</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8873A6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D67D9D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2.35</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389C5B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2.35</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AD8BA0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853079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8号楼</w:t>
            </w:r>
          </w:p>
        </w:tc>
      </w:tr>
      <w:tr w14:paraId="1E4BE5F9">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E76E8E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28</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D05579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6D8CCF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1.08</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05E710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2.18</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577FDB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13</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63D145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10号楼</w:t>
            </w:r>
          </w:p>
        </w:tc>
      </w:tr>
      <w:tr w14:paraId="6D5EFD21">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A825CD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29</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41DBD5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9C1E32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1.005</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81872C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2.05</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62FAFF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18</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668BD5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11号楼教学楼</w:t>
            </w:r>
          </w:p>
        </w:tc>
      </w:tr>
      <w:tr w14:paraId="5657C63F">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52E168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30</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80FE1E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CEACC5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0.845</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1B415E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1.24</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6D6976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BD8854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门卫</w:t>
            </w:r>
          </w:p>
        </w:tc>
      </w:tr>
      <w:tr w14:paraId="3EBAF2BC">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097F4C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31</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23BA88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13EBF0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0.75</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D1AC4F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2.37</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50791B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65985D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门卫处、岗亭、被服站</w:t>
            </w:r>
          </w:p>
        </w:tc>
      </w:tr>
      <w:tr w14:paraId="4F631A57">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7BEA38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32</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8D25F4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6579B2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0.92</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AE49BE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1.19</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5A4AEE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A739AC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中医药剂仓库西侧</w:t>
            </w:r>
          </w:p>
        </w:tc>
      </w:tr>
      <w:tr w14:paraId="60457A2B">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59F5BB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33</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A7D7AC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01A3A8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0.795</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97D2FD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1.235</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B64FDF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529855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宿舍</w:t>
            </w:r>
          </w:p>
        </w:tc>
      </w:tr>
      <w:tr w14:paraId="42AD932F">
        <w:tblPrEx>
          <w:tblCellMar>
            <w:top w:w="0" w:type="dxa"/>
            <w:left w:w="108" w:type="dxa"/>
            <w:bottom w:w="0" w:type="dxa"/>
            <w:right w:w="108" w:type="dxa"/>
          </w:tblCellMar>
        </w:tblPrEx>
        <w:trPr>
          <w:trHeight w:val="430" w:hRule="atLeast"/>
        </w:trPr>
        <w:tc>
          <w:tcPr>
            <w:tcW w:w="46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9AC9D7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34</w:t>
            </w:r>
          </w:p>
        </w:tc>
        <w:tc>
          <w:tcPr>
            <w:tcW w:w="811"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25E7BE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分体式空调</w:t>
            </w:r>
          </w:p>
        </w:tc>
        <w:tc>
          <w:tcPr>
            <w:tcW w:w="1032"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D10FBB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2.1</w:t>
            </w:r>
          </w:p>
        </w:tc>
        <w:tc>
          <w:tcPr>
            <w:tcW w:w="102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57AE00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2.1</w:t>
            </w:r>
          </w:p>
        </w:tc>
        <w:tc>
          <w:tcPr>
            <w:tcW w:w="424"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38366E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33</w:t>
            </w:r>
          </w:p>
        </w:tc>
        <w:tc>
          <w:tcPr>
            <w:tcW w:w="1243"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8D5FC5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宿舍</w:t>
            </w:r>
          </w:p>
        </w:tc>
      </w:tr>
    </w:tbl>
    <w:p w14:paraId="2AF04BE6">
      <w:pPr>
        <w:pStyle w:val="19"/>
        <w:snapToGrid w:val="0"/>
        <w:spacing w:line="360" w:lineRule="auto"/>
        <w:ind w:firstLine="482" w:firstLineChars="200"/>
        <w:rPr>
          <w:rFonts w:hint="eastAsia" w:ascii="仿宋" w:hAnsi="仿宋" w:eastAsia="仿宋" w:cs="仿宋"/>
          <w:b/>
          <w:bCs/>
          <w:kern w:val="2"/>
          <w:szCs w:val="24"/>
        </w:rPr>
      </w:pPr>
      <w:r>
        <w:rPr>
          <w:rFonts w:hint="eastAsia" w:ascii="仿宋" w:hAnsi="仿宋" w:eastAsia="仿宋" w:cs="仿宋"/>
          <w:b/>
          <w:bCs/>
          <w:kern w:val="2"/>
          <w:szCs w:val="24"/>
        </w:rPr>
        <w:t>3.2热水系统</w:t>
      </w:r>
    </w:p>
    <w:p w14:paraId="62E4388C">
      <w:pPr>
        <w:spacing w:line="360" w:lineRule="auto"/>
        <w:ind w:firstLine="464" w:firstLineChars="200"/>
        <w:rPr>
          <w:rFonts w:hint="eastAsia" w:ascii="仿宋" w:hAnsi="仿宋" w:eastAsia="仿宋" w:cs="仿宋"/>
          <w:spacing w:val="-4"/>
        </w:rPr>
      </w:pPr>
      <w:r>
        <w:rPr>
          <w:rFonts w:hint="eastAsia" w:ascii="仿宋" w:hAnsi="仿宋" w:eastAsia="仿宋" w:cs="仿宋"/>
          <w:spacing w:val="-4"/>
        </w:rPr>
        <w:t>医院生活热水是通过生活热水机房的容积式换热器将市政蒸汽制取生活热水，供应医院各楼层科室、病房、宿舍等使用。生活热水机房分别位于1号楼门急诊医技综合楼，3号楼内科楼。</w:t>
      </w:r>
    </w:p>
    <w:p w14:paraId="605F1119">
      <w:pPr>
        <w:spacing w:line="360" w:lineRule="auto"/>
        <w:ind w:firstLine="464" w:firstLineChars="200"/>
        <w:rPr>
          <w:rFonts w:hint="eastAsia" w:ascii="仿宋" w:hAnsi="仿宋" w:eastAsia="仿宋" w:cs="仿宋"/>
          <w:szCs w:val="24"/>
        </w:rPr>
      </w:pPr>
      <w:r>
        <w:rPr>
          <w:rFonts w:hint="eastAsia" w:ascii="仿宋" w:hAnsi="仿宋" w:eastAsia="仿宋" w:cs="仿宋"/>
          <w:spacing w:val="-4"/>
        </w:rPr>
        <w:t>其中1号楼热水系统于地下室生活热水机房配置2组容积式换热器（一组1台、一组2台），于2012年投入使用，分别供应手术室和6-11F病区使用，同时在地下室消防水泵房设置开式热水箱回收蒸汽冷凝水供应供应室和15、16号楼宿舍生活热水。3号楼热水系统于1层生活热水机房配置1台容积式换热器，于2009年投入使用，供应3号楼病区使用。</w:t>
      </w:r>
    </w:p>
    <w:p w14:paraId="45FA7DD9">
      <w:pPr>
        <w:pStyle w:val="19"/>
        <w:snapToGrid w:val="0"/>
        <w:spacing w:line="360" w:lineRule="auto"/>
        <w:ind w:firstLine="482" w:firstLineChars="200"/>
        <w:rPr>
          <w:rFonts w:hint="eastAsia" w:ascii="仿宋" w:hAnsi="仿宋" w:eastAsia="仿宋" w:cs="仿宋"/>
          <w:b/>
          <w:bCs/>
          <w:kern w:val="2"/>
          <w:szCs w:val="24"/>
        </w:rPr>
      </w:pPr>
      <w:r>
        <w:rPr>
          <w:rFonts w:hint="eastAsia" w:ascii="仿宋" w:hAnsi="仿宋" w:eastAsia="仿宋" w:cs="仿宋"/>
          <w:b/>
          <w:bCs/>
          <w:kern w:val="2"/>
          <w:szCs w:val="24"/>
        </w:rPr>
        <w:t>3.3蒸汽系统</w:t>
      </w:r>
    </w:p>
    <w:p w14:paraId="1D7564FB">
      <w:pPr>
        <w:spacing w:line="360" w:lineRule="auto"/>
        <w:ind w:firstLine="464" w:firstLineChars="200"/>
        <w:rPr>
          <w:rFonts w:hint="eastAsia" w:ascii="仿宋" w:hAnsi="仿宋" w:eastAsia="仿宋" w:cs="仿宋"/>
          <w:spacing w:val="-4"/>
        </w:rPr>
      </w:pPr>
      <w:r>
        <w:rPr>
          <w:rFonts w:hint="eastAsia" w:ascii="仿宋" w:hAnsi="仿宋" w:eastAsia="仿宋" w:cs="仿宋"/>
          <w:spacing w:val="-4"/>
        </w:rPr>
        <w:t>本项目市政蒸汽供应空调采暖、生活热水、消毒供应中心、9号楼食堂以及净化空调等区域。</w:t>
      </w:r>
    </w:p>
    <w:p w14:paraId="208B6364">
      <w:pPr>
        <w:pStyle w:val="19"/>
        <w:snapToGrid w:val="0"/>
        <w:spacing w:line="360" w:lineRule="auto"/>
        <w:ind w:firstLine="482" w:firstLineChars="200"/>
        <w:rPr>
          <w:rFonts w:hint="eastAsia" w:ascii="仿宋" w:hAnsi="仿宋" w:eastAsia="仿宋" w:cs="仿宋"/>
          <w:b/>
          <w:bCs/>
          <w:kern w:val="2"/>
          <w:szCs w:val="24"/>
        </w:rPr>
      </w:pPr>
      <w:r>
        <w:rPr>
          <w:rFonts w:hint="eastAsia" w:ascii="仿宋" w:hAnsi="仿宋" w:eastAsia="仿宋" w:cs="仿宋"/>
          <w:b/>
          <w:bCs/>
          <w:kern w:val="2"/>
          <w:szCs w:val="24"/>
        </w:rPr>
        <w:t>3.4照明系统</w:t>
      </w:r>
    </w:p>
    <w:p w14:paraId="085F7E57">
      <w:pPr>
        <w:spacing w:line="360" w:lineRule="auto"/>
        <w:ind w:firstLine="464" w:firstLineChars="200"/>
        <w:rPr>
          <w:rFonts w:hint="eastAsia" w:ascii="仿宋" w:hAnsi="仿宋" w:eastAsia="仿宋" w:cs="仿宋"/>
        </w:rPr>
      </w:pPr>
      <w:r>
        <w:rPr>
          <w:rFonts w:hint="eastAsia" w:ascii="仿宋" w:hAnsi="仿宋" w:eastAsia="仿宋" w:cs="仿宋"/>
          <w:spacing w:val="-4"/>
        </w:rPr>
        <w:t>大部分已改造为LED，但仍存在部分区域使用节能灯的情况，有进一步节能提升空间；地下车库部分灯具为常亮情况，可更改为LED雷达灯。</w:t>
      </w:r>
    </w:p>
    <w:p w14:paraId="3D0D98F0">
      <w:pPr>
        <w:spacing w:line="360" w:lineRule="auto"/>
        <w:ind w:left="0"/>
        <w:jc w:val="left"/>
        <w:rPr>
          <w:rFonts w:hint="eastAsia" w:ascii="仿宋" w:hAnsi="仿宋" w:eastAsia="仿宋" w:cs="仿宋"/>
          <w:b/>
          <w:bCs/>
        </w:rPr>
      </w:pPr>
      <w:r>
        <w:rPr>
          <w:rFonts w:hint="eastAsia" w:ascii="仿宋" w:hAnsi="仿宋" w:eastAsia="仿宋" w:cs="仿宋"/>
          <w:b/>
          <w:bCs/>
        </w:rPr>
        <w:br w:type="page"/>
      </w:r>
    </w:p>
    <w:p w14:paraId="25909ACB">
      <w:pPr>
        <w:spacing w:line="360" w:lineRule="auto"/>
        <w:ind w:left="720"/>
        <w:jc w:val="center"/>
        <w:rPr>
          <w:rFonts w:hint="eastAsia" w:ascii="仿宋" w:hAnsi="仿宋" w:eastAsia="仿宋" w:cs="仿宋"/>
        </w:rPr>
      </w:pPr>
      <w:r>
        <w:rPr>
          <w:rFonts w:hint="eastAsia" w:ascii="仿宋" w:hAnsi="仿宋" w:eastAsia="仿宋" w:cs="仿宋"/>
          <w:b/>
          <w:bCs/>
        </w:rPr>
        <w:t>照明灯具设备表</w:t>
      </w:r>
    </w:p>
    <w:tbl>
      <w:tblPr>
        <w:tblStyle w:val="38"/>
        <w:tblW w:w="5000" w:type="pct"/>
        <w:jc w:val="center"/>
        <w:tblLayout w:type="autofit"/>
        <w:tblCellMar>
          <w:top w:w="0" w:type="dxa"/>
          <w:left w:w="108" w:type="dxa"/>
          <w:bottom w:w="0" w:type="dxa"/>
          <w:right w:w="108" w:type="dxa"/>
        </w:tblCellMar>
      </w:tblPr>
      <w:tblGrid>
        <w:gridCol w:w="1142"/>
        <w:gridCol w:w="3386"/>
        <w:gridCol w:w="1496"/>
        <w:gridCol w:w="3036"/>
      </w:tblGrid>
      <w:tr w14:paraId="1AC29EBA">
        <w:tblPrEx>
          <w:tblCellMar>
            <w:top w:w="0" w:type="dxa"/>
            <w:left w:w="108" w:type="dxa"/>
            <w:bottom w:w="0" w:type="dxa"/>
            <w:right w:w="108" w:type="dxa"/>
          </w:tblCellMar>
        </w:tblPrEx>
        <w:trPr>
          <w:trHeight w:val="43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8782F42">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序号</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5B9BBD5">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名称</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167D7CE">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功率（W）</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7CEFCBD">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数量（个/支/套/㎡）</w:t>
            </w:r>
          </w:p>
        </w:tc>
      </w:tr>
      <w:tr w14:paraId="40B4DBB0">
        <w:tblPrEx>
          <w:tblCellMar>
            <w:top w:w="0" w:type="dxa"/>
            <w:left w:w="108" w:type="dxa"/>
            <w:bottom w:w="0" w:type="dxa"/>
            <w:right w:w="108" w:type="dxa"/>
          </w:tblCellMar>
        </w:tblPrEx>
        <w:trPr>
          <w:trHeight w:val="29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75004A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3CF9EF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3寸筒灯</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F13105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5</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967084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189</w:t>
            </w:r>
          </w:p>
        </w:tc>
      </w:tr>
      <w:tr w14:paraId="0AA2DD61">
        <w:tblPrEx>
          <w:tblCellMar>
            <w:top w:w="0" w:type="dxa"/>
            <w:left w:w="108" w:type="dxa"/>
            <w:bottom w:w="0" w:type="dxa"/>
            <w:right w:w="108" w:type="dxa"/>
          </w:tblCellMar>
        </w:tblPrEx>
        <w:trPr>
          <w:trHeight w:val="29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55CD79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5C8725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6寸筒灯</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5D8027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12</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AE3A7A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1127</w:t>
            </w:r>
          </w:p>
        </w:tc>
      </w:tr>
      <w:tr w14:paraId="6BDFE906">
        <w:tblPrEx>
          <w:tblCellMar>
            <w:top w:w="0" w:type="dxa"/>
            <w:left w:w="108" w:type="dxa"/>
            <w:bottom w:w="0" w:type="dxa"/>
            <w:right w:w="108" w:type="dxa"/>
          </w:tblCellMar>
        </w:tblPrEx>
        <w:trPr>
          <w:trHeight w:val="29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513788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703A5E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8寸筒灯</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200D7C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18</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563AC9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93</w:t>
            </w:r>
          </w:p>
        </w:tc>
      </w:tr>
      <w:tr w14:paraId="7E6CC3B7">
        <w:tblPrEx>
          <w:tblCellMar>
            <w:top w:w="0" w:type="dxa"/>
            <w:left w:w="108" w:type="dxa"/>
            <w:bottom w:w="0" w:type="dxa"/>
            <w:right w:w="108" w:type="dxa"/>
          </w:tblCellMar>
        </w:tblPrEx>
        <w:trPr>
          <w:trHeight w:val="64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7FB8DC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4</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87AFC3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LED平板灯（200*1200）</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12A733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32</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491F4E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r>
      <w:tr w14:paraId="5160D6FF">
        <w:tblPrEx>
          <w:tblCellMar>
            <w:top w:w="0" w:type="dxa"/>
            <w:left w:w="108" w:type="dxa"/>
            <w:bottom w:w="0" w:type="dxa"/>
            <w:right w:w="108" w:type="dxa"/>
          </w:tblCellMar>
        </w:tblPrEx>
        <w:trPr>
          <w:trHeight w:val="64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D9D369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5</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34358E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LED平板灯（300*1200）</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9B5816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48</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332728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92</w:t>
            </w:r>
          </w:p>
        </w:tc>
      </w:tr>
      <w:tr w14:paraId="463EBE35">
        <w:tblPrEx>
          <w:tblCellMar>
            <w:top w:w="0" w:type="dxa"/>
            <w:left w:w="108" w:type="dxa"/>
            <w:bottom w:w="0" w:type="dxa"/>
            <w:right w:w="108" w:type="dxa"/>
          </w:tblCellMar>
        </w:tblPrEx>
        <w:trPr>
          <w:trHeight w:val="64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B24DDB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05975B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LED平板灯（300*2000）</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306B47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62</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3462D2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147</w:t>
            </w:r>
          </w:p>
        </w:tc>
      </w:tr>
      <w:tr w14:paraId="4DB8BAE7">
        <w:tblPrEx>
          <w:tblCellMar>
            <w:top w:w="0" w:type="dxa"/>
            <w:left w:w="108" w:type="dxa"/>
            <w:bottom w:w="0" w:type="dxa"/>
            <w:right w:w="108" w:type="dxa"/>
          </w:tblCellMar>
        </w:tblPrEx>
        <w:trPr>
          <w:trHeight w:val="43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013C1F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7</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104B18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LED平板灯（300*300）</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C1AE2C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18</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E7BC81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352</w:t>
            </w:r>
          </w:p>
        </w:tc>
      </w:tr>
      <w:tr w14:paraId="1756DB2D">
        <w:tblPrEx>
          <w:tblCellMar>
            <w:top w:w="0" w:type="dxa"/>
            <w:left w:w="108" w:type="dxa"/>
            <w:bottom w:w="0" w:type="dxa"/>
            <w:right w:w="108" w:type="dxa"/>
          </w:tblCellMar>
        </w:tblPrEx>
        <w:trPr>
          <w:trHeight w:val="43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2E71CD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8</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74B282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LED平板灯（300*600）</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950EA5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24</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039E01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217</w:t>
            </w:r>
          </w:p>
        </w:tc>
      </w:tr>
      <w:tr w14:paraId="2D7FF5A2">
        <w:tblPrEx>
          <w:tblCellMar>
            <w:top w:w="0" w:type="dxa"/>
            <w:left w:w="108" w:type="dxa"/>
            <w:bottom w:w="0" w:type="dxa"/>
            <w:right w:w="108" w:type="dxa"/>
          </w:tblCellMar>
        </w:tblPrEx>
        <w:trPr>
          <w:trHeight w:val="43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A231AB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9</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FC6039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LED平板灯（600*600）</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A8417B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36</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88E7DE2">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1372</w:t>
            </w:r>
          </w:p>
        </w:tc>
      </w:tr>
      <w:tr w14:paraId="331C1FF0">
        <w:tblPrEx>
          <w:tblCellMar>
            <w:top w:w="0" w:type="dxa"/>
            <w:left w:w="108" w:type="dxa"/>
            <w:bottom w:w="0" w:type="dxa"/>
            <w:right w:w="108" w:type="dxa"/>
          </w:tblCellMar>
        </w:tblPrEx>
        <w:trPr>
          <w:trHeight w:val="29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0FF19F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10</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594424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LED造型灯</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3C0131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28</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AA9E75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8</w:t>
            </w:r>
          </w:p>
        </w:tc>
      </w:tr>
      <w:tr w14:paraId="6FC81B71">
        <w:tblPrEx>
          <w:tblCellMar>
            <w:top w:w="0" w:type="dxa"/>
            <w:left w:w="108" w:type="dxa"/>
            <w:bottom w:w="0" w:type="dxa"/>
            <w:right w:w="108" w:type="dxa"/>
          </w:tblCellMar>
        </w:tblPrEx>
        <w:trPr>
          <w:trHeight w:val="43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9020A4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11</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E51730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T5灯管（1200）</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5B6AB9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28</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BE15D6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93BD82F">
        <w:tblPrEx>
          <w:tblCellMar>
            <w:top w:w="0" w:type="dxa"/>
            <w:left w:w="108" w:type="dxa"/>
            <w:bottom w:w="0" w:type="dxa"/>
            <w:right w:w="108" w:type="dxa"/>
          </w:tblCellMar>
        </w:tblPrEx>
        <w:trPr>
          <w:trHeight w:val="29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AD1A9A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12</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86618D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T5格栅灯</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FD42B0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48</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98472F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15</w:t>
            </w:r>
          </w:p>
        </w:tc>
      </w:tr>
      <w:tr w14:paraId="7C029856">
        <w:tblPrEx>
          <w:tblCellMar>
            <w:top w:w="0" w:type="dxa"/>
            <w:left w:w="108" w:type="dxa"/>
            <w:bottom w:w="0" w:type="dxa"/>
            <w:right w:w="108" w:type="dxa"/>
          </w:tblCellMar>
        </w:tblPrEx>
        <w:trPr>
          <w:trHeight w:val="43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7E1441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13</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7FED97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T8灯管（1200）</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6EA58C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36</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75D293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797</w:t>
            </w:r>
          </w:p>
        </w:tc>
      </w:tr>
      <w:tr w14:paraId="4A261216">
        <w:tblPrEx>
          <w:tblCellMar>
            <w:top w:w="0" w:type="dxa"/>
            <w:left w:w="108" w:type="dxa"/>
            <w:bottom w:w="0" w:type="dxa"/>
            <w:right w:w="108" w:type="dxa"/>
          </w:tblCellMar>
        </w:tblPrEx>
        <w:trPr>
          <w:trHeight w:val="43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A9B236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14</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CA96873">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T8灯管（600）</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0A18FBA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18</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B7B743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18</w:t>
            </w:r>
          </w:p>
        </w:tc>
      </w:tr>
      <w:tr w14:paraId="182DAA46">
        <w:tblPrEx>
          <w:tblCellMar>
            <w:top w:w="0" w:type="dxa"/>
            <w:left w:w="108" w:type="dxa"/>
            <w:bottom w:w="0" w:type="dxa"/>
            <w:right w:w="108" w:type="dxa"/>
          </w:tblCellMar>
        </w:tblPrEx>
        <w:trPr>
          <w:trHeight w:val="29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190A12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15</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482E96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灯带</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D40C98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18</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980AB0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496</w:t>
            </w:r>
          </w:p>
        </w:tc>
      </w:tr>
      <w:tr w14:paraId="30C91A80">
        <w:tblPrEx>
          <w:tblCellMar>
            <w:top w:w="0" w:type="dxa"/>
            <w:left w:w="108" w:type="dxa"/>
            <w:bottom w:w="0" w:type="dxa"/>
            <w:right w:w="108" w:type="dxa"/>
          </w:tblCellMar>
        </w:tblPrEx>
        <w:trPr>
          <w:trHeight w:val="29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AE9EF8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16</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B9725C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方形造型灯</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090EFF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148</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352210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23</w:t>
            </w:r>
          </w:p>
        </w:tc>
      </w:tr>
      <w:tr w14:paraId="102A6D4E">
        <w:tblPrEx>
          <w:tblCellMar>
            <w:top w:w="0" w:type="dxa"/>
            <w:left w:w="108" w:type="dxa"/>
            <w:bottom w:w="0" w:type="dxa"/>
            <w:right w:w="108" w:type="dxa"/>
          </w:tblCellMar>
        </w:tblPrEx>
        <w:trPr>
          <w:trHeight w:val="29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E0A732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17</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1F039B1">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方形造型灯</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7E220A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96</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90C83D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r>
      <w:tr w14:paraId="51700B84">
        <w:tblPrEx>
          <w:tblCellMar>
            <w:top w:w="0" w:type="dxa"/>
            <w:left w:w="108" w:type="dxa"/>
            <w:bottom w:w="0" w:type="dxa"/>
            <w:right w:w="108" w:type="dxa"/>
          </w:tblCellMar>
        </w:tblPrEx>
        <w:trPr>
          <w:trHeight w:val="29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6B0048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18</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9AA9BE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防爆T8</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12C36E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18</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843F08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r>
      <w:tr w14:paraId="66878B34">
        <w:tblPrEx>
          <w:tblCellMar>
            <w:top w:w="0" w:type="dxa"/>
            <w:left w:w="108" w:type="dxa"/>
            <w:bottom w:w="0" w:type="dxa"/>
            <w:right w:w="108" w:type="dxa"/>
          </w:tblCellMar>
        </w:tblPrEx>
        <w:trPr>
          <w:trHeight w:val="29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276ACE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19</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DD5087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节能灯</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0B2AD8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13</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1B8B86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238</w:t>
            </w:r>
          </w:p>
        </w:tc>
      </w:tr>
      <w:tr w14:paraId="34DA2EB4">
        <w:tblPrEx>
          <w:tblCellMar>
            <w:top w:w="0" w:type="dxa"/>
            <w:left w:w="108" w:type="dxa"/>
            <w:bottom w:w="0" w:type="dxa"/>
            <w:right w:w="108" w:type="dxa"/>
          </w:tblCellMar>
        </w:tblPrEx>
        <w:trPr>
          <w:trHeight w:val="29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8F43BC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20</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CA64517">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螺旋节能灯</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1B570A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13</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8B0773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52</w:t>
            </w:r>
          </w:p>
        </w:tc>
      </w:tr>
      <w:tr w14:paraId="6C7EE083">
        <w:tblPrEx>
          <w:tblCellMar>
            <w:top w:w="0" w:type="dxa"/>
            <w:left w:w="108" w:type="dxa"/>
            <w:bottom w:w="0" w:type="dxa"/>
            <w:right w:w="108" w:type="dxa"/>
          </w:tblCellMar>
        </w:tblPrEx>
        <w:trPr>
          <w:trHeight w:val="29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13E924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21</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87F3E7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双U型节能灯</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48BE7F8">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13</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64EEA4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48</w:t>
            </w:r>
          </w:p>
        </w:tc>
      </w:tr>
      <w:tr w14:paraId="461B5436">
        <w:tblPrEx>
          <w:tblCellMar>
            <w:top w:w="0" w:type="dxa"/>
            <w:left w:w="108" w:type="dxa"/>
            <w:bottom w:w="0" w:type="dxa"/>
            <w:right w:w="108" w:type="dxa"/>
          </w:tblCellMar>
        </w:tblPrEx>
        <w:trPr>
          <w:trHeight w:val="29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A77F44E">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22</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46E431C5">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吸顶灯</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3B563FD0">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10</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6DAE1F4">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41</w:t>
            </w:r>
          </w:p>
        </w:tc>
      </w:tr>
      <w:tr w14:paraId="1C94BCF8">
        <w:tblPrEx>
          <w:tblCellMar>
            <w:top w:w="0" w:type="dxa"/>
            <w:left w:w="108" w:type="dxa"/>
            <w:bottom w:w="0" w:type="dxa"/>
            <w:right w:w="108" w:type="dxa"/>
          </w:tblCellMar>
        </w:tblPrEx>
        <w:trPr>
          <w:trHeight w:val="29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17A7E26">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22</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3464C2C">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造型灯</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AE5220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72</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7358467A">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w:t>
            </w:r>
          </w:p>
        </w:tc>
      </w:tr>
      <w:tr w14:paraId="7722A861">
        <w:tblPrEx>
          <w:tblCellMar>
            <w:top w:w="0" w:type="dxa"/>
            <w:left w:w="108" w:type="dxa"/>
            <w:bottom w:w="0" w:type="dxa"/>
            <w:right w:w="108" w:type="dxa"/>
          </w:tblCellMar>
        </w:tblPrEx>
        <w:trPr>
          <w:trHeight w:val="290" w:hRule="atLeast"/>
          <w:jc w:val="center"/>
        </w:trPr>
        <w:tc>
          <w:tcPr>
            <w:tcW w:w="630"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1122394F">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23</w:t>
            </w:r>
          </w:p>
        </w:tc>
        <w:tc>
          <w:tcPr>
            <w:tcW w:w="1868"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68FD3C8D">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展示柜造型灯</w:t>
            </w:r>
          </w:p>
        </w:tc>
        <w:tc>
          <w:tcPr>
            <w:tcW w:w="82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5608D78B">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18</w:t>
            </w:r>
          </w:p>
        </w:tc>
        <w:tc>
          <w:tcPr>
            <w:tcW w:w="1675" w:type="pct"/>
            <w:tcBorders>
              <w:top w:val="single" w:color="000000" w:themeColor="text1" w:sz="2" w:space="0"/>
              <w:left w:val="single" w:color="000000" w:themeColor="text1" w:sz="2" w:space="0"/>
              <w:bottom w:val="single" w:color="000000" w:themeColor="text1" w:sz="2" w:space="0"/>
              <w:right w:val="single" w:color="000000" w:themeColor="text1" w:sz="2" w:space="0"/>
            </w:tcBorders>
            <w:vAlign w:val="center"/>
          </w:tcPr>
          <w:p w14:paraId="2C41E609">
            <w:pPr>
              <w:spacing w:line="4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51</w:t>
            </w:r>
          </w:p>
        </w:tc>
      </w:tr>
    </w:tbl>
    <w:p w14:paraId="5D1DCFBF">
      <w:pPr>
        <w:pStyle w:val="19"/>
        <w:snapToGrid w:val="0"/>
        <w:spacing w:line="360" w:lineRule="auto"/>
        <w:ind w:firstLine="482" w:firstLineChars="200"/>
        <w:rPr>
          <w:rFonts w:hint="eastAsia" w:ascii="仿宋" w:hAnsi="仿宋" w:eastAsia="仿宋" w:cs="仿宋"/>
          <w:b/>
          <w:bCs/>
          <w:kern w:val="2"/>
          <w:szCs w:val="24"/>
        </w:rPr>
      </w:pPr>
      <w:r>
        <w:rPr>
          <w:rFonts w:hint="eastAsia" w:ascii="仿宋" w:hAnsi="仿宋" w:eastAsia="仿宋" w:cs="仿宋"/>
          <w:b/>
          <w:bCs/>
          <w:kern w:val="2"/>
          <w:szCs w:val="24"/>
        </w:rPr>
        <w:t>3.5 其他系统</w:t>
      </w:r>
    </w:p>
    <w:p w14:paraId="23070578">
      <w:pPr>
        <w:spacing w:line="360" w:lineRule="auto"/>
        <w:ind w:firstLine="466" w:firstLineChars="200"/>
        <w:rPr>
          <w:rFonts w:hint="eastAsia" w:ascii="仿宋" w:hAnsi="仿宋" w:eastAsia="仿宋" w:cs="仿宋"/>
          <w:spacing w:val="-4"/>
        </w:rPr>
      </w:pPr>
      <w:r>
        <w:rPr>
          <w:rFonts w:hint="eastAsia" w:ascii="仿宋" w:hAnsi="仿宋" w:eastAsia="仿宋" w:cs="仿宋"/>
          <w:b/>
          <w:bCs/>
          <w:spacing w:val="-4"/>
        </w:rPr>
        <w:t>供配电系统：</w:t>
      </w:r>
      <w:r>
        <w:rPr>
          <w:rFonts w:hint="eastAsia" w:ascii="仿宋" w:hAnsi="仿宋" w:eastAsia="仿宋" w:cs="仿宋"/>
          <w:spacing w:val="-4"/>
        </w:rPr>
        <w:t>医院配电房在1号楼B1F，配置2路10KV进线，互为备用，配置2台1250kVA变压器。</w:t>
      </w:r>
    </w:p>
    <w:p w14:paraId="1163BC85">
      <w:pPr>
        <w:spacing w:line="360" w:lineRule="auto"/>
        <w:ind w:firstLine="466" w:firstLineChars="200"/>
        <w:rPr>
          <w:rFonts w:hint="eastAsia" w:ascii="仿宋" w:hAnsi="仿宋" w:eastAsia="仿宋" w:cs="仿宋"/>
          <w:spacing w:val="-4"/>
        </w:rPr>
      </w:pPr>
      <w:r>
        <w:rPr>
          <w:rFonts w:hint="eastAsia" w:ascii="仿宋" w:hAnsi="仿宋" w:eastAsia="仿宋" w:cs="仿宋"/>
          <w:b/>
          <w:bCs/>
          <w:spacing w:val="-4"/>
        </w:rPr>
        <w:t>给排水系统：</w:t>
      </w:r>
      <w:r>
        <w:rPr>
          <w:rFonts w:hint="eastAsia" w:ascii="仿宋" w:hAnsi="仿宋" w:eastAsia="仿宋" w:cs="仿宋"/>
          <w:spacing w:val="-4"/>
        </w:rPr>
        <w:t>以市政自来水为水源，采用无负压变频供水系统。</w:t>
      </w:r>
    </w:p>
    <w:p w14:paraId="2BD4FD70">
      <w:pPr>
        <w:spacing w:line="360" w:lineRule="auto"/>
        <w:ind w:firstLine="466" w:firstLineChars="200"/>
        <w:rPr>
          <w:rFonts w:hint="eastAsia" w:ascii="仿宋" w:hAnsi="仿宋" w:eastAsia="仿宋" w:cs="仿宋"/>
          <w:spacing w:val="-4"/>
        </w:rPr>
      </w:pPr>
      <w:r>
        <w:rPr>
          <w:rFonts w:hint="eastAsia" w:ascii="仿宋" w:hAnsi="仿宋" w:eastAsia="仿宋" w:cs="仿宋"/>
          <w:b/>
          <w:bCs/>
          <w:spacing w:val="-4"/>
        </w:rPr>
        <w:t>动力及电梯系统：</w:t>
      </w:r>
      <w:r>
        <w:rPr>
          <w:rFonts w:hint="eastAsia" w:ascii="仿宋" w:hAnsi="仿宋" w:eastAsia="仿宋" w:cs="仿宋"/>
          <w:spacing w:val="-4"/>
        </w:rPr>
        <w:t>全院共有电梯15台，其中扶梯6台，垂直升降梯9台。</w:t>
      </w:r>
    </w:p>
    <w:p w14:paraId="7F9537E9">
      <w:pPr>
        <w:spacing w:line="360" w:lineRule="auto"/>
        <w:ind w:firstLine="482" w:firstLineChars="200"/>
        <w:outlineLvl w:val="2"/>
        <w:rPr>
          <w:rFonts w:hint="eastAsia" w:ascii="仿宋" w:hAnsi="仿宋" w:eastAsia="仿宋" w:cs="仿宋"/>
          <w:b/>
          <w:bCs/>
          <w:sz w:val="24"/>
          <w:szCs w:val="24"/>
        </w:rPr>
      </w:pPr>
      <w:r>
        <w:rPr>
          <w:rFonts w:hint="eastAsia" w:ascii="仿宋" w:hAnsi="仿宋" w:eastAsia="仿宋" w:cs="仿宋"/>
          <w:b/>
          <w:bCs/>
          <w:sz w:val="24"/>
          <w:szCs w:val="24"/>
        </w:rPr>
        <w:t>（四）能源资源消耗基准数据（节选自能源审计报告）</w:t>
      </w:r>
    </w:p>
    <w:p w14:paraId="7CF25830">
      <w:pPr>
        <w:spacing w:line="360" w:lineRule="auto"/>
        <w:ind w:firstLine="464" w:firstLineChars="200"/>
        <w:rPr>
          <w:rFonts w:hint="eastAsia" w:ascii="仿宋" w:hAnsi="仿宋" w:eastAsia="仿宋" w:cs="仿宋"/>
          <w:spacing w:val="-4"/>
        </w:rPr>
      </w:pPr>
      <w:r>
        <w:rPr>
          <w:rFonts w:hint="eastAsia" w:ascii="仿宋" w:hAnsi="仿宋" w:eastAsia="仿宋" w:cs="仿宋"/>
          <w:spacing w:val="-4"/>
        </w:rPr>
        <w:t>本项目能源审计报告有详细的历史能耗分析，基准核算期：电力及蒸汽： 2025年1月1日至2025年12月31日（一个完整自然年）。</w:t>
      </w:r>
    </w:p>
    <w:p w14:paraId="1D9BFAB2">
      <w:pPr>
        <w:spacing w:line="360" w:lineRule="auto"/>
        <w:ind w:firstLine="464" w:firstLineChars="200"/>
        <w:rPr>
          <w:rFonts w:hint="eastAsia" w:ascii="仿宋" w:hAnsi="仿宋" w:eastAsia="仿宋" w:cs="仿宋"/>
          <w:spacing w:val="-4"/>
        </w:rPr>
      </w:pPr>
      <w:r>
        <w:rPr>
          <w:rFonts w:hint="eastAsia" w:ascii="仿宋" w:hAnsi="仿宋" w:eastAsia="仿宋" w:cs="仿宋"/>
          <w:spacing w:val="-4"/>
        </w:rPr>
        <w:t>自来水由于2025年10月发生过水管漏水，选取2024年10月-2025年9月数据作为基准。</w:t>
      </w:r>
    </w:p>
    <w:p w14:paraId="01A922D0">
      <w:pPr>
        <w:spacing w:line="360" w:lineRule="auto"/>
        <w:ind w:firstLine="464" w:firstLineChars="200"/>
        <w:rPr>
          <w:rFonts w:hint="eastAsia" w:ascii="仿宋" w:hAnsi="仿宋" w:eastAsia="仿宋" w:cs="仿宋"/>
          <w:spacing w:val="-4"/>
        </w:rPr>
      </w:pPr>
      <w:r>
        <w:rPr>
          <w:rFonts w:hint="eastAsia" w:ascii="仿宋" w:hAnsi="仿宋" w:eastAsia="仿宋" w:cs="仿宋"/>
          <w:spacing w:val="-4"/>
        </w:rPr>
        <w:t>扬州市中医院（文昌路院区）2025年能源资源消耗电力总用量</w:t>
      </w:r>
      <w:r>
        <w:rPr>
          <w:rFonts w:hint="eastAsia" w:ascii="仿宋" w:hAnsi="仿宋" w:eastAsia="仿宋" w:cs="仿宋"/>
          <w:spacing w:val="-4"/>
          <w:lang w:val="en-US" w:eastAsia="zh-CN"/>
        </w:rPr>
        <w:t>6350505</w:t>
      </w:r>
      <w:r>
        <w:rPr>
          <w:rFonts w:hint="eastAsia" w:ascii="仿宋" w:hAnsi="仿宋" w:eastAsia="仿宋" w:cs="仿宋"/>
          <w:spacing w:val="-4"/>
        </w:rPr>
        <w:t>kWh，自来水总用量168070m</w:t>
      </w:r>
      <w:r>
        <w:rPr>
          <w:rFonts w:hint="eastAsia" w:ascii="仿宋" w:hAnsi="仿宋" w:eastAsia="仿宋" w:cs="仿宋"/>
          <w:spacing w:val="-4"/>
          <w:vertAlign w:val="superscript"/>
        </w:rPr>
        <w:t>3</w:t>
      </w:r>
      <w:r>
        <w:rPr>
          <w:rFonts w:hint="eastAsia" w:ascii="仿宋" w:hAnsi="仿宋" w:eastAsia="仿宋" w:cs="仿宋"/>
          <w:spacing w:val="-4"/>
        </w:rPr>
        <w:t>，蒸汽用量5151t；扣除食堂、药膳坊、超市消耗量后，核定后能耗基准值为电力</w:t>
      </w:r>
      <w:r>
        <w:rPr>
          <w:rFonts w:hint="eastAsia" w:ascii="仿宋" w:hAnsi="仿宋" w:eastAsia="仿宋" w:cs="仿宋"/>
          <w:spacing w:val="-4"/>
          <w:lang w:val="en-US" w:eastAsia="zh-CN"/>
        </w:rPr>
        <w:t>6205813</w:t>
      </w:r>
      <w:r>
        <w:rPr>
          <w:rFonts w:hint="eastAsia" w:ascii="仿宋" w:hAnsi="仿宋" w:eastAsia="仿宋" w:cs="仿宋"/>
          <w:spacing w:val="-4"/>
        </w:rPr>
        <w:t>kWh，自来水151221m</w:t>
      </w:r>
      <w:r>
        <w:rPr>
          <w:rFonts w:hint="eastAsia" w:ascii="仿宋" w:hAnsi="仿宋" w:eastAsia="仿宋" w:cs="仿宋"/>
          <w:spacing w:val="-4"/>
          <w:vertAlign w:val="superscript"/>
        </w:rPr>
        <w:t>3</w:t>
      </w:r>
      <w:r>
        <w:rPr>
          <w:rFonts w:hint="eastAsia" w:ascii="仿宋" w:hAnsi="仿宋" w:eastAsia="仿宋" w:cs="仿宋"/>
          <w:spacing w:val="-4"/>
        </w:rPr>
        <w:t>，蒸汽4881.7t。</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86"/>
        <w:gridCol w:w="1887"/>
        <w:gridCol w:w="1800"/>
        <w:gridCol w:w="1787"/>
      </w:tblGrid>
      <w:tr w14:paraId="7400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979" w:type="pct"/>
            <w:vMerge w:val="restart"/>
            <w:vAlign w:val="center"/>
          </w:tcPr>
          <w:p w14:paraId="242D74D7">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能源资源种类</w:t>
            </w:r>
          </w:p>
        </w:tc>
        <w:tc>
          <w:tcPr>
            <w:tcW w:w="1041" w:type="pct"/>
            <w:vAlign w:val="center"/>
          </w:tcPr>
          <w:p w14:paraId="7EE80FA7">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电力</w:t>
            </w:r>
          </w:p>
        </w:tc>
        <w:tc>
          <w:tcPr>
            <w:tcW w:w="993" w:type="pct"/>
            <w:vAlign w:val="center"/>
          </w:tcPr>
          <w:p w14:paraId="27AD78AC">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蒸汽</w:t>
            </w:r>
          </w:p>
        </w:tc>
        <w:tc>
          <w:tcPr>
            <w:tcW w:w="986" w:type="pct"/>
            <w:vAlign w:val="center"/>
          </w:tcPr>
          <w:p w14:paraId="44FB33D4">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自来水</w:t>
            </w:r>
          </w:p>
        </w:tc>
      </w:tr>
      <w:tr w14:paraId="17AD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979" w:type="pct"/>
            <w:vMerge w:val="continue"/>
            <w:vAlign w:val="center"/>
          </w:tcPr>
          <w:p w14:paraId="44153B9A">
            <w:pPr>
              <w:spacing w:line="400" w:lineRule="exact"/>
              <w:jc w:val="center"/>
              <w:rPr>
                <w:rFonts w:hint="eastAsia" w:ascii="仿宋" w:hAnsi="仿宋" w:eastAsia="仿宋" w:cs="仿宋"/>
                <w:b/>
                <w:bCs/>
                <w:color w:val="000000"/>
                <w:sz w:val="24"/>
                <w:szCs w:val="24"/>
              </w:rPr>
            </w:pPr>
          </w:p>
        </w:tc>
        <w:tc>
          <w:tcPr>
            <w:tcW w:w="1041" w:type="pct"/>
            <w:vAlign w:val="center"/>
          </w:tcPr>
          <w:p w14:paraId="7D9C6120">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(kWh)</w:t>
            </w:r>
          </w:p>
        </w:tc>
        <w:tc>
          <w:tcPr>
            <w:tcW w:w="993" w:type="pct"/>
            <w:vAlign w:val="center"/>
          </w:tcPr>
          <w:p w14:paraId="73471530">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(t)</w:t>
            </w:r>
          </w:p>
        </w:tc>
        <w:tc>
          <w:tcPr>
            <w:tcW w:w="986" w:type="pct"/>
            <w:vAlign w:val="center"/>
          </w:tcPr>
          <w:p w14:paraId="0904C95A">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(m³)</w:t>
            </w:r>
          </w:p>
        </w:tc>
      </w:tr>
      <w:tr w14:paraId="30447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979" w:type="pct"/>
            <w:vAlign w:val="center"/>
          </w:tcPr>
          <w:p w14:paraId="6C649911">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扬州市中医院能源资源消耗量</w:t>
            </w:r>
          </w:p>
        </w:tc>
        <w:tc>
          <w:tcPr>
            <w:tcW w:w="1041" w:type="pct"/>
            <w:vAlign w:val="center"/>
          </w:tcPr>
          <w:p w14:paraId="6A51098C">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lang w:val="en-US" w:eastAsia="zh-CN"/>
              </w:rPr>
              <w:t>6</w:t>
            </w:r>
            <w:r>
              <w:rPr>
                <w:rFonts w:hint="eastAsia" w:ascii="仿宋" w:hAnsi="仿宋" w:eastAsia="仿宋" w:cs="仿宋"/>
                <w:b/>
                <w:bCs/>
                <w:color w:val="000000"/>
                <w:sz w:val="24"/>
                <w:szCs w:val="24"/>
              </w:rPr>
              <w:t>,</w:t>
            </w:r>
            <w:r>
              <w:rPr>
                <w:rFonts w:hint="eastAsia" w:ascii="仿宋" w:hAnsi="仿宋" w:eastAsia="仿宋" w:cs="仿宋"/>
                <w:b/>
                <w:bCs/>
                <w:color w:val="000000"/>
                <w:sz w:val="24"/>
                <w:szCs w:val="24"/>
                <w:lang w:val="en-US" w:eastAsia="zh-CN"/>
              </w:rPr>
              <w:t>205</w:t>
            </w:r>
            <w:r>
              <w:rPr>
                <w:rFonts w:hint="eastAsia" w:ascii="仿宋" w:hAnsi="仿宋" w:eastAsia="仿宋" w:cs="仿宋"/>
                <w:b/>
                <w:bCs/>
                <w:color w:val="000000"/>
                <w:sz w:val="24"/>
                <w:szCs w:val="24"/>
              </w:rPr>
              <w:t>,813</w:t>
            </w:r>
          </w:p>
        </w:tc>
        <w:tc>
          <w:tcPr>
            <w:tcW w:w="993" w:type="pct"/>
            <w:vAlign w:val="center"/>
          </w:tcPr>
          <w:p w14:paraId="41E8411C">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4,881.70</w:t>
            </w:r>
          </w:p>
        </w:tc>
        <w:tc>
          <w:tcPr>
            <w:tcW w:w="986" w:type="pct"/>
            <w:vAlign w:val="center"/>
          </w:tcPr>
          <w:p w14:paraId="0616B5AD">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151,221</w:t>
            </w:r>
          </w:p>
        </w:tc>
      </w:tr>
      <w:tr w14:paraId="209DD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979" w:type="pct"/>
            <w:vAlign w:val="center"/>
          </w:tcPr>
          <w:p w14:paraId="194D79A7">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基准核定期各类能源费用</w:t>
            </w:r>
          </w:p>
          <w:p w14:paraId="4D1F5EC0">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（万元/年）</w:t>
            </w:r>
          </w:p>
        </w:tc>
        <w:tc>
          <w:tcPr>
            <w:tcW w:w="1041" w:type="pct"/>
            <w:vAlign w:val="center"/>
          </w:tcPr>
          <w:p w14:paraId="4782D2ED">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445.05</w:t>
            </w:r>
          </w:p>
        </w:tc>
        <w:tc>
          <w:tcPr>
            <w:tcW w:w="993" w:type="pct"/>
            <w:vAlign w:val="center"/>
          </w:tcPr>
          <w:p w14:paraId="00E2AC83">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117.8</w:t>
            </w:r>
          </w:p>
        </w:tc>
        <w:tc>
          <w:tcPr>
            <w:tcW w:w="986" w:type="pct"/>
            <w:vAlign w:val="center"/>
          </w:tcPr>
          <w:p w14:paraId="1300CBF9">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51.87</w:t>
            </w:r>
          </w:p>
        </w:tc>
      </w:tr>
      <w:tr w14:paraId="6B65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979" w:type="pct"/>
            <w:vAlign w:val="center"/>
          </w:tcPr>
          <w:p w14:paraId="61CD2B28">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基准核定期能源资源费用总计（万元/年）</w:t>
            </w:r>
          </w:p>
        </w:tc>
        <w:tc>
          <w:tcPr>
            <w:tcW w:w="3020" w:type="pct"/>
            <w:gridSpan w:val="3"/>
            <w:vAlign w:val="center"/>
          </w:tcPr>
          <w:p w14:paraId="784ADF4B">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614.72 (电力、蒸汽、自来水三项费用合计)</w:t>
            </w:r>
          </w:p>
        </w:tc>
      </w:tr>
      <w:tr w14:paraId="2554E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979" w:type="pct"/>
            <w:vAlign w:val="center"/>
          </w:tcPr>
          <w:p w14:paraId="22869A38">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基准核定期最新能源单价（元）</w:t>
            </w:r>
          </w:p>
        </w:tc>
        <w:tc>
          <w:tcPr>
            <w:tcW w:w="1041" w:type="pct"/>
            <w:vAlign w:val="center"/>
          </w:tcPr>
          <w:p w14:paraId="20D719B5">
            <w:pPr>
              <w:spacing w:line="400" w:lineRule="exact"/>
              <w:jc w:val="center"/>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rPr>
              <w:t>0.</w:t>
            </w:r>
            <w:r>
              <w:rPr>
                <w:rFonts w:hint="eastAsia" w:ascii="仿宋" w:hAnsi="仿宋" w:eastAsia="仿宋" w:cs="仿宋"/>
                <w:b/>
                <w:bCs/>
                <w:color w:val="000000"/>
                <w:sz w:val="24"/>
                <w:szCs w:val="24"/>
                <w:lang w:val="en-US" w:eastAsia="zh-CN"/>
              </w:rPr>
              <w:t>717122237</w:t>
            </w:r>
          </w:p>
        </w:tc>
        <w:tc>
          <w:tcPr>
            <w:tcW w:w="993" w:type="pct"/>
            <w:vAlign w:val="center"/>
          </w:tcPr>
          <w:p w14:paraId="7701F38A">
            <w:pPr>
              <w:spacing w:line="400" w:lineRule="exact"/>
              <w:jc w:val="center"/>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rPr>
              <w:t>240.</w:t>
            </w:r>
            <w:r>
              <w:rPr>
                <w:rFonts w:hint="eastAsia" w:ascii="仿宋" w:hAnsi="仿宋" w:eastAsia="仿宋" w:cs="仿宋"/>
                <w:b/>
                <w:bCs/>
                <w:color w:val="000000"/>
                <w:sz w:val="24"/>
                <w:szCs w:val="24"/>
                <w:lang w:val="en-US" w:eastAsia="zh-CN"/>
              </w:rPr>
              <w:t>98674</w:t>
            </w:r>
          </w:p>
        </w:tc>
        <w:tc>
          <w:tcPr>
            <w:tcW w:w="986" w:type="pct"/>
            <w:vAlign w:val="center"/>
          </w:tcPr>
          <w:p w14:paraId="20E8FD94">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3.43</w:t>
            </w:r>
          </w:p>
        </w:tc>
      </w:tr>
      <w:tr w14:paraId="52E7B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979" w:type="pct"/>
            <w:vAlign w:val="center"/>
          </w:tcPr>
          <w:p w14:paraId="454C0B3E">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基准核定期最新能源单价取值标准</w:t>
            </w:r>
          </w:p>
        </w:tc>
        <w:tc>
          <w:tcPr>
            <w:tcW w:w="3020" w:type="pct"/>
            <w:gridSpan w:val="3"/>
            <w:vAlign w:val="center"/>
          </w:tcPr>
          <w:p w14:paraId="63D20475">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电力、蒸汽：2025年1月-12月综合单价</w:t>
            </w:r>
          </w:p>
          <w:p w14:paraId="2237D4B4">
            <w:pPr>
              <w:spacing w:line="40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自来水：2024年10月-2025年9月综合单价</w:t>
            </w:r>
          </w:p>
        </w:tc>
      </w:tr>
    </w:tbl>
    <w:p w14:paraId="38FCA67E">
      <w:pPr>
        <w:spacing w:line="360" w:lineRule="auto"/>
        <w:rPr>
          <w:rFonts w:hint="eastAsia" w:ascii="仿宋" w:hAnsi="仿宋" w:eastAsia="仿宋" w:cs="仿宋"/>
        </w:rPr>
      </w:pPr>
      <w:r>
        <w:rPr>
          <w:rFonts w:hint="eastAsia" w:ascii="仿宋" w:hAnsi="仿宋" w:eastAsia="仿宋" w:cs="仿宋"/>
          <w:b/>
          <w:bCs/>
        </w:rPr>
        <w:t>重要提示：</w:t>
      </w:r>
    </w:p>
    <w:p w14:paraId="3265026E">
      <w:pPr>
        <w:numPr>
          <w:ilvl w:val="0"/>
          <w:numId w:val="0"/>
        </w:numPr>
        <w:spacing w:line="360" w:lineRule="auto"/>
        <w:ind w:left="0" w:leftChars="0" w:firstLine="480" w:firstLineChars="200"/>
        <w:rPr>
          <w:rFonts w:hint="default" w:ascii="仿宋" w:hAnsi="仿宋" w:eastAsia="仿宋" w:cs="仿宋"/>
          <w:lang w:val="en-US" w:eastAsia="zh-CN"/>
        </w:rPr>
      </w:pPr>
      <w:r>
        <w:rPr>
          <w:rFonts w:hint="eastAsia" w:ascii="仿宋" w:hAnsi="仿宋" w:eastAsia="仿宋" w:cs="仿宋"/>
          <w:sz w:val="24"/>
          <w:szCs w:val="24"/>
          <w:lang w:val="en-US" w:eastAsia="zh-CN" w:bidi="ar-SA"/>
        </w:rPr>
        <w:t>1．</w:t>
      </w:r>
      <w:r>
        <w:rPr>
          <w:rFonts w:hint="eastAsia" w:ascii="仿宋" w:hAnsi="仿宋" w:eastAsia="仿宋" w:cs="仿宋"/>
          <w:highlight w:val="yellow"/>
          <w:lang w:val="en-US" w:eastAsia="zh-CN"/>
        </w:rPr>
        <w:t>能源价格与基准价不一致的，以扬州市中医院合同能源管理项目第三方能源资源消耗基准值核定报告第三章建筑能耗分析中相关要求为准。</w:t>
      </w:r>
    </w:p>
    <w:p w14:paraId="3247B1E7">
      <w:pPr>
        <w:numPr>
          <w:ilvl w:val="0"/>
          <w:numId w:val="0"/>
        </w:numPr>
        <w:spacing w:line="360" w:lineRule="auto"/>
        <w:ind w:left="0" w:leftChars="0" w:firstLine="480" w:firstLineChars="200"/>
        <w:rPr>
          <w:rFonts w:hint="eastAsia" w:ascii="仿宋" w:hAnsi="仿宋" w:eastAsia="仿宋" w:cs="仿宋"/>
        </w:rPr>
      </w:pPr>
      <w:r>
        <w:rPr>
          <w:rFonts w:hint="default" w:ascii="仿宋" w:hAnsi="仿宋" w:eastAsia="仿宋" w:cs="仿宋"/>
          <w:sz w:val="24"/>
          <w:szCs w:val="24"/>
          <w:lang w:val="en-US" w:eastAsia="zh-CN" w:bidi="ar-SA"/>
        </w:rPr>
        <w:t>2．</w:t>
      </w:r>
      <w:r>
        <w:rPr>
          <w:rFonts w:hint="eastAsia" w:ascii="仿宋" w:hAnsi="仿宋" w:eastAsia="仿宋" w:cs="仿宋"/>
        </w:rPr>
        <w:t>扬州市中医院食堂2025年消耗电力128,200 kWh，电费91,718.12元；消耗蒸汽269.3吨，汽费63,276.66元；2024年10月至2025年9月消耗自来水6,322 m³，水费21,684.4元。本项目基准值已扣除食堂能源资源消耗量及费用。</w:t>
      </w:r>
    </w:p>
    <w:p w14:paraId="0380BB52">
      <w:pPr>
        <w:numPr>
          <w:ilvl w:val="0"/>
          <w:numId w:val="0"/>
        </w:numPr>
        <w:spacing w:line="360" w:lineRule="auto"/>
        <w:ind w:left="0" w:leftChars="0" w:firstLine="480" w:firstLineChars="200"/>
        <w:rPr>
          <w:rFonts w:hint="eastAsia" w:ascii="仿宋" w:hAnsi="仿宋" w:eastAsia="仿宋" w:cs="仿宋"/>
        </w:rPr>
      </w:pPr>
      <w:r>
        <w:rPr>
          <w:rFonts w:hint="default" w:ascii="仿宋" w:hAnsi="仿宋" w:eastAsia="仿宋" w:cs="仿宋"/>
          <w:sz w:val="24"/>
          <w:szCs w:val="24"/>
          <w:lang w:val="en-US" w:eastAsia="zh-CN" w:bidi="ar-SA"/>
        </w:rPr>
        <w:t>3．</w:t>
      </w:r>
      <w:r>
        <w:rPr>
          <w:rFonts w:hint="eastAsia" w:ascii="仿宋" w:hAnsi="仿宋" w:eastAsia="仿宋" w:cs="仿宋"/>
        </w:rPr>
        <w:t>药膳坊于2025年5月入驻扬州市中医院，2025年6月起使用电力。药膳坊2025年6月至12月电力消耗量6,916 kWh，电费4,944.099元。本项目基准值已扣除药膳坊能源资源消耗量及费用。</w:t>
      </w:r>
    </w:p>
    <w:p w14:paraId="7C9EE871">
      <w:pPr>
        <w:numPr>
          <w:ilvl w:val="0"/>
          <w:numId w:val="0"/>
        </w:numPr>
        <w:spacing w:line="360" w:lineRule="auto"/>
        <w:ind w:left="0" w:leftChars="0" w:firstLine="480" w:firstLineChars="200"/>
        <w:rPr>
          <w:rFonts w:hint="eastAsia" w:ascii="仿宋" w:hAnsi="仿宋" w:eastAsia="仿宋" w:cs="仿宋"/>
        </w:rPr>
      </w:pPr>
      <w:r>
        <w:rPr>
          <w:rFonts w:hint="default" w:ascii="仿宋" w:hAnsi="仿宋" w:eastAsia="仿宋" w:cs="仿宋"/>
          <w:sz w:val="24"/>
          <w:szCs w:val="24"/>
          <w:lang w:val="en-US" w:eastAsia="zh-CN" w:bidi="ar-SA"/>
        </w:rPr>
        <w:t>4．</w:t>
      </w:r>
      <w:r>
        <w:rPr>
          <w:rFonts w:hint="eastAsia" w:ascii="仿宋" w:hAnsi="仿宋" w:eastAsia="仿宋" w:cs="仿宋"/>
        </w:rPr>
        <w:t>基准值已扣除扬州市中医院1号楼1楼玉美超市能源资源消耗量及费用。由于2020-2025年未对超市计量进行逐月抄表，本项目基准值按照2018年4月至2019年3月的抄表数据扣除超市电力、自来水消耗量。2018年4月至2019年3月超市消耗电力9,576 kWh，电力单价以2025年1-12月综合单价0.72元/kWh计，则基准费用扣除电费6,894.72元；同期消耗自来水27 m³，水单价以2024年10月至2025年9月综合单价3.43元/m³计，则基准费用扣水费92.61元。建议后期对超市水电计量进行逐月抄表。</w:t>
      </w:r>
    </w:p>
    <w:p w14:paraId="1A905643">
      <w:pPr>
        <w:numPr>
          <w:ilvl w:val="0"/>
          <w:numId w:val="0"/>
        </w:numPr>
        <w:spacing w:line="360" w:lineRule="auto"/>
        <w:ind w:left="0" w:leftChars="0" w:firstLine="480" w:firstLineChars="200"/>
        <w:rPr>
          <w:rFonts w:hint="eastAsia" w:ascii="仿宋" w:hAnsi="仿宋" w:eastAsia="仿宋" w:cs="仿宋"/>
        </w:rPr>
      </w:pPr>
      <w:r>
        <w:rPr>
          <w:rFonts w:hint="default" w:ascii="仿宋" w:hAnsi="仿宋" w:eastAsia="仿宋" w:cs="仿宋"/>
          <w:sz w:val="24"/>
          <w:szCs w:val="24"/>
          <w:lang w:val="en-US" w:eastAsia="zh-CN" w:bidi="ar-SA"/>
        </w:rPr>
        <w:t>5．</w:t>
      </w:r>
      <w:r>
        <w:rPr>
          <w:rFonts w:hint="eastAsia" w:ascii="仿宋" w:hAnsi="仿宋" w:eastAsia="仿宋" w:cs="仿宋"/>
        </w:rPr>
        <w:t>扬州市中医院拟对污水处理站进行扩容改造，可能导致后续用能变化，建议安装分项计量并逐月抄表。</w:t>
      </w:r>
    </w:p>
    <w:p w14:paraId="08EE3D0A">
      <w:pPr>
        <w:spacing w:line="360" w:lineRule="auto"/>
        <w:ind w:firstLine="482" w:firstLineChars="200"/>
        <w:outlineLvl w:val="2"/>
        <w:rPr>
          <w:rFonts w:hint="eastAsia" w:ascii="仿宋" w:hAnsi="仿宋" w:eastAsia="仿宋" w:cs="仿宋"/>
          <w:b/>
          <w:bCs/>
          <w:sz w:val="24"/>
          <w:szCs w:val="24"/>
        </w:rPr>
      </w:pPr>
      <w:r>
        <w:rPr>
          <w:rFonts w:hint="eastAsia" w:ascii="仿宋" w:hAnsi="仿宋" w:eastAsia="仿宋" w:cs="仿宋"/>
          <w:b/>
          <w:bCs/>
          <w:sz w:val="24"/>
          <w:szCs w:val="24"/>
        </w:rPr>
        <w:t>（五）服务的范围与要求</w:t>
      </w:r>
    </w:p>
    <w:p w14:paraId="431E296F">
      <w:pPr>
        <w:spacing w:line="360" w:lineRule="auto"/>
        <w:ind w:firstLine="422"/>
        <w:rPr>
          <w:rFonts w:hint="eastAsia" w:ascii="仿宋" w:hAnsi="仿宋" w:eastAsia="仿宋" w:cs="仿宋"/>
          <w:b/>
          <w:bCs/>
        </w:rPr>
      </w:pPr>
      <w:r>
        <w:rPr>
          <w:rFonts w:hint="eastAsia" w:ascii="仿宋" w:hAnsi="仿宋" w:eastAsia="仿宋" w:cs="仿宋"/>
          <w:b/>
          <w:bCs/>
        </w:rPr>
        <w:t>5.1 服务范围</w:t>
      </w:r>
    </w:p>
    <w:p w14:paraId="14C9661C">
      <w:pPr>
        <w:spacing w:line="360" w:lineRule="auto"/>
        <w:ind w:firstLine="464" w:firstLineChars="200"/>
        <w:rPr>
          <w:rFonts w:hint="eastAsia" w:ascii="仿宋" w:hAnsi="仿宋" w:eastAsia="仿宋" w:cs="仿宋"/>
        </w:rPr>
      </w:pPr>
      <w:r>
        <w:rPr>
          <w:rFonts w:hint="eastAsia" w:ascii="仿宋" w:hAnsi="仿宋" w:eastAsia="仿宋" w:cs="仿宋"/>
          <w:spacing w:val="-4"/>
        </w:rPr>
        <w:t>本项目综合能源托管服务范围：扬州市中医院（文昌路院区）共10栋楼（1、2、3、5、6、8、10、11、15、16号楼）共计55930.08㎡的（</w:t>
      </w:r>
      <w:r>
        <w:rPr>
          <w:rFonts w:hint="eastAsia" w:ascii="仿宋" w:hAnsi="仿宋" w:eastAsia="仿宋" w:cs="仿宋"/>
          <w:spacing w:val="-4"/>
          <w:lang w:eastAsia="zh-CN"/>
        </w:rPr>
        <w:t>食堂除外</w:t>
      </w:r>
      <w:r>
        <w:rPr>
          <w:rFonts w:hint="eastAsia" w:ascii="仿宋" w:hAnsi="仿宋" w:eastAsia="仿宋" w:cs="仿宋"/>
          <w:spacing w:val="-4"/>
        </w:rPr>
        <w:t>），能源托管服务年限10年，拟由</w:t>
      </w:r>
      <w:r>
        <w:rPr>
          <w:rFonts w:hint="eastAsia" w:ascii="仿宋" w:hAnsi="仿宋" w:eastAsia="仿宋" w:cs="仿宋"/>
          <w:spacing w:val="-4"/>
          <w:lang w:eastAsia="zh-CN"/>
        </w:rPr>
        <w:t>投标人</w:t>
      </w:r>
      <w:r>
        <w:rPr>
          <w:rFonts w:hint="eastAsia" w:ascii="仿宋" w:hAnsi="仿宋" w:eastAsia="仿宋" w:cs="仿宋"/>
          <w:spacing w:val="-4"/>
        </w:rPr>
        <w:t>提供服务范围内的水、电、蒸汽（不含食堂、药膳坊、超市，单独计量收费）能源供应及保障服务、节能技术改造及相关设备维保服务、医院能源管理平台搭建及运维服务、综合能源服务。</w:t>
      </w:r>
    </w:p>
    <w:p w14:paraId="065312BA">
      <w:pPr>
        <w:spacing w:line="360" w:lineRule="auto"/>
        <w:ind w:firstLine="422"/>
        <w:rPr>
          <w:rFonts w:hint="eastAsia" w:ascii="仿宋" w:hAnsi="仿宋" w:eastAsia="仿宋" w:cs="仿宋"/>
        </w:rPr>
      </w:pPr>
      <w:r>
        <w:rPr>
          <w:rFonts w:hint="eastAsia" w:ascii="仿宋" w:hAnsi="仿宋" w:eastAsia="仿宋" w:cs="仿宋"/>
          <w:b/>
          <w:bCs/>
        </w:rPr>
        <w:t>5.2 节能改造项目表</w:t>
      </w:r>
    </w:p>
    <w:tbl>
      <w:tblPr>
        <w:tblStyle w:val="39"/>
        <w:tblW w:w="9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702"/>
        <w:gridCol w:w="1287"/>
        <w:gridCol w:w="1222"/>
        <w:gridCol w:w="905"/>
        <w:gridCol w:w="3108"/>
        <w:gridCol w:w="1018"/>
      </w:tblGrid>
      <w:tr w14:paraId="1A95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67" w:type="dxa"/>
          </w:tcPr>
          <w:p w14:paraId="24850876">
            <w:pPr>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重点任务</w:t>
            </w:r>
          </w:p>
        </w:tc>
        <w:tc>
          <w:tcPr>
            <w:tcW w:w="702" w:type="dxa"/>
          </w:tcPr>
          <w:p w14:paraId="540CE220">
            <w:pPr>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287" w:type="dxa"/>
          </w:tcPr>
          <w:p w14:paraId="19524E85">
            <w:pPr>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项目</w:t>
            </w:r>
          </w:p>
        </w:tc>
        <w:tc>
          <w:tcPr>
            <w:tcW w:w="1222" w:type="dxa"/>
          </w:tcPr>
          <w:p w14:paraId="6EDBE0A2">
            <w:pPr>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区域</w:t>
            </w:r>
          </w:p>
        </w:tc>
        <w:tc>
          <w:tcPr>
            <w:tcW w:w="905" w:type="dxa"/>
          </w:tcPr>
          <w:p w14:paraId="59F395CC">
            <w:pPr>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点位</w:t>
            </w:r>
          </w:p>
        </w:tc>
        <w:tc>
          <w:tcPr>
            <w:tcW w:w="3108" w:type="dxa"/>
          </w:tcPr>
          <w:p w14:paraId="1A8676FE">
            <w:pPr>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技术改造及服务内容说明</w:t>
            </w:r>
          </w:p>
        </w:tc>
        <w:tc>
          <w:tcPr>
            <w:tcW w:w="1018" w:type="dxa"/>
          </w:tcPr>
          <w:p w14:paraId="32150707">
            <w:pPr>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备注</w:t>
            </w:r>
          </w:p>
        </w:tc>
      </w:tr>
      <w:tr w14:paraId="08A6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restart"/>
            <w:vAlign w:val="center"/>
          </w:tcPr>
          <w:p w14:paraId="5B4CB4E0">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节能技术改造</w:t>
            </w:r>
          </w:p>
        </w:tc>
        <w:tc>
          <w:tcPr>
            <w:tcW w:w="702" w:type="dxa"/>
            <w:vAlign w:val="center"/>
          </w:tcPr>
          <w:p w14:paraId="4D561012">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w:t>
            </w:r>
          </w:p>
        </w:tc>
        <w:tc>
          <w:tcPr>
            <w:tcW w:w="1287" w:type="dxa"/>
            <w:vAlign w:val="center"/>
          </w:tcPr>
          <w:p w14:paraId="4D11C102">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高效冷站系统建设</w:t>
            </w:r>
          </w:p>
        </w:tc>
        <w:tc>
          <w:tcPr>
            <w:tcW w:w="1222" w:type="dxa"/>
            <w:vAlign w:val="center"/>
          </w:tcPr>
          <w:p w14:paraId="7B7DC6CE">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1号楼</w:t>
            </w:r>
          </w:p>
        </w:tc>
        <w:tc>
          <w:tcPr>
            <w:tcW w:w="905" w:type="dxa"/>
            <w:vAlign w:val="center"/>
          </w:tcPr>
          <w:p w14:paraId="14B6D1CD">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B1F中央空调机房</w:t>
            </w:r>
          </w:p>
        </w:tc>
        <w:tc>
          <w:tcPr>
            <w:tcW w:w="3108" w:type="dxa"/>
            <w:vAlign w:val="center"/>
          </w:tcPr>
          <w:p w14:paraId="6F7FBE54">
            <w:pPr>
              <w:spacing w:line="400" w:lineRule="exact"/>
              <w:rPr>
                <w:rFonts w:hint="eastAsia" w:ascii="仿宋" w:hAnsi="仿宋" w:eastAsia="仿宋" w:cs="仿宋"/>
                <w:i/>
                <w:iCs/>
                <w:kern w:val="2"/>
                <w:sz w:val="24"/>
                <w:szCs w:val="24"/>
                <w:highlight w:val="none"/>
                <w:u w:val="single"/>
              </w:rPr>
            </w:pPr>
            <w:r>
              <w:rPr>
                <w:rFonts w:hint="eastAsia" w:ascii="仿宋" w:hAnsi="仿宋" w:eastAsia="仿宋" w:cs="仿宋"/>
                <w:i/>
                <w:iCs/>
                <w:kern w:val="2"/>
                <w:sz w:val="24"/>
                <w:szCs w:val="24"/>
                <w:highlight w:val="none"/>
                <w:u w:val="single"/>
              </w:rPr>
              <w:t>①更换至少2台高效磁悬浮离心冷水机组，单台主机制冷容量≥1055kW（300RT），及相关泵组、管路改造；</w:t>
            </w:r>
          </w:p>
          <w:p w14:paraId="5B7DC8C4">
            <w:pPr>
              <w:spacing w:line="400" w:lineRule="exact"/>
              <w:rPr>
                <w:rFonts w:hint="eastAsia" w:ascii="仿宋" w:hAnsi="仿宋" w:eastAsia="仿宋" w:cs="仿宋"/>
                <w:i/>
                <w:iCs/>
                <w:kern w:val="2"/>
                <w:sz w:val="24"/>
                <w:szCs w:val="24"/>
                <w:highlight w:val="none"/>
                <w:u w:val="single"/>
              </w:rPr>
            </w:pPr>
            <w:r>
              <w:rPr>
                <w:rFonts w:hint="eastAsia" w:ascii="仿宋" w:hAnsi="仿宋" w:eastAsia="仿宋" w:cs="仿宋"/>
                <w:i/>
                <w:iCs/>
                <w:kern w:val="2"/>
                <w:sz w:val="24"/>
                <w:szCs w:val="24"/>
                <w:highlight w:val="none"/>
                <w:u w:val="single"/>
              </w:rPr>
              <w:t>②建设高效中央空调群控系统，降低中央空调系统的耗能，并进行集中监控；</w:t>
            </w:r>
          </w:p>
          <w:p w14:paraId="7AF5D8EF">
            <w:pPr>
              <w:spacing w:line="400" w:lineRule="exact"/>
              <w:rPr>
                <w:rFonts w:hint="eastAsia" w:ascii="仿宋" w:hAnsi="仿宋" w:eastAsia="仿宋" w:cs="仿宋"/>
                <w:i/>
                <w:iCs/>
                <w:kern w:val="2"/>
                <w:sz w:val="24"/>
                <w:szCs w:val="24"/>
                <w:highlight w:val="none"/>
                <w:u w:val="single"/>
              </w:rPr>
            </w:pPr>
            <w:r>
              <w:rPr>
                <w:rFonts w:hint="eastAsia" w:ascii="仿宋" w:hAnsi="仿宋" w:eastAsia="仿宋" w:cs="仿宋"/>
                <w:i/>
                <w:iCs/>
                <w:kern w:val="2"/>
                <w:sz w:val="24"/>
                <w:szCs w:val="24"/>
                <w:highlight w:val="none"/>
                <w:u w:val="single"/>
              </w:rPr>
              <w:t>③机房5S美化；</w:t>
            </w:r>
          </w:p>
        </w:tc>
        <w:tc>
          <w:tcPr>
            <w:tcW w:w="1018" w:type="dxa"/>
            <w:vAlign w:val="center"/>
          </w:tcPr>
          <w:p w14:paraId="373A1937">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必选项</w:t>
            </w:r>
          </w:p>
        </w:tc>
      </w:tr>
      <w:tr w14:paraId="382F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continue"/>
            <w:vAlign w:val="center"/>
          </w:tcPr>
          <w:p w14:paraId="727D1561">
            <w:pPr>
              <w:spacing w:line="400" w:lineRule="exact"/>
              <w:rPr>
                <w:rFonts w:hint="eastAsia" w:ascii="仿宋" w:hAnsi="仿宋" w:eastAsia="仿宋" w:cs="仿宋"/>
                <w:kern w:val="2"/>
                <w:sz w:val="24"/>
                <w:szCs w:val="24"/>
                <w:highlight w:val="none"/>
              </w:rPr>
            </w:pPr>
          </w:p>
        </w:tc>
        <w:tc>
          <w:tcPr>
            <w:tcW w:w="702" w:type="dxa"/>
            <w:vAlign w:val="center"/>
          </w:tcPr>
          <w:p w14:paraId="6B6B0DB3">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2</w:t>
            </w:r>
          </w:p>
        </w:tc>
        <w:tc>
          <w:tcPr>
            <w:tcW w:w="1287" w:type="dxa"/>
            <w:vAlign w:val="center"/>
          </w:tcPr>
          <w:p w14:paraId="29907ACD">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采暖系统改造</w:t>
            </w:r>
          </w:p>
        </w:tc>
        <w:tc>
          <w:tcPr>
            <w:tcW w:w="1222" w:type="dxa"/>
            <w:vAlign w:val="center"/>
          </w:tcPr>
          <w:p w14:paraId="4F8BDC02">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1号楼</w:t>
            </w:r>
          </w:p>
        </w:tc>
        <w:tc>
          <w:tcPr>
            <w:tcW w:w="905" w:type="dxa"/>
            <w:vAlign w:val="center"/>
          </w:tcPr>
          <w:p w14:paraId="6625C459">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B1F中央空调机房</w:t>
            </w:r>
          </w:p>
        </w:tc>
        <w:tc>
          <w:tcPr>
            <w:tcW w:w="3108" w:type="dxa"/>
            <w:vAlign w:val="center"/>
          </w:tcPr>
          <w:p w14:paraId="29AC122E">
            <w:pPr>
              <w:spacing w:line="400" w:lineRule="exact"/>
              <w:rPr>
                <w:rFonts w:hint="eastAsia" w:ascii="仿宋" w:hAnsi="仿宋" w:eastAsia="仿宋" w:cs="仿宋"/>
                <w:i/>
                <w:iCs/>
                <w:kern w:val="2"/>
                <w:sz w:val="24"/>
                <w:szCs w:val="24"/>
                <w:highlight w:val="none"/>
                <w:u w:val="single"/>
              </w:rPr>
            </w:pPr>
            <w:r>
              <w:rPr>
                <w:rFonts w:hint="eastAsia" w:ascii="仿宋" w:hAnsi="仿宋" w:eastAsia="仿宋" w:cs="仿宋"/>
                <w:i/>
                <w:iCs/>
                <w:kern w:val="2"/>
                <w:sz w:val="24"/>
                <w:szCs w:val="24"/>
                <w:highlight w:val="none"/>
                <w:u w:val="single"/>
              </w:rPr>
              <w:t>①更换现有老旧管壳式换热器为组合式板式换热器（换热器带自动控制系统和气候补偿装置），制热容量≥2600kW，及相关泵组、管路改造，并进行集中监控；</w:t>
            </w:r>
          </w:p>
          <w:p w14:paraId="59D7F337">
            <w:pPr>
              <w:spacing w:line="400" w:lineRule="exact"/>
              <w:rPr>
                <w:rFonts w:hint="eastAsia" w:ascii="仿宋" w:hAnsi="仿宋" w:eastAsia="仿宋" w:cs="仿宋"/>
                <w:i/>
                <w:iCs/>
                <w:kern w:val="2"/>
                <w:sz w:val="24"/>
                <w:szCs w:val="24"/>
                <w:highlight w:val="none"/>
                <w:u w:val="single"/>
              </w:rPr>
            </w:pPr>
            <w:r>
              <w:rPr>
                <w:rFonts w:hint="eastAsia" w:ascii="仿宋" w:hAnsi="仿宋" w:eastAsia="仿宋" w:cs="仿宋"/>
                <w:i/>
                <w:iCs/>
                <w:kern w:val="2"/>
                <w:sz w:val="24"/>
                <w:szCs w:val="24"/>
                <w:highlight w:val="none"/>
                <w:u w:val="single"/>
              </w:rPr>
              <w:t>②采暖蒸汽需进行冷凝水回收。</w:t>
            </w:r>
          </w:p>
        </w:tc>
        <w:tc>
          <w:tcPr>
            <w:tcW w:w="1018" w:type="dxa"/>
            <w:vAlign w:val="center"/>
          </w:tcPr>
          <w:p w14:paraId="5305B02C">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必选项</w:t>
            </w:r>
          </w:p>
        </w:tc>
      </w:tr>
      <w:tr w14:paraId="3552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continue"/>
            <w:vAlign w:val="center"/>
          </w:tcPr>
          <w:p w14:paraId="1B8435EE">
            <w:pPr>
              <w:spacing w:line="400" w:lineRule="exact"/>
              <w:rPr>
                <w:rFonts w:hint="eastAsia" w:ascii="仿宋" w:hAnsi="仿宋" w:eastAsia="仿宋" w:cs="仿宋"/>
                <w:kern w:val="2"/>
                <w:sz w:val="24"/>
                <w:szCs w:val="24"/>
                <w:highlight w:val="none"/>
              </w:rPr>
            </w:pPr>
          </w:p>
        </w:tc>
        <w:tc>
          <w:tcPr>
            <w:tcW w:w="702" w:type="dxa"/>
            <w:vAlign w:val="center"/>
          </w:tcPr>
          <w:p w14:paraId="21AE435F">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3</w:t>
            </w:r>
          </w:p>
        </w:tc>
        <w:tc>
          <w:tcPr>
            <w:tcW w:w="1287" w:type="dxa"/>
            <w:vAlign w:val="center"/>
          </w:tcPr>
          <w:p w14:paraId="292D1A33">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生活热水系统改造</w:t>
            </w:r>
          </w:p>
        </w:tc>
        <w:tc>
          <w:tcPr>
            <w:tcW w:w="1222" w:type="dxa"/>
            <w:vAlign w:val="center"/>
          </w:tcPr>
          <w:p w14:paraId="516B6B05">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1号楼、3号楼</w:t>
            </w:r>
          </w:p>
        </w:tc>
        <w:tc>
          <w:tcPr>
            <w:tcW w:w="905" w:type="dxa"/>
            <w:vAlign w:val="center"/>
          </w:tcPr>
          <w:p w14:paraId="76579635">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生活热水机房</w:t>
            </w:r>
          </w:p>
        </w:tc>
        <w:tc>
          <w:tcPr>
            <w:tcW w:w="3108" w:type="dxa"/>
            <w:vAlign w:val="center"/>
          </w:tcPr>
          <w:p w14:paraId="011EB13D">
            <w:pPr>
              <w:spacing w:line="400" w:lineRule="exact"/>
              <w:rPr>
                <w:rFonts w:hint="eastAsia" w:ascii="仿宋" w:hAnsi="仿宋" w:eastAsia="仿宋" w:cs="仿宋"/>
                <w:i/>
                <w:iCs/>
                <w:kern w:val="2"/>
                <w:sz w:val="24"/>
                <w:szCs w:val="24"/>
                <w:highlight w:val="none"/>
                <w:u w:val="single"/>
              </w:rPr>
            </w:pPr>
            <w:r>
              <w:rPr>
                <w:rFonts w:hint="eastAsia" w:ascii="仿宋" w:hAnsi="仿宋" w:eastAsia="仿宋" w:cs="仿宋"/>
                <w:i/>
                <w:iCs/>
                <w:kern w:val="2"/>
                <w:sz w:val="24"/>
                <w:szCs w:val="24"/>
                <w:highlight w:val="none"/>
                <w:u w:val="single"/>
              </w:rPr>
              <w:t>①更换现有老容积式换热器为组合式板式换热器（换热器带自动控制系统），热水供应量满足现有供应要求，1号楼手术室制热容量≥400kW、储热水罐≥3m³，1号楼病区制热容量≥700kW、储热水罐≥6m³，3号楼病区制热容量≥700kW、储热水罐≥6m³及相关泵组、管路改造，并进行集中监控；</w:t>
            </w:r>
          </w:p>
          <w:p w14:paraId="741F0E59">
            <w:pPr>
              <w:spacing w:line="400" w:lineRule="exact"/>
              <w:rPr>
                <w:rFonts w:hint="eastAsia" w:ascii="仿宋" w:hAnsi="仿宋" w:eastAsia="仿宋" w:cs="仿宋"/>
                <w:i/>
                <w:iCs/>
                <w:kern w:val="2"/>
                <w:sz w:val="24"/>
                <w:szCs w:val="24"/>
                <w:highlight w:val="none"/>
                <w:u w:val="single"/>
              </w:rPr>
            </w:pPr>
            <w:r>
              <w:rPr>
                <w:rFonts w:hint="eastAsia" w:ascii="仿宋" w:hAnsi="仿宋" w:eastAsia="仿宋" w:cs="仿宋"/>
                <w:i/>
                <w:iCs/>
                <w:kern w:val="2"/>
                <w:sz w:val="24"/>
                <w:szCs w:val="24"/>
                <w:highlight w:val="none"/>
                <w:u w:val="single"/>
              </w:rPr>
              <w:t>②1号楼生活热水系统需进行冷凝水回收。</w:t>
            </w:r>
          </w:p>
        </w:tc>
        <w:tc>
          <w:tcPr>
            <w:tcW w:w="1018" w:type="dxa"/>
            <w:vAlign w:val="center"/>
          </w:tcPr>
          <w:p w14:paraId="54BA02B5">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必选项</w:t>
            </w:r>
          </w:p>
        </w:tc>
      </w:tr>
      <w:tr w14:paraId="67A8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continue"/>
            <w:vAlign w:val="center"/>
          </w:tcPr>
          <w:p w14:paraId="4E3C9F13">
            <w:pPr>
              <w:spacing w:line="400" w:lineRule="exact"/>
              <w:rPr>
                <w:rFonts w:hint="eastAsia" w:ascii="仿宋" w:hAnsi="仿宋" w:eastAsia="仿宋" w:cs="仿宋"/>
                <w:kern w:val="2"/>
                <w:sz w:val="24"/>
                <w:szCs w:val="24"/>
                <w:highlight w:val="none"/>
              </w:rPr>
            </w:pPr>
          </w:p>
        </w:tc>
        <w:tc>
          <w:tcPr>
            <w:tcW w:w="702" w:type="dxa"/>
            <w:vAlign w:val="center"/>
          </w:tcPr>
          <w:p w14:paraId="4F2F6B89">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4</w:t>
            </w:r>
          </w:p>
        </w:tc>
        <w:tc>
          <w:tcPr>
            <w:tcW w:w="1287" w:type="dxa"/>
            <w:vAlign w:val="center"/>
          </w:tcPr>
          <w:p w14:paraId="07DF708F">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照明系统改造</w:t>
            </w:r>
          </w:p>
        </w:tc>
        <w:tc>
          <w:tcPr>
            <w:tcW w:w="1222" w:type="dxa"/>
            <w:vAlign w:val="center"/>
          </w:tcPr>
          <w:p w14:paraId="3F012BC1">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文昌路院区</w:t>
            </w:r>
          </w:p>
        </w:tc>
        <w:tc>
          <w:tcPr>
            <w:tcW w:w="905" w:type="dxa"/>
            <w:vAlign w:val="center"/>
          </w:tcPr>
          <w:p w14:paraId="5238826C">
            <w:pPr>
              <w:spacing w:line="400" w:lineRule="exact"/>
              <w:rPr>
                <w:rFonts w:hint="eastAsia" w:ascii="仿宋" w:hAnsi="仿宋" w:eastAsia="仿宋" w:cs="仿宋"/>
                <w:kern w:val="2"/>
                <w:sz w:val="24"/>
                <w:szCs w:val="24"/>
                <w:highlight w:val="none"/>
              </w:rPr>
            </w:pPr>
          </w:p>
        </w:tc>
        <w:tc>
          <w:tcPr>
            <w:tcW w:w="3108" w:type="dxa"/>
            <w:vAlign w:val="center"/>
          </w:tcPr>
          <w:p w14:paraId="45CA7189">
            <w:pPr>
              <w:spacing w:line="400" w:lineRule="exact"/>
              <w:rPr>
                <w:rFonts w:hint="eastAsia" w:ascii="仿宋" w:hAnsi="仿宋" w:eastAsia="仿宋" w:cs="仿宋"/>
                <w:i/>
                <w:iCs/>
                <w:kern w:val="2"/>
                <w:sz w:val="24"/>
                <w:szCs w:val="24"/>
                <w:highlight w:val="none"/>
                <w:u w:val="single"/>
              </w:rPr>
            </w:pPr>
            <w:r>
              <w:rPr>
                <w:rFonts w:hint="eastAsia" w:ascii="仿宋" w:hAnsi="仿宋" w:eastAsia="仿宋" w:cs="仿宋"/>
                <w:i/>
                <w:iCs/>
                <w:kern w:val="2"/>
                <w:sz w:val="24"/>
                <w:szCs w:val="24"/>
                <w:highlight w:val="none"/>
                <w:u w:val="single"/>
              </w:rPr>
              <w:t>①全院不节能灯具更换为节能LED灯，部分光照不够地方增加LED灯，不少于100处；</w:t>
            </w:r>
          </w:p>
        </w:tc>
        <w:tc>
          <w:tcPr>
            <w:tcW w:w="1018" w:type="dxa"/>
            <w:vAlign w:val="center"/>
          </w:tcPr>
          <w:p w14:paraId="095EB001">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必选项</w:t>
            </w:r>
          </w:p>
        </w:tc>
      </w:tr>
      <w:tr w14:paraId="6B39D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continue"/>
            <w:vAlign w:val="center"/>
          </w:tcPr>
          <w:p w14:paraId="37AE0405">
            <w:pPr>
              <w:spacing w:line="400" w:lineRule="exact"/>
              <w:rPr>
                <w:rFonts w:hint="eastAsia" w:ascii="仿宋" w:hAnsi="仿宋" w:eastAsia="仿宋" w:cs="仿宋"/>
                <w:kern w:val="2"/>
                <w:sz w:val="24"/>
                <w:szCs w:val="24"/>
                <w:highlight w:val="none"/>
              </w:rPr>
            </w:pPr>
          </w:p>
        </w:tc>
        <w:tc>
          <w:tcPr>
            <w:tcW w:w="702" w:type="dxa"/>
            <w:vAlign w:val="center"/>
          </w:tcPr>
          <w:p w14:paraId="77EE2E8E">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p>
        </w:tc>
        <w:tc>
          <w:tcPr>
            <w:tcW w:w="1287" w:type="dxa"/>
            <w:vAlign w:val="center"/>
          </w:tcPr>
          <w:p w14:paraId="2CB4390C">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节水改造</w:t>
            </w:r>
          </w:p>
        </w:tc>
        <w:tc>
          <w:tcPr>
            <w:tcW w:w="1222" w:type="dxa"/>
            <w:vAlign w:val="center"/>
          </w:tcPr>
          <w:p w14:paraId="1E39FAB9">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文昌路院区</w:t>
            </w:r>
          </w:p>
        </w:tc>
        <w:tc>
          <w:tcPr>
            <w:tcW w:w="905" w:type="dxa"/>
            <w:vAlign w:val="center"/>
          </w:tcPr>
          <w:p w14:paraId="0649FFB7">
            <w:pPr>
              <w:spacing w:line="400" w:lineRule="exact"/>
              <w:rPr>
                <w:rFonts w:hint="eastAsia" w:ascii="仿宋" w:hAnsi="仿宋" w:eastAsia="仿宋" w:cs="仿宋"/>
                <w:kern w:val="2"/>
                <w:sz w:val="24"/>
                <w:szCs w:val="24"/>
                <w:highlight w:val="none"/>
              </w:rPr>
            </w:pPr>
          </w:p>
        </w:tc>
        <w:tc>
          <w:tcPr>
            <w:tcW w:w="3108" w:type="dxa"/>
            <w:vAlign w:val="center"/>
          </w:tcPr>
          <w:p w14:paraId="4B3D41A6">
            <w:pPr>
              <w:spacing w:line="400" w:lineRule="exact"/>
              <w:rPr>
                <w:rFonts w:hint="eastAsia" w:ascii="仿宋" w:hAnsi="仿宋" w:eastAsia="仿宋" w:cs="仿宋"/>
                <w:i/>
                <w:iCs/>
                <w:kern w:val="2"/>
                <w:sz w:val="24"/>
                <w:szCs w:val="24"/>
                <w:highlight w:val="none"/>
                <w:u w:val="single"/>
              </w:rPr>
            </w:pPr>
            <w:r>
              <w:rPr>
                <w:rFonts w:hint="eastAsia" w:ascii="仿宋" w:hAnsi="仿宋" w:eastAsia="仿宋" w:cs="仿宋"/>
                <w:i/>
                <w:iCs/>
                <w:kern w:val="2"/>
                <w:sz w:val="24"/>
                <w:szCs w:val="24"/>
                <w:highlight w:val="none"/>
                <w:u w:val="single"/>
              </w:rPr>
              <w:t>①在常规用水点位设置节水起泡器，不少于260个点位；</w:t>
            </w:r>
          </w:p>
        </w:tc>
        <w:tc>
          <w:tcPr>
            <w:tcW w:w="1018" w:type="dxa"/>
            <w:vAlign w:val="center"/>
          </w:tcPr>
          <w:p w14:paraId="2A400092">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必选项</w:t>
            </w:r>
          </w:p>
        </w:tc>
      </w:tr>
      <w:tr w14:paraId="2504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continue"/>
            <w:vAlign w:val="center"/>
          </w:tcPr>
          <w:p w14:paraId="7A4B7D11">
            <w:pPr>
              <w:spacing w:line="400" w:lineRule="exact"/>
              <w:rPr>
                <w:rFonts w:hint="eastAsia" w:ascii="仿宋" w:hAnsi="仿宋" w:eastAsia="仿宋" w:cs="仿宋"/>
                <w:kern w:val="2"/>
                <w:sz w:val="24"/>
                <w:szCs w:val="24"/>
                <w:highlight w:val="none"/>
              </w:rPr>
            </w:pPr>
          </w:p>
        </w:tc>
        <w:tc>
          <w:tcPr>
            <w:tcW w:w="702" w:type="dxa"/>
            <w:vAlign w:val="center"/>
          </w:tcPr>
          <w:p w14:paraId="382EE93E">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6</w:t>
            </w:r>
          </w:p>
        </w:tc>
        <w:tc>
          <w:tcPr>
            <w:tcW w:w="1287" w:type="dxa"/>
            <w:vAlign w:val="center"/>
          </w:tcPr>
          <w:p w14:paraId="3679B133">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末端空调控制系统建设</w:t>
            </w:r>
          </w:p>
        </w:tc>
        <w:tc>
          <w:tcPr>
            <w:tcW w:w="1222" w:type="dxa"/>
            <w:vAlign w:val="center"/>
          </w:tcPr>
          <w:p w14:paraId="2E05B1A7">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文昌路院区</w:t>
            </w:r>
          </w:p>
        </w:tc>
        <w:tc>
          <w:tcPr>
            <w:tcW w:w="905" w:type="dxa"/>
            <w:vAlign w:val="center"/>
          </w:tcPr>
          <w:p w14:paraId="49D93DF2">
            <w:pPr>
              <w:spacing w:line="400" w:lineRule="exact"/>
              <w:rPr>
                <w:rFonts w:hint="eastAsia" w:ascii="仿宋" w:hAnsi="仿宋" w:eastAsia="仿宋" w:cs="仿宋"/>
                <w:kern w:val="2"/>
                <w:sz w:val="24"/>
                <w:szCs w:val="24"/>
                <w:highlight w:val="none"/>
              </w:rPr>
            </w:pPr>
          </w:p>
        </w:tc>
        <w:tc>
          <w:tcPr>
            <w:tcW w:w="3108" w:type="dxa"/>
            <w:vAlign w:val="center"/>
          </w:tcPr>
          <w:p w14:paraId="56B4C8EA">
            <w:pPr>
              <w:spacing w:line="400" w:lineRule="exact"/>
              <w:rPr>
                <w:rFonts w:hint="eastAsia" w:ascii="仿宋" w:hAnsi="仿宋" w:eastAsia="仿宋" w:cs="仿宋"/>
                <w:i/>
                <w:iCs/>
                <w:kern w:val="2"/>
                <w:sz w:val="24"/>
                <w:szCs w:val="24"/>
                <w:highlight w:val="none"/>
                <w:u w:val="single"/>
              </w:rPr>
            </w:pPr>
            <w:r>
              <w:rPr>
                <w:rFonts w:hint="eastAsia" w:ascii="仿宋" w:hAnsi="仿宋" w:eastAsia="仿宋" w:cs="仿宋"/>
                <w:i/>
                <w:iCs/>
                <w:kern w:val="2"/>
                <w:sz w:val="24"/>
                <w:szCs w:val="24"/>
                <w:highlight w:val="none"/>
                <w:u w:val="single"/>
              </w:rPr>
              <w:t>①门诊区域风机盘管建设智能面板控制系统，进行远程集中管控，不少于300处；</w:t>
            </w:r>
          </w:p>
          <w:p w14:paraId="01D5228A">
            <w:pPr>
              <w:spacing w:line="400" w:lineRule="exact"/>
              <w:rPr>
                <w:rFonts w:hint="eastAsia" w:ascii="仿宋" w:hAnsi="仿宋" w:eastAsia="仿宋" w:cs="仿宋"/>
                <w:i/>
                <w:iCs/>
                <w:kern w:val="2"/>
                <w:sz w:val="24"/>
                <w:szCs w:val="24"/>
                <w:highlight w:val="none"/>
                <w:u w:val="single"/>
              </w:rPr>
            </w:pPr>
            <w:r>
              <w:rPr>
                <w:rFonts w:hint="eastAsia" w:ascii="仿宋" w:hAnsi="仿宋" w:eastAsia="仿宋" w:cs="仿宋"/>
                <w:i/>
                <w:iCs/>
                <w:kern w:val="2"/>
                <w:sz w:val="24"/>
                <w:szCs w:val="24"/>
                <w:highlight w:val="none"/>
                <w:u w:val="single"/>
              </w:rPr>
              <w:t>②非病房区域且集中的多联机建设集中控制系统，实现远程调控、定时开关功能，不少于20台；</w:t>
            </w:r>
          </w:p>
        </w:tc>
        <w:tc>
          <w:tcPr>
            <w:tcW w:w="1018" w:type="dxa"/>
            <w:vAlign w:val="center"/>
          </w:tcPr>
          <w:p w14:paraId="5C1A0908">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必选项</w:t>
            </w:r>
          </w:p>
        </w:tc>
      </w:tr>
      <w:tr w14:paraId="00E9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continue"/>
            <w:vAlign w:val="center"/>
          </w:tcPr>
          <w:p w14:paraId="5702F1BD">
            <w:pPr>
              <w:spacing w:line="400" w:lineRule="exact"/>
              <w:rPr>
                <w:rFonts w:hint="eastAsia" w:ascii="仿宋" w:hAnsi="仿宋" w:eastAsia="仿宋" w:cs="仿宋"/>
                <w:kern w:val="2"/>
                <w:sz w:val="24"/>
                <w:szCs w:val="24"/>
                <w:highlight w:val="none"/>
              </w:rPr>
            </w:pPr>
          </w:p>
        </w:tc>
        <w:tc>
          <w:tcPr>
            <w:tcW w:w="702" w:type="dxa"/>
            <w:vAlign w:val="center"/>
          </w:tcPr>
          <w:p w14:paraId="674BD73F">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7</w:t>
            </w:r>
          </w:p>
        </w:tc>
        <w:tc>
          <w:tcPr>
            <w:tcW w:w="1287" w:type="dxa"/>
            <w:vAlign w:val="center"/>
          </w:tcPr>
          <w:p w14:paraId="5029DB38">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光储充发电系统建设</w:t>
            </w:r>
          </w:p>
        </w:tc>
        <w:tc>
          <w:tcPr>
            <w:tcW w:w="1222" w:type="dxa"/>
            <w:vAlign w:val="center"/>
          </w:tcPr>
          <w:p w14:paraId="3B4F583A">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文昌路院区</w:t>
            </w:r>
          </w:p>
        </w:tc>
        <w:tc>
          <w:tcPr>
            <w:tcW w:w="905" w:type="dxa"/>
            <w:vAlign w:val="center"/>
          </w:tcPr>
          <w:p w14:paraId="763418DC">
            <w:pPr>
              <w:spacing w:line="400" w:lineRule="exact"/>
              <w:rPr>
                <w:rFonts w:hint="eastAsia" w:ascii="仿宋" w:hAnsi="仿宋" w:eastAsia="仿宋" w:cs="仿宋"/>
                <w:kern w:val="2"/>
                <w:sz w:val="24"/>
                <w:szCs w:val="24"/>
                <w:highlight w:val="none"/>
              </w:rPr>
            </w:pPr>
          </w:p>
        </w:tc>
        <w:tc>
          <w:tcPr>
            <w:tcW w:w="3108" w:type="dxa"/>
            <w:vAlign w:val="center"/>
          </w:tcPr>
          <w:p w14:paraId="3721D518">
            <w:pPr>
              <w:spacing w:line="400" w:lineRule="exact"/>
              <w:rPr>
                <w:rFonts w:hint="eastAsia" w:ascii="仿宋" w:hAnsi="仿宋" w:eastAsia="仿宋" w:cs="仿宋"/>
                <w:i/>
                <w:iCs/>
                <w:kern w:val="2"/>
                <w:sz w:val="24"/>
                <w:szCs w:val="24"/>
                <w:highlight w:val="none"/>
                <w:u w:val="single"/>
              </w:rPr>
            </w:pPr>
            <w:r>
              <w:rPr>
                <w:rFonts w:hint="eastAsia" w:ascii="仿宋" w:hAnsi="仿宋" w:eastAsia="仿宋" w:cs="仿宋"/>
                <w:i/>
                <w:iCs/>
                <w:kern w:val="2"/>
                <w:sz w:val="24"/>
                <w:szCs w:val="24"/>
                <w:highlight w:val="none"/>
                <w:u w:val="single"/>
              </w:rPr>
              <w:t>①利用医院南边2180平停车区建设光伏车棚和康复中心816平建设屋顶光伏并并网，不少于500kWp，采用自发自用，余电上网模式，并网必需采取措施避免对医院原电网影响</w:t>
            </w:r>
            <w:r>
              <w:rPr>
                <w:rFonts w:hint="eastAsia" w:ascii="仿宋" w:hAnsi="仿宋" w:eastAsia="仿宋" w:cs="仿宋"/>
                <w:i/>
                <w:iCs/>
                <w:kern w:val="2"/>
                <w:sz w:val="24"/>
                <w:szCs w:val="24"/>
                <w:highlight w:val="none"/>
                <w:u w:val="single"/>
                <w:lang w:eastAsia="zh-CN"/>
              </w:rPr>
              <w:t>，</w:t>
            </w:r>
            <w:r>
              <w:rPr>
                <w:rFonts w:hint="eastAsia" w:ascii="仿宋" w:hAnsi="仿宋" w:eastAsia="仿宋" w:cs="仿宋"/>
                <w:i/>
                <w:iCs/>
                <w:kern w:val="2"/>
                <w:sz w:val="24"/>
                <w:szCs w:val="24"/>
                <w:highlight w:val="none"/>
                <w:u w:val="single"/>
                <w:lang w:val="en-US" w:eastAsia="zh-CN"/>
              </w:rPr>
              <w:t>康复中心屋顶光伏建设前需对结构、防水保护方案复核，论证可行后方可实施</w:t>
            </w:r>
            <w:r>
              <w:rPr>
                <w:rFonts w:hint="eastAsia" w:ascii="仿宋" w:hAnsi="仿宋" w:eastAsia="仿宋" w:cs="仿宋"/>
                <w:i/>
                <w:iCs/>
                <w:kern w:val="2"/>
                <w:sz w:val="24"/>
                <w:szCs w:val="24"/>
                <w:highlight w:val="none"/>
                <w:u w:val="single"/>
              </w:rPr>
              <w:t>；</w:t>
            </w:r>
          </w:p>
          <w:p w14:paraId="1BE1D098">
            <w:pPr>
              <w:spacing w:line="400" w:lineRule="exact"/>
              <w:rPr>
                <w:rFonts w:hint="eastAsia" w:ascii="仿宋" w:hAnsi="仿宋" w:eastAsia="仿宋" w:cs="仿宋"/>
                <w:i/>
                <w:iCs/>
                <w:kern w:val="2"/>
                <w:sz w:val="24"/>
                <w:szCs w:val="24"/>
                <w:highlight w:val="none"/>
                <w:u w:val="single"/>
              </w:rPr>
            </w:pPr>
            <w:r>
              <w:rPr>
                <w:rFonts w:hint="eastAsia" w:ascii="仿宋" w:hAnsi="仿宋" w:eastAsia="仿宋" w:cs="仿宋"/>
                <w:i/>
                <w:iCs/>
                <w:kern w:val="2"/>
                <w:sz w:val="24"/>
                <w:szCs w:val="24"/>
                <w:highlight w:val="none"/>
                <w:u w:val="single"/>
              </w:rPr>
              <w:t>②设置</w:t>
            </w:r>
            <w:r>
              <w:rPr>
                <w:rFonts w:hint="eastAsia" w:ascii="仿宋" w:hAnsi="仿宋" w:eastAsia="仿宋" w:cs="仿宋"/>
                <w:i/>
                <w:iCs/>
                <w:kern w:val="2"/>
                <w:sz w:val="24"/>
                <w:szCs w:val="24"/>
                <w:highlight w:val="yellow"/>
                <w:u w:val="single"/>
              </w:rPr>
              <w:t>2</w:t>
            </w:r>
            <w:r>
              <w:rPr>
                <w:rFonts w:hint="eastAsia" w:ascii="仿宋" w:hAnsi="仿宋" w:eastAsia="仿宋" w:cs="仿宋"/>
                <w:i/>
                <w:iCs/>
                <w:kern w:val="2"/>
                <w:sz w:val="24"/>
                <w:szCs w:val="24"/>
                <w:highlight w:val="yellow"/>
                <w:u w:val="single"/>
                <w:lang w:val="en-US" w:eastAsia="zh-CN"/>
              </w:rPr>
              <w:t>*</w:t>
            </w:r>
            <w:r>
              <w:rPr>
                <w:rFonts w:hint="eastAsia" w:ascii="仿宋" w:hAnsi="仿宋" w:eastAsia="仿宋" w:cs="仿宋"/>
                <w:i/>
                <w:iCs/>
                <w:kern w:val="2"/>
                <w:sz w:val="24"/>
                <w:szCs w:val="24"/>
                <w:highlight w:val="yellow"/>
                <w:u w:val="single"/>
              </w:rPr>
              <w:t>60</w:t>
            </w:r>
            <w:r>
              <w:rPr>
                <w:rFonts w:hint="eastAsia" w:ascii="仿宋" w:hAnsi="仿宋" w:eastAsia="仿宋" w:cs="仿宋"/>
                <w:i/>
                <w:iCs/>
                <w:kern w:val="2"/>
                <w:sz w:val="24"/>
                <w:szCs w:val="24"/>
                <w:highlight w:val="yellow"/>
                <w:u w:val="single"/>
                <w:lang w:eastAsia="zh-CN"/>
              </w:rPr>
              <w:t>kW</w:t>
            </w:r>
            <w:r>
              <w:rPr>
                <w:rFonts w:hint="eastAsia" w:ascii="仿宋" w:hAnsi="仿宋" w:eastAsia="仿宋" w:cs="仿宋"/>
                <w:i/>
                <w:iCs/>
                <w:kern w:val="2"/>
                <w:sz w:val="24"/>
                <w:szCs w:val="24"/>
                <w:highlight w:val="none"/>
                <w:u w:val="single"/>
              </w:rPr>
              <w:t>直流快充和4台7</w:t>
            </w:r>
            <w:r>
              <w:rPr>
                <w:rFonts w:hint="eastAsia" w:ascii="仿宋" w:hAnsi="仿宋" w:eastAsia="仿宋" w:cs="仿宋"/>
                <w:i/>
                <w:iCs/>
                <w:kern w:val="2"/>
                <w:sz w:val="24"/>
                <w:szCs w:val="24"/>
                <w:highlight w:val="none"/>
                <w:u w:val="single"/>
                <w:lang w:eastAsia="zh-CN"/>
              </w:rPr>
              <w:t>kW</w:t>
            </w:r>
            <w:r>
              <w:rPr>
                <w:rFonts w:hint="eastAsia" w:ascii="仿宋" w:hAnsi="仿宋" w:eastAsia="仿宋" w:cs="仿宋"/>
                <w:i/>
                <w:iCs/>
                <w:kern w:val="2"/>
                <w:sz w:val="24"/>
                <w:szCs w:val="24"/>
                <w:highlight w:val="none"/>
                <w:u w:val="single"/>
              </w:rPr>
              <w:t>直流慢充和配套不小于</w:t>
            </w:r>
            <w:r>
              <w:rPr>
                <w:rFonts w:hint="eastAsia" w:ascii="仿宋" w:hAnsi="仿宋" w:eastAsia="仿宋" w:cs="仿宋"/>
                <w:i/>
                <w:iCs/>
                <w:kern w:val="2"/>
                <w:sz w:val="24"/>
                <w:szCs w:val="24"/>
                <w:highlight w:val="yellow"/>
                <w:u w:val="single"/>
              </w:rPr>
              <w:t>125kW/2</w:t>
            </w:r>
            <w:r>
              <w:rPr>
                <w:rFonts w:hint="eastAsia" w:ascii="仿宋" w:hAnsi="仿宋" w:eastAsia="仿宋" w:cs="仿宋"/>
                <w:i/>
                <w:iCs/>
                <w:kern w:val="2"/>
                <w:sz w:val="24"/>
                <w:szCs w:val="24"/>
                <w:highlight w:val="yellow"/>
                <w:u w:val="single"/>
                <w:lang w:val="en-US" w:eastAsia="zh-CN"/>
              </w:rPr>
              <w:t>50</w:t>
            </w:r>
            <w:r>
              <w:rPr>
                <w:rFonts w:hint="eastAsia" w:ascii="仿宋" w:hAnsi="仿宋" w:eastAsia="仿宋" w:cs="仿宋"/>
                <w:i/>
                <w:iCs/>
                <w:kern w:val="2"/>
                <w:sz w:val="24"/>
                <w:szCs w:val="24"/>
                <w:highlight w:val="yellow"/>
                <w:u w:val="single"/>
              </w:rPr>
              <w:t>kWh</w:t>
            </w:r>
            <w:r>
              <w:rPr>
                <w:rFonts w:hint="eastAsia" w:ascii="仿宋" w:hAnsi="仿宋" w:eastAsia="仿宋" w:cs="仿宋"/>
                <w:i/>
                <w:iCs/>
                <w:kern w:val="2"/>
                <w:sz w:val="24"/>
                <w:szCs w:val="24"/>
                <w:highlight w:val="none"/>
                <w:u w:val="single"/>
              </w:rPr>
              <w:t>储能系统减少对医院电网波动影响。</w:t>
            </w:r>
          </w:p>
        </w:tc>
        <w:tc>
          <w:tcPr>
            <w:tcW w:w="1018" w:type="dxa"/>
            <w:vAlign w:val="center"/>
          </w:tcPr>
          <w:p w14:paraId="07B1B430">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必选项</w:t>
            </w:r>
          </w:p>
        </w:tc>
      </w:tr>
      <w:tr w14:paraId="10E6D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restart"/>
            <w:vAlign w:val="center"/>
          </w:tcPr>
          <w:p w14:paraId="213BF351">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信息智慧平台</w:t>
            </w:r>
          </w:p>
        </w:tc>
        <w:tc>
          <w:tcPr>
            <w:tcW w:w="702" w:type="dxa"/>
            <w:vAlign w:val="center"/>
          </w:tcPr>
          <w:p w14:paraId="4FC6D8F6">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8</w:t>
            </w:r>
          </w:p>
        </w:tc>
        <w:tc>
          <w:tcPr>
            <w:tcW w:w="1287" w:type="dxa"/>
            <w:vAlign w:val="center"/>
          </w:tcPr>
          <w:p w14:paraId="049E902E">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能源管理平台</w:t>
            </w:r>
          </w:p>
        </w:tc>
        <w:tc>
          <w:tcPr>
            <w:tcW w:w="1222" w:type="dxa"/>
            <w:vAlign w:val="center"/>
          </w:tcPr>
          <w:p w14:paraId="40C905F6">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文昌路院区</w:t>
            </w:r>
          </w:p>
        </w:tc>
        <w:tc>
          <w:tcPr>
            <w:tcW w:w="905" w:type="dxa"/>
            <w:vAlign w:val="center"/>
          </w:tcPr>
          <w:p w14:paraId="5920BEE2">
            <w:pPr>
              <w:spacing w:line="400" w:lineRule="exact"/>
              <w:rPr>
                <w:rFonts w:hint="eastAsia" w:ascii="仿宋" w:hAnsi="仿宋" w:eastAsia="仿宋" w:cs="仿宋"/>
                <w:kern w:val="2"/>
                <w:sz w:val="24"/>
                <w:szCs w:val="24"/>
                <w:highlight w:val="none"/>
              </w:rPr>
            </w:pPr>
          </w:p>
        </w:tc>
        <w:tc>
          <w:tcPr>
            <w:tcW w:w="3108" w:type="dxa"/>
            <w:vAlign w:val="center"/>
          </w:tcPr>
          <w:p w14:paraId="1D26959F">
            <w:pPr>
              <w:spacing w:line="400" w:lineRule="exact"/>
              <w:rPr>
                <w:rFonts w:hint="eastAsia" w:ascii="仿宋" w:hAnsi="仿宋" w:eastAsia="仿宋" w:cs="仿宋"/>
                <w:i/>
                <w:iCs/>
                <w:kern w:val="2"/>
                <w:sz w:val="24"/>
                <w:szCs w:val="24"/>
                <w:highlight w:val="none"/>
                <w:u w:val="single"/>
              </w:rPr>
            </w:pPr>
            <w:r>
              <w:rPr>
                <w:rFonts w:hint="eastAsia" w:ascii="仿宋" w:hAnsi="仿宋" w:eastAsia="仿宋" w:cs="仿宋"/>
                <w:i/>
                <w:iCs/>
                <w:kern w:val="2"/>
                <w:sz w:val="24"/>
                <w:szCs w:val="24"/>
                <w:highlight w:val="none"/>
                <w:u w:val="single"/>
              </w:rPr>
              <w:t>①对电、水、汽、冷、热等所有能耗资源进行全方位、分级分项、高精度实时在线监测与数据采集。电能监测需实现分楼栋、分楼层、分业态计量功能；水系统监测需实现分楼栋计量功能；蒸汽监测需实现分使用区域计量功能。</w:t>
            </w:r>
          </w:p>
        </w:tc>
        <w:tc>
          <w:tcPr>
            <w:tcW w:w="1018" w:type="dxa"/>
            <w:vAlign w:val="center"/>
          </w:tcPr>
          <w:p w14:paraId="11A399D0">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必选项</w:t>
            </w:r>
          </w:p>
        </w:tc>
      </w:tr>
      <w:tr w14:paraId="50D0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continue"/>
            <w:vAlign w:val="center"/>
          </w:tcPr>
          <w:p w14:paraId="478846A8">
            <w:pPr>
              <w:spacing w:line="400" w:lineRule="exact"/>
              <w:rPr>
                <w:rFonts w:hint="eastAsia" w:ascii="仿宋" w:hAnsi="仿宋" w:eastAsia="仿宋" w:cs="仿宋"/>
                <w:kern w:val="2"/>
                <w:sz w:val="24"/>
                <w:szCs w:val="24"/>
                <w:highlight w:val="none"/>
              </w:rPr>
            </w:pPr>
          </w:p>
        </w:tc>
        <w:tc>
          <w:tcPr>
            <w:tcW w:w="702" w:type="dxa"/>
            <w:vAlign w:val="center"/>
          </w:tcPr>
          <w:p w14:paraId="66E56F22">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9</w:t>
            </w:r>
          </w:p>
        </w:tc>
        <w:tc>
          <w:tcPr>
            <w:tcW w:w="1287" w:type="dxa"/>
            <w:vAlign w:val="center"/>
          </w:tcPr>
          <w:p w14:paraId="0A87F9ED">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后勤运维安全</w:t>
            </w:r>
          </w:p>
        </w:tc>
        <w:tc>
          <w:tcPr>
            <w:tcW w:w="1222" w:type="dxa"/>
            <w:vAlign w:val="center"/>
          </w:tcPr>
          <w:p w14:paraId="79F2DF95">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文昌路院区</w:t>
            </w:r>
          </w:p>
        </w:tc>
        <w:tc>
          <w:tcPr>
            <w:tcW w:w="905" w:type="dxa"/>
            <w:vAlign w:val="center"/>
          </w:tcPr>
          <w:p w14:paraId="4393DD76">
            <w:pPr>
              <w:spacing w:line="400" w:lineRule="exact"/>
              <w:rPr>
                <w:rFonts w:hint="eastAsia" w:ascii="仿宋" w:hAnsi="仿宋" w:eastAsia="仿宋" w:cs="仿宋"/>
                <w:kern w:val="2"/>
                <w:sz w:val="24"/>
                <w:szCs w:val="24"/>
                <w:highlight w:val="none"/>
              </w:rPr>
            </w:pPr>
          </w:p>
        </w:tc>
        <w:tc>
          <w:tcPr>
            <w:tcW w:w="3108" w:type="dxa"/>
            <w:vAlign w:val="center"/>
          </w:tcPr>
          <w:p w14:paraId="6880202D">
            <w:pPr>
              <w:spacing w:line="400" w:lineRule="exact"/>
              <w:rPr>
                <w:rFonts w:hint="eastAsia" w:ascii="仿宋" w:hAnsi="仿宋" w:eastAsia="仿宋" w:cs="仿宋"/>
                <w:i/>
                <w:iCs/>
                <w:kern w:val="2"/>
                <w:sz w:val="24"/>
                <w:szCs w:val="24"/>
                <w:highlight w:val="none"/>
                <w:u w:val="single"/>
              </w:rPr>
            </w:pPr>
            <w:r>
              <w:rPr>
                <w:rFonts w:hint="eastAsia" w:ascii="仿宋" w:hAnsi="仿宋" w:eastAsia="仿宋" w:cs="仿宋"/>
                <w:i/>
                <w:iCs/>
                <w:kern w:val="2"/>
                <w:sz w:val="24"/>
                <w:szCs w:val="24"/>
                <w:highlight w:val="none"/>
                <w:u w:val="single"/>
              </w:rPr>
              <w:t>①在院方指定位置搭建智慧后勤平台运营中心，负责相关平台的搭建，基本网络设备、服务器和显示器的建设，接入能源管理平台和建设的各控制监管系统；</w:t>
            </w:r>
          </w:p>
          <w:p w14:paraId="7497334E">
            <w:pPr>
              <w:spacing w:line="400" w:lineRule="exact"/>
              <w:rPr>
                <w:rFonts w:hint="eastAsia" w:ascii="仿宋" w:hAnsi="仿宋" w:eastAsia="仿宋" w:cs="仿宋"/>
                <w:i/>
                <w:iCs/>
                <w:kern w:val="2"/>
                <w:sz w:val="24"/>
                <w:szCs w:val="24"/>
                <w:highlight w:val="none"/>
                <w:u w:val="single"/>
              </w:rPr>
            </w:pPr>
            <w:r>
              <w:rPr>
                <w:rFonts w:hint="eastAsia" w:ascii="仿宋" w:hAnsi="仿宋" w:eastAsia="仿宋" w:cs="仿宋"/>
                <w:i/>
                <w:iCs/>
                <w:kern w:val="2"/>
                <w:sz w:val="24"/>
                <w:szCs w:val="24"/>
                <w:highlight w:val="none"/>
                <w:u w:val="single"/>
              </w:rPr>
              <w:t>②与文昌路院区现有各控制系统和检测系统点位进行对接；</w:t>
            </w:r>
          </w:p>
          <w:p w14:paraId="094055A7">
            <w:pPr>
              <w:spacing w:line="400" w:lineRule="exact"/>
              <w:rPr>
                <w:rFonts w:hint="eastAsia" w:ascii="仿宋" w:hAnsi="仿宋" w:eastAsia="仿宋" w:cs="仿宋"/>
                <w:kern w:val="2"/>
                <w:sz w:val="24"/>
                <w:szCs w:val="24"/>
                <w:highlight w:val="none"/>
              </w:rPr>
            </w:pPr>
            <w:r>
              <w:rPr>
                <w:rFonts w:hint="eastAsia" w:ascii="仿宋" w:hAnsi="仿宋" w:eastAsia="仿宋" w:cs="仿宋"/>
                <w:i/>
                <w:iCs/>
                <w:kern w:val="2"/>
                <w:sz w:val="24"/>
                <w:szCs w:val="24"/>
                <w:highlight w:val="none"/>
                <w:u w:val="single"/>
              </w:rPr>
              <w:t>③接入真州路院区建设的智慧后勤平台系统。</w:t>
            </w:r>
          </w:p>
        </w:tc>
        <w:tc>
          <w:tcPr>
            <w:tcW w:w="1018" w:type="dxa"/>
            <w:vAlign w:val="center"/>
          </w:tcPr>
          <w:p w14:paraId="1BDA1B4B">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必选项</w:t>
            </w:r>
          </w:p>
        </w:tc>
      </w:tr>
      <w:tr w14:paraId="002AC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Align w:val="center"/>
          </w:tcPr>
          <w:p w14:paraId="2FCF1735">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运维保障</w:t>
            </w:r>
          </w:p>
        </w:tc>
        <w:tc>
          <w:tcPr>
            <w:tcW w:w="702" w:type="dxa"/>
            <w:vAlign w:val="center"/>
          </w:tcPr>
          <w:p w14:paraId="024C0179">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10</w:t>
            </w:r>
          </w:p>
        </w:tc>
        <w:tc>
          <w:tcPr>
            <w:tcW w:w="1287" w:type="dxa"/>
            <w:vAlign w:val="center"/>
          </w:tcPr>
          <w:p w14:paraId="718AF0BC">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综合能源服务（十年）</w:t>
            </w:r>
          </w:p>
        </w:tc>
        <w:tc>
          <w:tcPr>
            <w:tcW w:w="1222" w:type="dxa"/>
            <w:vAlign w:val="center"/>
          </w:tcPr>
          <w:p w14:paraId="5D3D4E4D">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文昌路院区</w:t>
            </w:r>
          </w:p>
        </w:tc>
        <w:tc>
          <w:tcPr>
            <w:tcW w:w="905" w:type="dxa"/>
            <w:vAlign w:val="center"/>
          </w:tcPr>
          <w:p w14:paraId="1408E332">
            <w:pPr>
              <w:spacing w:line="400" w:lineRule="exact"/>
              <w:rPr>
                <w:rFonts w:hint="eastAsia" w:ascii="仿宋" w:hAnsi="仿宋" w:eastAsia="仿宋" w:cs="仿宋"/>
                <w:kern w:val="2"/>
                <w:sz w:val="24"/>
                <w:szCs w:val="24"/>
                <w:highlight w:val="none"/>
              </w:rPr>
            </w:pPr>
          </w:p>
        </w:tc>
        <w:tc>
          <w:tcPr>
            <w:tcW w:w="3108" w:type="dxa"/>
            <w:vAlign w:val="center"/>
          </w:tcPr>
          <w:p w14:paraId="73E7779B">
            <w:pPr>
              <w:spacing w:line="400" w:lineRule="exact"/>
              <w:rPr>
                <w:rFonts w:hint="eastAsia" w:ascii="仿宋" w:hAnsi="仿宋" w:eastAsia="仿宋" w:cs="仿宋"/>
                <w:i/>
                <w:iCs/>
                <w:kern w:val="2"/>
                <w:sz w:val="24"/>
                <w:szCs w:val="24"/>
                <w:highlight w:val="none"/>
                <w:u w:val="single"/>
              </w:rPr>
            </w:pPr>
            <w:r>
              <w:rPr>
                <w:rFonts w:hint="eastAsia" w:ascii="仿宋" w:hAnsi="仿宋" w:eastAsia="仿宋" w:cs="仿宋"/>
                <w:i/>
                <w:iCs/>
                <w:kern w:val="2"/>
                <w:sz w:val="24"/>
                <w:szCs w:val="24"/>
                <w:highlight w:val="none"/>
                <w:u w:val="single"/>
              </w:rPr>
              <w:t>①</w:t>
            </w:r>
            <w:r>
              <w:rPr>
                <w:rFonts w:hint="eastAsia" w:ascii="仿宋" w:hAnsi="仿宋" w:eastAsia="仿宋" w:cs="仿宋"/>
                <w:i/>
                <w:iCs/>
                <w:kern w:val="2"/>
                <w:sz w:val="24"/>
                <w:szCs w:val="24"/>
                <w:highlight w:val="none"/>
                <w:u w:val="single"/>
                <w:lang w:eastAsia="zh-CN"/>
              </w:rPr>
              <w:t>投标人</w:t>
            </w:r>
            <w:r>
              <w:rPr>
                <w:rFonts w:hint="eastAsia" w:ascii="仿宋" w:hAnsi="仿宋" w:eastAsia="仿宋" w:cs="仿宋"/>
                <w:i/>
                <w:iCs/>
                <w:kern w:val="2"/>
                <w:sz w:val="24"/>
                <w:szCs w:val="24"/>
                <w:highlight w:val="none"/>
                <w:u w:val="single"/>
              </w:rPr>
              <w:t>结算全院水费、电费、蒸汽费用；</w:t>
            </w:r>
          </w:p>
          <w:p w14:paraId="626EF4BB">
            <w:pPr>
              <w:spacing w:line="400" w:lineRule="exact"/>
              <w:rPr>
                <w:rFonts w:hint="eastAsia" w:ascii="仿宋" w:hAnsi="仿宋" w:eastAsia="仿宋" w:cs="仿宋"/>
                <w:i/>
                <w:iCs/>
                <w:kern w:val="2"/>
                <w:sz w:val="24"/>
                <w:szCs w:val="24"/>
                <w:highlight w:val="none"/>
                <w:u w:val="single"/>
              </w:rPr>
            </w:pPr>
            <w:r>
              <w:rPr>
                <w:rFonts w:hint="eastAsia" w:ascii="仿宋" w:hAnsi="仿宋" w:eastAsia="仿宋" w:cs="仿宋"/>
                <w:i/>
                <w:iCs/>
                <w:kern w:val="2"/>
                <w:sz w:val="24"/>
                <w:szCs w:val="24"/>
                <w:highlight w:val="none"/>
                <w:u w:val="single"/>
              </w:rPr>
              <w:t>②</w:t>
            </w:r>
            <w:r>
              <w:rPr>
                <w:rFonts w:hint="eastAsia" w:ascii="仿宋" w:hAnsi="仿宋" w:eastAsia="仿宋" w:cs="仿宋"/>
                <w:i/>
                <w:iCs/>
                <w:kern w:val="2"/>
                <w:sz w:val="24"/>
                <w:szCs w:val="24"/>
                <w:highlight w:val="none"/>
                <w:u w:val="single"/>
                <w:lang w:eastAsia="zh-CN"/>
              </w:rPr>
              <w:t>投标人</w:t>
            </w:r>
            <w:r>
              <w:rPr>
                <w:rFonts w:hint="eastAsia" w:ascii="仿宋" w:hAnsi="仿宋" w:eastAsia="仿宋" w:cs="仿宋"/>
                <w:i/>
                <w:iCs/>
                <w:kern w:val="2"/>
                <w:sz w:val="24"/>
                <w:szCs w:val="24"/>
                <w:highlight w:val="none"/>
                <w:u w:val="single"/>
              </w:rPr>
              <w:t>负责10年内改造设备的维保；</w:t>
            </w:r>
          </w:p>
        </w:tc>
        <w:tc>
          <w:tcPr>
            <w:tcW w:w="1018" w:type="dxa"/>
            <w:vAlign w:val="center"/>
          </w:tcPr>
          <w:p w14:paraId="43B25FDC">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必选项</w:t>
            </w:r>
          </w:p>
        </w:tc>
      </w:tr>
      <w:tr w14:paraId="44A7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Align w:val="center"/>
          </w:tcPr>
          <w:p w14:paraId="3545D15E">
            <w:pPr>
              <w:spacing w:line="400" w:lineRule="exact"/>
              <w:rPr>
                <w:rFonts w:hint="eastAsia" w:ascii="仿宋" w:hAnsi="仿宋" w:eastAsia="仿宋" w:cs="仿宋"/>
                <w:kern w:val="2"/>
                <w:sz w:val="24"/>
                <w:szCs w:val="24"/>
                <w:highlight w:val="none"/>
              </w:rPr>
            </w:pPr>
          </w:p>
        </w:tc>
        <w:tc>
          <w:tcPr>
            <w:tcW w:w="702" w:type="dxa"/>
            <w:vAlign w:val="center"/>
          </w:tcPr>
          <w:p w14:paraId="0AB9ACCE">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11</w:t>
            </w:r>
          </w:p>
        </w:tc>
        <w:tc>
          <w:tcPr>
            <w:tcW w:w="1287" w:type="dxa"/>
            <w:vAlign w:val="center"/>
          </w:tcPr>
          <w:p w14:paraId="47CF1080">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撤场要求</w:t>
            </w:r>
          </w:p>
        </w:tc>
        <w:tc>
          <w:tcPr>
            <w:tcW w:w="1222" w:type="dxa"/>
            <w:vAlign w:val="center"/>
          </w:tcPr>
          <w:p w14:paraId="5C9AD6BC">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文昌路院区</w:t>
            </w:r>
          </w:p>
        </w:tc>
        <w:tc>
          <w:tcPr>
            <w:tcW w:w="905" w:type="dxa"/>
            <w:vAlign w:val="center"/>
          </w:tcPr>
          <w:p w14:paraId="0583747D">
            <w:pPr>
              <w:spacing w:line="400" w:lineRule="exact"/>
              <w:rPr>
                <w:rFonts w:hint="eastAsia" w:ascii="仿宋" w:hAnsi="仿宋" w:eastAsia="仿宋" w:cs="仿宋"/>
                <w:kern w:val="2"/>
                <w:sz w:val="24"/>
                <w:szCs w:val="24"/>
                <w:highlight w:val="none"/>
              </w:rPr>
            </w:pPr>
          </w:p>
        </w:tc>
        <w:tc>
          <w:tcPr>
            <w:tcW w:w="3108" w:type="dxa"/>
            <w:vAlign w:val="center"/>
          </w:tcPr>
          <w:p w14:paraId="157594AB">
            <w:pPr>
              <w:spacing w:line="400" w:lineRule="exact"/>
              <w:rPr>
                <w:rFonts w:hint="eastAsia" w:ascii="仿宋" w:hAnsi="仿宋" w:eastAsia="仿宋" w:cs="仿宋"/>
                <w:i/>
                <w:iCs/>
                <w:kern w:val="2"/>
                <w:sz w:val="24"/>
                <w:szCs w:val="24"/>
                <w:highlight w:val="none"/>
                <w:u w:val="single"/>
              </w:rPr>
            </w:pPr>
            <w:r>
              <w:rPr>
                <w:rFonts w:hint="eastAsia" w:ascii="仿宋" w:hAnsi="仿宋" w:eastAsia="仿宋" w:cs="仿宋"/>
                <w:i/>
                <w:iCs/>
                <w:kern w:val="2"/>
                <w:sz w:val="24"/>
                <w:szCs w:val="24"/>
                <w:highlight w:val="none"/>
                <w:u w:val="single"/>
              </w:rPr>
              <w:t>移交前需确保投入设备正常运行且现状良好</w:t>
            </w:r>
          </w:p>
        </w:tc>
        <w:tc>
          <w:tcPr>
            <w:tcW w:w="1018" w:type="dxa"/>
            <w:vAlign w:val="center"/>
          </w:tcPr>
          <w:p w14:paraId="4DFBDF1D">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必选项</w:t>
            </w:r>
          </w:p>
        </w:tc>
      </w:tr>
      <w:tr w14:paraId="17AC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Align w:val="center"/>
          </w:tcPr>
          <w:p w14:paraId="00AA1017">
            <w:pPr>
              <w:spacing w:line="400" w:lineRule="exact"/>
              <w:rPr>
                <w:rFonts w:hint="eastAsia" w:ascii="仿宋" w:hAnsi="仿宋" w:eastAsia="仿宋" w:cs="仿宋"/>
                <w:kern w:val="2"/>
                <w:sz w:val="24"/>
                <w:szCs w:val="24"/>
                <w:highlight w:val="none"/>
              </w:rPr>
            </w:pPr>
          </w:p>
        </w:tc>
        <w:tc>
          <w:tcPr>
            <w:tcW w:w="702" w:type="dxa"/>
            <w:vAlign w:val="center"/>
          </w:tcPr>
          <w:p w14:paraId="6B251B03">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12</w:t>
            </w:r>
          </w:p>
        </w:tc>
        <w:tc>
          <w:tcPr>
            <w:tcW w:w="1287" w:type="dxa"/>
            <w:vAlign w:val="center"/>
          </w:tcPr>
          <w:p w14:paraId="6D741929">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能源审计</w:t>
            </w:r>
          </w:p>
        </w:tc>
        <w:tc>
          <w:tcPr>
            <w:tcW w:w="1222" w:type="dxa"/>
            <w:vAlign w:val="center"/>
          </w:tcPr>
          <w:p w14:paraId="408DD82C">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文昌路院区</w:t>
            </w:r>
          </w:p>
        </w:tc>
        <w:tc>
          <w:tcPr>
            <w:tcW w:w="905" w:type="dxa"/>
            <w:vAlign w:val="center"/>
          </w:tcPr>
          <w:p w14:paraId="2EF9EB73">
            <w:pPr>
              <w:spacing w:line="400" w:lineRule="exact"/>
              <w:rPr>
                <w:rFonts w:hint="eastAsia" w:ascii="仿宋" w:hAnsi="仿宋" w:eastAsia="仿宋" w:cs="仿宋"/>
                <w:kern w:val="2"/>
                <w:sz w:val="24"/>
                <w:szCs w:val="24"/>
                <w:highlight w:val="none"/>
              </w:rPr>
            </w:pPr>
          </w:p>
        </w:tc>
        <w:tc>
          <w:tcPr>
            <w:tcW w:w="3108" w:type="dxa"/>
            <w:vAlign w:val="center"/>
          </w:tcPr>
          <w:p w14:paraId="1EA2255D">
            <w:pPr>
              <w:spacing w:line="400" w:lineRule="exact"/>
              <w:rPr>
                <w:rFonts w:hint="eastAsia" w:ascii="仿宋" w:hAnsi="仿宋" w:eastAsia="仿宋" w:cs="仿宋"/>
                <w:kern w:val="2"/>
                <w:sz w:val="24"/>
                <w:szCs w:val="24"/>
                <w:highlight w:val="none"/>
              </w:rPr>
            </w:pPr>
            <w:r>
              <w:rPr>
                <w:rFonts w:hint="eastAsia" w:ascii="仿宋" w:hAnsi="仿宋" w:eastAsia="仿宋" w:cs="仿宋"/>
                <w:i/>
                <w:iCs/>
                <w:kern w:val="2"/>
                <w:sz w:val="24"/>
                <w:szCs w:val="24"/>
                <w:highlight w:val="none"/>
                <w:u w:val="single"/>
                <w:lang w:eastAsia="zh-CN"/>
              </w:rPr>
              <w:t>投标人</w:t>
            </w:r>
            <w:r>
              <w:rPr>
                <w:rFonts w:hint="eastAsia" w:ascii="仿宋" w:hAnsi="仿宋" w:eastAsia="仿宋" w:cs="仿宋"/>
                <w:i/>
                <w:iCs/>
                <w:kern w:val="2"/>
                <w:sz w:val="24"/>
                <w:szCs w:val="24"/>
                <w:highlight w:val="none"/>
                <w:u w:val="single"/>
              </w:rPr>
              <w:t>须承担前期能源改造方案专家咨询服务费和前期能耗基准测算审计费（合计约5.12万元，由</w:t>
            </w:r>
            <w:r>
              <w:rPr>
                <w:rFonts w:hint="eastAsia" w:ascii="仿宋" w:hAnsi="仿宋" w:eastAsia="仿宋" w:cs="仿宋"/>
                <w:i/>
                <w:iCs/>
                <w:kern w:val="2"/>
                <w:sz w:val="24"/>
                <w:szCs w:val="24"/>
                <w:highlight w:val="none"/>
                <w:u w:val="single"/>
                <w:lang w:val="en-US" w:eastAsia="zh-CN"/>
              </w:rPr>
              <w:t>中标人</w:t>
            </w:r>
            <w:r>
              <w:rPr>
                <w:rFonts w:hint="eastAsia" w:ascii="仿宋" w:hAnsi="仿宋" w:eastAsia="仿宋" w:cs="仿宋"/>
                <w:i/>
                <w:iCs/>
                <w:kern w:val="2"/>
                <w:sz w:val="24"/>
                <w:szCs w:val="24"/>
                <w:highlight w:val="none"/>
                <w:u w:val="single"/>
              </w:rPr>
              <w:t>支付，从首年能源服务费扣除）、改造完成后能源审计（改造后节能效果评估及设备投入审计）费、托管期结束前能源审计费（结束前能源审计及设备完好率评估），共三次审计费。</w:t>
            </w:r>
          </w:p>
        </w:tc>
        <w:tc>
          <w:tcPr>
            <w:tcW w:w="1018" w:type="dxa"/>
            <w:vAlign w:val="center"/>
          </w:tcPr>
          <w:p w14:paraId="04BDBEE8">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必选项</w:t>
            </w:r>
          </w:p>
        </w:tc>
      </w:tr>
      <w:tr w14:paraId="4368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Align w:val="center"/>
          </w:tcPr>
          <w:p w14:paraId="557CA5E2">
            <w:pPr>
              <w:spacing w:line="400" w:lineRule="exact"/>
              <w:rPr>
                <w:rFonts w:hint="eastAsia" w:ascii="仿宋" w:hAnsi="仿宋" w:eastAsia="仿宋" w:cs="仿宋"/>
                <w:sz w:val="24"/>
                <w:szCs w:val="24"/>
                <w:highlight w:val="none"/>
              </w:rPr>
            </w:pPr>
          </w:p>
        </w:tc>
        <w:tc>
          <w:tcPr>
            <w:tcW w:w="702" w:type="dxa"/>
            <w:vAlign w:val="center"/>
          </w:tcPr>
          <w:p w14:paraId="5EDB7A91">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13</w:t>
            </w:r>
          </w:p>
        </w:tc>
        <w:tc>
          <w:tcPr>
            <w:tcW w:w="1287" w:type="dxa"/>
            <w:vAlign w:val="center"/>
          </w:tcPr>
          <w:p w14:paraId="5C083A04">
            <w:pPr>
              <w:spacing w:line="400" w:lineRule="exact"/>
              <w:rPr>
                <w:rFonts w:hint="eastAsia" w:ascii="仿宋" w:hAnsi="仿宋" w:cs="仿宋" w:eastAsiaTheme="minorEastAsia"/>
                <w:kern w:val="2"/>
                <w:sz w:val="24"/>
                <w:szCs w:val="24"/>
                <w:highlight w:val="none"/>
                <w:lang w:eastAsia="zh-CN"/>
              </w:rPr>
            </w:pPr>
            <w:r>
              <w:rPr>
                <w:rFonts w:hint="eastAsia" w:ascii="仿宋" w:hAnsi="仿宋" w:eastAsia="仿宋" w:cs="仿宋"/>
                <w:kern w:val="2"/>
                <w:highlight w:val="yellow"/>
                <w:lang w:eastAsia="zh-CN"/>
              </w:rPr>
              <w:t>节费率</w:t>
            </w:r>
          </w:p>
        </w:tc>
        <w:tc>
          <w:tcPr>
            <w:tcW w:w="1222" w:type="dxa"/>
            <w:vAlign w:val="center"/>
          </w:tcPr>
          <w:p w14:paraId="733A2DD5">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文昌路院区</w:t>
            </w:r>
          </w:p>
        </w:tc>
        <w:tc>
          <w:tcPr>
            <w:tcW w:w="905" w:type="dxa"/>
            <w:vAlign w:val="center"/>
          </w:tcPr>
          <w:p w14:paraId="0589125A">
            <w:pPr>
              <w:spacing w:line="400" w:lineRule="exact"/>
              <w:rPr>
                <w:rFonts w:hint="eastAsia" w:ascii="仿宋" w:hAnsi="仿宋" w:eastAsia="仿宋" w:cs="仿宋"/>
                <w:kern w:val="2"/>
                <w:sz w:val="24"/>
                <w:szCs w:val="24"/>
                <w:highlight w:val="none"/>
              </w:rPr>
            </w:pPr>
          </w:p>
        </w:tc>
        <w:tc>
          <w:tcPr>
            <w:tcW w:w="3108" w:type="dxa"/>
            <w:vAlign w:val="center"/>
          </w:tcPr>
          <w:p w14:paraId="249DE3EC">
            <w:pPr>
              <w:spacing w:line="400" w:lineRule="exact"/>
              <w:rPr>
                <w:rFonts w:hint="eastAsia" w:ascii="仿宋" w:hAnsi="仿宋" w:eastAsia="仿宋" w:cs="仿宋"/>
                <w:b/>
                <w:bCs/>
                <w:i/>
                <w:iCs/>
                <w:kern w:val="2"/>
                <w:sz w:val="24"/>
                <w:szCs w:val="24"/>
                <w:highlight w:val="none"/>
                <w:u w:val="single"/>
              </w:rPr>
            </w:pPr>
            <w:r>
              <w:rPr>
                <w:rFonts w:hint="eastAsia" w:ascii="仿宋" w:hAnsi="仿宋" w:eastAsia="仿宋" w:cs="仿宋"/>
                <w:b/>
                <w:bCs/>
                <w:i/>
                <w:iCs/>
                <w:kern w:val="2"/>
                <w:sz w:val="24"/>
                <w:szCs w:val="24"/>
                <w:highlight w:val="none"/>
                <w:u w:val="single"/>
              </w:rPr>
              <w:t>在托管期间内，年</w:t>
            </w:r>
            <w:r>
              <w:rPr>
                <w:rFonts w:hint="eastAsia" w:ascii="仿宋" w:hAnsi="仿宋" w:eastAsia="仿宋" w:cs="仿宋"/>
                <w:b/>
                <w:bCs/>
                <w:i/>
                <w:iCs/>
                <w:kern w:val="2"/>
                <w:highlight w:val="yellow"/>
                <w:u w:val="single"/>
                <w:lang w:eastAsia="zh-CN"/>
              </w:rPr>
              <w:t>节费率</w:t>
            </w:r>
            <w:r>
              <w:rPr>
                <w:rFonts w:hint="eastAsia" w:ascii="仿宋" w:hAnsi="仿宋" w:eastAsia="仿宋" w:cs="仿宋"/>
                <w:b/>
                <w:bCs/>
                <w:i/>
                <w:iCs/>
                <w:kern w:val="2"/>
                <w:sz w:val="24"/>
                <w:szCs w:val="24"/>
                <w:highlight w:val="none"/>
                <w:u w:val="single"/>
              </w:rPr>
              <w:t>不低于11%，须提供承诺函并加盖公章。</w:t>
            </w:r>
          </w:p>
          <w:p w14:paraId="450B8F3B">
            <w:pPr>
              <w:spacing w:line="400" w:lineRule="exact"/>
              <w:rPr>
                <w:rFonts w:hint="eastAsia" w:ascii="仿宋" w:hAnsi="仿宋" w:eastAsia="仿宋" w:cs="仿宋"/>
                <w:i/>
                <w:iCs/>
                <w:kern w:val="2"/>
                <w:highlight w:val="yellow"/>
                <w:u w:val="single"/>
              </w:rPr>
            </w:pPr>
            <w:r>
              <w:rPr>
                <w:rFonts w:hint="eastAsia" w:ascii="仿宋" w:hAnsi="仿宋" w:eastAsia="仿宋" w:cs="仿宋"/>
                <w:i/>
                <w:iCs/>
                <w:kern w:val="2"/>
                <w:highlight w:val="yellow"/>
                <w:u w:val="single"/>
              </w:rPr>
              <w:t>节费率：节费率=（能源基准值+边界调整值-实际发生的能源费用）/（能源基准值+边界调整值）。</w:t>
            </w:r>
          </w:p>
          <w:p w14:paraId="5EECFDE5">
            <w:pPr>
              <w:spacing w:line="400" w:lineRule="exact"/>
              <w:rPr>
                <w:rFonts w:hint="eastAsia" w:ascii="仿宋" w:hAnsi="仿宋" w:eastAsia="仿宋" w:cs="仿宋"/>
                <w:i/>
                <w:iCs/>
                <w:kern w:val="2"/>
                <w:highlight w:val="yellow"/>
                <w:u w:val="single"/>
              </w:rPr>
            </w:pPr>
            <w:r>
              <w:rPr>
                <w:rFonts w:hint="eastAsia" w:ascii="仿宋" w:hAnsi="仿宋" w:eastAsia="仿宋" w:cs="仿宋"/>
                <w:i/>
                <w:iCs/>
                <w:kern w:val="2"/>
                <w:highlight w:val="yellow"/>
                <w:u w:val="single"/>
              </w:rPr>
              <w:t>能源基准值：在托管周期内，每个结算周期按基准能源用量与当期能源价格相乘后汇总确定。</w:t>
            </w:r>
          </w:p>
          <w:p w14:paraId="794EFC12">
            <w:pPr>
              <w:spacing w:line="400" w:lineRule="exact"/>
              <w:rPr>
                <w:rFonts w:hint="eastAsia" w:ascii="仿宋" w:hAnsi="仿宋" w:eastAsia="仿宋" w:cs="仿宋"/>
                <w:i/>
                <w:iCs/>
                <w:kern w:val="2"/>
                <w:highlight w:val="yellow"/>
                <w:u w:val="single"/>
              </w:rPr>
            </w:pPr>
            <w:r>
              <w:rPr>
                <w:rFonts w:hint="eastAsia" w:ascii="仿宋" w:hAnsi="仿宋" w:eastAsia="仿宋" w:cs="仿宋"/>
                <w:i/>
                <w:iCs/>
                <w:kern w:val="2"/>
                <w:highlight w:val="yellow"/>
                <w:u w:val="single"/>
              </w:rPr>
              <w:t>边界调整值：按边界外能源用量乘以当期能源价格按每个结算周期汇总确定。</w:t>
            </w:r>
          </w:p>
          <w:p w14:paraId="20962A22">
            <w:pPr>
              <w:spacing w:line="400" w:lineRule="exact"/>
              <w:rPr>
                <w:rFonts w:hint="eastAsia" w:ascii="仿宋" w:hAnsi="仿宋" w:eastAsia="仿宋" w:cs="仿宋"/>
                <w:kern w:val="2"/>
                <w:sz w:val="24"/>
                <w:szCs w:val="24"/>
                <w:highlight w:val="none"/>
              </w:rPr>
            </w:pPr>
            <w:r>
              <w:rPr>
                <w:rFonts w:hint="eastAsia" w:ascii="仿宋" w:hAnsi="仿宋" w:eastAsia="仿宋" w:cs="仿宋"/>
                <w:i/>
                <w:iCs/>
                <w:kern w:val="2"/>
                <w:highlight w:val="yellow"/>
                <w:u w:val="single"/>
              </w:rPr>
              <w:t>实际发生的能源费用：在托管周期内，结算周期内的实际用量（不含边界外用量）与当期能源价格相乘后汇总确定。</w:t>
            </w:r>
          </w:p>
        </w:tc>
        <w:tc>
          <w:tcPr>
            <w:tcW w:w="1018" w:type="dxa"/>
            <w:vAlign w:val="center"/>
          </w:tcPr>
          <w:p w14:paraId="1A547590">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必选项</w:t>
            </w:r>
          </w:p>
        </w:tc>
      </w:tr>
      <w:tr w14:paraId="2396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Align w:val="center"/>
          </w:tcPr>
          <w:p w14:paraId="2226DB1E">
            <w:pPr>
              <w:spacing w:line="400" w:lineRule="exact"/>
              <w:rPr>
                <w:rFonts w:hint="eastAsia" w:ascii="仿宋" w:hAnsi="仿宋" w:eastAsia="仿宋" w:cs="仿宋"/>
                <w:sz w:val="24"/>
                <w:szCs w:val="24"/>
                <w:highlight w:val="none"/>
              </w:rPr>
            </w:pPr>
          </w:p>
        </w:tc>
        <w:tc>
          <w:tcPr>
            <w:tcW w:w="702" w:type="dxa"/>
            <w:vAlign w:val="center"/>
          </w:tcPr>
          <w:p w14:paraId="5CA49532">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14</w:t>
            </w:r>
          </w:p>
        </w:tc>
        <w:tc>
          <w:tcPr>
            <w:tcW w:w="1287" w:type="dxa"/>
            <w:vAlign w:val="center"/>
          </w:tcPr>
          <w:p w14:paraId="3086BD15">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其它技改项目</w:t>
            </w:r>
          </w:p>
        </w:tc>
        <w:tc>
          <w:tcPr>
            <w:tcW w:w="1222" w:type="dxa"/>
            <w:vAlign w:val="center"/>
          </w:tcPr>
          <w:p w14:paraId="63E008F4">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文昌路院区</w:t>
            </w:r>
          </w:p>
        </w:tc>
        <w:tc>
          <w:tcPr>
            <w:tcW w:w="905" w:type="dxa"/>
            <w:vAlign w:val="center"/>
          </w:tcPr>
          <w:p w14:paraId="70DB4B71">
            <w:pPr>
              <w:spacing w:line="400" w:lineRule="exact"/>
              <w:rPr>
                <w:rFonts w:hint="eastAsia" w:ascii="仿宋" w:hAnsi="仿宋" w:eastAsia="仿宋" w:cs="仿宋"/>
                <w:kern w:val="2"/>
                <w:sz w:val="24"/>
                <w:szCs w:val="24"/>
                <w:highlight w:val="none"/>
              </w:rPr>
            </w:pPr>
          </w:p>
        </w:tc>
        <w:tc>
          <w:tcPr>
            <w:tcW w:w="3108" w:type="dxa"/>
            <w:vAlign w:val="center"/>
          </w:tcPr>
          <w:p w14:paraId="0AD83C09">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（投标人可根据自身方案自行添加服务内容）</w:t>
            </w:r>
          </w:p>
        </w:tc>
        <w:tc>
          <w:tcPr>
            <w:tcW w:w="1018" w:type="dxa"/>
            <w:vAlign w:val="center"/>
          </w:tcPr>
          <w:p w14:paraId="5CBBE004">
            <w:pPr>
              <w:spacing w:line="400" w:lineRule="exact"/>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可选项</w:t>
            </w:r>
          </w:p>
        </w:tc>
      </w:tr>
    </w:tbl>
    <w:p w14:paraId="4C573DA9">
      <w:pPr>
        <w:spacing w:line="360" w:lineRule="auto"/>
        <w:ind w:firstLine="422"/>
        <w:rPr>
          <w:rFonts w:hint="eastAsia" w:ascii="仿宋" w:hAnsi="仿宋" w:eastAsia="仿宋" w:cs="仿宋"/>
          <w:b/>
          <w:bCs/>
          <w:highlight w:val="none"/>
        </w:rPr>
      </w:pP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b/>
          <w:bCs/>
          <w:i/>
          <w:iCs/>
          <w:szCs w:val="24"/>
          <w:highlight w:val="none"/>
          <w:u w:val="single"/>
        </w:rPr>
        <w:t>节能改造项目表需在投标文件中提供是否响应的承诺。必选项为必须承诺响应，否则为无效投标。</w:t>
      </w:r>
    </w:p>
    <w:p w14:paraId="2BFBC44A">
      <w:pPr>
        <w:spacing w:line="360" w:lineRule="auto"/>
        <w:ind w:firstLine="422"/>
        <w:rPr>
          <w:rFonts w:hint="eastAsia" w:ascii="仿宋" w:hAnsi="仿宋" w:eastAsia="仿宋" w:cs="仿宋"/>
          <w:b/>
          <w:bCs/>
          <w:highlight w:val="none"/>
        </w:rPr>
      </w:pPr>
      <w:r>
        <w:rPr>
          <w:rFonts w:hint="eastAsia" w:ascii="仿宋" w:hAnsi="仿宋" w:eastAsia="仿宋" w:cs="仿宋"/>
          <w:b/>
          <w:bCs/>
          <w:highlight w:val="none"/>
        </w:rPr>
        <w:t>5.</w:t>
      </w:r>
      <w:r>
        <w:rPr>
          <w:rFonts w:hint="eastAsia" w:ascii="仿宋" w:hAnsi="仿宋" w:eastAsia="仿宋" w:cs="仿宋"/>
          <w:b/>
          <w:bCs/>
          <w:highlight w:val="none"/>
          <w:lang w:val="en-US" w:eastAsia="zh-CN"/>
        </w:rPr>
        <w:t>3</w:t>
      </w:r>
      <w:r>
        <w:rPr>
          <w:rFonts w:hint="eastAsia" w:ascii="仿宋" w:hAnsi="仿宋" w:eastAsia="仿宋" w:cs="仿宋"/>
          <w:b/>
          <w:bCs/>
          <w:highlight w:val="none"/>
        </w:rPr>
        <w:t xml:space="preserve"> 主要设备及材料要求</w:t>
      </w:r>
    </w:p>
    <w:tbl>
      <w:tblPr>
        <w:tblStyle w:val="38"/>
        <w:tblW w:w="4916"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843"/>
        <w:gridCol w:w="2084"/>
        <w:gridCol w:w="4224"/>
        <w:gridCol w:w="1757"/>
      </w:tblGrid>
      <w:tr w14:paraId="75F909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jc w:val="center"/>
        </w:trPr>
        <w:tc>
          <w:tcPr>
            <w:tcW w:w="473" w:type="pct"/>
            <w:tcBorders>
              <w:top w:val="single" w:color="000000" w:sz="8" w:space="0"/>
              <w:left w:val="single" w:color="000000" w:sz="8" w:space="0"/>
              <w:bottom w:val="single" w:color="000000" w:sz="8" w:space="0"/>
              <w:right w:val="single" w:color="000000" w:sz="8" w:space="0"/>
            </w:tcBorders>
            <w:vAlign w:val="center"/>
          </w:tcPr>
          <w:p w14:paraId="22FDBBCE">
            <w:pPr>
              <w:pStyle w:val="34"/>
              <w:spacing w:beforeAutospacing="0" w:afterAutospacing="0" w:line="360" w:lineRule="auto"/>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1169" w:type="pct"/>
            <w:tcBorders>
              <w:top w:val="single" w:color="000000" w:sz="8" w:space="0"/>
              <w:left w:val="single" w:color="000000" w:sz="8" w:space="0"/>
              <w:bottom w:val="single" w:color="000000" w:sz="8" w:space="0"/>
              <w:right w:val="single" w:color="000000" w:sz="8" w:space="0"/>
            </w:tcBorders>
            <w:vAlign w:val="center"/>
          </w:tcPr>
          <w:p w14:paraId="4AB3A08A">
            <w:pPr>
              <w:pStyle w:val="34"/>
              <w:spacing w:beforeAutospacing="0" w:afterAutospacing="0" w:line="360" w:lineRule="auto"/>
              <w:ind w:firstLine="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设备及元器件名称</w:t>
            </w:r>
          </w:p>
        </w:tc>
        <w:tc>
          <w:tcPr>
            <w:tcW w:w="2370" w:type="pct"/>
            <w:tcBorders>
              <w:top w:val="single" w:color="000000" w:sz="8" w:space="0"/>
              <w:left w:val="single" w:color="000000" w:sz="8" w:space="0"/>
              <w:bottom w:val="single" w:color="000000" w:sz="8" w:space="0"/>
              <w:right w:val="single" w:color="000000" w:sz="8" w:space="0"/>
            </w:tcBorders>
            <w:vAlign w:val="center"/>
          </w:tcPr>
          <w:p w14:paraId="0E87AF6B">
            <w:pPr>
              <w:pStyle w:val="34"/>
              <w:spacing w:beforeAutospacing="0" w:afterAutospacing="0" w:line="360" w:lineRule="auto"/>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主要设备及材料档次要求</w:t>
            </w:r>
          </w:p>
        </w:tc>
        <w:tc>
          <w:tcPr>
            <w:tcW w:w="986" w:type="pct"/>
            <w:tcBorders>
              <w:top w:val="single" w:color="000000" w:sz="8" w:space="0"/>
              <w:left w:val="single" w:color="000000" w:sz="8" w:space="0"/>
              <w:bottom w:val="single" w:color="000000" w:sz="8" w:space="0"/>
              <w:right w:val="single" w:color="000000" w:sz="8" w:space="0"/>
            </w:tcBorders>
            <w:vAlign w:val="center"/>
          </w:tcPr>
          <w:p w14:paraId="5E31D321">
            <w:pPr>
              <w:pStyle w:val="34"/>
              <w:spacing w:beforeAutospacing="0" w:afterAutospacing="0" w:line="360" w:lineRule="auto"/>
              <w:jc w:val="both"/>
              <w:rPr>
                <w:rFonts w:hint="eastAsia" w:ascii="仿宋" w:hAnsi="仿宋" w:eastAsia="仿宋" w:cs="仿宋"/>
                <w:b/>
                <w:bCs/>
                <w:sz w:val="24"/>
                <w:szCs w:val="24"/>
                <w:highlight w:val="none"/>
              </w:rPr>
            </w:pPr>
            <w:r>
              <w:rPr>
                <w:rFonts w:hint="eastAsia" w:ascii="仿宋" w:hAnsi="仿宋" w:eastAsia="仿宋" w:cs="仿宋"/>
                <w:b/>
                <w:bCs/>
                <w:szCs w:val="24"/>
                <w:highlight w:val="none"/>
              </w:rPr>
              <w:t>★</w:t>
            </w:r>
            <w:r>
              <w:rPr>
                <w:rFonts w:hint="eastAsia" w:ascii="仿宋" w:hAnsi="仿宋" w:eastAsia="仿宋" w:cs="仿宋"/>
                <w:b/>
                <w:bCs/>
                <w:sz w:val="24"/>
                <w:szCs w:val="24"/>
                <w:highlight w:val="none"/>
              </w:rPr>
              <w:t>备注</w:t>
            </w:r>
          </w:p>
        </w:tc>
      </w:tr>
      <w:tr w14:paraId="66C435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6" w:hRule="atLeast"/>
          <w:jc w:val="center"/>
        </w:trPr>
        <w:tc>
          <w:tcPr>
            <w:tcW w:w="473" w:type="pct"/>
            <w:tcBorders>
              <w:top w:val="single" w:color="000000" w:sz="8" w:space="0"/>
              <w:left w:val="single" w:color="000000" w:sz="8" w:space="0"/>
              <w:bottom w:val="single" w:color="000000" w:sz="8" w:space="0"/>
              <w:right w:val="single" w:color="000000" w:sz="8" w:space="0"/>
            </w:tcBorders>
            <w:vAlign w:val="center"/>
          </w:tcPr>
          <w:p w14:paraId="01E24A16">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1169" w:type="pct"/>
            <w:tcBorders>
              <w:top w:val="single" w:color="000000" w:sz="8" w:space="0"/>
              <w:left w:val="single" w:color="000000" w:sz="8" w:space="0"/>
              <w:bottom w:val="single" w:color="000000" w:sz="8" w:space="0"/>
              <w:right w:val="single" w:color="000000" w:sz="8" w:space="0"/>
            </w:tcBorders>
            <w:vAlign w:val="center"/>
          </w:tcPr>
          <w:p w14:paraId="0F9710B1">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冷水机组</w:t>
            </w:r>
          </w:p>
        </w:tc>
        <w:tc>
          <w:tcPr>
            <w:tcW w:w="2370" w:type="pct"/>
            <w:tcBorders>
              <w:top w:val="single" w:color="000000" w:sz="8" w:space="0"/>
              <w:left w:val="single" w:color="000000" w:sz="8" w:space="0"/>
              <w:bottom w:val="single" w:color="000000" w:sz="8" w:space="0"/>
              <w:right w:val="single" w:color="000000" w:sz="8" w:space="0"/>
            </w:tcBorders>
            <w:vAlign w:val="center"/>
          </w:tcPr>
          <w:p w14:paraId="17A99EC4">
            <w:pPr>
              <w:pStyle w:val="34"/>
              <w:spacing w:beforeAutospacing="0" w:afterAutospacing="0"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参考美的、海尔、格力等同档次品牌</w:t>
            </w:r>
          </w:p>
        </w:tc>
        <w:tc>
          <w:tcPr>
            <w:tcW w:w="986" w:type="pct"/>
            <w:vMerge w:val="restart"/>
            <w:tcBorders>
              <w:top w:val="nil"/>
              <w:left w:val="single" w:color="000000" w:sz="8" w:space="0"/>
              <w:right w:val="single" w:color="000000" w:sz="8" w:space="0"/>
            </w:tcBorders>
            <w:vAlign w:val="center"/>
          </w:tcPr>
          <w:p w14:paraId="27CB0F53">
            <w:pPr>
              <w:pStyle w:val="34"/>
              <w:spacing w:beforeAutospacing="0" w:afterAutospacing="0" w:line="360" w:lineRule="auto"/>
              <w:ind w:firstLine="0"/>
              <w:rPr>
                <w:rFonts w:hint="eastAsia" w:ascii="仿宋" w:hAnsi="仿宋" w:eastAsia="仿宋" w:cs="仿宋"/>
                <w:i/>
                <w:iCs/>
                <w:sz w:val="24"/>
                <w:szCs w:val="24"/>
                <w:highlight w:val="none"/>
                <w:u w:val="single"/>
              </w:rPr>
            </w:pPr>
            <w:r>
              <w:rPr>
                <w:rFonts w:hint="eastAsia" w:ascii="仿宋" w:hAnsi="仿宋" w:eastAsia="仿宋" w:cs="仿宋"/>
                <w:i/>
                <w:iCs/>
                <w:sz w:val="24"/>
                <w:szCs w:val="24"/>
                <w:highlight w:val="none"/>
                <w:u w:val="single"/>
              </w:rPr>
              <w:t>1、投标人提供的主要材料和设备的技术性能不得低于招标文件相关要求。中标人使用的设备设施材料在进场前须与采购人进行确认。未经采购人确认造成的损失由中标人负责。</w:t>
            </w:r>
          </w:p>
          <w:p w14:paraId="42D821E1">
            <w:pPr>
              <w:pStyle w:val="34"/>
              <w:spacing w:beforeAutospacing="0" w:afterAutospacing="0" w:line="360" w:lineRule="auto"/>
              <w:ind w:firstLine="0"/>
              <w:rPr>
                <w:rFonts w:hint="eastAsia" w:ascii="仿宋" w:hAnsi="仿宋" w:eastAsia="仿宋" w:cs="仿宋"/>
                <w:i/>
                <w:iCs/>
                <w:sz w:val="24"/>
                <w:szCs w:val="24"/>
                <w:highlight w:val="none"/>
                <w:u w:val="single"/>
              </w:rPr>
            </w:pPr>
            <w:r>
              <w:rPr>
                <w:rFonts w:hint="eastAsia" w:ascii="仿宋" w:hAnsi="仿宋" w:eastAsia="仿宋" w:cs="仿宋"/>
                <w:i/>
                <w:iCs/>
                <w:sz w:val="24"/>
                <w:szCs w:val="24"/>
                <w:highlight w:val="none"/>
                <w:u w:val="single"/>
              </w:rPr>
              <w:t>2、在服务期内，中标人改造的所有设备，在本项目服务期满后，均归采购人所有。</w:t>
            </w:r>
          </w:p>
          <w:p w14:paraId="09212AA7">
            <w:pPr>
              <w:pStyle w:val="34"/>
              <w:spacing w:beforeAutospacing="0" w:afterAutospacing="0" w:line="360" w:lineRule="auto"/>
              <w:ind w:firstLine="0"/>
              <w:rPr>
                <w:rFonts w:hint="eastAsia" w:ascii="仿宋" w:hAnsi="仿宋" w:eastAsia="仿宋" w:cs="仿宋"/>
                <w:sz w:val="24"/>
                <w:szCs w:val="24"/>
                <w:highlight w:val="none"/>
              </w:rPr>
            </w:pPr>
            <w:r>
              <w:rPr>
                <w:rFonts w:hint="eastAsia" w:ascii="仿宋" w:hAnsi="仿宋" w:eastAsia="仿宋" w:cs="仿宋"/>
                <w:i/>
                <w:iCs/>
                <w:sz w:val="24"/>
                <w:szCs w:val="24"/>
                <w:highlight w:val="none"/>
                <w:u w:val="single"/>
              </w:rPr>
              <w:t>3、中标人在服务期内，应及时更换备品备件。</w:t>
            </w:r>
          </w:p>
        </w:tc>
      </w:tr>
      <w:tr w14:paraId="38F80B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1" w:hRule="atLeast"/>
          <w:jc w:val="center"/>
        </w:trPr>
        <w:tc>
          <w:tcPr>
            <w:tcW w:w="473" w:type="pct"/>
            <w:tcBorders>
              <w:top w:val="single" w:color="000000" w:sz="8" w:space="0"/>
              <w:left w:val="single" w:color="000000" w:sz="8" w:space="0"/>
              <w:bottom w:val="single" w:color="000000" w:sz="8" w:space="0"/>
              <w:right w:val="single" w:color="000000" w:sz="8" w:space="0"/>
            </w:tcBorders>
            <w:vAlign w:val="center"/>
          </w:tcPr>
          <w:p w14:paraId="10285993">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1169" w:type="pct"/>
            <w:tcBorders>
              <w:top w:val="single" w:color="000000" w:sz="8" w:space="0"/>
              <w:left w:val="single" w:color="000000" w:sz="8" w:space="0"/>
              <w:bottom w:val="single" w:color="000000" w:sz="8" w:space="0"/>
              <w:right w:val="single" w:color="000000" w:sz="8" w:space="0"/>
            </w:tcBorders>
            <w:vAlign w:val="center"/>
          </w:tcPr>
          <w:p w14:paraId="29894449">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板换</w:t>
            </w:r>
          </w:p>
        </w:tc>
        <w:tc>
          <w:tcPr>
            <w:tcW w:w="2370" w:type="pct"/>
            <w:tcBorders>
              <w:top w:val="single" w:color="000000" w:sz="8" w:space="0"/>
              <w:left w:val="single" w:color="000000" w:sz="8" w:space="0"/>
              <w:bottom w:val="single" w:color="000000" w:sz="8" w:space="0"/>
              <w:right w:val="single" w:color="000000" w:sz="8" w:space="0"/>
            </w:tcBorders>
            <w:vAlign w:val="center"/>
          </w:tcPr>
          <w:p w14:paraId="230BCFFF">
            <w:pPr>
              <w:pStyle w:val="34"/>
              <w:spacing w:beforeAutospacing="0" w:afterAutospacing="0"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参考艾克森、双良、巨元等同档次品牌</w:t>
            </w:r>
          </w:p>
        </w:tc>
        <w:tc>
          <w:tcPr>
            <w:tcW w:w="986" w:type="pct"/>
            <w:vMerge w:val="continue"/>
            <w:tcBorders>
              <w:left w:val="single" w:color="000000" w:sz="8" w:space="0"/>
              <w:right w:val="single" w:color="000000" w:sz="8" w:space="0"/>
            </w:tcBorders>
            <w:vAlign w:val="center"/>
          </w:tcPr>
          <w:p w14:paraId="65A52839">
            <w:pPr>
              <w:spacing w:line="360" w:lineRule="auto"/>
              <w:rPr>
                <w:rFonts w:hint="eastAsia" w:ascii="仿宋" w:hAnsi="仿宋" w:eastAsia="仿宋" w:cs="仿宋"/>
                <w:szCs w:val="24"/>
                <w:highlight w:val="none"/>
              </w:rPr>
            </w:pPr>
          </w:p>
        </w:tc>
      </w:tr>
      <w:tr w14:paraId="7E9402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jc w:val="center"/>
        </w:trPr>
        <w:tc>
          <w:tcPr>
            <w:tcW w:w="473" w:type="pct"/>
            <w:tcBorders>
              <w:top w:val="single" w:color="000000" w:sz="8" w:space="0"/>
              <w:left w:val="single" w:color="000000" w:sz="8" w:space="0"/>
              <w:bottom w:val="single" w:color="000000" w:sz="8" w:space="0"/>
              <w:right w:val="single" w:color="000000" w:sz="8" w:space="0"/>
            </w:tcBorders>
            <w:vAlign w:val="center"/>
          </w:tcPr>
          <w:p w14:paraId="47ACCE56">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1169" w:type="pct"/>
            <w:tcBorders>
              <w:top w:val="single" w:color="000000" w:sz="8" w:space="0"/>
              <w:left w:val="single" w:color="000000" w:sz="8" w:space="0"/>
              <w:bottom w:val="single" w:color="000000" w:sz="8" w:space="0"/>
              <w:right w:val="single" w:color="000000" w:sz="8" w:space="0"/>
            </w:tcBorders>
            <w:vAlign w:val="center"/>
          </w:tcPr>
          <w:p w14:paraId="0735FEBE">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PLC 控制器</w:t>
            </w:r>
          </w:p>
        </w:tc>
        <w:tc>
          <w:tcPr>
            <w:tcW w:w="2370" w:type="pct"/>
            <w:tcBorders>
              <w:top w:val="single" w:color="000000" w:sz="8" w:space="0"/>
              <w:left w:val="single" w:color="000000" w:sz="8" w:space="0"/>
              <w:bottom w:val="single" w:color="000000" w:sz="8" w:space="0"/>
              <w:right w:val="single" w:color="000000" w:sz="8" w:space="0"/>
            </w:tcBorders>
            <w:vAlign w:val="center"/>
          </w:tcPr>
          <w:p w14:paraId="152569BE">
            <w:pPr>
              <w:pStyle w:val="34"/>
              <w:spacing w:beforeAutospacing="0" w:afterAutospacing="0"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参考ABB、施耐德、西门子等同档次品牌</w:t>
            </w:r>
          </w:p>
        </w:tc>
        <w:tc>
          <w:tcPr>
            <w:tcW w:w="986" w:type="pct"/>
            <w:vMerge w:val="continue"/>
            <w:tcBorders>
              <w:left w:val="single" w:color="000000" w:sz="8" w:space="0"/>
              <w:right w:val="single" w:color="000000" w:sz="8" w:space="0"/>
            </w:tcBorders>
            <w:vAlign w:val="center"/>
          </w:tcPr>
          <w:p w14:paraId="5C168D8B">
            <w:pPr>
              <w:spacing w:line="360" w:lineRule="auto"/>
              <w:rPr>
                <w:rFonts w:hint="eastAsia" w:ascii="仿宋" w:hAnsi="仿宋" w:eastAsia="仿宋" w:cs="仿宋"/>
                <w:szCs w:val="24"/>
                <w:highlight w:val="none"/>
              </w:rPr>
            </w:pPr>
          </w:p>
        </w:tc>
      </w:tr>
      <w:tr w14:paraId="086302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2" w:hRule="atLeast"/>
          <w:jc w:val="center"/>
        </w:trPr>
        <w:tc>
          <w:tcPr>
            <w:tcW w:w="473" w:type="pct"/>
            <w:tcBorders>
              <w:top w:val="single" w:color="000000" w:sz="8" w:space="0"/>
              <w:left w:val="single" w:color="000000" w:sz="8" w:space="0"/>
              <w:bottom w:val="single" w:color="000000" w:sz="8" w:space="0"/>
              <w:right w:val="single" w:color="000000" w:sz="8" w:space="0"/>
            </w:tcBorders>
            <w:vAlign w:val="center"/>
          </w:tcPr>
          <w:p w14:paraId="7A109546">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1169" w:type="pct"/>
            <w:tcBorders>
              <w:top w:val="single" w:color="000000" w:sz="8" w:space="0"/>
              <w:left w:val="single" w:color="000000" w:sz="8" w:space="0"/>
              <w:bottom w:val="single" w:color="000000" w:sz="8" w:space="0"/>
              <w:right w:val="single" w:color="000000" w:sz="8" w:space="0"/>
            </w:tcBorders>
            <w:vAlign w:val="center"/>
          </w:tcPr>
          <w:p w14:paraId="45B7BFE7">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变频器</w:t>
            </w:r>
          </w:p>
        </w:tc>
        <w:tc>
          <w:tcPr>
            <w:tcW w:w="2370" w:type="pct"/>
            <w:tcBorders>
              <w:top w:val="single" w:color="000000" w:sz="8" w:space="0"/>
              <w:left w:val="single" w:color="000000" w:sz="8" w:space="0"/>
              <w:bottom w:val="single" w:color="000000" w:sz="8" w:space="0"/>
              <w:right w:val="single" w:color="000000" w:sz="8" w:space="0"/>
            </w:tcBorders>
            <w:vAlign w:val="center"/>
          </w:tcPr>
          <w:p w14:paraId="61BE9F76">
            <w:pPr>
              <w:pStyle w:val="34"/>
              <w:spacing w:beforeAutospacing="0" w:afterAutospacing="0"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参考ABB、施耐德、西门子等同档次品牌</w:t>
            </w:r>
          </w:p>
        </w:tc>
        <w:tc>
          <w:tcPr>
            <w:tcW w:w="986" w:type="pct"/>
            <w:vMerge w:val="continue"/>
            <w:tcBorders>
              <w:left w:val="single" w:color="000000" w:sz="8" w:space="0"/>
              <w:right w:val="single" w:color="000000" w:sz="8" w:space="0"/>
            </w:tcBorders>
            <w:vAlign w:val="center"/>
          </w:tcPr>
          <w:p w14:paraId="1A198C92">
            <w:pPr>
              <w:spacing w:line="360" w:lineRule="auto"/>
              <w:rPr>
                <w:rFonts w:hint="eastAsia" w:ascii="仿宋" w:hAnsi="仿宋" w:eastAsia="仿宋" w:cs="仿宋"/>
                <w:szCs w:val="24"/>
                <w:highlight w:val="none"/>
              </w:rPr>
            </w:pPr>
          </w:p>
        </w:tc>
      </w:tr>
      <w:tr w14:paraId="6F84D9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2" w:hRule="atLeast"/>
          <w:jc w:val="center"/>
        </w:trPr>
        <w:tc>
          <w:tcPr>
            <w:tcW w:w="473" w:type="pct"/>
            <w:tcBorders>
              <w:top w:val="single" w:color="000000" w:sz="8" w:space="0"/>
              <w:left w:val="single" w:color="000000" w:sz="8" w:space="0"/>
              <w:bottom w:val="single" w:color="000000" w:sz="8" w:space="0"/>
              <w:right w:val="single" w:color="000000" w:sz="8" w:space="0"/>
            </w:tcBorders>
            <w:vAlign w:val="center"/>
          </w:tcPr>
          <w:p w14:paraId="6B195096">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w:t>
            </w:r>
          </w:p>
        </w:tc>
        <w:tc>
          <w:tcPr>
            <w:tcW w:w="1169" w:type="pct"/>
            <w:tcBorders>
              <w:top w:val="single" w:color="000000" w:sz="8" w:space="0"/>
              <w:left w:val="single" w:color="000000" w:sz="8" w:space="0"/>
              <w:bottom w:val="single" w:color="000000" w:sz="8" w:space="0"/>
              <w:right w:val="single" w:color="000000" w:sz="8" w:space="0"/>
            </w:tcBorders>
            <w:vAlign w:val="center"/>
          </w:tcPr>
          <w:p w14:paraId="702A7E97">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开关、断路器</w:t>
            </w:r>
          </w:p>
        </w:tc>
        <w:tc>
          <w:tcPr>
            <w:tcW w:w="2370" w:type="pct"/>
            <w:tcBorders>
              <w:top w:val="single" w:color="000000" w:sz="8" w:space="0"/>
              <w:left w:val="single" w:color="000000" w:sz="8" w:space="0"/>
              <w:bottom w:val="single" w:color="000000" w:sz="8" w:space="0"/>
              <w:right w:val="single" w:color="000000" w:sz="8" w:space="0"/>
            </w:tcBorders>
            <w:vAlign w:val="center"/>
          </w:tcPr>
          <w:p w14:paraId="4154F18B">
            <w:pPr>
              <w:pStyle w:val="34"/>
              <w:spacing w:beforeAutospacing="0" w:afterAutospacing="0"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参考施耐德、正泰、德力西等同档次品牌</w:t>
            </w:r>
          </w:p>
        </w:tc>
        <w:tc>
          <w:tcPr>
            <w:tcW w:w="986" w:type="pct"/>
            <w:vMerge w:val="continue"/>
            <w:tcBorders>
              <w:left w:val="single" w:color="000000" w:sz="8" w:space="0"/>
              <w:right w:val="single" w:color="000000" w:sz="8" w:space="0"/>
            </w:tcBorders>
            <w:vAlign w:val="center"/>
          </w:tcPr>
          <w:p w14:paraId="2D569797">
            <w:pPr>
              <w:spacing w:line="360" w:lineRule="auto"/>
              <w:rPr>
                <w:rFonts w:hint="eastAsia" w:ascii="仿宋" w:hAnsi="仿宋" w:eastAsia="仿宋" w:cs="仿宋"/>
                <w:szCs w:val="24"/>
                <w:highlight w:val="none"/>
              </w:rPr>
            </w:pPr>
          </w:p>
        </w:tc>
      </w:tr>
      <w:tr w14:paraId="77700D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2" w:hRule="atLeast"/>
          <w:jc w:val="center"/>
        </w:trPr>
        <w:tc>
          <w:tcPr>
            <w:tcW w:w="473" w:type="pct"/>
            <w:tcBorders>
              <w:top w:val="single" w:color="000000" w:sz="8" w:space="0"/>
              <w:left w:val="single" w:color="000000" w:sz="8" w:space="0"/>
              <w:bottom w:val="single" w:color="000000" w:sz="8" w:space="0"/>
              <w:right w:val="single" w:color="000000" w:sz="8" w:space="0"/>
            </w:tcBorders>
            <w:vAlign w:val="center"/>
          </w:tcPr>
          <w:p w14:paraId="1A61DE74">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6</w:t>
            </w:r>
          </w:p>
        </w:tc>
        <w:tc>
          <w:tcPr>
            <w:tcW w:w="1169" w:type="pct"/>
            <w:tcBorders>
              <w:top w:val="single" w:color="000000" w:sz="8" w:space="0"/>
              <w:left w:val="single" w:color="000000" w:sz="8" w:space="0"/>
              <w:bottom w:val="single" w:color="000000" w:sz="8" w:space="0"/>
              <w:right w:val="single" w:color="000000" w:sz="8" w:space="0"/>
            </w:tcBorders>
            <w:vAlign w:val="center"/>
          </w:tcPr>
          <w:p w14:paraId="59C2F97B">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电缆</w:t>
            </w:r>
          </w:p>
        </w:tc>
        <w:tc>
          <w:tcPr>
            <w:tcW w:w="2370" w:type="pct"/>
            <w:tcBorders>
              <w:top w:val="single" w:color="000000" w:sz="8" w:space="0"/>
              <w:left w:val="single" w:color="000000" w:sz="8" w:space="0"/>
              <w:bottom w:val="single" w:color="000000" w:sz="8" w:space="0"/>
              <w:right w:val="single" w:color="000000" w:sz="8" w:space="0"/>
            </w:tcBorders>
            <w:vAlign w:val="center"/>
          </w:tcPr>
          <w:p w14:paraId="034CB082">
            <w:pPr>
              <w:pStyle w:val="34"/>
              <w:spacing w:beforeAutospacing="0" w:afterAutospacing="0"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参考江扬、上上、远东、江南等同档次品牌</w:t>
            </w:r>
          </w:p>
        </w:tc>
        <w:tc>
          <w:tcPr>
            <w:tcW w:w="986" w:type="pct"/>
            <w:vMerge w:val="continue"/>
            <w:tcBorders>
              <w:left w:val="single" w:color="000000" w:sz="8" w:space="0"/>
              <w:right w:val="single" w:color="000000" w:sz="8" w:space="0"/>
            </w:tcBorders>
            <w:vAlign w:val="center"/>
          </w:tcPr>
          <w:p w14:paraId="3A8A55FD">
            <w:pPr>
              <w:spacing w:line="360" w:lineRule="auto"/>
              <w:rPr>
                <w:rFonts w:hint="eastAsia" w:ascii="仿宋" w:hAnsi="仿宋" w:eastAsia="仿宋" w:cs="仿宋"/>
                <w:szCs w:val="24"/>
                <w:highlight w:val="none"/>
              </w:rPr>
            </w:pPr>
          </w:p>
        </w:tc>
      </w:tr>
      <w:tr w14:paraId="73F6FF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2" w:hRule="atLeast"/>
          <w:jc w:val="center"/>
        </w:trPr>
        <w:tc>
          <w:tcPr>
            <w:tcW w:w="473" w:type="pct"/>
            <w:tcBorders>
              <w:top w:val="single" w:color="000000" w:sz="8" w:space="0"/>
              <w:left w:val="single" w:color="000000" w:sz="8" w:space="0"/>
              <w:bottom w:val="single" w:color="000000" w:sz="8" w:space="0"/>
              <w:right w:val="single" w:color="000000" w:sz="8" w:space="0"/>
            </w:tcBorders>
            <w:vAlign w:val="center"/>
          </w:tcPr>
          <w:p w14:paraId="574D4487">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7</w:t>
            </w:r>
          </w:p>
        </w:tc>
        <w:tc>
          <w:tcPr>
            <w:tcW w:w="1169" w:type="pct"/>
            <w:tcBorders>
              <w:top w:val="single" w:color="000000" w:sz="8" w:space="0"/>
              <w:left w:val="single" w:color="000000" w:sz="8" w:space="0"/>
              <w:bottom w:val="single" w:color="000000" w:sz="8" w:space="0"/>
              <w:right w:val="single" w:color="000000" w:sz="8" w:space="0"/>
            </w:tcBorders>
            <w:vAlign w:val="center"/>
          </w:tcPr>
          <w:p w14:paraId="4E8B6F8E">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传感器</w:t>
            </w:r>
          </w:p>
        </w:tc>
        <w:tc>
          <w:tcPr>
            <w:tcW w:w="2370" w:type="pct"/>
            <w:tcBorders>
              <w:top w:val="single" w:color="000000" w:sz="8" w:space="0"/>
              <w:left w:val="single" w:color="000000" w:sz="8" w:space="0"/>
              <w:bottom w:val="single" w:color="000000" w:sz="8" w:space="0"/>
              <w:right w:val="single" w:color="000000" w:sz="8" w:space="0"/>
            </w:tcBorders>
            <w:vAlign w:val="center"/>
          </w:tcPr>
          <w:p w14:paraId="348A3856">
            <w:pPr>
              <w:pStyle w:val="34"/>
              <w:spacing w:beforeAutospacing="0" w:afterAutospacing="0"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空调水相关传感器，参考霍尼韦尔、西门子、江森自控等同档次品牌；</w:t>
            </w:r>
          </w:p>
          <w:p w14:paraId="0B096161">
            <w:pPr>
              <w:pStyle w:val="34"/>
              <w:spacing w:beforeAutospacing="0" w:afterAutospacing="0"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其他温度、压力、温湿度、液位等传感器参考昆仑海岸、派晟、海林等同档次品牌</w:t>
            </w:r>
          </w:p>
        </w:tc>
        <w:tc>
          <w:tcPr>
            <w:tcW w:w="986" w:type="pct"/>
            <w:vMerge w:val="continue"/>
            <w:tcBorders>
              <w:left w:val="single" w:color="000000" w:sz="8" w:space="0"/>
              <w:right w:val="single" w:color="000000" w:sz="8" w:space="0"/>
            </w:tcBorders>
            <w:vAlign w:val="center"/>
          </w:tcPr>
          <w:p w14:paraId="1869A23D">
            <w:pPr>
              <w:spacing w:line="360" w:lineRule="auto"/>
              <w:rPr>
                <w:rFonts w:hint="eastAsia" w:ascii="仿宋" w:hAnsi="仿宋" w:eastAsia="仿宋" w:cs="仿宋"/>
                <w:szCs w:val="24"/>
                <w:highlight w:val="none"/>
              </w:rPr>
            </w:pPr>
          </w:p>
        </w:tc>
      </w:tr>
      <w:tr w14:paraId="5BA200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2" w:hRule="atLeast"/>
          <w:jc w:val="center"/>
        </w:trPr>
        <w:tc>
          <w:tcPr>
            <w:tcW w:w="473" w:type="pct"/>
            <w:tcBorders>
              <w:top w:val="single" w:color="000000" w:sz="8" w:space="0"/>
              <w:left w:val="single" w:color="000000" w:sz="8" w:space="0"/>
              <w:bottom w:val="single" w:color="000000" w:sz="8" w:space="0"/>
              <w:right w:val="single" w:color="000000" w:sz="8" w:space="0"/>
            </w:tcBorders>
            <w:vAlign w:val="center"/>
          </w:tcPr>
          <w:p w14:paraId="766781D1">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8</w:t>
            </w:r>
          </w:p>
        </w:tc>
        <w:tc>
          <w:tcPr>
            <w:tcW w:w="1169" w:type="pct"/>
            <w:tcBorders>
              <w:top w:val="single" w:color="000000" w:sz="8" w:space="0"/>
              <w:left w:val="single" w:color="000000" w:sz="8" w:space="0"/>
              <w:bottom w:val="single" w:color="000000" w:sz="8" w:space="0"/>
              <w:right w:val="single" w:color="000000" w:sz="8" w:space="0"/>
            </w:tcBorders>
            <w:vAlign w:val="center"/>
          </w:tcPr>
          <w:p w14:paraId="0A45EA4E">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蒸汽流量计</w:t>
            </w:r>
          </w:p>
        </w:tc>
        <w:tc>
          <w:tcPr>
            <w:tcW w:w="2370" w:type="pct"/>
            <w:tcBorders>
              <w:top w:val="single" w:color="000000" w:sz="8" w:space="0"/>
              <w:left w:val="single" w:color="000000" w:sz="8" w:space="0"/>
              <w:bottom w:val="single" w:color="000000" w:sz="8" w:space="0"/>
              <w:right w:val="single" w:color="000000" w:sz="8" w:space="0"/>
            </w:tcBorders>
            <w:vAlign w:val="center"/>
          </w:tcPr>
          <w:p w14:paraId="4284C7A6">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参考横河、肯特、汇中等同档次品牌</w:t>
            </w:r>
          </w:p>
        </w:tc>
        <w:tc>
          <w:tcPr>
            <w:tcW w:w="986" w:type="pct"/>
            <w:vMerge w:val="continue"/>
            <w:tcBorders>
              <w:left w:val="single" w:color="000000" w:sz="8" w:space="0"/>
              <w:right w:val="single" w:color="000000" w:sz="8" w:space="0"/>
            </w:tcBorders>
            <w:vAlign w:val="center"/>
          </w:tcPr>
          <w:p w14:paraId="48A9B914">
            <w:pPr>
              <w:spacing w:line="360" w:lineRule="auto"/>
              <w:rPr>
                <w:rFonts w:hint="eastAsia" w:ascii="仿宋" w:hAnsi="仿宋" w:eastAsia="仿宋" w:cs="仿宋"/>
                <w:szCs w:val="24"/>
                <w:highlight w:val="none"/>
              </w:rPr>
            </w:pPr>
          </w:p>
        </w:tc>
      </w:tr>
      <w:tr w14:paraId="16F365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2" w:hRule="atLeast"/>
          <w:jc w:val="center"/>
        </w:trPr>
        <w:tc>
          <w:tcPr>
            <w:tcW w:w="473" w:type="pct"/>
            <w:tcBorders>
              <w:top w:val="single" w:color="000000" w:sz="8" w:space="0"/>
              <w:left w:val="single" w:color="000000" w:sz="8" w:space="0"/>
              <w:bottom w:val="single" w:color="000000" w:sz="8" w:space="0"/>
              <w:right w:val="single" w:color="000000" w:sz="8" w:space="0"/>
            </w:tcBorders>
            <w:vAlign w:val="center"/>
          </w:tcPr>
          <w:p w14:paraId="3BEF748F">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9</w:t>
            </w:r>
          </w:p>
        </w:tc>
        <w:tc>
          <w:tcPr>
            <w:tcW w:w="1169" w:type="pct"/>
            <w:tcBorders>
              <w:top w:val="single" w:color="000000" w:sz="8" w:space="0"/>
              <w:left w:val="single" w:color="000000" w:sz="8" w:space="0"/>
              <w:bottom w:val="single" w:color="000000" w:sz="8" w:space="0"/>
              <w:right w:val="single" w:color="000000" w:sz="8" w:space="0"/>
            </w:tcBorders>
            <w:vAlign w:val="center"/>
          </w:tcPr>
          <w:p w14:paraId="73A315C2">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电表</w:t>
            </w:r>
          </w:p>
        </w:tc>
        <w:tc>
          <w:tcPr>
            <w:tcW w:w="2370" w:type="pct"/>
            <w:tcBorders>
              <w:top w:val="single" w:color="000000" w:sz="8" w:space="0"/>
              <w:left w:val="single" w:color="000000" w:sz="8" w:space="0"/>
              <w:bottom w:val="single" w:color="000000" w:sz="8" w:space="0"/>
              <w:right w:val="single" w:color="000000" w:sz="8" w:space="0"/>
            </w:tcBorders>
            <w:vAlign w:val="center"/>
          </w:tcPr>
          <w:p w14:paraId="545458BD">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参考安科瑞、威胜</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恒通</w:t>
            </w:r>
            <w:r>
              <w:rPr>
                <w:rFonts w:hint="eastAsia" w:ascii="仿宋" w:hAnsi="仿宋" w:eastAsia="仿宋" w:cs="仿宋"/>
                <w:sz w:val="24"/>
                <w:szCs w:val="24"/>
                <w:highlight w:val="none"/>
              </w:rPr>
              <w:t>等同档次品牌</w:t>
            </w:r>
          </w:p>
        </w:tc>
        <w:tc>
          <w:tcPr>
            <w:tcW w:w="986" w:type="pct"/>
            <w:vMerge w:val="continue"/>
            <w:tcBorders>
              <w:left w:val="single" w:color="000000" w:sz="8" w:space="0"/>
              <w:right w:val="single" w:color="000000" w:sz="8" w:space="0"/>
            </w:tcBorders>
            <w:vAlign w:val="center"/>
          </w:tcPr>
          <w:p w14:paraId="37EA386F">
            <w:pPr>
              <w:spacing w:line="360" w:lineRule="auto"/>
              <w:rPr>
                <w:rFonts w:hint="eastAsia" w:ascii="仿宋" w:hAnsi="仿宋" w:eastAsia="仿宋" w:cs="仿宋"/>
                <w:szCs w:val="24"/>
                <w:highlight w:val="none"/>
              </w:rPr>
            </w:pPr>
          </w:p>
        </w:tc>
      </w:tr>
      <w:tr w14:paraId="07E7D6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2" w:hRule="atLeast"/>
          <w:jc w:val="center"/>
        </w:trPr>
        <w:tc>
          <w:tcPr>
            <w:tcW w:w="473" w:type="pct"/>
            <w:tcBorders>
              <w:top w:val="single" w:color="000000" w:sz="8" w:space="0"/>
              <w:left w:val="single" w:color="000000" w:sz="8" w:space="0"/>
              <w:bottom w:val="single" w:color="000000" w:sz="8" w:space="0"/>
              <w:right w:val="single" w:color="000000" w:sz="8" w:space="0"/>
            </w:tcBorders>
            <w:vAlign w:val="center"/>
          </w:tcPr>
          <w:p w14:paraId="45D0F8A5">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10</w:t>
            </w:r>
          </w:p>
        </w:tc>
        <w:tc>
          <w:tcPr>
            <w:tcW w:w="1169" w:type="pct"/>
            <w:tcBorders>
              <w:top w:val="single" w:color="000000" w:sz="8" w:space="0"/>
              <w:left w:val="single" w:color="000000" w:sz="8" w:space="0"/>
              <w:bottom w:val="single" w:color="000000" w:sz="8" w:space="0"/>
              <w:right w:val="single" w:color="000000" w:sz="8" w:space="0"/>
            </w:tcBorders>
            <w:vAlign w:val="center"/>
          </w:tcPr>
          <w:p w14:paraId="66EE347F">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水表</w:t>
            </w:r>
          </w:p>
        </w:tc>
        <w:tc>
          <w:tcPr>
            <w:tcW w:w="2370" w:type="pct"/>
            <w:tcBorders>
              <w:top w:val="single" w:color="000000" w:sz="8" w:space="0"/>
              <w:left w:val="single" w:color="000000" w:sz="8" w:space="0"/>
              <w:bottom w:val="single" w:color="000000" w:sz="8" w:space="0"/>
              <w:right w:val="single" w:color="000000" w:sz="8" w:space="0"/>
            </w:tcBorders>
            <w:vAlign w:val="center"/>
          </w:tcPr>
          <w:p w14:paraId="6F617A9D">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参考积成、迈拓、天罡等同档次品牌</w:t>
            </w:r>
          </w:p>
        </w:tc>
        <w:tc>
          <w:tcPr>
            <w:tcW w:w="986" w:type="pct"/>
            <w:vMerge w:val="continue"/>
            <w:tcBorders>
              <w:left w:val="single" w:color="000000" w:sz="8" w:space="0"/>
              <w:right w:val="single" w:color="000000" w:sz="8" w:space="0"/>
            </w:tcBorders>
            <w:vAlign w:val="center"/>
          </w:tcPr>
          <w:p w14:paraId="17FAAF05">
            <w:pPr>
              <w:spacing w:line="360" w:lineRule="auto"/>
              <w:rPr>
                <w:rFonts w:hint="eastAsia" w:ascii="仿宋" w:hAnsi="仿宋" w:eastAsia="仿宋" w:cs="仿宋"/>
                <w:szCs w:val="24"/>
                <w:highlight w:val="none"/>
              </w:rPr>
            </w:pPr>
          </w:p>
        </w:tc>
      </w:tr>
      <w:tr w14:paraId="2D5270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2" w:hRule="atLeast"/>
          <w:jc w:val="center"/>
        </w:trPr>
        <w:tc>
          <w:tcPr>
            <w:tcW w:w="473" w:type="pct"/>
            <w:tcBorders>
              <w:top w:val="single" w:color="000000" w:sz="8" w:space="0"/>
              <w:left w:val="single" w:color="000000" w:sz="8" w:space="0"/>
              <w:bottom w:val="single" w:color="000000" w:sz="8" w:space="0"/>
              <w:right w:val="single" w:color="000000" w:sz="8" w:space="0"/>
            </w:tcBorders>
            <w:vAlign w:val="center"/>
          </w:tcPr>
          <w:p w14:paraId="371CC478">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11</w:t>
            </w:r>
          </w:p>
        </w:tc>
        <w:tc>
          <w:tcPr>
            <w:tcW w:w="1169" w:type="pct"/>
            <w:tcBorders>
              <w:top w:val="single" w:color="000000" w:sz="8" w:space="0"/>
              <w:left w:val="single" w:color="000000" w:sz="8" w:space="0"/>
              <w:bottom w:val="single" w:color="000000" w:sz="8" w:space="0"/>
              <w:right w:val="single" w:color="000000" w:sz="8" w:space="0"/>
            </w:tcBorders>
            <w:vAlign w:val="center"/>
          </w:tcPr>
          <w:p w14:paraId="1295C85F">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镀锌钢管</w:t>
            </w:r>
          </w:p>
        </w:tc>
        <w:tc>
          <w:tcPr>
            <w:tcW w:w="2370" w:type="pct"/>
            <w:tcBorders>
              <w:top w:val="single" w:color="000000" w:sz="8" w:space="0"/>
              <w:left w:val="single" w:color="000000" w:sz="8" w:space="0"/>
              <w:bottom w:val="single" w:color="000000" w:sz="8" w:space="0"/>
              <w:right w:val="single" w:color="000000" w:sz="8" w:space="0"/>
            </w:tcBorders>
            <w:vAlign w:val="center"/>
          </w:tcPr>
          <w:p w14:paraId="1648C29F">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参考友发、华岐、金洲等同档次品牌</w:t>
            </w:r>
          </w:p>
        </w:tc>
        <w:tc>
          <w:tcPr>
            <w:tcW w:w="986" w:type="pct"/>
            <w:vMerge w:val="continue"/>
            <w:tcBorders>
              <w:left w:val="single" w:color="000000" w:sz="8" w:space="0"/>
              <w:right w:val="single" w:color="000000" w:sz="8" w:space="0"/>
            </w:tcBorders>
            <w:vAlign w:val="center"/>
          </w:tcPr>
          <w:p w14:paraId="34B7DC13">
            <w:pPr>
              <w:spacing w:line="360" w:lineRule="auto"/>
              <w:rPr>
                <w:rFonts w:hint="eastAsia" w:ascii="仿宋" w:hAnsi="仿宋" w:eastAsia="仿宋" w:cs="仿宋"/>
                <w:szCs w:val="24"/>
                <w:highlight w:val="none"/>
              </w:rPr>
            </w:pPr>
          </w:p>
        </w:tc>
      </w:tr>
      <w:tr w14:paraId="7F5942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2" w:hRule="atLeast"/>
          <w:jc w:val="center"/>
        </w:trPr>
        <w:tc>
          <w:tcPr>
            <w:tcW w:w="473" w:type="pct"/>
            <w:tcBorders>
              <w:top w:val="single" w:color="000000" w:sz="8" w:space="0"/>
              <w:left w:val="single" w:color="000000" w:sz="8" w:space="0"/>
              <w:bottom w:val="single" w:color="000000" w:sz="8" w:space="0"/>
              <w:right w:val="single" w:color="000000" w:sz="8" w:space="0"/>
            </w:tcBorders>
            <w:vAlign w:val="center"/>
          </w:tcPr>
          <w:p w14:paraId="1C3A6AA4">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12</w:t>
            </w:r>
          </w:p>
        </w:tc>
        <w:tc>
          <w:tcPr>
            <w:tcW w:w="1169" w:type="pct"/>
            <w:tcBorders>
              <w:top w:val="single" w:color="000000" w:sz="8" w:space="0"/>
              <w:left w:val="single" w:color="000000" w:sz="8" w:space="0"/>
              <w:bottom w:val="single" w:color="000000" w:sz="8" w:space="0"/>
              <w:right w:val="single" w:color="000000" w:sz="8" w:space="0"/>
            </w:tcBorders>
            <w:vAlign w:val="center"/>
          </w:tcPr>
          <w:p w14:paraId="0BE8FFAA">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无缝钢管</w:t>
            </w:r>
          </w:p>
        </w:tc>
        <w:tc>
          <w:tcPr>
            <w:tcW w:w="2370" w:type="pct"/>
            <w:tcBorders>
              <w:top w:val="single" w:color="000000" w:sz="8" w:space="0"/>
              <w:left w:val="single" w:color="000000" w:sz="8" w:space="0"/>
              <w:bottom w:val="single" w:color="000000" w:sz="8" w:space="0"/>
              <w:right w:val="single" w:color="000000" w:sz="8" w:space="0"/>
            </w:tcBorders>
            <w:vAlign w:val="center"/>
          </w:tcPr>
          <w:p w14:paraId="64027B64">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参考宝钢、鞍钢、华凌、南钢等同档次品牌</w:t>
            </w:r>
          </w:p>
        </w:tc>
        <w:tc>
          <w:tcPr>
            <w:tcW w:w="986" w:type="pct"/>
            <w:vMerge w:val="continue"/>
            <w:tcBorders>
              <w:left w:val="single" w:color="000000" w:sz="8" w:space="0"/>
              <w:right w:val="single" w:color="000000" w:sz="8" w:space="0"/>
            </w:tcBorders>
            <w:vAlign w:val="center"/>
          </w:tcPr>
          <w:p w14:paraId="5A8D44BE">
            <w:pPr>
              <w:spacing w:line="360" w:lineRule="auto"/>
              <w:rPr>
                <w:rFonts w:hint="eastAsia" w:ascii="仿宋" w:hAnsi="仿宋" w:eastAsia="仿宋" w:cs="仿宋"/>
                <w:szCs w:val="24"/>
                <w:highlight w:val="none"/>
              </w:rPr>
            </w:pPr>
          </w:p>
        </w:tc>
      </w:tr>
      <w:tr w14:paraId="18610C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2" w:hRule="atLeast"/>
          <w:jc w:val="center"/>
        </w:trPr>
        <w:tc>
          <w:tcPr>
            <w:tcW w:w="473" w:type="pct"/>
            <w:tcBorders>
              <w:top w:val="single" w:color="000000" w:sz="8" w:space="0"/>
              <w:left w:val="single" w:color="000000" w:sz="8" w:space="0"/>
              <w:bottom w:val="single" w:color="000000" w:sz="8" w:space="0"/>
              <w:right w:val="single" w:color="000000" w:sz="8" w:space="0"/>
            </w:tcBorders>
            <w:vAlign w:val="center"/>
          </w:tcPr>
          <w:p w14:paraId="23B45419">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13</w:t>
            </w:r>
          </w:p>
        </w:tc>
        <w:tc>
          <w:tcPr>
            <w:tcW w:w="1169" w:type="pct"/>
            <w:tcBorders>
              <w:top w:val="single" w:color="000000" w:sz="8" w:space="0"/>
              <w:left w:val="single" w:color="000000" w:sz="8" w:space="0"/>
              <w:bottom w:val="single" w:color="000000" w:sz="8" w:space="0"/>
              <w:right w:val="single" w:color="000000" w:sz="8" w:space="0"/>
            </w:tcBorders>
            <w:vAlign w:val="center"/>
          </w:tcPr>
          <w:p w14:paraId="1493244E">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阀门等管件</w:t>
            </w:r>
          </w:p>
        </w:tc>
        <w:tc>
          <w:tcPr>
            <w:tcW w:w="2370" w:type="pct"/>
            <w:tcBorders>
              <w:top w:val="single" w:color="000000" w:sz="8" w:space="0"/>
              <w:left w:val="single" w:color="000000" w:sz="8" w:space="0"/>
              <w:bottom w:val="single" w:color="000000" w:sz="8" w:space="0"/>
              <w:right w:val="single" w:color="000000" w:sz="8" w:space="0"/>
            </w:tcBorders>
            <w:vAlign w:val="center"/>
          </w:tcPr>
          <w:p w14:paraId="004D54D1">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参考上海沪工、上海冠龙、上海标一、远大、埃美柯、杰克龙等同档次品牌</w:t>
            </w:r>
          </w:p>
        </w:tc>
        <w:tc>
          <w:tcPr>
            <w:tcW w:w="986" w:type="pct"/>
            <w:vMerge w:val="continue"/>
            <w:tcBorders>
              <w:left w:val="single" w:color="000000" w:sz="8" w:space="0"/>
              <w:right w:val="single" w:color="000000" w:sz="8" w:space="0"/>
            </w:tcBorders>
            <w:vAlign w:val="center"/>
          </w:tcPr>
          <w:p w14:paraId="5E5EC8B2">
            <w:pPr>
              <w:spacing w:line="360" w:lineRule="auto"/>
              <w:rPr>
                <w:rFonts w:hint="eastAsia" w:ascii="仿宋" w:hAnsi="仿宋" w:eastAsia="仿宋" w:cs="仿宋"/>
                <w:szCs w:val="24"/>
                <w:highlight w:val="none"/>
              </w:rPr>
            </w:pPr>
          </w:p>
        </w:tc>
      </w:tr>
      <w:tr w14:paraId="3F6110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2" w:hRule="atLeast"/>
          <w:jc w:val="center"/>
        </w:trPr>
        <w:tc>
          <w:tcPr>
            <w:tcW w:w="473" w:type="pct"/>
            <w:tcBorders>
              <w:top w:val="single" w:color="000000" w:sz="8" w:space="0"/>
              <w:left w:val="single" w:color="000000" w:sz="8" w:space="0"/>
              <w:bottom w:val="single" w:color="000000" w:sz="8" w:space="0"/>
              <w:right w:val="single" w:color="000000" w:sz="8" w:space="0"/>
            </w:tcBorders>
            <w:vAlign w:val="center"/>
          </w:tcPr>
          <w:p w14:paraId="311C139D">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14</w:t>
            </w:r>
          </w:p>
        </w:tc>
        <w:tc>
          <w:tcPr>
            <w:tcW w:w="1169" w:type="pct"/>
            <w:tcBorders>
              <w:top w:val="single" w:color="000000" w:sz="8" w:space="0"/>
              <w:left w:val="single" w:color="000000" w:sz="8" w:space="0"/>
              <w:bottom w:val="single" w:color="000000" w:sz="8" w:space="0"/>
              <w:right w:val="single" w:color="000000" w:sz="8" w:space="0"/>
            </w:tcBorders>
            <w:vAlign w:val="center"/>
          </w:tcPr>
          <w:p w14:paraId="5C82CC73">
            <w:pPr>
              <w:pStyle w:val="34"/>
              <w:spacing w:beforeAutospacing="0" w:afterAutospacing="0" w:line="360" w:lineRule="auto"/>
              <w:ind w:firstLine="0"/>
              <w:jc w:val="center"/>
              <w:rPr>
                <w:rFonts w:hint="eastAsia" w:ascii="仿宋" w:hAnsi="仿宋" w:eastAsia="仿宋" w:cs="仿宋"/>
                <w:kern w:val="2"/>
                <w:sz w:val="24"/>
                <w:szCs w:val="24"/>
                <w:highlight w:val="none"/>
              </w:rPr>
            </w:pPr>
            <w:r>
              <w:rPr>
                <w:rFonts w:hint="eastAsia" w:ascii="仿宋" w:hAnsi="仿宋" w:eastAsia="仿宋" w:cs="仿宋"/>
                <w:sz w:val="24"/>
                <w:szCs w:val="24"/>
                <w:highlight w:val="none"/>
              </w:rPr>
              <w:t>电动调节阀</w:t>
            </w:r>
          </w:p>
        </w:tc>
        <w:tc>
          <w:tcPr>
            <w:tcW w:w="2370" w:type="pct"/>
            <w:tcBorders>
              <w:top w:val="single" w:color="000000" w:sz="8" w:space="0"/>
              <w:left w:val="single" w:color="000000" w:sz="8" w:space="0"/>
              <w:bottom w:val="single" w:color="000000" w:sz="8" w:space="0"/>
              <w:right w:val="single" w:color="000000" w:sz="8" w:space="0"/>
            </w:tcBorders>
            <w:vAlign w:val="center"/>
          </w:tcPr>
          <w:p w14:paraId="3A399699">
            <w:pPr>
              <w:pStyle w:val="34"/>
              <w:spacing w:beforeAutospacing="0" w:afterAutospacing="0" w:line="360" w:lineRule="auto"/>
              <w:ind w:firstLine="0"/>
              <w:jc w:val="center"/>
              <w:rPr>
                <w:rFonts w:hint="eastAsia" w:ascii="仿宋" w:hAnsi="仿宋" w:eastAsia="仿宋" w:cs="仿宋"/>
                <w:kern w:val="2"/>
                <w:sz w:val="24"/>
                <w:szCs w:val="24"/>
                <w:highlight w:val="none"/>
              </w:rPr>
            </w:pPr>
            <w:r>
              <w:rPr>
                <w:rFonts w:hint="eastAsia" w:ascii="仿宋" w:hAnsi="仿宋" w:eastAsia="仿宋" w:cs="仿宋"/>
                <w:sz w:val="24"/>
                <w:szCs w:val="24"/>
                <w:highlight w:val="none"/>
              </w:rPr>
              <w:t>参考ABB、霍尼韦尔、西门子等同档次品牌</w:t>
            </w:r>
          </w:p>
        </w:tc>
        <w:tc>
          <w:tcPr>
            <w:tcW w:w="986" w:type="pct"/>
            <w:vMerge w:val="continue"/>
            <w:tcBorders>
              <w:left w:val="single" w:color="000000" w:sz="8" w:space="0"/>
              <w:right w:val="single" w:color="000000" w:sz="8" w:space="0"/>
            </w:tcBorders>
            <w:vAlign w:val="center"/>
          </w:tcPr>
          <w:p w14:paraId="07E35FF4">
            <w:pPr>
              <w:spacing w:line="360" w:lineRule="auto"/>
              <w:rPr>
                <w:rFonts w:hint="eastAsia" w:ascii="仿宋" w:hAnsi="仿宋" w:eastAsia="仿宋" w:cs="仿宋"/>
                <w:szCs w:val="24"/>
                <w:highlight w:val="none"/>
              </w:rPr>
            </w:pPr>
          </w:p>
        </w:tc>
      </w:tr>
      <w:tr w14:paraId="36C6FE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2" w:hRule="atLeast"/>
          <w:jc w:val="center"/>
        </w:trPr>
        <w:tc>
          <w:tcPr>
            <w:tcW w:w="473" w:type="pct"/>
            <w:tcBorders>
              <w:top w:val="single" w:color="000000" w:sz="8" w:space="0"/>
              <w:left w:val="single" w:color="000000" w:sz="8" w:space="0"/>
              <w:bottom w:val="single" w:color="000000" w:sz="8" w:space="0"/>
              <w:right w:val="single" w:color="000000" w:sz="8" w:space="0"/>
            </w:tcBorders>
            <w:vAlign w:val="center"/>
          </w:tcPr>
          <w:p w14:paraId="7B2AD56C">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15</w:t>
            </w:r>
          </w:p>
        </w:tc>
        <w:tc>
          <w:tcPr>
            <w:tcW w:w="1169" w:type="pct"/>
            <w:tcBorders>
              <w:top w:val="single" w:color="000000" w:sz="8" w:space="0"/>
              <w:left w:val="single" w:color="000000" w:sz="8" w:space="0"/>
              <w:bottom w:val="single" w:color="000000" w:sz="8" w:space="0"/>
              <w:right w:val="single" w:color="000000" w:sz="8" w:space="0"/>
            </w:tcBorders>
            <w:vAlign w:val="center"/>
          </w:tcPr>
          <w:p w14:paraId="7D0F0884">
            <w:pPr>
              <w:pStyle w:val="34"/>
              <w:spacing w:beforeAutospacing="0" w:afterAutospacing="0" w:line="360" w:lineRule="auto"/>
              <w:ind w:firstLine="0"/>
              <w:jc w:val="center"/>
              <w:rPr>
                <w:rFonts w:hint="eastAsia" w:ascii="仿宋" w:hAnsi="仿宋" w:eastAsia="仿宋" w:cs="仿宋"/>
                <w:kern w:val="2"/>
                <w:sz w:val="24"/>
                <w:szCs w:val="24"/>
                <w:highlight w:val="none"/>
              </w:rPr>
            </w:pPr>
            <w:r>
              <w:rPr>
                <w:rFonts w:hint="eastAsia" w:ascii="仿宋" w:hAnsi="仿宋" w:eastAsia="仿宋" w:cs="仿宋"/>
                <w:sz w:val="24"/>
                <w:szCs w:val="24"/>
                <w:highlight w:val="none"/>
              </w:rPr>
              <w:t>电动开关阀</w:t>
            </w:r>
          </w:p>
        </w:tc>
        <w:tc>
          <w:tcPr>
            <w:tcW w:w="2370" w:type="pct"/>
            <w:tcBorders>
              <w:top w:val="single" w:color="000000" w:sz="8" w:space="0"/>
              <w:left w:val="single" w:color="000000" w:sz="8" w:space="0"/>
              <w:bottom w:val="single" w:color="000000" w:sz="8" w:space="0"/>
              <w:right w:val="single" w:color="000000" w:sz="8" w:space="0"/>
            </w:tcBorders>
            <w:vAlign w:val="center"/>
          </w:tcPr>
          <w:p w14:paraId="74E385A9">
            <w:pPr>
              <w:pStyle w:val="34"/>
              <w:spacing w:beforeAutospacing="0" w:afterAutospacing="0" w:line="360" w:lineRule="auto"/>
              <w:ind w:firstLine="0"/>
              <w:jc w:val="center"/>
              <w:rPr>
                <w:rFonts w:hint="eastAsia" w:ascii="仿宋" w:hAnsi="仿宋" w:eastAsia="仿宋" w:cs="仿宋"/>
                <w:kern w:val="2"/>
                <w:sz w:val="24"/>
                <w:szCs w:val="24"/>
                <w:highlight w:val="none"/>
              </w:rPr>
            </w:pPr>
            <w:r>
              <w:rPr>
                <w:rFonts w:hint="eastAsia" w:ascii="仿宋" w:hAnsi="仿宋" w:eastAsia="仿宋" w:cs="仿宋"/>
                <w:sz w:val="24"/>
                <w:szCs w:val="24"/>
                <w:highlight w:val="none"/>
              </w:rPr>
              <w:t>参考上海冠龙、天津贝尔德、江森自控等同档次品牌</w:t>
            </w:r>
          </w:p>
        </w:tc>
        <w:tc>
          <w:tcPr>
            <w:tcW w:w="986" w:type="pct"/>
            <w:vMerge w:val="continue"/>
            <w:tcBorders>
              <w:left w:val="single" w:color="000000" w:sz="8" w:space="0"/>
              <w:right w:val="single" w:color="000000" w:sz="8" w:space="0"/>
            </w:tcBorders>
            <w:vAlign w:val="center"/>
          </w:tcPr>
          <w:p w14:paraId="60F9BAAC">
            <w:pPr>
              <w:spacing w:line="360" w:lineRule="auto"/>
              <w:rPr>
                <w:rFonts w:hint="eastAsia" w:ascii="仿宋" w:hAnsi="仿宋" w:eastAsia="仿宋" w:cs="仿宋"/>
                <w:szCs w:val="24"/>
                <w:highlight w:val="none"/>
              </w:rPr>
            </w:pPr>
          </w:p>
        </w:tc>
      </w:tr>
      <w:tr w14:paraId="6AA668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2" w:hRule="atLeast"/>
          <w:jc w:val="center"/>
        </w:trPr>
        <w:tc>
          <w:tcPr>
            <w:tcW w:w="473" w:type="pct"/>
            <w:tcBorders>
              <w:top w:val="single" w:color="000000" w:sz="8" w:space="0"/>
              <w:left w:val="single" w:color="000000" w:sz="8" w:space="0"/>
              <w:bottom w:val="single" w:color="000000" w:sz="8" w:space="0"/>
              <w:right w:val="single" w:color="000000" w:sz="8" w:space="0"/>
            </w:tcBorders>
            <w:vAlign w:val="center"/>
          </w:tcPr>
          <w:p w14:paraId="7BECB855">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16</w:t>
            </w:r>
          </w:p>
        </w:tc>
        <w:tc>
          <w:tcPr>
            <w:tcW w:w="1169" w:type="pct"/>
            <w:tcBorders>
              <w:top w:val="single" w:color="000000" w:sz="8" w:space="0"/>
              <w:left w:val="single" w:color="000000" w:sz="8" w:space="0"/>
              <w:bottom w:val="single" w:color="000000" w:sz="8" w:space="0"/>
              <w:right w:val="single" w:color="000000" w:sz="8" w:space="0"/>
            </w:tcBorders>
            <w:vAlign w:val="center"/>
          </w:tcPr>
          <w:p w14:paraId="31760335">
            <w:pPr>
              <w:pStyle w:val="34"/>
              <w:spacing w:beforeAutospacing="0" w:afterAutospacing="0" w:line="360" w:lineRule="auto"/>
              <w:ind w:firstLine="0"/>
              <w:jc w:val="center"/>
              <w:rPr>
                <w:rFonts w:hint="eastAsia" w:ascii="仿宋" w:hAnsi="仿宋" w:eastAsia="仿宋" w:cs="仿宋"/>
                <w:kern w:val="2"/>
                <w:sz w:val="24"/>
                <w:szCs w:val="24"/>
                <w:highlight w:val="none"/>
              </w:rPr>
            </w:pPr>
            <w:r>
              <w:rPr>
                <w:rFonts w:hint="eastAsia" w:ascii="仿宋" w:hAnsi="仿宋" w:eastAsia="仿宋" w:cs="仿宋"/>
                <w:sz w:val="24"/>
                <w:szCs w:val="24"/>
                <w:highlight w:val="none"/>
              </w:rPr>
              <w:t>光伏组件</w:t>
            </w:r>
          </w:p>
        </w:tc>
        <w:tc>
          <w:tcPr>
            <w:tcW w:w="2370" w:type="pct"/>
            <w:tcBorders>
              <w:top w:val="single" w:color="000000" w:sz="8" w:space="0"/>
              <w:left w:val="single" w:color="000000" w:sz="8" w:space="0"/>
              <w:bottom w:val="single" w:color="000000" w:sz="8" w:space="0"/>
              <w:right w:val="single" w:color="000000" w:sz="8" w:space="0"/>
            </w:tcBorders>
            <w:vAlign w:val="center"/>
          </w:tcPr>
          <w:p w14:paraId="383C9C3D">
            <w:pPr>
              <w:pStyle w:val="34"/>
              <w:spacing w:beforeAutospacing="0" w:afterAutospacing="0" w:line="360" w:lineRule="auto"/>
              <w:ind w:firstLine="0"/>
              <w:jc w:val="center"/>
              <w:rPr>
                <w:rFonts w:hint="eastAsia" w:ascii="仿宋" w:hAnsi="仿宋" w:eastAsia="仿宋" w:cs="仿宋"/>
                <w:kern w:val="2"/>
                <w:sz w:val="24"/>
                <w:szCs w:val="24"/>
                <w:highlight w:val="none"/>
              </w:rPr>
            </w:pPr>
            <w:r>
              <w:rPr>
                <w:rFonts w:hint="eastAsia" w:ascii="仿宋" w:hAnsi="仿宋" w:eastAsia="仿宋" w:cs="仿宋"/>
                <w:sz w:val="24"/>
                <w:szCs w:val="24"/>
                <w:highlight w:val="none"/>
              </w:rPr>
              <w:t>天合、隆基、晶科等同档次品牌</w:t>
            </w:r>
          </w:p>
        </w:tc>
        <w:tc>
          <w:tcPr>
            <w:tcW w:w="986" w:type="pct"/>
            <w:vMerge w:val="continue"/>
            <w:tcBorders>
              <w:left w:val="single" w:color="000000" w:sz="8" w:space="0"/>
              <w:right w:val="single" w:color="000000" w:sz="8" w:space="0"/>
            </w:tcBorders>
            <w:vAlign w:val="center"/>
          </w:tcPr>
          <w:p w14:paraId="1FAB6CD1">
            <w:pPr>
              <w:spacing w:line="360" w:lineRule="auto"/>
              <w:rPr>
                <w:rFonts w:hint="eastAsia" w:ascii="仿宋" w:hAnsi="仿宋" w:eastAsia="仿宋" w:cs="仿宋"/>
                <w:szCs w:val="24"/>
                <w:highlight w:val="none"/>
              </w:rPr>
            </w:pPr>
          </w:p>
        </w:tc>
      </w:tr>
      <w:tr w14:paraId="14044D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87" w:hRule="atLeast"/>
          <w:jc w:val="center"/>
        </w:trPr>
        <w:tc>
          <w:tcPr>
            <w:tcW w:w="473" w:type="pct"/>
            <w:tcBorders>
              <w:top w:val="single" w:color="000000" w:sz="8" w:space="0"/>
              <w:left w:val="single" w:color="000000" w:sz="8" w:space="0"/>
              <w:bottom w:val="single" w:color="000000" w:sz="8" w:space="0"/>
              <w:right w:val="single" w:color="000000" w:sz="8" w:space="0"/>
            </w:tcBorders>
            <w:vAlign w:val="center"/>
          </w:tcPr>
          <w:p w14:paraId="030AC929">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17</w:t>
            </w:r>
          </w:p>
        </w:tc>
        <w:tc>
          <w:tcPr>
            <w:tcW w:w="1169" w:type="pct"/>
            <w:tcBorders>
              <w:top w:val="single" w:color="000000" w:sz="8" w:space="0"/>
              <w:left w:val="single" w:color="000000" w:sz="8" w:space="0"/>
              <w:bottom w:val="single" w:color="000000" w:sz="8" w:space="0"/>
              <w:right w:val="single" w:color="000000" w:sz="8" w:space="0"/>
            </w:tcBorders>
            <w:vAlign w:val="center"/>
          </w:tcPr>
          <w:p w14:paraId="4A56BE0B">
            <w:pPr>
              <w:pStyle w:val="34"/>
              <w:spacing w:beforeAutospacing="0" w:afterAutospacing="0" w:line="360" w:lineRule="auto"/>
              <w:ind w:firstLine="0"/>
              <w:jc w:val="center"/>
              <w:rPr>
                <w:rFonts w:hint="eastAsia" w:ascii="仿宋" w:hAnsi="仿宋" w:eastAsia="仿宋" w:cs="仿宋"/>
                <w:kern w:val="2"/>
                <w:sz w:val="24"/>
                <w:szCs w:val="24"/>
                <w:highlight w:val="none"/>
              </w:rPr>
            </w:pPr>
            <w:r>
              <w:rPr>
                <w:rFonts w:hint="eastAsia" w:ascii="仿宋" w:hAnsi="仿宋" w:eastAsia="仿宋" w:cs="仿宋"/>
                <w:sz w:val="24"/>
                <w:szCs w:val="24"/>
                <w:highlight w:val="none"/>
              </w:rPr>
              <w:t>光伏逆变器</w:t>
            </w:r>
          </w:p>
        </w:tc>
        <w:tc>
          <w:tcPr>
            <w:tcW w:w="2370" w:type="pct"/>
            <w:tcBorders>
              <w:top w:val="single" w:color="000000" w:sz="8" w:space="0"/>
              <w:left w:val="single" w:color="000000" w:sz="8" w:space="0"/>
              <w:bottom w:val="single" w:color="000000" w:sz="8" w:space="0"/>
              <w:right w:val="single" w:color="000000" w:sz="8" w:space="0"/>
            </w:tcBorders>
            <w:vAlign w:val="center"/>
          </w:tcPr>
          <w:p w14:paraId="169C7E45">
            <w:pPr>
              <w:pStyle w:val="34"/>
              <w:spacing w:beforeAutospacing="0" w:afterAutospacing="0" w:line="360" w:lineRule="auto"/>
              <w:ind w:firstLine="0"/>
              <w:jc w:val="center"/>
              <w:rPr>
                <w:rFonts w:hint="eastAsia" w:ascii="仿宋" w:hAnsi="仿宋" w:eastAsia="仿宋" w:cs="仿宋"/>
                <w:kern w:val="2"/>
                <w:sz w:val="24"/>
                <w:szCs w:val="24"/>
                <w:highlight w:val="none"/>
              </w:rPr>
            </w:pPr>
            <w:r>
              <w:rPr>
                <w:rFonts w:hint="eastAsia" w:ascii="仿宋" w:hAnsi="仿宋" w:eastAsia="仿宋" w:cs="仿宋"/>
                <w:sz w:val="24"/>
                <w:szCs w:val="24"/>
                <w:highlight w:val="none"/>
              </w:rPr>
              <w:t>华为、阳光电源、锦浪等同档次品牌</w:t>
            </w:r>
          </w:p>
        </w:tc>
        <w:tc>
          <w:tcPr>
            <w:tcW w:w="986" w:type="pct"/>
            <w:vMerge w:val="continue"/>
            <w:tcBorders>
              <w:left w:val="single" w:color="000000" w:sz="8" w:space="0"/>
              <w:right w:val="single" w:color="000000" w:sz="8" w:space="0"/>
            </w:tcBorders>
            <w:vAlign w:val="center"/>
          </w:tcPr>
          <w:p w14:paraId="652692AB">
            <w:pPr>
              <w:spacing w:line="360" w:lineRule="auto"/>
              <w:rPr>
                <w:rFonts w:hint="eastAsia" w:ascii="仿宋" w:hAnsi="仿宋" w:eastAsia="仿宋" w:cs="仿宋"/>
                <w:szCs w:val="24"/>
                <w:highlight w:val="none"/>
              </w:rPr>
            </w:pPr>
          </w:p>
        </w:tc>
      </w:tr>
      <w:tr w14:paraId="0160E4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2" w:hRule="atLeast"/>
          <w:jc w:val="center"/>
        </w:trPr>
        <w:tc>
          <w:tcPr>
            <w:tcW w:w="473" w:type="pct"/>
            <w:vAlign w:val="center"/>
          </w:tcPr>
          <w:p w14:paraId="7C62180D">
            <w:pPr>
              <w:pStyle w:val="34"/>
              <w:spacing w:beforeAutospacing="0" w:afterAutospacing="0" w:line="36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18</w:t>
            </w:r>
          </w:p>
        </w:tc>
        <w:tc>
          <w:tcPr>
            <w:tcW w:w="1169" w:type="pct"/>
            <w:vAlign w:val="center"/>
          </w:tcPr>
          <w:p w14:paraId="649A54D0">
            <w:pPr>
              <w:pStyle w:val="34"/>
              <w:spacing w:beforeAutospacing="0" w:afterAutospacing="0" w:line="360" w:lineRule="auto"/>
              <w:ind w:firstLine="0"/>
              <w:jc w:val="center"/>
              <w:rPr>
                <w:rFonts w:hint="eastAsia" w:ascii="仿宋" w:hAnsi="仿宋" w:eastAsia="仿宋" w:cs="仿宋"/>
                <w:kern w:val="2"/>
                <w:sz w:val="24"/>
                <w:szCs w:val="24"/>
                <w:highlight w:val="none"/>
              </w:rPr>
            </w:pPr>
            <w:r>
              <w:rPr>
                <w:rFonts w:hint="eastAsia" w:ascii="仿宋" w:hAnsi="仿宋" w:eastAsia="仿宋" w:cs="仿宋"/>
                <w:sz w:val="24"/>
                <w:szCs w:val="24"/>
                <w:highlight w:val="none"/>
              </w:rPr>
              <w:t>光伏并网柜</w:t>
            </w:r>
          </w:p>
        </w:tc>
        <w:tc>
          <w:tcPr>
            <w:tcW w:w="2370" w:type="pct"/>
            <w:vAlign w:val="center"/>
          </w:tcPr>
          <w:p w14:paraId="39D2211F">
            <w:pPr>
              <w:pStyle w:val="34"/>
              <w:spacing w:beforeAutospacing="0" w:afterAutospacing="0" w:line="360" w:lineRule="auto"/>
              <w:ind w:firstLine="0"/>
              <w:jc w:val="center"/>
              <w:rPr>
                <w:rFonts w:hint="eastAsia" w:ascii="仿宋" w:hAnsi="仿宋" w:eastAsia="仿宋" w:cs="仿宋"/>
                <w:kern w:val="2"/>
                <w:sz w:val="24"/>
                <w:szCs w:val="24"/>
                <w:highlight w:val="none"/>
              </w:rPr>
            </w:pPr>
            <w:r>
              <w:rPr>
                <w:rFonts w:hint="eastAsia" w:ascii="仿宋" w:hAnsi="仿宋" w:eastAsia="仿宋" w:cs="仿宋"/>
                <w:sz w:val="24"/>
                <w:szCs w:val="24"/>
                <w:highlight w:val="none"/>
              </w:rPr>
              <w:t>参考德力西、施耐德、正泰等同档次品牌</w:t>
            </w:r>
          </w:p>
        </w:tc>
        <w:tc>
          <w:tcPr>
            <w:tcW w:w="986" w:type="pct"/>
            <w:vMerge w:val="continue"/>
            <w:tcBorders>
              <w:left w:val="single" w:color="000000" w:sz="8" w:space="0"/>
              <w:right w:val="single" w:color="000000" w:sz="8" w:space="0"/>
            </w:tcBorders>
          </w:tcPr>
          <w:p w14:paraId="7C9A0466">
            <w:pPr>
              <w:spacing w:line="360" w:lineRule="auto"/>
              <w:rPr>
                <w:rFonts w:hint="eastAsia" w:ascii="仿宋" w:hAnsi="仿宋" w:eastAsia="仿宋" w:cs="仿宋"/>
                <w:szCs w:val="24"/>
                <w:highlight w:val="none"/>
              </w:rPr>
            </w:pPr>
          </w:p>
        </w:tc>
      </w:tr>
    </w:tbl>
    <w:p w14:paraId="2050FE46">
      <w:pPr>
        <w:spacing w:line="360" w:lineRule="auto"/>
        <w:ind w:firstLine="422"/>
        <w:rPr>
          <w:rFonts w:hint="eastAsia" w:ascii="仿宋" w:hAnsi="仿宋" w:eastAsia="仿宋" w:cs="仿宋"/>
          <w:b/>
          <w:bCs/>
          <w:highlight w:val="none"/>
        </w:rPr>
      </w:pPr>
      <w:r>
        <w:rPr>
          <w:rFonts w:hint="eastAsia" w:ascii="仿宋" w:hAnsi="仿宋" w:eastAsia="仿宋" w:cs="仿宋"/>
          <w:b/>
          <w:bCs/>
          <w:highlight w:val="none"/>
        </w:rPr>
        <w:t>5.</w:t>
      </w:r>
      <w:r>
        <w:rPr>
          <w:rFonts w:hint="eastAsia" w:ascii="仿宋" w:hAnsi="仿宋" w:eastAsia="仿宋" w:cs="仿宋"/>
          <w:b/>
          <w:bCs/>
          <w:highlight w:val="none"/>
          <w:lang w:val="en-US" w:eastAsia="zh-CN"/>
        </w:rPr>
        <w:t>4</w:t>
      </w:r>
      <w:r>
        <w:rPr>
          <w:rFonts w:hint="eastAsia" w:ascii="仿宋" w:hAnsi="仿宋" w:eastAsia="仿宋" w:cs="仿宋"/>
          <w:b/>
          <w:bCs/>
          <w:highlight w:val="none"/>
        </w:rPr>
        <w:t>节能改造项目具体要求</w:t>
      </w:r>
    </w:p>
    <w:p w14:paraId="31C851A0">
      <w:pPr>
        <w:spacing w:line="360" w:lineRule="auto"/>
        <w:ind w:firstLine="420"/>
        <w:rPr>
          <w:rFonts w:hint="eastAsia" w:ascii="仿宋" w:hAnsi="仿宋" w:eastAsia="仿宋" w:cs="仿宋"/>
          <w:highlight w:val="none"/>
        </w:rPr>
      </w:pPr>
      <w:r>
        <w:rPr>
          <w:rFonts w:hint="eastAsia" w:ascii="仿宋" w:hAnsi="仿宋" w:eastAsia="仿宋" w:cs="仿宋"/>
          <w:highlight w:val="none"/>
        </w:rPr>
        <w:t>5.</w:t>
      </w:r>
      <w:r>
        <w:rPr>
          <w:rFonts w:hint="eastAsia" w:ascii="仿宋" w:hAnsi="仿宋" w:eastAsia="仿宋" w:cs="仿宋"/>
          <w:highlight w:val="none"/>
          <w:lang w:val="en-US" w:eastAsia="zh-CN"/>
        </w:rPr>
        <w:t>4</w:t>
      </w:r>
      <w:r>
        <w:rPr>
          <w:rFonts w:hint="eastAsia" w:ascii="仿宋" w:hAnsi="仿宋" w:eastAsia="仿宋" w:cs="仿宋"/>
          <w:highlight w:val="none"/>
        </w:rPr>
        <w:t>.1 高效冷站系统建设</w:t>
      </w:r>
    </w:p>
    <w:p w14:paraId="07AF356C">
      <w:pPr>
        <w:spacing w:line="360" w:lineRule="auto"/>
        <w:ind w:firstLine="420"/>
        <w:rPr>
          <w:rFonts w:hint="eastAsia" w:ascii="仿宋" w:hAnsi="仿宋" w:eastAsia="仿宋" w:cs="仿宋"/>
          <w:highlight w:val="none"/>
        </w:rPr>
      </w:pPr>
      <w:r>
        <w:rPr>
          <w:rFonts w:hint="eastAsia" w:ascii="仿宋" w:hAnsi="仿宋" w:eastAsia="仿宋" w:cs="仿宋"/>
          <w:highlight w:val="none"/>
        </w:rPr>
        <w:t>根据医院中央空调冷源系统现状情况及节能目标需求，按高效能源站思路改造建设高效冷站，改造后冷站综合运行能效EER≥4.5，改造后，空调制冷效率大幅提升，降低系统运行费用，节约供冷用能成本。</w:t>
      </w:r>
    </w:p>
    <w:p w14:paraId="74ECC23D">
      <w:pPr>
        <w:spacing w:line="360" w:lineRule="auto"/>
        <w:ind w:firstLine="420"/>
        <w:rPr>
          <w:rFonts w:hint="eastAsia" w:ascii="仿宋" w:hAnsi="仿宋" w:eastAsia="仿宋" w:cs="仿宋"/>
          <w:highlight w:val="none"/>
          <w:lang w:val="en-US" w:eastAsia="zh-CN"/>
        </w:rPr>
      </w:pPr>
      <w:r>
        <w:rPr>
          <w:rFonts w:hint="eastAsia" w:ascii="仿宋" w:hAnsi="仿宋" w:eastAsia="仿宋" w:cs="仿宋"/>
          <w:highlight w:val="none"/>
        </w:rPr>
        <w:t>新更换中央空调机房</w:t>
      </w:r>
      <w:r>
        <w:rPr>
          <w:rFonts w:hint="eastAsia" w:ascii="仿宋" w:hAnsi="仿宋" w:eastAsia="仿宋" w:cs="仿宋"/>
          <w:szCs w:val="24"/>
          <w:highlight w:val="none"/>
        </w:rPr>
        <w:t>至少两台高效磁悬浮冷水机组</w:t>
      </w:r>
      <w:r>
        <w:rPr>
          <w:rFonts w:hint="eastAsia" w:ascii="仿宋" w:hAnsi="仿宋" w:eastAsia="仿宋" w:cs="仿宋"/>
          <w:highlight w:val="none"/>
        </w:rPr>
        <w:t>，单台主机制冷容量≥1055KW（300RT），管网优化改造，负责整个冷源系统、配电、控制及相关配套设施的安装、施工、调试等（包括破墙及恢复等拆装费用）</w:t>
      </w:r>
      <w:r>
        <w:rPr>
          <w:rFonts w:hint="eastAsia" w:ascii="仿宋" w:hAnsi="仿宋" w:eastAsia="仿宋" w:cs="仿宋"/>
          <w:highlight w:val="none"/>
          <w:lang w:eastAsia="zh-CN"/>
        </w:rPr>
        <w:t>，</w:t>
      </w:r>
      <w:r>
        <w:rPr>
          <w:rFonts w:hint="eastAsia" w:ascii="仿宋" w:hAnsi="仿宋" w:eastAsia="仿宋" w:cs="仿宋"/>
          <w:highlight w:val="none"/>
          <w:lang w:val="en-US" w:eastAsia="zh-CN"/>
        </w:rPr>
        <w:t>以及旧设备搬运至院方指定院内地点。</w:t>
      </w:r>
    </w:p>
    <w:p w14:paraId="050D86B3">
      <w:pPr>
        <w:spacing w:line="360" w:lineRule="auto"/>
        <w:ind w:firstLine="420"/>
        <w:rPr>
          <w:rFonts w:hint="eastAsia" w:ascii="仿宋" w:hAnsi="仿宋" w:eastAsia="仿宋" w:cs="仿宋"/>
          <w:highlight w:val="none"/>
        </w:rPr>
      </w:pPr>
      <w:r>
        <w:rPr>
          <w:rFonts w:hint="eastAsia" w:ascii="仿宋" w:hAnsi="仿宋" w:eastAsia="仿宋" w:cs="仿宋"/>
          <w:highlight w:val="none"/>
        </w:rPr>
        <w:t>对医院新改造的中央空调设备建设中央空调节能控制系统，增加传感器、电动阀，能量计，电表，控制柜，对中央空调机房实现全方位线上监管体系，可监控系统设备智能化运行，智能控制空调主机、冷冻水泵、冷却水泵和冷却塔等之间的运行状态，确保中央空调主机、冷冻水系统、冷却水系统和冷却塔风机等全系统协调运行和综合性能优化，在不改变医院舒适度的情况下，降低空调能耗。要求运行数据实时采集和状态实时监测控制，包括电能和热能计量、能耗统计、群控系统能效计算、分析与记录，包括系统EER、主机COP、水泵输送系数、冷却塔散热系数等。负责整个群控系统及相关配套设施的安装、施工、调试等。</w:t>
      </w:r>
    </w:p>
    <w:p w14:paraId="421E3384">
      <w:pPr>
        <w:spacing w:line="360" w:lineRule="auto"/>
        <w:ind w:firstLine="420"/>
        <w:rPr>
          <w:rFonts w:hint="eastAsia" w:ascii="仿宋" w:hAnsi="仿宋" w:eastAsia="仿宋" w:cs="仿宋"/>
          <w:highlight w:val="none"/>
        </w:rPr>
      </w:pPr>
      <w:r>
        <w:rPr>
          <w:rFonts w:hint="eastAsia" w:ascii="仿宋" w:hAnsi="仿宋" w:eastAsia="仿宋" w:cs="仿宋"/>
          <w:highlight w:val="none"/>
        </w:rPr>
        <w:t>5.</w:t>
      </w:r>
      <w:r>
        <w:rPr>
          <w:rFonts w:hint="eastAsia" w:ascii="仿宋" w:hAnsi="仿宋" w:eastAsia="仿宋" w:cs="仿宋"/>
          <w:highlight w:val="none"/>
          <w:lang w:val="en-US" w:eastAsia="zh-CN"/>
        </w:rPr>
        <w:t>4</w:t>
      </w:r>
      <w:r>
        <w:rPr>
          <w:rFonts w:hint="eastAsia" w:ascii="仿宋" w:hAnsi="仿宋" w:eastAsia="仿宋" w:cs="仿宋"/>
          <w:highlight w:val="none"/>
        </w:rPr>
        <w:t>.2 采暖系统改造</w:t>
      </w:r>
    </w:p>
    <w:p w14:paraId="231C261B">
      <w:pPr>
        <w:spacing w:line="360" w:lineRule="auto"/>
        <w:ind w:firstLine="420"/>
        <w:rPr>
          <w:rFonts w:hint="eastAsia" w:ascii="仿宋" w:hAnsi="仿宋" w:eastAsia="仿宋" w:cs="仿宋"/>
          <w:highlight w:val="none"/>
          <w:lang w:eastAsia="zh-CN"/>
        </w:rPr>
      </w:pPr>
      <w:r>
        <w:rPr>
          <w:rFonts w:hint="eastAsia" w:ascii="仿宋" w:hAnsi="仿宋" w:eastAsia="仿宋" w:cs="仿宋"/>
          <w:highlight w:val="none"/>
        </w:rPr>
        <w:t>将现有采暖系统老旧管壳式换热器更换为组合式板式换热器，板式换热器带自动控制系统和气候补偿装置，制热容量不小于2600kW，需对冷凝水进行回收，并在信息智慧平台对必要的参数进行监测，负责整个采暖系统及对应配套配电、控制及相关管路等的安装、施工及调试等</w:t>
      </w:r>
      <w:r>
        <w:rPr>
          <w:rFonts w:hint="eastAsia" w:ascii="仿宋" w:hAnsi="仿宋" w:eastAsia="仿宋" w:cs="仿宋"/>
          <w:highlight w:val="none"/>
          <w:lang w:eastAsia="zh-CN"/>
        </w:rPr>
        <w:t>，</w:t>
      </w:r>
      <w:r>
        <w:rPr>
          <w:rFonts w:hint="eastAsia" w:ascii="仿宋" w:hAnsi="仿宋" w:eastAsia="仿宋" w:cs="仿宋"/>
          <w:highlight w:val="none"/>
          <w:lang w:val="en-US" w:eastAsia="zh-CN"/>
        </w:rPr>
        <w:t>以及旧设备搬运至院方指定院内地点。</w:t>
      </w:r>
    </w:p>
    <w:p w14:paraId="553989EB">
      <w:pPr>
        <w:spacing w:line="360" w:lineRule="auto"/>
        <w:ind w:firstLine="420"/>
        <w:rPr>
          <w:rFonts w:hint="eastAsia" w:ascii="仿宋" w:hAnsi="仿宋" w:eastAsia="仿宋" w:cs="仿宋"/>
          <w:highlight w:val="none"/>
        </w:rPr>
      </w:pPr>
      <w:r>
        <w:rPr>
          <w:rFonts w:hint="eastAsia" w:ascii="仿宋" w:hAnsi="仿宋" w:eastAsia="仿宋" w:cs="仿宋"/>
          <w:highlight w:val="none"/>
        </w:rPr>
        <w:t>5.</w:t>
      </w:r>
      <w:r>
        <w:rPr>
          <w:rFonts w:hint="eastAsia" w:ascii="仿宋" w:hAnsi="仿宋" w:eastAsia="仿宋" w:cs="仿宋"/>
          <w:highlight w:val="none"/>
          <w:lang w:val="en-US" w:eastAsia="zh-CN"/>
        </w:rPr>
        <w:t>4</w:t>
      </w:r>
      <w:r>
        <w:rPr>
          <w:rFonts w:hint="eastAsia" w:ascii="仿宋" w:hAnsi="仿宋" w:eastAsia="仿宋" w:cs="仿宋"/>
          <w:highlight w:val="none"/>
        </w:rPr>
        <w:t>.3 生活热水系统改造</w:t>
      </w:r>
    </w:p>
    <w:p w14:paraId="2E1615D2">
      <w:pPr>
        <w:spacing w:line="360" w:lineRule="auto"/>
        <w:ind w:firstLine="420"/>
        <w:rPr>
          <w:rFonts w:hint="eastAsia" w:ascii="仿宋" w:hAnsi="仿宋" w:eastAsia="仿宋" w:cs="仿宋"/>
          <w:highlight w:val="none"/>
          <w:lang w:val="en-US" w:eastAsia="zh-CN"/>
        </w:rPr>
      </w:pPr>
      <w:r>
        <w:rPr>
          <w:rFonts w:hint="eastAsia" w:ascii="仿宋" w:hAnsi="仿宋" w:eastAsia="仿宋" w:cs="仿宋"/>
          <w:highlight w:val="none"/>
        </w:rPr>
        <w:t>将现生活热水系统的老容积式换热器更换为组合式板式换热器，换热器带自动控制系统，制热供水容量需满足现有供应要求，预估1号楼手术室制热容量不小于400kW，配套一个3m³储热水罐；1号楼6-11F病房制热容量不小于700kW，配套一个6m³储热水罐；3号楼1-6F制热容量不小于700kW，配套一个6m³储热水罐。具备条件的1号楼生活热水系统需进行冷凝水回收，并在信息智慧平台对必要的参数进行监测，负责整个采暖系统及对应配套配电、控制及相关管路等的安装、施工及调试等</w:t>
      </w:r>
      <w:r>
        <w:rPr>
          <w:rFonts w:hint="eastAsia" w:ascii="仿宋" w:hAnsi="仿宋" w:eastAsia="仿宋" w:cs="仿宋"/>
          <w:highlight w:val="none"/>
          <w:lang w:eastAsia="zh-CN"/>
        </w:rPr>
        <w:t>，</w:t>
      </w:r>
      <w:r>
        <w:rPr>
          <w:rFonts w:hint="eastAsia" w:ascii="仿宋" w:hAnsi="仿宋" w:eastAsia="仿宋" w:cs="仿宋"/>
          <w:highlight w:val="none"/>
          <w:lang w:val="en-US" w:eastAsia="zh-CN"/>
        </w:rPr>
        <w:t>以及旧设备搬运至院方指定院内地点。</w:t>
      </w:r>
    </w:p>
    <w:p w14:paraId="24666695">
      <w:pPr>
        <w:spacing w:line="360" w:lineRule="auto"/>
        <w:ind w:firstLine="420"/>
        <w:rPr>
          <w:rFonts w:hint="eastAsia" w:ascii="仿宋" w:hAnsi="仿宋" w:eastAsia="仿宋" w:cs="仿宋"/>
          <w:highlight w:val="none"/>
        </w:rPr>
      </w:pPr>
      <w:r>
        <w:rPr>
          <w:rFonts w:hint="eastAsia" w:ascii="仿宋" w:hAnsi="仿宋" w:eastAsia="仿宋" w:cs="仿宋"/>
          <w:highlight w:val="none"/>
        </w:rPr>
        <w:t>5.</w:t>
      </w:r>
      <w:r>
        <w:rPr>
          <w:rFonts w:hint="eastAsia" w:ascii="仿宋" w:hAnsi="仿宋" w:eastAsia="仿宋" w:cs="仿宋"/>
          <w:highlight w:val="none"/>
          <w:lang w:val="en-US" w:eastAsia="zh-CN"/>
        </w:rPr>
        <w:t>4</w:t>
      </w:r>
      <w:r>
        <w:rPr>
          <w:rFonts w:hint="eastAsia" w:ascii="仿宋" w:hAnsi="仿宋" w:eastAsia="仿宋" w:cs="仿宋"/>
          <w:highlight w:val="none"/>
        </w:rPr>
        <w:t>.4照明系统改造</w:t>
      </w:r>
    </w:p>
    <w:p w14:paraId="26439D79">
      <w:pPr>
        <w:spacing w:line="360" w:lineRule="auto"/>
        <w:ind w:firstLine="420"/>
        <w:rPr>
          <w:rFonts w:hint="eastAsia" w:ascii="仿宋" w:hAnsi="仿宋" w:eastAsia="仿宋" w:cs="仿宋"/>
          <w:highlight w:val="none"/>
        </w:rPr>
      </w:pPr>
      <w:r>
        <w:rPr>
          <w:rFonts w:hint="eastAsia" w:ascii="仿宋" w:hAnsi="仿宋" w:eastAsia="仿宋" w:cs="仿宋"/>
          <w:highlight w:val="none"/>
        </w:rPr>
        <w:t>将全院不节能灯更换为节能LED灯，部分光照不够地方增加LED灯，不少于100处，提高照明系统能效水平，节约用电消耗。</w:t>
      </w:r>
    </w:p>
    <w:p w14:paraId="4E5D598D">
      <w:pPr>
        <w:spacing w:line="360" w:lineRule="auto"/>
        <w:ind w:firstLine="420"/>
        <w:rPr>
          <w:rFonts w:hint="eastAsia" w:ascii="仿宋" w:hAnsi="仿宋" w:eastAsia="仿宋" w:cs="仿宋"/>
          <w:highlight w:val="none"/>
        </w:rPr>
      </w:pPr>
      <w:r>
        <w:rPr>
          <w:rFonts w:hint="eastAsia" w:ascii="仿宋" w:hAnsi="仿宋" w:eastAsia="仿宋" w:cs="仿宋"/>
          <w:highlight w:val="none"/>
        </w:rPr>
        <w:t>5.</w:t>
      </w:r>
      <w:r>
        <w:rPr>
          <w:rFonts w:hint="eastAsia" w:ascii="仿宋" w:hAnsi="仿宋" w:eastAsia="仿宋" w:cs="仿宋"/>
          <w:highlight w:val="none"/>
          <w:lang w:val="en-US" w:eastAsia="zh-CN"/>
        </w:rPr>
        <w:t>4</w:t>
      </w:r>
      <w:r>
        <w:rPr>
          <w:rFonts w:hint="eastAsia" w:ascii="仿宋" w:hAnsi="仿宋" w:eastAsia="仿宋" w:cs="仿宋"/>
          <w:highlight w:val="none"/>
        </w:rPr>
        <w:t>.5节水改造</w:t>
      </w:r>
    </w:p>
    <w:p w14:paraId="64C5E073">
      <w:pPr>
        <w:spacing w:line="360" w:lineRule="auto"/>
        <w:ind w:firstLine="420"/>
        <w:rPr>
          <w:rFonts w:hint="eastAsia" w:ascii="仿宋" w:hAnsi="仿宋" w:eastAsia="仿宋" w:cs="仿宋"/>
          <w:highlight w:val="none"/>
        </w:rPr>
      </w:pPr>
      <w:r>
        <w:rPr>
          <w:rFonts w:hint="eastAsia" w:ascii="仿宋" w:hAnsi="仿宋" w:eastAsia="仿宋" w:cs="仿宋"/>
          <w:highlight w:val="none"/>
        </w:rPr>
        <w:t>对医院目前常规用水点位设置节水起泡器，不少于260个点位，提高医院节水效率。</w:t>
      </w:r>
    </w:p>
    <w:p w14:paraId="68C24CB5">
      <w:pPr>
        <w:spacing w:line="360" w:lineRule="auto"/>
        <w:ind w:firstLine="420"/>
        <w:rPr>
          <w:rFonts w:hint="eastAsia" w:ascii="仿宋" w:hAnsi="仿宋" w:eastAsia="仿宋" w:cs="仿宋"/>
          <w:highlight w:val="none"/>
        </w:rPr>
      </w:pPr>
      <w:r>
        <w:rPr>
          <w:rFonts w:hint="eastAsia" w:ascii="仿宋" w:hAnsi="仿宋" w:eastAsia="仿宋" w:cs="仿宋"/>
          <w:highlight w:val="none"/>
        </w:rPr>
        <w:t>5.</w:t>
      </w:r>
      <w:r>
        <w:rPr>
          <w:rFonts w:hint="eastAsia" w:ascii="仿宋" w:hAnsi="仿宋" w:eastAsia="仿宋" w:cs="仿宋"/>
          <w:highlight w:val="none"/>
          <w:lang w:val="en-US" w:eastAsia="zh-CN"/>
        </w:rPr>
        <w:t>4</w:t>
      </w:r>
      <w:r>
        <w:rPr>
          <w:rFonts w:hint="eastAsia" w:ascii="仿宋" w:hAnsi="仿宋" w:eastAsia="仿宋" w:cs="仿宋"/>
          <w:highlight w:val="none"/>
        </w:rPr>
        <w:t>.</w:t>
      </w:r>
      <w:r>
        <w:rPr>
          <w:rFonts w:hint="eastAsia" w:ascii="仿宋" w:hAnsi="仿宋" w:eastAsia="仿宋" w:cs="仿宋"/>
          <w:highlight w:val="none"/>
          <w:lang w:val="en-US" w:eastAsia="zh-CN"/>
        </w:rPr>
        <w:t>6</w:t>
      </w:r>
      <w:r>
        <w:rPr>
          <w:rFonts w:hint="eastAsia" w:ascii="仿宋" w:hAnsi="仿宋" w:eastAsia="仿宋" w:cs="仿宋"/>
          <w:highlight w:val="none"/>
        </w:rPr>
        <w:t>末端空调控制系统建设</w:t>
      </w:r>
    </w:p>
    <w:p w14:paraId="0EEF96F9">
      <w:pPr>
        <w:spacing w:line="360" w:lineRule="auto"/>
        <w:ind w:firstLine="420"/>
        <w:rPr>
          <w:rFonts w:hint="eastAsia" w:ascii="仿宋" w:hAnsi="仿宋" w:eastAsia="仿宋" w:cs="仿宋"/>
          <w:highlight w:val="none"/>
        </w:rPr>
      </w:pPr>
      <w:r>
        <w:rPr>
          <w:rFonts w:hint="eastAsia" w:ascii="仿宋" w:hAnsi="仿宋" w:eastAsia="仿宋" w:cs="仿宋"/>
          <w:highlight w:val="none"/>
        </w:rPr>
        <w:t>①门诊区域风机盘管建设智能面板控制系统，进行远程集中管控，不少于300处；</w:t>
      </w:r>
    </w:p>
    <w:p w14:paraId="43B4E679">
      <w:pPr>
        <w:spacing w:line="360" w:lineRule="auto"/>
        <w:ind w:firstLine="420"/>
        <w:rPr>
          <w:rFonts w:hint="eastAsia" w:ascii="仿宋" w:hAnsi="仿宋" w:eastAsia="仿宋" w:cs="仿宋"/>
          <w:highlight w:val="none"/>
        </w:rPr>
      </w:pPr>
      <w:r>
        <w:rPr>
          <w:rFonts w:hint="eastAsia" w:ascii="仿宋" w:hAnsi="仿宋" w:eastAsia="仿宋" w:cs="仿宋"/>
          <w:highlight w:val="none"/>
        </w:rPr>
        <w:t>②非病房区域且集中的多联机建设集中控制系统，实现远程调控、定时开关功能，不少于20台；</w:t>
      </w:r>
    </w:p>
    <w:p w14:paraId="49766064">
      <w:pPr>
        <w:spacing w:line="360" w:lineRule="auto"/>
        <w:ind w:firstLine="420"/>
        <w:rPr>
          <w:rFonts w:hint="eastAsia" w:ascii="仿宋" w:hAnsi="仿宋" w:eastAsia="仿宋" w:cs="仿宋"/>
          <w:highlight w:val="none"/>
        </w:rPr>
      </w:pPr>
      <w:r>
        <w:rPr>
          <w:rFonts w:hint="eastAsia" w:ascii="仿宋" w:hAnsi="仿宋" w:eastAsia="仿宋" w:cs="仿宋"/>
          <w:highlight w:val="none"/>
        </w:rPr>
        <w:t>5.</w:t>
      </w:r>
      <w:r>
        <w:rPr>
          <w:rFonts w:hint="eastAsia" w:ascii="仿宋" w:hAnsi="仿宋" w:eastAsia="仿宋" w:cs="仿宋"/>
          <w:highlight w:val="none"/>
          <w:lang w:val="en-US" w:eastAsia="zh-CN"/>
        </w:rPr>
        <w:t>4</w:t>
      </w:r>
      <w:r>
        <w:rPr>
          <w:rFonts w:hint="eastAsia" w:ascii="仿宋" w:hAnsi="仿宋" w:eastAsia="仿宋" w:cs="仿宋"/>
          <w:highlight w:val="none"/>
        </w:rPr>
        <w:t>.</w:t>
      </w:r>
      <w:r>
        <w:rPr>
          <w:rFonts w:hint="eastAsia" w:ascii="仿宋" w:hAnsi="仿宋" w:eastAsia="仿宋" w:cs="仿宋"/>
          <w:highlight w:val="none"/>
          <w:lang w:val="en-US" w:eastAsia="zh-CN"/>
        </w:rPr>
        <w:t>7</w:t>
      </w:r>
      <w:r>
        <w:rPr>
          <w:rFonts w:hint="eastAsia" w:ascii="仿宋" w:hAnsi="仿宋" w:eastAsia="仿宋" w:cs="仿宋"/>
          <w:highlight w:val="none"/>
        </w:rPr>
        <w:t xml:space="preserve"> 光储充系统建设</w:t>
      </w:r>
    </w:p>
    <w:p w14:paraId="276211B0">
      <w:pPr>
        <w:spacing w:line="360" w:lineRule="auto"/>
        <w:ind w:firstLine="420"/>
        <w:rPr>
          <w:rFonts w:hint="eastAsia" w:ascii="仿宋" w:hAnsi="仿宋" w:eastAsia="仿宋" w:cs="仿宋"/>
          <w:highlight w:val="none"/>
        </w:rPr>
      </w:pPr>
      <w:r>
        <w:rPr>
          <w:rFonts w:hint="eastAsia" w:ascii="仿宋" w:hAnsi="仿宋" w:eastAsia="仿宋" w:cs="仿宋"/>
          <w:highlight w:val="none"/>
        </w:rPr>
        <w:t>利用医院南边2180平停车区建设光伏车棚和康复中心816平建设屋顶光伏并并网，光伏安装容量不少于500kWp，康复中心屋顶光伏建设前需对结构、防水保护方案复核，论证可行后方可实施；并配套建设</w:t>
      </w:r>
      <w:r>
        <w:rPr>
          <w:rFonts w:hint="eastAsia" w:ascii="仿宋" w:hAnsi="仿宋" w:eastAsia="仿宋" w:cs="仿宋"/>
          <w:highlight w:val="yellow"/>
        </w:rPr>
        <w:t>2</w:t>
      </w:r>
      <w:r>
        <w:rPr>
          <w:rFonts w:hint="eastAsia" w:ascii="仿宋" w:hAnsi="仿宋" w:eastAsia="仿宋" w:cs="仿宋"/>
          <w:highlight w:val="yellow"/>
          <w:lang w:val="en-US" w:eastAsia="zh-CN"/>
        </w:rPr>
        <w:t>*</w:t>
      </w:r>
      <w:r>
        <w:rPr>
          <w:rFonts w:hint="eastAsia" w:ascii="仿宋" w:hAnsi="仿宋" w:eastAsia="仿宋" w:cs="仿宋"/>
          <w:highlight w:val="yellow"/>
        </w:rPr>
        <w:t>60kW</w:t>
      </w:r>
      <w:r>
        <w:rPr>
          <w:rFonts w:hint="eastAsia" w:ascii="仿宋" w:hAnsi="仿宋" w:eastAsia="仿宋" w:cs="仿宋"/>
          <w:highlight w:val="none"/>
        </w:rPr>
        <w:t>直流快充和4台7kW直流慢充和配套不小于</w:t>
      </w:r>
      <w:r>
        <w:rPr>
          <w:rFonts w:hint="eastAsia" w:ascii="仿宋" w:hAnsi="仿宋" w:eastAsia="仿宋" w:cs="仿宋"/>
          <w:highlight w:val="yellow"/>
        </w:rPr>
        <w:t>125kW/2</w:t>
      </w:r>
      <w:r>
        <w:rPr>
          <w:rFonts w:hint="eastAsia" w:ascii="仿宋" w:hAnsi="仿宋" w:eastAsia="仿宋" w:cs="仿宋"/>
          <w:highlight w:val="yellow"/>
          <w:lang w:val="en-US" w:eastAsia="zh-CN"/>
        </w:rPr>
        <w:t>50</w:t>
      </w:r>
      <w:r>
        <w:rPr>
          <w:rFonts w:hint="eastAsia" w:ascii="仿宋" w:hAnsi="仿宋" w:eastAsia="仿宋" w:cs="仿宋"/>
          <w:highlight w:val="yellow"/>
        </w:rPr>
        <w:t>kWh</w:t>
      </w:r>
      <w:r>
        <w:rPr>
          <w:rFonts w:hint="eastAsia" w:ascii="仿宋" w:hAnsi="仿宋" w:eastAsia="仿宋" w:cs="仿宋"/>
          <w:highlight w:val="none"/>
        </w:rPr>
        <w:t>储能系统来减少对医院电网波动影响，负责整个光储充系统及对应配套配电、控制及相关配套等的对外协调（取得电力公司许可），安装、施工调试及后期维护等。</w:t>
      </w:r>
      <w:r>
        <w:rPr>
          <w:rFonts w:hint="eastAsia" w:ascii="仿宋" w:hAnsi="仿宋" w:eastAsia="仿宋" w:cs="仿宋"/>
          <w:b/>
          <w:bCs/>
          <w:color w:val="auto"/>
          <w:highlight w:val="none"/>
        </w:rPr>
        <w:t>同时需采取措施预防光伏并网对医院原设备的影响，因光伏并网造成相关损失由</w:t>
      </w:r>
      <w:r>
        <w:rPr>
          <w:rFonts w:hint="eastAsia" w:ascii="仿宋" w:hAnsi="仿宋" w:eastAsia="仿宋" w:cs="仿宋"/>
          <w:b/>
          <w:bCs/>
          <w:color w:val="auto"/>
          <w:highlight w:val="none"/>
          <w:lang w:eastAsia="zh-CN"/>
        </w:rPr>
        <w:t>投标人</w:t>
      </w:r>
      <w:r>
        <w:rPr>
          <w:rFonts w:hint="eastAsia" w:ascii="仿宋" w:hAnsi="仿宋" w:eastAsia="仿宋" w:cs="仿宋"/>
          <w:b/>
          <w:bCs/>
          <w:color w:val="auto"/>
          <w:highlight w:val="none"/>
        </w:rPr>
        <w:t>负责。</w:t>
      </w:r>
    </w:p>
    <w:p w14:paraId="611E2CC9">
      <w:pPr>
        <w:spacing w:line="360" w:lineRule="auto"/>
        <w:ind w:firstLine="420"/>
        <w:rPr>
          <w:rFonts w:hint="eastAsia" w:ascii="仿宋" w:hAnsi="仿宋" w:eastAsia="仿宋" w:cs="仿宋"/>
          <w:highlight w:val="none"/>
        </w:rPr>
      </w:pPr>
      <w:r>
        <w:rPr>
          <w:rFonts w:hint="eastAsia" w:ascii="仿宋" w:hAnsi="仿宋" w:eastAsia="仿宋" w:cs="仿宋"/>
          <w:highlight w:val="none"/>
        </w:rPr>
        <w:t>5.</w:t>
      </w:r>
      <w:r>
        <w:rPr>
          <w:rFonts w:hint="eastAsia" w:ascii="仿宋" w:hAnsi="仿宋" w:eastAsia="仿宋" w:cs="仿宋"/>
          <w:highlight w:val="none"/>
          <w:lang w:val="en-US" w:eastAsia="zh-CN"/>
        </w:rPr>
        <w:t>4</w:t>
      </w:r>
      <w:r>
        <w:rPr>
          <w:rFonts w:hint="eastAsia" w:ascii="仿宋" w:hAnsi="仿宋" w:eastAsia="仿宋" w:cs="仿宋"/>
          <w:highlight w:val="none"/>
        </w:rPr>
        <w:t>.</w:t>
      </w:r>
      <w:r>
        <w:rPr>
          <w:rFonts w:hint="eastAsia" w:ascii="仿宋" w:hAnsi="仿宋" w:eastAsia="仿宋" w:cs="仿宋"/>
          <w:highlight w:val="none"/>
          <w:lang w:val="en-US" w:eastAsia="zh-CN"/>
        </w:rPr>
        <w:t>8</w:t>
      </w:r>
      <w:r>
        <w:rPr>
          <w:rFonts w:hint="eastAsia" w:ascii="仿宋" w:hAnsi="仿宋" w:eastAsia="仿宋" w:cs="仿宋"/>
          <w:highlight w:val="none"/>
        </w:rPr>
        <w:t xml:space="preserve"> 信息智慧平台</w:t>
      </w:r>
    </w:p>
    <w:p w14:paraId="52D6E0F6">
      <w:pPr>
        <w:spacing w:line="360" w:lineRule="auto"/>
        <w:ind w:firstLine="420"/>
        <w:rPr>
          <w:rFonts w:hint="eastAsia" w:ascii="仿宋" w:hAnsi="仿宋" w:eastAsia="仿宋" w:cs="仿宋"/>
          <w:b/>
          <w:bCs/>
          <w:color w:val="auto"/>
          <w:kern w:val="2"/>
          <w:sz w:val="24"/>
          <w:szCs w:val="24"/>
          <w:highlight w:val="none"/>
        </w:rPr>
      </w:pPr>
      <w:r>
        <w:rPr>
          <w:rFonts w:hint="eastAsia" w:ascii="仿宋" w:hAnsi="仿宋" w:eastAsia="仿宋" w:cs="仿宋"/>
          <w:highlight w:val="none"/>
        </w:rPr>
        <w:t>在院方指定位置搭建后信息智慧平台运营中心，实现医院后勤管理统一监管，统一运营，</w:t>
      </w:r>
      <w:r>
        <w:rPr>
          <w:rFonts w:hint="eastAsia" w:ascii="仿宋" w:hAnsi="仿宋" w:eastAsia="仿宋" w:cs="仿宋"/>
          <w:highlight w:val="none"/>
          <w:lang w:eastAsia="zh-CN"/>
        </w:rPr>
        <w:t>投标人</w:t>
      </w:r>
      <w:r>
        <w:rPr>
          <w:rFonts w:hint="eastAsia" w:ascii="仿宋" w:hAnsi="仿宋" w:eastAsia="仿宋" w:cs="仿宋"/>
          <w:highlight w:val="none"/>
        </w:rPr>
        <w:t>负责相关平台的搭建，基本网络设备、服务器和显示器的建设，接入能源管理平台和建设的各控制监管</w:t>
      </w:r>
      <w:r>
        <w:rPr>
          <w:rFonts w:hint="eastAsia" w:ascii="仿宋" w:hAnsi="仿宋" w:eastAsia="仿宋" w:cs="仿宋"/>
        </w:rPr>
        <w:t>系统；对电、水、汽、冷、热等所有能耗资源进行全方位、分级分项、高精度实时在线监测与数据采集。电能监测需实现分楼栋、分楼层、分业态计量功能；水系统监测需实现分楼栋计量功能；蒸汽监测需实现分使用区域计量功能。信息智慧平台需与文昌路院区现有各控制系统和检测系统点位</w:t>
      </w:r>
      <w:r>
        <w:rPr>
          <w:rFonts w:hint="eastAsia" w:ascii="仿宋" w:hAnsi="仿宋" w:eastAsia="仿宋" w:cs="仿宋"/>
          <w:color w:val="auto"/>
          <w:highlight w:val="none"/>
        </w:rPr>
        <w:t>进行对接接入真州路院区建设的智慧后勤平台系统进行展示。</w:t>
      </w:r>
      <w:r>
        <w:rPr>
          <w:rFonts w:hint="eastAsia" w:ascii="仿宋" w:hAnsi="仿宋" w:eastAsia="仿宋" w:cs="仿宋"/>
          <w:b/>
          <w:bCs/>
          <w:color w:val="auto"/>
          <w:highlight w:val="none"/>
          <w:lang w:eastAsia="zh-CN"/>
        </w:rPr>
        <w:t>投标人</w:t>
      </w:r>
      <w:r>
        <w:rPr>
          <w:rFonts w:hint="eastAsia" w:ascii="仿宋" w:hAnsi="仿宋" w:eastAsia="仿宋" w:cs="仿宋"/>
          <w:b/>
          <w:bCs/>
          <w:color w:val="auto"/>
          <w:highlight w:val="none"/>
        </w:rPr>
        <w:t>承诺所投平台在应用安全、数据安全方面满足工信部最新颁布的安全等级保护三级要求，所投服务器等硬件产品需满足国家信创要求。</w:t>
      </w:r>
    </w:p>
    <w:p w14:paraId="243F0926">
      <w:pPr>
        <w:spacing w:line="360" w:lineRule="auto"/>
        <w:ind w:firstLine="422"/>
        <w:rPr>
          <w:rFonts w:hint="eastAsia" w:ascii="仿宋" w:hAnsi="仿宋" w:eastAsia="仿宋" w:cs="仿宋"/>
          <w:b/>
          <w:bCs/>
        </w:rPr>
      </w:pPr>
      <w:r>
        <w:rPr>
          <w:rFonts w:hint="eastAsia" w:ascii="仿宋" w:hAnsi="仿宋" w:eastAsia="仿宋" w:cs="仿宋"/>
          <w:b/>
          <w:bCs/>
        </w:rPr>
        <w:t>5.</w:t>
      </w:r>
      <w:r>
        <w:rPr>
          <w:rFonts w:hint="eastAsia" w:ascii="仿宋" w:hAnsi="仿宋" w:eastAsia="仿宋" w:cs="仿宋"/>
          <w:b/>
          <w:bCs/>
          <w:lang w:val="en-US" w:eastAsia="zh-CN"/>
        </w:rPr>
        <w:t>5</w:t>
      </w:r>
      <w:r>
        <w:rPr>
          <w:rFonts w:hint="eastAsia" w:ascii="仿宋" w:hAnsi="仿宋" w:eastAsia="仿宋" w:cs="仿宋"/>
          <w:b/>
          <w:bCs/>
        </w:rPr>
        <w:t>节能改造项目技术要求</w:t>
      </w:r>
    </w:p>
    <w:p w14:paraId="602D1F75">
      <w:pPr>
        <w:spacing w:line="360" w:lineRule="auto"/>
        <w:ind w:firstLine="420"/>
        <w:rPr>
          <w:rFonts w:hint="eastAsia" w:ascii="仿宋" w:hAnsi="仿宋" w:eastAsia="仿宋" w:cs="仿宋"/>
        </w:rPr>
      </w:pPr>
      <w:r>
        <w:rPr>
          <w:rFonts w:hint="eastAsia" w:ascii="仿宋" w:hAnsi="仿宋" w:eastAsia="仿宋" w:cs="仿宋"/>
        </w:rPr>
        <w:t>5.</w:t>
      </w:r>
      <w:r>
        <w:rPr>
          <w:rFonts w:hint="eastAsia" w:ascii="仿宋" w:hAnsi="仿宋" w:eastAsia="仿宋" w:cs="仿宋"/>
          <w:lang w:val="en-US" w:eastAsia="zh-CN"/>
        </w:rPr>
        <w:t>5</w:t>
      </w:r>
      <w:r>
        <w:rPr>
          <w:rFonts w:hint="eastAsia" w:ascii="仿宋" w:hAnsi="仿宋" w:eastAsia="仿宋" w:cs="仿宋"/>
        </w:rPr>
        <w:t>.1依据</w:t>
      </w:r>
    </w:p>
    <w:tbl>
      <w:tblPr>
        <w:tblStyle w:val="38"/>
        <w:tblW w:w="81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0"/>
        <w:gridCol w:w="7396"/>
      </w:tblGrid>
      <w:tr w14:paraId="6E22B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224CB0EA">
            <w:pPr>
              <w:spacing w:line="360" w:lineRule="auto"/>
              <w:jc w:val="center"/>
              <w:rPr>
                <w:rFonts w:hint="eastAsia" w:ascii="仿宋" w:hAnsi="仿宋" w:eastAsia="仿宋" w:cs="仿宋"/>
                <w:b/>
                <w:bCs/>
                <w:szCs w:val="24"/>
              </w:rPr>
            </w:pPr>
            <w:r>
              <w:rPr>
                <w:rFonts w:hint="eastAsia" w:ascii="仿宋" w:hAnsi="仿宋" w:eastAsia="仿宋" w:cs="仿宋"/>
                <w:b/>
                <w:bCs/>
                <w:szCs w:val="24"/>
              </w:rPr>
              <w:t>序号</w:t>
            </w:r>
          </w:p>
        </w:tc>
        <w:tc>
          <w:tcPr>
            <w:tcW w:w="7396" w:type="dxa"/>
            <w:vAlign w:val="center"/>
          </w:tcPr>
          <w:p w14:paraId="4CEFCB32">
            <w:pPr>
              <w:spacing w:line="360" w:lineRule="auto"/>
              <w:jc w:val="center"/>
              <w:rPr>
                <w:rFonts w:hint="eastAsia" w:ascii="仿宋" w:hAnsi="仿宋" w:eastAsia="仿宋" w:cs="仿宋"/>
                <w:b/>
                <w:bCs/>
                <w:szCs w:val="24"/>
              </w:rPr>
            </w:pPr>
            <w:r>
              <w:rPr>
                <w:rFonts w:hint="eastAsia" w:ascii="仿宋" w:hAnsi="仿宋" w:eastAsia="仿宋" w:cs="仿宋"/>
                <w:b/>
                <w:bCs/>
                <w:szCs w:val="24"/>
              </w:rPr>
              <w:t>技术规范及标准</w:t>
            </w:r>
          </w:p>
        </w:tc>
      </w:tr>
      <w:tr w14:paraId="0F875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1A9E4CE2">
            <w:pPr>
              <w:spacing w:line="360" w:lineRule="auto"/>
              <w:jc w:val="center"/>
              <w:rPr>
                <w:rFonts w:hint="eastAsia" w:ascii="仿宋" w:hAnsi="仿宋" w:eastAsia="仿宋" w:cs="仿宋"/>
                <w:b/>
                <w:bCs/>
                <w:szCs w:val="24"/>
              </w:rPr>
            </w:pPr>
            <w:r>
              <w:rPr>
                <w:rFonts w:hint="eastAsia" w:ascii="仿宋" w:hAnsi="仿宋" w:eastAsia="仿宋" w:cs="仿宋"/>
                <w:b/>
                <w:bCs/>
                <w:szCs w:val="24"/>
              </w:rPr>
              <w:t>一</w:t>
            </w:r>
          </w:p>
        </w:tc>
        <w:tc>
          <w:tcPr>
            <w:tcW w:w="7396" w:type="dxa"/>
            <w:vAlign w:val="center"/>
          </w:tcPr>
          <w:p w14:paraId="263BBAB0">
            <w:pPr>
              <w:spacing w:line="360" w:lineRule="auto"/>
              <w:rPr>
                <w:rFonts w:hint="eastAsia" w:ascii="仿宋" w:hAnsi="仿宋" w:eastAsia="仿宋" w:cs="仿宋"/>
                <w:b/>
                <w:bCs/>
                <w:szCs w:val="24"/>
              </w:rPr>
            </w:pPr>
            <w:r>
              <w:rPr>
                <w:rFonts w:hint="eastAsia" w:ascii="仿宋" w:hAnsi="仿宋" w:eastAsia="仿宋" w:cs="仿宋"/>
                <w:b/>
                <w:bCs/>
                <w:szCs w:val="24"/>
              </w:rPr>
              <w:t>国家和地方建筑节能法律法规体系、政策文件</w:t>
            </w:r>
          </w:p>
        </w:tc>
      </w:tr>
      <w:tr w14:paraId="77816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55A06875">
            <w:pPr>
              <w:spacing w:line="360" w:lineRule="auto"/>
              <w:jc w:val="center"/>
              <w:rPr>
                <w:rFonts w:hint="eastAsia" w:ascii="仿宋" w:hAnsi="仿宋" w:eastAsia="仿宋" w:cs="仿宋"/>
                <w:szCs w:val="24"/>
              </w:rPr>
            </w:pPr>
            <w:r>
              <w:rPr>
                <w:rFonts w:hint="eastAsia" w:ascii="仿宋" w:hAnsi="仿宋" w:eastAsia="仿宋" w:cs="仿宋"/>
                <w:szCs w:val="24"/>
              </w:rPr>
              <w:t>1</w:t>
            </w:r>
          </w:p>
        </w:tc>
        <w:tc>
          <w:tcPr>
            <w:tcW w:w="7396" w:type="dxa"/>
            <w:vAlign w:val="center"/>
          </w:tcPr>
          <w:p w14:paraId="0CC03EA5">
            <w:pPr>
              <w:spacing w:line="360" w:lineRule="auto"/>
              <w:rPr>
                <w:rFonts w:hint="eastAsia" w:ascii="仿宋" w:hAnsi="仿宋" w:eastAsia="仿宋" w:cs="仿宋"/>
                <w:szCs w:val="24"/>
              </w:rPr>
            </w:pPr>
            <w:r>
              <w:rPr>
                <w:rFonts w:hint="eastAsia" w:ascii="仿宋" w:hAnsi="仿宋" w:eastAsia="仿宋" w:cs="仿宋"/>
                <w:szCs w:val="24"/>
              </w:rPr>
              <w:t>《中华人民共和国节约能源法》</w:t>
            </w:r>
          </w:p>
        </w:tc>
      </w:tr>
      <w:tr w14:paraId="68448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3F4C3BDF">
            <w:pPr>
              <w:spacing w:line="360" w:lineRule="auto"/>
              <w:jc w:val="center"/>
              <w:rPr>
                <w:rFonts w:hint="eastAsia" w:ascii="仿宋" w:hAnsi="仿宋" w:eastAsia="仿宋" w:cs="仿宋"/>
                <w:szCs w:val="24"/>
              </w:rPr>
            </w:pPr>
            <w:r>
              <w:rPr>
                <w:rFonts w:hint="eastAsia" w:ascii="仿宋" w:hAnsi="仿宋" w:eastAsia="仿宋" w:cs="仿宋"/>
                <w:szCs w:val="24"/>
              </w:rPr>
              <w:t>2</w:t>
            </w:r>
          </w:p>
        </w:tc>
        <w:tc>
          <w:tcPr>
            <w:tcW w:w="7396" w:type="dxa"/>
            <w:vAlign w:val="center"/>
          </w:tcPr>
          <w:p w14:paraId="65C46B31">
            <w:pPr>
              <w:spacing w:line="360" w:lineRule="auto"/>
              <w:rPr>
                <w:rFonts w:hint="eastAsia" w:ascii="仿宋" w:hAnsi="仿宋" w:eastAsia="仿宋" w:cs="仿宋"/>
                <w:szCs w:val="24"/>
              </w:rPr>
            </w:pPr>
            <w:r>
              <w:rPr>
                <w:rFonts w:hint="eastAsia" w:ascii="仿宋" w:hAnsi="仿宋" w:eastAsia="仿宋" w:cs="仿宋"/>
                <w:szCs w:val="24"/>
              </w:rPr>
              <w:t>《中华人民共和国可再生能源法》</w:t>
            </w:r>
          </w:p>
        </w:tc>
      </w:tr>
      <w:tr w14:paraId="55EBE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54BB9F72">
            <w:pPr>
              <w:spacing w:line="360" w:lineRule="auto"/>
              <w:jc w:val="center"/>
              <w:rPr>
                <w:rFonts w:hint="eastAsia" w:ascii="仿宋" w:hAnsi="仿宋" w:eastAsia="仿宋" w:cs="仿宋"/>
                <w:szCs w:val="24"/>
              </w:rPr>
            </w:pPr>
            <w:r>
              <w:rPr>
                <w:rFonts w:hint="eastAsia" w:ascii="仿宋" w:hAnsi="仿宋" w:eastAsia="仿宋" w:cs="仿宋"/>
                <w:szCs w:val="24"/>
              </w:rPr>
              <w:t>3</w:t>
            </w:r>
          </w:p>
        </w:tc>
        <w:tc>
          <w:tcPr>
            <w:tcW w:w="7396" w:type="dxa"/>
            <w:vAlign w:val="center"/>
          </w:tcPr>
          <w:p w14:paraId="3F7E2BAD">
            <w:pPr>
              <w:spacing w:line="360" w:lineRule="auto"/>
              <w:rPr>
                <w:rFonts w:hint="eastAsia" w:ascii="仿宋" w:hAnsi="仿宋" w:eastAsia="仿宋" w:cs="仿宋"/>
                <w:szCs w:val="24"/>
              </w:rPr>
            </w:pPr>
            <w:r>
              <w:rPr>
                <w:rFonts w:hint="eastAsia" w:ascii="仿宋" w:hAnsi="仿宋" w:eastAsia="仿宋" w:cs="仿宋"/>
                <w:szCs w:val="24"/>
              </w:rPr>
              <w:t>《民用建筑节能条例》</w:t>
            </w:r>
          </w:p>
        </w:tc>
      </w:tr>
      <w:tr w14:paraId="2D411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499DBFFF">
            <w:pPr>
              <w:spacing w:line="360" w:lineRule="auto"/>
              <w:jc w:val="center"/>
              <w:rPr>
                <w:rFonts w:hint="eastAsia" w:ascii="仿宋" w:hAnsi="仿宋" w:eastAsia="仿宋" w:cs="仿宋"/>
                <w:szCs w:val="24"/>
              </w:rPr>
            </w:pPr>
            <w:r>
              <w:rPr>
                <w:rFonts w:hint="eastAsia" w:ascii="仿宋" w:hAnsi="仿宋" w:eastAsia="仿宋" w:cs="仿宋"/>
                <w:szCs w:val="24"/>
              </w:rPr>
              <w:t>4</w:t>
            </w:r>
          </w:p>
        </w:tc>
        <w:tc>
          <w:tcPr>
            <w:tcW w:w="7396" w:type="dxa"/>
            <w:vAlign w:val="center"/>
          </w:tcPr>
          <w:p w14:paraId="2988093F">
            <w:pPr>
              <w:spacing w:line="360" w:lineRule="auto"/>
              <w:rPr>
                <w:rFonts w:hint="eastAsia" w:ascii="仿宋" w:hAnsi="仿宋" w:eastAsia="仿宋" w:cs="仿宋"/>
                <w:szCs w:val="24"/>
              </w:rPr>
            </w:pPr>
            <w:r>
              <w:rPr>
                <w:rFonts w:hint="eastAsia" w:ascii="仿宋" w:hAnsi="仿宋" w:eastAsia="仿宋" w:cs="仿宋"/>
                <w:szCs w:val="24"/>
              </w:rPr>
              <w:t>《公共机构节能条例》</w:t>
            </w:r>
          </w:p>
        </w:tc>
      </w:tr>
      <w:tr w14:paraId="7166B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4BCCEAA1">
            <w:pPr>
              <w:spacing w:line="360" w:lineRule="auto"/>
              <w:jc w:val="center"/>
              <w:rPr>
                <w:rFonts w:hint="eastAsia" w:ascii="仿宋" w:hAnsi="仿宋" w:eastAsia="仿宋" w:cs="仿宋"/>
                <w:szCs w:val="24"/>
              </w:rPr>
            </w:pPr>
            <w:r>
              <w:rPr>
                <w:rFonts w:hint="eastAsia" w:ascii="仿宋" w:hAnsi="仿宋" w:eastAsia="仿宋" w:cs="仿宋"/>
                <w:szCs w:val="24"/>
              </w:rPr>
              <w:t>5</w:t>
            </w:r>
          </w:p>
        </w:tc>
        <w:tc>
          <w:tcPr>
            <w:tcW w:w="7396" w:type="dxa"/>
            <w:vAlign w:val="center"/>
          </w:tcPr>
          <w:p w14:paraId="4E77DB9A">
            <w:pPr>
              <w:spacing w:line="360" w:lineRule="auto"/>
              <w:rPr>
                <w:rFonts w:hint="eastAsia" w:ascii="仿宋" w:hAnsi="仿宋" w:eastAsia="仿宋" w:cs="仿宋"/>
                <w:szCs w:val="24"/>
              </w:rPr>
            </w:pPr>
            <w:r>
              <w:rPr>
                <w:rFonts w:hint="eastAsia" w:ascii="仿宋" w:hAnsi="仿宋" w:eastAsia="仿宋" w:cs="仿宋"/>
                <w:szCs w:val="24"/>
              </w:rPr>
              <w:t>《建设工程质量管理条例》</w:t>
            </w:r>
          </w:p>
        </w:tc>
      </w:tr>
      <w:tr w14:paraId="07667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56E52ED8">
            <w:pPr>
              <w:spacing w:line="360" w:lineRule="auto"/>
              <w:jc w:val="center"/>
              <w:rPr>
                <w:rFonts w:hint="eastAsia" w:ascii="仿宋" w:hAnsi="仿宋" w:eastAsia="仿宋" w:cs="仿宋"/>
                <w:szCs w:val="24"/>
              </w:rPr>
            </w:pPr>
            <w:r>
              <w:rPr>
                <w:rFonts w:hint="eastAsia" w:ascii="仿宋" w:hAnsi="仿宋" w:eastAsia="仿宋" w:cs="仿宋"/>
                <w:szCs w:val="24"/>
              </w:rPr>
              <w:t>6</w:t>
            </w:r>
          </w:p>
        </w:tc>
        <w:tc>
          <w:tcPr>
            <w:tcW w:w="7396" w:type="dxa"/>
            <w:vAlign w:val="center"/>
          </w:tcPr>
          <w:p w14:paraId="45DB94BE">
            <w:pPr>
              <w:spacing w:line="360" w:lineRule="auto"/>
              <w:rPr>
                <w:rFonts w:hint="eastAsia" w:ascii="仿宋" w:hAnsi="仿宋" w:eastAsia="仿宋" w:cs="仿宋"/>
                <w:szCs w:val="24"/>
              </w:rPr>
            </w:pPr>
            <w:r>
              <w:rPr>
                <w:rFonts w:hint="eastAsia" w:ascii="仿宋" w:hAnsi="仿宋" w:eastAsia="仿宋" w:cs="仿宋"/>
                <w:szCs w:val="24"/>
              </w:rPr>
              <w:t>《民用建筑节能管理规定》</w:t>
            </w:r>
          </w:p>
        </w:tc>
      </w:tr>
      <w:tr w14:paraId="58BAC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200055FC">
            <w:pPr>
              <w:spacing w:line="360" w:lineRule="auto"/>
              <w:jc w:val="center"/>
              <w:rPr>
                <w:rFonts w:hint="eastAsia" w:ascii="仿宋" w:hAnsi="仿宋" w:eastAsia="仿宋" w:cs="仿宋"/>
                <w:szCs w:val="24"/>
              </w:rPr>
            </w:pPr>
            <w:r>
              <w:rPr>
                <w:rFonts w:hint="eastAsia" w:ascii="仿宋" w:hAnsi="仿宋" w:eastAsia="仿宋" w:cs="仿宋"/>
                <w:szCs w:val="24"/>
              </w:rPr>
              <w:t>7</w:t>
            </w:r>
          </w:p>
        </w:tc>
        <w:tc>
          <w:tcPr>
            <w:tcW w:w="7396" w:type="dxa"/>
            <w:vAlign w:val="center"/>
          </w:tcPr>
          <w:p w14:paraId="1FD4BE0D">
            <w:pPr>
              <w:spacing w:line="360" w:lineRule="auto"/>
              <w:rPr>
                <w:rFonts w:hint="eastAsia" w:ascii="仿宋" w:hAnsi="仿宋" w:eastAsia="仿宋" w:cs="仿宋"/>
                <w:szCs w:val="24"/>
              </w:rPr>
            </w:pPr>
            <w:r>
              <w:rPr>
                <w:rFonts w:hint="eastAsia" w:ascii="仿宋" w:hAnsi="仿宋" w:eastAsia="仿宋" w:cs="仿宋"/>
                <w:szCs w:val="24"/>
              </w:rPr>
              <w:t>《国务院关于印发节能减排综合性工作方案的通知》（国发{2007}15号）</w:t>
            </w:r>
          </w:p>
        </w:tc>
      </w:tr>
      <w:tr w14:paraId="16F60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19E39D51">
            <w:pPr>
              <w:spacing w:line="360" w:lineRule="auto"/>
              <w:jc w:val="center"/>
              <w:rPr>
                <w:rFonts w:hint="eastAsia" w:ascii="仿宋" w:hAnsi="仿宋" w:eastAsia="仿宋" w:cs="仿宋"/>
                <w:szCs w:val="24"/>
              </w:rPr>
            </w:pPr>
            <w:r>
              <w:rPr>
                <w:rFonts w:hint="eastAsia" w:ascii="仿宋" w:hAnsi="仿宋" w:eastAsia="仿宋" w:cs="仿宋"/>
                <w:szCs w:val="24"/>
              </w:rPr>
              <w:t>8</w:t>
            </w:r>
          </w:p>
        </w:tc>
        <w:tc>
          <w:tcPr>
            <w:tcW w:w="7396" w:type="dxa"/>
            <w:vAlign w:val="center"/>
          </w:tcPr>
          <w:p w14:paraId="614BD50C">
            <w:pPr>
              <w:spacing w:line="360" w:lineRule="auto"/>
              <w:rPr>
                <w:rFonts w:hint="eastAsia" w:ascii="仿宋" w:hAnsi="仿宋" w:eastAsia="仿宋" w:cs="仿宋"/>
                <w:szCs w:val="24"/>
              </w:rPr>
            </w:pPr>
            <w:r>
              <w:rPr>
                <w:rFonts w:hint="eastAsia" w:ascii="仿宋" w:hAnsi="仿宋" w:eastAsia="仿宋" w:cs="仿宋"/>
                <w:szCs w:val="24"/>
              </w:rPr>
              <w:t>《国务院关于加强节能工作的决定》</w:t>
            </w:r>
          </w:p>
        </w:tc>
      </w:tr>
      <w:tr w14:paraId="070B8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5FA6CFA3">
            <w:pPr>
              <w:spacing w:line="360" w:lineRule="auto"/>
              <w:jc w:val="center"/>
              <w:rPr>
                <w:rFonts w:hint="eastAsia" w:ascii="仿宋" w:hAnsi="仿宋" w:eastAsia="仿宋" w:cs="仿宋"/>
                <w:szCs w:val="24"/>
              </w:rPr>
            </w:pPr>
            <w:r>
              <w:rPr>
                <w:rFonts w:hint="eastAsia" w:ascii="仿宋" w:hAnsi="仿宋" w:eastAsia="仿宋" w:cs="仿宋"/>
                <w:szCs w:val="24"/>
              </w:rPr>
              <w:t>9</w:t>
            </w:r>
          </w:p>
        </w:tc>
        <w:tc>
          <w:tcPr>
            <w:tcW w:w="7396" w:type="dxa"/>
            <w:vAlign w:val="center"/>
          </w:tcPr>
          <w:p w14:paraId="7AA40A58">
            <w:pPr>
              <w:spacing w:line="360" w:lineRule="auto"/>
              <w:rPr>
                <w:rFonts w:hint="eastAsia" w:ascii="仿宋" w:hAnsi="仿宋" w:eastAsia="仿宋" w:cs="仿宋"/>
                <w:szCs w:val="24"/>
              </w:rPr>
            </w:pPr>
            <w:r>
              <w:rPr>
                <w:rFonts w:hint="eastAsia" w:ascii="仿宋" w:hAnsi="仿宋" w:eastAsia="仿宋" w:cs="仿宋"/>
                <w:szCs w:val="24"/>
              </w:rPr>
              <w:t>《国务院办公厅关于印发2009年节能减排工作安排的通知》</w:t>
            </w:r>
            <w:r>
              <w:rPr>
                <w:rFonts w:hint="eastAsia" w:ascii="仿宋" w:hAnsi="仿宋" w:eastAsia="仿宋" w:cs="仿宋"/>
                <w:spacing w:val="-20"/>
                <w:szCs w:val="24"/>
              </w:rPr>
              <w:t>（国办发{2009}48号）</w:t>
            </w:r>
          </w:p>
        </w:tc>
      </w:tr>
      <w:tr w14:paraId="59760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74598917">
            <w:pPr>
              <w:spacing w:line="360" w:lineRule="auto"/>
              <w:jc w:val="center"/>
              <w:rPr>
                <w:rFonts w:hint="eastAsia" w:ascii="仿宋" w:hAnsi="仿宋" w:eastAsia="仿宋" w:cs="仿宋"/>
                <w:b/>
                <w:bCs/>
                <w:szCs w:val="24"/>
              </w:rPr>
            </w:pPr>
            <w:r>
              <w:rPr>
                <w:rFonts w:hint="eastAsia" w:ascii="仿宋" w:hAnsi="仿宋" w:eastAsia="仿宋" w:cs="仿宋"/>
                <w:b/>
                <w:bCs/>
                <w:szCs w:val="24"/>
              </w:rPr>
              <w:t>二</w:t>
            </w:r>
          </w:p>
        </w:tc>
        <w:tc>
          <w:tcPr>
            <w:tcW w:w="7396" w:type="dxa"/>
            <w:vAlign w:val="center"/>
          </w:tcPr>
          <w:p w14:paraId="5CFFD376">
            <w:pPr>
              <w:spacing w:line="360" w:lineRule="auto"/>
              <w:rPr>
                <w:rFonts w:hint="eastAsia" w:ascii="仿宋" w:hAnsi="仿宋" w:eastAsia="仿宋" w:cs="仿宋"/>
                <w:b/>
                <w:bCs/>
                <w:szCs w:val="24"/>
              </w:rPr>
            </w:pPr>
            <w:r>
              <w:rPr>
                <w:rFonts w:hint="eastAsia" w:ascii="仿宋" w:hAnsi="仿宋" w:eastAsia="仿宋" w:cs="仿宋"/>
                <w:b/>
                <w:bCs/>
                <w:szCs w:val="24"/>
              </w:rPr>
              <w:t>国家既有建筑节能制度</w:t>
            </w:r>
          </w:p>
        </w:tc>
      </w:tr>
      <w:tr w14:paraId="6AEEB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1D9AE9FE">
            <w:pPr>
              <w:spacing w:line="360" w:lineRule="auto"/>
              <w:jc w:val="center"/>
              <w:rPr>
                <w:rFonts w:hint="eastAsia" w:ascii="仿宋" w:hAnsi="仿宋" w:eastAsia="仿宋" w:cs="仿宋"/>
                <w:szCs w:val="24"/>
              </w:rPr>
            </w:pPr>
            <w:r>
              <w:rPr>
                <w:rFonts w:hint="eastAsia" w:ascii="仿宋" w:hAnsi="仿宋" w:eastAsia="仿宋" w:cs="仿宋"/>
                <w:szCs w:val="24"/>
              </w:rPr>
              <w:t>1</w:t>
            </w:r>
          </w:p>
        </w:tc>
        <w:tc>
          <w:tcPr>
            <w:tcW w:w="7396" w:type="dxa"/>
            <w:vAlign w:val="center"/>
          </w:tcPr>
          <w:p w14:paraId="0BEFFFE9">
            <w:pPr>
              <w:spacing w:line="360" w:lineRule="auto"/>
              <w:rPr>
                <w:rFonts w:hint="eastAsia" w:ascii="仿宋" w:hAnsi="仿宋" w:eastAsia="仿宋" w:cs="仿宋"/>
                <w:szCs w:val="24"/>
              </w:rPr>
            </w:pPr>
            <w:r>
              <w:rPr>
                <w:rFonts w:hint="eastAsia" w:ascii="仿宋" w:hAnsi="仿宋" w:eastAsia="仿宋" w:cs="仿宋"/>
                <w:szCs w:val="24"/>
              </w:rPr>
              <w:t>建筑能耗统计制度</w:t>
            </w:r>
          </w:p>
        </w:tc>
      </w:tr>
      <w:tr w14:paraId="5BE64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1E3201C5">
            <w:pPr>
              <w:spacing w:line="360" w:lineRule="auto"/>
              <w:jc w:val="center"/>
              <w:rPr>
                <w:rFonts w:hint="eastAsia" w:ascii="仿宋" w:hAnsi="仿宋" w:eastAsia="仿宋" w:cs="仿宋"/>
                <w:szCs w:val="24"/>
              </w:rPr>
            </w:pPr>
            <w:r>
              <w:rPr>
                <w:rFonts w:hint="eastAsia" w:ascii="仿宋" w:hAnsi="仿宋" w:eastAsia="仿宋" w:cs="仿宋"/>
                <w:szCs w:val="24"/>
              </w:rPr>
              <w:t>2</w:t>
            </w:r>
          </w:p>
        </w:tc>
        <w:tc>
          <w:tcPr>
            <w:tcW w:w="7396" w:type="dxa"/>
            <w:vAlign w:val="center"/>
          </w:tcPr>
          <w:p w14:paraId="37414F6E">
            <w:pPr>
              <w:spacing w:line="360" w:lineRule="auto"/>
              <w:rPr>
                <w:rFonts w:hint="eastAsia" w:ascii="仿宋" w:hAnsi="仿宋" w:eastAsia="仿宋" w:cs="仿宋"/>
                <w:szCs w:val="24"/>
              </w:rPr>
            </w:pPr>
            <w:r>
              <w:rPr>
                <w:rFonts w:hint="eastAsia" w:ascii="仿宋" w:hAnsi="仿宋" w:eastAsia="仿宋" w:cs="仿宋"/>
                <w:szCs w:val="24"/>
              </w:rPr>
              <w:t>建筑物能源审计制度</w:t>
            </w:r>
          </w:p>
        </w:tc>
      </w:tr>
      <w:tr w14:paraId="6C122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7A4CF7A7">
            <w:pPr>
              <w:spacing w:line="360" w:lineRule="auto"/>
              <w:jc w:val="center"/>
              <w:rPr>
                <w:rFonts w:hint="eastAsia" w:ascii="仿宋" w:hAnsi="仿宋" w:eastAsia="仿宋" w:cs="仿宋"/>
                <w:szCs w:val="24"/>
              </w:rPr>
            </w:pPr>
            <w:r>
              <w:rPr>
                <w:rFonts w:hint="eastAsia" w:ascii="仿宋" w:hAnsi="仿宋" w:eastAsia="仿宋" w:cs="仿宋"/>
                <w:szCs w:val="24"/>
              </w:rPr>
              <w:t>3</w:t>
            </w:r>
          </w:p>
        </w:tc>
        <w:tc>
          <w:tcPr>
            <w:tcW w:w="7396" w:type="dxa"/>
            <w:vAlign w:val="center"/>
          </w:tcPr>
          <w:p w14:paraId="5367FBD6">
            <w:pPr>
              <w:spacing w:line="360" w:lineRule="auto"/>
              <w:rPr>
                <w:rFonts w:hint="eastAsia" w:ascii="仿宋" w:hAnsi="仿宋" w:eastAsia="仿宋" w:cs="仿宋"/>
                <w:szCs w:val="24"/>
              </w:rPr>
            </w:pPr>
            <w:r>
              <w:rPr>
                <w:rFonts w:hint="eastAsia" w:ascii="仿宋" w:hAnsi="仿宋" w:eastAsia="仿宋" w:cs="仿宋"/>
                <w:szCs w:val="24"/>
              </w:rPr>
              <w:t>政府机关办公建筑和大型公共建筑能耗调查制度</w:t>
            </w:r>
          </w:p>
        </w:tc>
      </w:tr>
      <w:tr w14:paraId="1E023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2DB0B9E7">
            <w:pPr>
              <w:spacing w:line="360" w:lineRule="auto"/>
              <w:jc w:val="center"/>
              <w:rPr>
                <w:rFonts w:hint="eastAsia" w:ascii="仿宋" w:hAnsi="仿宋" w:eastAsia="仿宋" w:cs="仿宋"/>
                <w:szCs w:val="24"/>
              </w:rPr>
            </w:pPr>
            <w:r>
              <w:rPr>
                <w:rFonts w:hint="eastAsia" w:ascii="仿宋" w:hAnsi="仿宋" w:eastAsia="仿宋" w:cs="仿宋"/>
                <w:szCs w:val="24"/>
              </w:rPr>
              <w:t>4</w:t>
            </w:r>
          </w:p>
        </w:tc>
        <w:tc>
          <w:tcPr>
            <w:tcW w:w="7396" w:type="dxa"/>
            <w:vAlign w:val="center"/>
          </w:tcPr>
          <w:p w14:paraId="47AA3015">
            <w:pPr>
              <w:spacing w:line="360" w:lineRule="auto"/>
              <w:rPr>
                <w:rFonts w:hint="eastAsia" w:ascii="仿宋" w:hAnsi="仿宋" w:eastAsia="仿宋" w:cs="仿宋"/>
                <w:szCs w:val="24"/>
              </w:rPr>
            </w:pPr>
            <w:r>
              <w:rPr>
                <w:rFonts w:hint="eastAsia" w:ascii="仿宋" w:hAnsi="仿宋" w:eastAsia="仿宋" w:cs="仿宋"/>
                <w:szCs w:val="24"/>
              </w:rPr>
              <w:t>评价与能效公示制度</w:t>
            </w:r>
          </w:p>
        </w:tc>
      </w:tr>
      <w:tr w14:paraId="57D4A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12EBE5E9">
            <w:pPr>
              <w:spacing w:line="360" w:lineRule="auto"/>
              <w:jc w:val="center"/>
              <w:rPr>
                <w:rFonts w:hint="eastAsia" w:ascii="仿宋" w:hAnsi="仿宋" w:eastAsia="仿宋" w:cs="仿宋"/>
                <w:szCs w:val="24"/>
              </w:rPr>
            </w:pPr>
            <w:r>
              <w:rPr>
                <w:rFonts w:hint="eastAsia" w:ascii="仿宋" w:hAnsi="仿宋" w:eastAsia="仿宋" w:cs="仿宋"/>
                <w:szCs w:val="24"/>
              </w:rPr>
              <w:t>5</w:t>
            </w:r>
          </w:p>
        </w:tc>
        <w:tc>
          <w:tcPr>
            <w:tcW w:w="7396" w:type="dxa"/>
            <w:vAlign w:val="center"/>
          </w:tcPr>
          <w:p w14:paraId="48FAD4DD">
            <w:pPr>
              <w:spacing w:line="360" w:lineRule="auto"/>
              <w:rPr>
                <w:rFonts w:hint="eastAsia" w:ascii="仿宋" w:hAnsi="仿宋" w:eastAsia="仿宋" w:cs="仿宋"/>
                <w:szCs w:val="24"/>
              </w:rPr>
            </w:pPr>
            <w:r>
              <w:rPr>
                <w:rFonts w:hint="eastAsia" w:ascii="仿宋" w:hAnsi="仿宋" w:eastAsia="仿宋" w:cs="仿宋"/>
                <w:szCs w:val="24"/>
              </w:rPr>
              <w:t>建筑节能专项检查制度</w:t>
            </w:r>
          </w:p>
        </w:tc>
      </w:tr>
      <w:tr w14:paraId="30C69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3C33E6DB">
            <w:pPr>
              <w:spacing w:line="360" w:lineRule="auto"/>
              <w:jc w:val="center"/>
              <w:rPr>
                <w:rFonts w:hint="eastAsia" w:ascii="仿宋" w:hAnsi="仿宋" w:eastAsia="仿宋" w:cs="仿宋"/>
                <w:szCs w:val="24"/>
              </w:rPr>
            </w:pPr>
            <w:r>
              <w:rPr>
                <w:rFonts w:hint="eastAsia" w:ascii="仿宋" w:hAnsi="仿宋" w:eastAsia="仿宋" w:cs="仿宋"/>
                <w:szCs w:val="24"/>
              </w:rPr>
              <w:t>6</w:t>
            </w:r>
          </w:p>
        </w:tc>
        <w:tc>
          <w:tcPr>
            <w:tcW w:w="7396" w:type="dxa"/>
            <w:vAlign w:val="center"/>
          </w:tcPr>
          <w:p w14:paraId="53E22582">
            <w:pPr>
              <w:spacing w:line="360" w:lineRule="auto"/>
              <w:rPr>
                <w:rFonts w:hint="eastAsia" w:ascii="仿宋" w:hAnsi="仿宋" w:eastAsia="仿宋" w:cs="仿宋"/>
                <w:szCs w:val="24"/>
              </w:rPr>
            </w:pPr>
            <w:r>
              <w:rPr>
                <w:rFonts w:hint="eastAsia" w:ascii="仿宋" w:hAnsi="仿宋" w:eastAsia="仿宋" w:cs="仿宋"/>
                <w:szCs w:val="24"/>
              </w:rPr>
              <w:t>《既有建筑节能改造技术推广目录》（建科研函{2010}74号）</w:t>
            </w:r>
          </w:p>
        </w:tc>
      </w:tr>
      <w:tr w14:paraId="7A90D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354CB2E0">
            <w:pPr>
              <w:spacing w:line="360" w:lineRule="auto"/>
              <w:jc w:val="center"/>
              <w:rPr>
                <w:rFonts w:hint="eastAsia" w:ascii="仿宋" w:hAnsi="仿宋" w:eastAsia="仿宋" w:cs="仿宋"/>
                <w:b/>
                <w:bCs/>
                <w:szCs w:val="24"/>
              </w:rPr>
            </w:pPr>
            <w:r>
              <w:rPr>
                <w:rFonts w:hint="eastAsia" w:ascii="仿宋" w:hAnsi="仿宋" w:eastAsia="仿宋" w:cs="仿宋"/>
                <w:b/>
                <w:bCs/>
                <w:szCs w:val="24"/>
              </w:rPr>
              <w:t>三</w:t>
            </w:r>
          </w:p>
        </w:tc>
        <w:tc>
          <w:tcPr>
            <w:tcW w:w="7396" w:type="dxa"/>
            <w:vAlign w:val="center"/>
          </w:tcPr>
          <w:p w14:paraId="6972E43D">
            <w:pPr>
              <w:spacing w:line="360" w:lineRule="auto"/>
              <w:rPr>
                <w:rFonts w:hint="eastAsia" w:ascii="仿宋" w:hAnsi="仿宋" w:eastAsia="仿宋" w:cs="仿宋"/>
                <w:b/>
                <w:bCs/>
                <w:szCs w:val="24"/>
              </w:rPr>
            </w:pPr>
            <w:r>
              <w:rPr>
                <w:rFonts w:hint="eastAsia" w:ascii="仿宋" w:hAnsi="仿宋" w:eastAsia="仿宋" w:cs="仿宋"/>
                <w:b/>
                <w:bCs/>
                <w:szCs w:val="24"/>
              </w:rPr>
              <w:t>国家建筑节能有关标准、规范、规程</w:t>
            </w:r>
          </w:p>
        </w:tc>
      </w:tr>
      <w:tr w14:paraId="6AE78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27664DCB">
            <w:pPr>
              <w:spacing w:line="360" w:lineRule="auto"/>
              <w:jc w:val="center"/>
              <w:rPr>
                <w:rFonts w:hint="eastAsia" w:ascii="仿宋" w:hAnsi="仿宋" w:eastAsia="仿宋" w:cs="仿宋"/>
                <w:szCs w:val="24"/>
              </w:rPr>
            </w:pPr>
            <w:r>
              <w:rPr>
                <w:rFonts w:hint="eastAsia" w:ascii="仿宋" w:hAnsi="仿宋" w:eastAsia="仿宋" w:cs="仿宋"/>
                <w:szCs w:val="24"/>
              </w:rPr>
              <w:t>1</w:t>
            </w:r>
          </w:p>
        </w:tc>
        <w:tc>
          <w:tcPr>
            <w:tcW w:w="7396" w:type="dxa"/>
            <w:vAlign w:val="center"/>
          </w:tcPr>
          <w:p w14:paraId="7EC4113E">
            <w:pPr>
              <w:spacing w:line="360" w:lineRule="auto"/>
              <w:rPr>
                <w:rFonts w:hint="eastAsia" w:ascii="仿宋" w:hAnsi="仿宋" w:eastAsia="仿宋" w:cs="仿宋"/>
                <w:szCs w:val="24"/>
              </w:rPr>
            </w:pPr>
            <w:r>
              <w:rPr>
                <w:rFonts w:hint="eastAsia" w:ascii="仿宋" w:hAnsi="仿宋" w:eastAsia="仿宋" w:cs="仿宋"/>
                <w:szCs w:val="24"/>
              </w:rPr>
              <w:t>《公共建筑节能设计标准》GB50189-2005</w:t>
            </w:r>
          </w:p>
        </w:tc>
      </w:tr>
      <w:tr w14:paraId="338C7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3030DD88">
            <w:pPr>
              <w:spacing w:line="360" w:lineRule="auto"/>
              <w:jc w:val="center"/>
              <w:rPr>
                <w:rFonts w:hint="eastAsia" w:ascii="仿宋" w:hAnsi="仿宋" w:eastAsia="仿宋" w:cs="仿宋"/>
                <w:szCs w:val="24"/>
              </w:rPr>
            </w:pPr>
            <w:r>
              <w:rPr>
                <w:rFonts w:hint="eastAsia" w:ascii="仿宋" w:hAnsi="仿宋" w:eastAsia="仿宋" w:cs="仿宋"/>
                <w:szCs w:val="24"/>
              </w:rPr>
              <w:t>2</w:t>
            </w:r>
          </w:p>
        </w:tc>
        <w:tc>
          <w:tcPr>
            <w:tcW w:w="7396" w:type="dxa"/>
            <w:vAlign w:val="center"/>
          </w:tcPr>
          <w:p w14:paraId="38D76EB7">
            <w:pPr>
              <w:spacing w:line="360" w:lineRule="auto"/>
              <w:rPr>
                <w:rFonts w:hint="eastAsia" w:ascii="仿宋" w:hAnsi="仿宋" w:eastAsia="仿宋" w:cs="仿宋"/>
                <w:szCs w:val="24"/>
              </w:rPr>
            </w:pPr>
            <w:r>
              <w:rPr>
                <w:rFonts w:hint="eastAsia" w:ascii="仿宋" w:hAnsi="仿宋" w:eastAsia="仿宋" w:cs="仿宋"/>
                <w:szCs w:val="24"/>
              </w:rPr>
              <w:t>《公共建筑节能检测标准》JGJ/T177-2009</w:t>
            </w:r>
          </w:p>
        </w:tc>
      </w:tr>
      <w:tr w14:paraId="48F3E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0C64BB62">
            <w:pPr>
              <w:spacing w:line="360" w:lineRule="auto"/>
              <w:jc w:val="center"/>
              <w:rPr>
                <w:rFonts w:hint="eastAsia" w:ascii="仿宋" w:hAnsi="仿宋" w:eastAsia="仿宋" w:cs="仿宋"/>
                <w:szCs w:val="24"/>
              </w:rPr>
            </w:pPr>
            <w:r>
              <w:rPr>
                <w:rFonts w:hint="eastAsia" w:ascii="仿宋" w:hAnsi="仿宋" w:eastAsia="仿宋" w:cs="仿宋"/>
                <w:szCs w:val="24"/>
              </w:rPr>
              <w:t>3</w:t>
            </w:r>
          </w:p>
        </w:tc>
        <w:tc>
          <w:tcPr>
            <w:tcW w:w="7396" w:type="dxa"/>
            <w:vAlign w:val="center"/>
          </w:tcPr>
          <w:p w14:paraId="754A94F8">
            <w:pPr>
              <w:spacing w:line="360" w:lineRule="auto"/>
              <w:rPr>
                <w:rFonts w:hint="eastAsia" w:ascii="仿宋" w:hAnsi="仿宋" w:eastAsia="仿宋" w:cs="仿宋"/>
                <w:szCs w:val="24"/>
              </w:rPr>
            </w:pPr>
            <w:r>
              <w:rPr>
                <w:rFonts w:hint="eastAsia" w:ascii="仿宋" w:hAnsi="仿宋" w:eastAsia="仿宋" w:cs="仿宋"/>
                <w:szCs w:val="24"/>
              </w:rPr>
              <w:t>《公共建筑节能改造技术规范》JGJ176-2009</w:t>
            </w:r>
          </w:p>
        </w:tc>
      </w:tr>
      <w:tr w14:paraId="1F605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0F169F94">
            <w:pPr>
              <w:spacing w:line="360" w:lineRule="auto"/>
              <w:jc w:val="center"/>
              <w:rPr>
                <w:rFonts w:hint="eastAsia" w:ascii="仿宋" w:hAnsi="仿宋" w:eastAsia="仿宋" w:cs="仿宋"/>
                <w:szCs w:val="24"/>
              </w:rPr>
            </w:pPr>
            <w:r>
              <w:rPr>
                <w:rFonts w:hint="eastAsia" w:ascii="仿宋" w:hAnsi="仿宋" w:eastAsia="仿宋" w:cs="仿宋"/>
                <w:szCs w:val="24"/>
              </w:rPr>
              <w:t>4</w:t>
            </w:r>
          </w:p>
        </w:tc>
        <w:tc>
          <w:tcPr>
            <w:tcW w:w="7396" w:type="dxa"/>
            <w:vAlign w:val="center"/>
          </w:tcPr>
          <w:p w14:paraId="48E2737E">
            <w:pPr>
              <w:spacing w:line="360" w:lineRule="auto"/>
              <w:rPr>
                <w:rFonts w:hint="eastAsia" w:ascii="仿宋" w:hAnsi="仿宋" w:eastAsia="仿宋" w:cs="仿宋"/>
                <w:szCs w:val="24"/>
              </w:rPr>
            </w:pPr>
            <w:r>
              <w:rPr>
                <w:rFonts w:hint="eastAsia" w:ascii="仿宋" w:hAnsi="仿宋" w:eastAsia="仿宋" w:cs="仿宋"/>
                <w:szCs w:val="24"/>
              </w:rPr>
              <w:t>《国家机关办公建筑和大型公共建筑能源审计导则》（2007）</w:t>
            </w:r>
          </w:p>
        </w:tc>
      </w:tr>
      <w:tr w14:paraId="18322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6811CCC4">
            <w:pPr>
              <w:spacing w:line="360" w:lineRule="auto"/>
              <w:jc w:val="center"/>
              <w:rPr>
                <w:rFonts w:hint="eastAsia" w:ascii="仿宋" w:hAnsi="仿宋" w:eastAsia="仿宋" w:cs="仿宋"/>
                <w:szCs w:val="24"/>
              </w:rPr>
            </w:pPr>
            <w:r>
              <w:rPr>
                <w:rFonts w:hint="eastAsia" w:ascii="仿宋" w:hAnsi="仿宋" w:eastAsia="仿宋" w:cs="仿宋"/>
                <w:szCs w:val="24"/>
              </w:rPr>
              <w:t>5</w:t>
            </w:r>
          </w:p>
        </w:tc>
        <w:tc>
          <w:tcPr>
            <w:tcW w:w="7396" w:type="dxa"/>
            <w:vAlign w:val="center"/>
          </w:tcPr>
          <w:p w14:paraId="6032B6DD">
            <w:pPr>
              <w:spacing w:line="360" w:lineRule="auto"/>
              <w:rPr>
                <w:rFonts w:hint="eastAsia" w:ascii="仿宋" w:hAnsi="仿宋" w:eastAsia="仿宋" w:cs="仿宋"/>
                <w:szCs w:val="24"/>
              </w:rPr>
            </w:pPr>
            <w:r>
              <w:rPr>
                <w:rFonts w:hint="eastAsia" w:ascii="仿宋" w:hAnsi="仿宋" w:eastAsia="仿宋" w:cs="仿宋"/>
                <w:szCs w:val="24"/>
              </w:rPr>
              <w:t>《建筑节能工程施工质量验收规范》GB 50411-2007</w:t>
            </w:r>
          </w:p>
        </w:tc>
      </w:tr>
      <w:tr w14:paraId="174A9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49BBCCCC">
            <w:pPr>
              <w:spacing w:line="360" w:lineRule="auto"/>
              <w:jc w:val="center"/>
              <w:rPr>
                <w:rFonts w:hint="eastAsia" w:ascii="仿宋" w:hAnsi="仿宋" w:eastAsia="仿宋" w:cs="仿宋"/>
                <w:szCs w:val="24"/>
              </w:rPr>
            </w:pPr>
            <w:r>
              <w:rPr>
                <w:rFonts w:hint="eastAsia" w:ascii="仿宋" w:hAnsi="仿宋" w:eastAsia="仿宋" w:cs="仿宋"/>
                <w:szCs w:val="24"/>
              </w:rPr>
              <w:t>6</w:t>
            </w:r>
          </w:p>
        </w:tc>
        <w:tc>
          <w:tcPr>
            <w:tcW w:w="7396" w:type="dxa"/>
            <w:vAlign w:val="center"/>
          </w:tcPr>
          <w:p w14:paraId="0AB33C0A">
            <w:pPr>
              <w:spacing w:line="360" w:lineRule="auto"/>
              <w:rPr>
                <w:rFonts w:hint="eastAsia" w:ascii="仿宋" w:hAnsi="仿宋" w:eastAsia="仿宋" w:cs="仿宋"/>
                <w:szCs w:val="24"/>
              </w:rPr>
            </w:pPr>
            <w:r>
              <w:rPr>
                <w:rFonts w:hint="eastAsia" w:ascii="仿宋" w:hAnsi="仿宋" w:eastAsia="仿宋" w:cs="仿宋"/>
                <w:szCs w:val="24"/>
              </w:rPr>
              <w:t>《民用建筑能耗数据采集标准》JGJ/T154-2007</w:t>
            </w:r>
          </w:p>
        </w:tc>
      </w:tr>
      <w:tr w14:paraId="79A1D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30ED8F7F">
            <w:pPr>
              <w:spacing w:line="360" w:lineRule="auto"/>
              <w:jc w:val="center"/>
              <w:rPr>
                <w:rFonts w:hint="eastAsia" w:ascii="仿宋" w:hAnsi="仿宋" w:eastAsia="仿宋" w:cs="仿宋"/>
                <w:szCs w:val="24"/>
              </w:rPr>
            </w:pPr>
            <w:r>
              <w:rPr>
                <w:rFonts w:hint="eastAsia" w:ascii="仿宋" w:hAnsi="仿宋" w:eastAsia="仿宋" w:cs="仿宋"/>
                <w:szCs w:val="24"/>
              </w:rPr>
              <w:t>7</w:t>
            </w:r>
          </w:p>
        </w:tc>
        <w:tc>
          <w:tcPr>
            <w:tcW w:w="7396" w:type="dxa"/>
            <w:vAlign w:val="center"/>
          </w:tcPr>
          <w:p w14:paraId="3719270B">
            <w:pPr>
              <w:spacing w:line="360" w:lineRule="auto"/>
              <w:rPr>
                <w:rFonts w:hint="eastAsia" w:ascii="仿宋" w:hAnsi="仿宋" w:eastAsia="仿宋" w:cs="仿宋"/>
                <w:szCs w:val="24"/>
              </w:rPr>
            </w:pPr>
            <w:r>
              <w:rPr>
                <w:rFonts w:hint="eastAsia" w:ascii="仿宋" w:hAnsi="仿宋" w:eastAsia="仿宋" w:cs="仿宋"/>
                <w:szCs w:val="24"/>
              </w:rPr>
              <w:t>《建筑工程施工质量验收统一标准》GB50300-2001</w:t>
            </w:r>
          </w:p>
        </w:tc>
      </w:tr>
      <w:tr w14:paraId="22560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5F2904A4">
            <w:pPr>
              <w:spacing w:line="360" w:lineRule="auto"/>
              <w:jc w:val="center"/>
              <w:rPr>
                <w:rFonts w:hint="eastAsia" w:ascii="仿宋" w:hAnsi="仿宋" w:eastAsia="仿宋" w:cs="仿宋"/>
                <w:szCs w:val="24"/>
              </w:rPr>
            </w:pPr>
            <w:r>
              <w:rPr>
                <w:rFonts w:hint="eastAsia" w:ascii="仿宋" w:hAnsi="仿宋" w:eastAsia="仿宋" w:cs="仿宋"/>
                <w:szCs w:val="24"/>
              </w:rPr>
              <w:t>8</w:t>
            </w:r>
          </w:p>
        </w:tc>
        <w:tc>
          <w:tcPr>
            <w:tcW w:w="7396" w:type="dxa"/>
            <w:vAlign w:val="center"/>
          </w:tcPr>
          <w:p w14:paraId="7FECFC47">
            <w:pPr>
              <w:spacing w:line="360" w:lineRule="auto"/>
              <w:rPr>
                <w:rFonts w:hint="eastAsia" w:ascii="仿宋" w:hAnsi="仿宋" w:eastAsia="仿宋" w:cs="仿宋"/>
                <w:szCs w:val="24"/>
              </w:rPr>
            </w:pPr>
            <w:r>
              <w:rPr>
                <w:rFonts w:hint="eastAsia" w:ascii="仿宋" w:hAnsi="仿宋" w:eastAsia="仿宋" w:cs="仿宋"/>
                <w:szCs w:val="24"/>
              </w:rPr>
              <w:t>《民用建筑热工设计规范》GB50176-2016</w:t>
            </w:r>
          </w:p>
        </w:tc>
      </w:tr>
      <w:tr w14:paraId="53674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663EE7F3">
            <w:pPr>
              <w:spacing w:line="360" w:lineRule="auto"/>
              <w:jc w:val="center"/>
              <w:rPr>
                <w:rFonts w:hint="eastAsia" w:ascii="仿宋" w:hAnsi="仿宋" w:eastAsia="仿宋" w:cs="仿宋"/>
                <w:szCs w:val="24"/>
              </w:rPr>
            </w:pPr>
            <w:r>
              <w:rPr>
                <w:rFonts w:hint="eastAsia" w:ascii="仿宋" w:hAnsi="仿宋" w:eastAsia="仿宋" w:cs="仿宋"/>
                <w:szCs w:val="24"/>
              </w:rPr>
              <w:t>9</w:t>
            </w:r>
          </w:p>
        </w:tc>
        <w:tc>
          <w:tcPr>
            <w:tcW w:w="7396" w:type="dxa"/>
            <w:vAlign w:val="center"/>
          </w:tcPr>
          <w:p w14:paraId="04CC8E33">
            <w:pPr>
              <w:spacing w:line="360" w:lineRule="auto"/>
              <w:rPr>
                <w:rFonts w:hint="eastAsia" w:ascii="仿宋" w:hAnsi="仿宋" w:eastAsia="仿宋" w:cs="仿宋"/>
                <w:szCs w:val="24"/>
              </w:rPr>
            </w:pPr>
            <w:r>
              <w:rPr>
                <w:rFonts w:hint="eastAsia" w:ascii="仿宋" w:hAnsi="仿宋" w:eastAsia="仿宋" w:cs="仿宋"/>
                <w:szCs w:val="24"/>
              </w:rPr>
              <w:t>《采暖通风与空气调节设计规范》GB50019-2003</w:t>
            </w:r>
          </w:p>
        </w:tc>
      </w:tr>
      <w:tr w14:paraId="3AB68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190CAF80">
            <w:pPr>
              <w:spacing w:line="360" w:lineRule="auto"/>
              <w:jc w:val="center"/>
              <w:rPr>
                <w:rFonts w:hint="eastAsia" w:ascii="仿宋" w:hAnsi="仿宋" w:eastAsia="仿宋" w:cs="仿宋"/>
                <w:szCs w:val="24"/>
              </w:rPr>
            </w:pPr>
            <w:r>
              <w:rPr>
                <w:rFonts w:hint="eastAsia" w:ascii="仿宋" w:hAnsi="仿宋" w:eastAsia="仿宋" w:cs="仿宋"/>
                <w:szCs w:val="24"/>
              </w:rPr>
              <w:t>10</w:t>
            </w:r>
          </w:p>
        </w:tc>
        <w:tc>
          <w:tcPr>
            <w:tcW w:w="7396" w:type="dxa"/>
            <w:vAlign w:val="center"/>
          </w:tcPr>
          <w:p w14:paraId="7B15F9DB">
            <w:pPr>
              <w:spacing w:line="360" w:lineRule="auto"/>
              <w:rPr>
                <w:rFonts w:hint="eastAsia" w:ascii="仿宋" w:hAnsi="仿宋" w:eastAsia="仿宋" w:cs="仿宋"/>
                <w:szCs w:val="24"/>
              </w:rPr>
            </w:pPr>
            <w:r>
              <w:rPr>
                <w:rFonts w:hint="eastAsia" w:ascii="仿宋" w:hAnsi="仿宋" w:eastAsia="仿宋" w:cs="仿宋"/>
                <w:szCs w:val="24"/>
              </w:rPr>
              <w:t>《通风与空调工程施工质量验收规范》GB50243-2016</w:t>
            </w:r>
          </w:p>
        </w:tc>
      </w:tr>
      <w:tr w14:paraId="02F68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16CA06C6">
            <w:pPr>
              <w:spacing w:line="360" w:lineRule="auto"/>
              <w:jc w:val="center"/>
              <w:rPr>
                <w:rFonts w:hint="eastAsia" w:ascii="仿宋" w:hAnsi="仿宋" w:eastAsia="仿宋" w:cs="仿宋"/>
                <w:szCs w:val="24"/>
              </w:rPr>
            </w:pPr>
            <w:r>
              <w:rPr>
                <w:rFonts w:hint="eastAsia" w:ascii="仿宋" w:hAnsi="仿宋" w:eastAsia="仿宋" w:cs="仿宋"/>
                <w:szCs w:val="24"/>
              </w:rPr>
              <w:t>11</w:t>
            </w:r>
          </w:p>
        </w:tc>
        <w:tc>
          <w:tcPr>
            <w:tcW w:w="7396" w:type="dxa"/>
            <w:vAlign w:val="center"/>
          </w:tcPr>
          <w:p w14:paraId="351C084D">
            <w:pPr>
              <w:spacing w:line="360" w:lineRule="auto"/>
              <w:rPr>
                <w:rFonts w:hint="eastAsia" w:ascii="仿宋" w:hAnsi="仿宋" w:eastAsia="仿宋" w:cs="仿宋"/>
                <w:szCs w:val="24"/>
              </w:rPr>
            </w:pPr>
            <w:r>
              <w:rPr>
                <w:rFonts w:hint="eastAsia" w:ascii="仿宋" w:hAnsi="仿宋" w:eastAsia="仿宋" w:cs="仿宋"/>
                <w:szCs w:val="24"/>
              </w:rPr>
              <w:t>《压缩机、风机、泵安装工程施工及验收规范》GB50273-98</w:t>
            </w:r>
          </w:p>
        </w:tc>
      </w:tr>
      <w:tr w14:paraId="3B874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06CD092D">
            <w:pPr>
              <w:spacing w:line="360" w:lineRule="auto"/>
              <w:jc w:val="center"/>
              <w:rPr>
                <w:rFonts w:hint="eastAsia" w:ascii="仿宋" w:hAnsi="仿宋" w:eastAsia="仿宋" w:cs="仿宋"/>
                <w:szCs w:val="24"/>
              </w:rPr>
            </w:pPr>
            <w:r>
              <w:rPr>
                <w:rFonts w:hint="eastAsia" w:ascii="仿宋" w:hAnsi="仿宋" w:eastAsia="仿宋" w:cs="仿宋"/>
                <w:szCs w:val="24"/>
              </w:rPr>
              <w:t>12</w:t>
            </w:r>
          </w:p>
        </w:tc>
        <w:tc>
          <w:tcPr>
            <w:tcW w:w="7396" w:type="dxa"/>
            <w:vAlign w:val="center"/>
          </w:tcPr>
          <w:p w14:paraId="7142764F">
            <w:pPr>
              <w:spacing w:line="360" w:lineRule="auto"/>
              <w:rPr>
                <w:rFonts w:hint="eastAsia" w:ascii="仿宋" w:hAnsi="仿宋" w:eastAsia="仿宋" w:cs="仿宋"/>
                <w:szCs w:val="24"/>
              </w:rPr>
            </w:pPr>
            <w:r>
              <w:rPr>
                <w:rFonts w:hint="eastAsia" w:ascii="仿宋" w:hAnsi="仿宋" w:eastAsia="仿宋" w:cs="仿宋"/>
                <w:szCs w:val="24"/>
              </w:rPr>
              <w:t>《现场设备、工业管道焊接工程施工及验收规范》GB50236-98</w:t>
            </w:r>
          </w:p>
        </w:tc>
      </w:tr>
      <w:tr w14:paraId="62338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6B7F2CEC">
            <w:pPr>
              <w:spacing w:line="360" w:lineRule="auto"/>
              <w:jc w:val="center"/>
              <w:rPr>
                <w:rFonts w:hint="eastAsia" w:ascii="仿宋" w:hAnsi="仿宋" w:eastAsia="仿宋" w:cs="仿宋"/>
                <w:szCs w:val="24"/>
              </w:rPr>
            </w:pPr>
            <w:r>
              <w:rPr>
                <w:rFonts w:hint="eastAsia" w:ascii="仿宋" w:hAnsi="仿宋" w:eastAsia="仿宋" w:cs="仿宋"/>
                <w:szCs w:val="24"/>
              </w:rPr>
              <w:t>13</w:t>
            </w:r>
          </w:p>
        </w:tc>
        <w:tc>
          <w:tcPr>
            <w:tcW w:w="7396" w:type="dxa"/>
            <w:vAlign w:val="center"/>
          </w:tcPr>
          <w:p w14:paraId="7BFF074A">
            <w:pPr>
              <w:spacing w:line="360" w:lineRule="auto"/>
              <w:rPr>
                <w:rFonts w:hint="eastAsia" w:ascii="仿宋" w:hAnsi="仿宋" w:eastAsia="仿宋" w:cs="仿宋"/>
                <w:szCs w:val="24"/>
              </w:rPr>
            </w:pPr>
            <w:r>
              <w:rPr>
                <w:rFonts w:hint="eastAsia" w:ascii="仿宋" w:hAnsi="仿宋" w:eastAsia="仿宋" w:cs="仿宋"/>
                <w:szCs w:val="24"/>
              </w:rPr>
              <w:t>《建筑给排水及采暖工程施工质量验收规范》GB50243-2002</w:t>
            </w:r>
          </w:p>
        </w:tc>
      </w:tr>
      <w:tr w14:paraId="5313C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7C3B4473">
            <w:pPr>
              <w:spacing w:line="360" w:lineRule="auto"/>
              <w:jc w:val="center"/>
              <w:rPr>
                <w:rFonts w:hint="eastAsia" w:ascii="仿宋" w:hAnsi="仿宋" w:eastAsia="仿宋" w:cs="仿宋"/>
                <w:szCs w:val="24"/>
              </w:rPr>
            </w:pPr>
            <w:r>
              <w:rPr>
                <w:rFonts w:hint="eastAsia" w:ascii="仿宋" w:hAnsi="仿宋" w:eastAsia="仿宋" w:cs="仿宋"/>
                <w:szCs w:val="24"/>
              </w:rPr>
              <w:t>14</w:t>
            </w:r>
          </w:p>
        </w:tc>
        <w:tc>
          <w:tcPr>
            <w:tcW w:w="7396" w:type="dxa"/>
            <w:vAlign w:val="center"/>
          </w:tcPr>
          <w:p w14:paraId="3A06EF51">
            <w:pPr>
              <w:spacing w:line="360" w:lineRule="auto"/>
              <w:rPr>
                <w:rFonts w:hint="eastAsia" w:ascii="仿宋" w:hAnsi="仿宋" w:eastAsia="仿宋" w:cs="仿宋"/>
                <w:szCs w:val="24"/>
              </w:rPr>
            </w:pPr>
            <w:r>
              <w:rPr>
                <w:rFonts w:hint="eastAsia" w:ascii="仿宋" w:hAnsi="仿宋" w:eastAsia="仿宋" w:cs="仿宋"/>
                <w:szCs w:val="24"/>
              </w:rPr>
              <w:t>《工业金属管道工程施工及验收规范》GB50235-97</w:t>
            </w:r>
          </w:p>
        </w:tc>
      </w:tr>
      <w:tr w14:paraId="3C28B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3FF2D661">
            <w:pPr>
              <w:spacing w:line="360" w:lineRule="auto"/>
              <w:jc w:val="center"/>
              <w:rPr>
                <w:rFonts w:hint="eastAsia" w:ascii="仿宋" w:hAnsi="仿宋" w:eastAsia="仿宋" w:cs="仿宋"/>
                <w:szCs w:val="24"/>
              </w:rPr>
            </w:pPr>
            <w:r>
              <w:rPr>
                <w:rFonts w:hint="eastAsia" w:ascii="仿宋" w:hAnsi="仿宋" w:eastAsia="仿宋" w:cs="仿宋"/>
                <w:szCs w:val="24"/>
              </w:rPr>
              <w:t>15</w:t>
            </w:r>
          </w:p>
        </w:tc>
        <w:tc>
          <w:tcPr>
            <w:tcW w:w="7396" w:type="dxa"/>
            <w:vAlign w:val="center"/>
          </w:tcPr>
          <w:p w14:paraId="0867493C">
            <w:pPr>
              <w:spacing w:line="360" w:lineRule="auto"/>
              <w:rPr>
                <w:rFonts w:hint="eastAsia" w:ascii="仿宋" w:hAnsi="仿宋" w:eastAsia="仿宋" w:cs="仿宋"/>
                <w:szCs w:val="24"/>
              </w:rPr>
            </w:pPr>
            <w:r>
              <w:rPr>
                <w:rFonts w:hint="eastAsia" w:ascii="仿宋" w:hAnsi="仿宋" w:eastAsia="仿宋" w:cs="仿宋"/>
                <w:szCs w:val="24"/>
              </w:rPr>
              <w:t>《民用建筑电气设计规范》JGJ/T16-92</w:t>
            </w:r>
          </w:p>
        </w:tc>
      </w:tr>
      <w:tr w14:paraId="5DD4E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72863A62">
            <w:pPr>
              <w:spacing w:line="360" w:lineRule="auto"/>
              <w:jc w:val="center"/>
              <w:rPr>
                <w:rFonts w:hint="eastAsia" w:ascii="仿宋" w:hAnsi="仿宋" w:eastAsia="仿宋" w:cs="仿宋"/>
                <w:szCs w:val="24"/>
              </w:rPr>
            </w:pPr>
            <w:r>
              <w:rPr>
                <w:rFonts w:hint="eastAsia" w:ascii="仿宋" w:hAnsi="仿宋" w:eastAsia="仿宋" w:cs="仿宋"/>
                <w:szCs w:val="24"/>
              </w:rPr>
              <w:t>16</w:t>
            </w:r>
          </w:p>
        </w:tc>
        <w:tc>
          <w:tcPr>
            <w:tcW w:w="7396" w:type="dxa"/>
            <w:vAlign w:val="center"/>
          </w:tcPr>
          <w:p w14:paraId="4A54DCE5">
            <w:pPr>
              <w:spacing w:line="360" w:lineRule="auto"/>
              <w:rPr>
                <w:rFonts w:hint="eastAsia" w:ascii="仿宋" w:hAnsi="仿宋" w:eastAsia="仿宋" w:cs="仿宋"/>
                <w:szCs w:val="24"/>
              </w:rPr>
            </w:pPr>
            <w:r>
              <w:rPr>
                <w:rFonts w:hint="eastAsia" w:ascii="仿宋" w:hAnsi="仿宋" w:eastAsia="仿宋" w:cs="仿宋"/>
                <w:szCs w:val="24"/>
              </w:rPr>
              <w:t>《供配电系统设计规范》GB50052-95</w:t>
            </w:r>
          </w:p>
        </w:tc>
      </w:tr>
      <w:tr w14:paraId="6EFFD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018A7A29">
            <w:pPr>
              <w:spacing w:line="360" w:lineRule="auto"/>
              <w:jc w:val="center"/>
              <w:rPr>
                <w:rFonts w:hint="eastAsia" w:ascii="仿宋" w:hAnsi="仿宋" w:eastAsia="仿宋" w:cs="仿宋"/>
                <w:szCs w:val="24"/>
              </w:rPr>
            </w:pPr>
            <w:r>
              <w:rPr>
                <w:rFonts w:hint="eastAsia" w:ascii="仿宋" w:hAnsi="仿宋" w:eastAsia="仿宋" w:cs="仿宋"/>
                <w:szCs w:val="24"/>
              </w:rPr>
              <w:t>17</w:t>
            </w:r>
          </w:p>
        </w:tc>
        <w:tc>
          <w:tcPr>
            <w:tcW w:w="7396" w:type="dxa"/>
            <w:vAlign w:val="center"/>
          </w:tcPr>
          <w:p w14:paraId="7D69AF83">
            <w:pPr>
              <w:spacing w:line="360" w:lineRule="auto"/>
              <w:rPr>
                <w:rFonts w:hint="eastAsia" w:ascii="仿宋" w:hAnsi="仿宋" w:eastAsia="仿宋" w:cs="仿宋"/>
                <w:szCs w:val="24"/>
              </w:rPr>
            </w:pPr>
            <w:r>
              <w:rPr>
                <w:rFonts w:hint="eastAsia" w:ascii="仿宋" w:hAnsi="仿宋" w:eastAsia="仿宋" w:cs="仿宋"/>
                <w:szCs w:val="24"/>
              </w:rPr>
              <w:t>《低压配电设计规范》GB50054-95</w:t>
            </w:r>
          </w:p>
        </w:tc>
      </w:tr>
      <w:tr w14:paraId="56C61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2303A265">
            <w:pPr>
              <w:spacing w:line="360" w:lineRule="auto"/>
              <w:jc w:val="center"/>
              <w:rPr>
                <w:rFonts w:hint="eastAsia" w:ascii="仿宋" w:hAnsi="仿宋" w:eastAsia="仿宋" w:cs="仿宋"/>
                <w:szCs w:val="24"/>
              </w:rPr>
            </w:pPr>
            <w:r>
              <w:rPr>
                <w:rFonts w:hint="eastAsia" w:ascii="仿宋" w:hAnsi="仿宋" w:eastAsia="仿宋" w:cs="仿宋"/>
                <w:szCs w:val="24"/>
              </w:rPr>
              <w:t>18</w:t>
            </w:r>
          </w:p>
        </w:tc>
        <w:tc>
          <w:tcPr>
            <w:tcW w:w="7396" w:type="dxa"/>
            <w:vAlign w:val="center"/>
          </w:tcPr>
          <w:p w14:paraId="5D9317B8">
            <w:pPr>
              <w:spacing w:line="360" w:lineRule="auto"/>
              <w:rPr>
                <w:rFonts w:hint="eastAsia" w:ascii="仿宋" w:hAnsi="仿宋" w:eastAsia="仿宋" w:cs="仿宋"/>
                <w:szCs w:val="24"/>
              </w:rPr>
            </w:pPr>
            <w:r>
              <w:rPr>
                <w:rFonts w:hint="eastAsia" w:ascii="仿宋" w:hAnsi="仿宋" w:eastAsia="仿宋" w:cs="仿宋"/>
                <w:szCs w:val="24"/>
              </w:rPr>
              <w:t>《民用建筑照明设计标准》GBJ133-90</w:t>
            </w:r>
          </w:p>
        </w:tc>
      </w:tr>
      <w:tr w14:paraId="305B0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349998F3">
            <w:pPr>
              <w:spacing w:line="360" w:lineRule="auto"/>
              <w:jc w:val="center"/>
              <w:rPr>
                <w:rFonts w:hint="eastAsia" w:ascii="仿宋" w:hAnsi="仿宋" w:eastAsia="仿宋" w:cs="仿宋"/>
                <w:szCs w:val="24"/>
              </w:rPr>
            </w:pPr>
            <w:r>
              <w:rPr>
                <w:rFonts w:hint="eastAsia" w:ascii="仿宋" w:hAnsi="仿宋" w:eastAsia="仿宋" w:cs="仿宋"/>
                <w:szCs w:val="24"/>
              </w:rPr>
              <w:t>19</w:t>
            </w:r>
          </w:p>
        </w:tc>
        <w:tc>
          <w:tcPr>
            <w:tcW w:w="7396" w:type="dxa"/>
            <w:vAlign w:val="center"/>
          </w:tcPr>
          <w:p w14:paraId="1A2785E3">
            <w:pPr>
              <w:spacing w:line="360" w:lineRule="auto"/>
              <w:rPr>
                <w:rFonts w:hint="eastAsia" w:ascii="仿宋" w:hAnsi="仿宋" w:eastAsia="仿宋" w:cs="仿宋"/>
                <w:szCs w:val="24"/>
              </w:rPr>
            </w:pPr>
            <w:r>
              <w:rPr>
                <w:rFonts w:hint="eastAsia" w:ascii="仿宋" w:hAnsi="仿宋" w:eastAsia="仿宋" w:cs="仿宋"/>
                <w:szCs w:val="24"/>
              </w:rPr>
              <w:t>《建筑照明设计标准》GB50034-2004</w:t>
            </w:r>
          </w:p>
        </w:tc>
      </w:tr>
      <w:tr w14:paraId="274D1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2CB94125">
            <w:pPr>
              <w:spacing w:line="360" w:lineRule="auto"/>
              <w:jc w:val="center"/>
              <w:rPr>
                <w:rFonts w:hint="eastAsia" w:ascii="仿宋" w:hAnsi="仿宋" w:eastAsia="仿宋" w:cs="仿宋"/>
                <w:szCs w:val="24"/>
              </w:rPr>
            </w:pPr>
            <w:r>
              <w:rPr>
                <w:rFonts w:hint="eastAsia" w:ascii="仿宋" w:hAnsi="仿宋" w:eastAsia="仿宋" w:cs="仿宋"/>
                <w:szCs w:val="24"/>
              </w:rPr>
              <w:t>20</w:t>
            </w:r>
          </w:p>
        </w:tc>
        <w:tc>
          <w:tcPr>
            <w:tcW w:w="7396" w:type="dxa"/>
            <w:vAlign w:val="center"/>
          </w:tcPr>
          <w:p w14:paraId="02E63B90">
            <w:pPr>
              <w:spacing w:line="360" w:lineRule="auto"/>
              <w:rPr>
                <w:rFonts w:hint="eastAsia" w:ascii="仿宋" w:hAnsi="仿宋" w:eastAsia="仿宋" w:cs="仿宋"/>
                <w:szCs w:val="24"/>
              </w:rPr>
            </w:pPr>
            <w:r>
              <w:rPr>
                <w:rFonts w:hint="eastAsia" w:ascii="仿宋" w:hAnsi="仿宋" w:eastAsia="仿宋" w:cs="仿宋"/>
                <w:szCs w:val="24"/>
              </w:rPr>
              <w:t>《智能建筑设计标准》GB/T50314-2000</w:t>
            </w:r>
          </w:p>
        </w:tc>
      </w:tr>
      <w:tr w14:paraId="2F5FD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24D1D4E7">
            <w:pPr>
              <w:spacing w:line="360" w:lineRule="auto"/>
              <w:jc w:val="center"/>
              <w:rPr>
                <w:rFonts w:hint="eastAsia" w:ascii="仿宋" w:hAnsi="仿宋" w:eastAsia="仿宋" w:cs="仿宋"/>
                <w:szCs w:val="24"/>
              </w:rPr>
            </w:pPr>
            <w:r>
              <w:rPr>
                <w:rFonts w:hint="eastAsia" w:ascii="仿宋" w:hAnsi="仿宋" w:eastAsia="仿宋" w:cs="仿宋"/>
                <w:szCs w:val="24"/>
              </w:rPr>
              <w:t>21</w:t>
            </w:r>
          </w:p>
        </w:tc>
        <w:tc>
          <w:tcPr>
            <w:tcW w:w="7396" w:type="dxa"/>
            <w:vAlign w:val="center"/>
          </w:tcPr>
          <w:p w14:paraId="5EAA23B0">
            <w:pPr>
              <w:spacing w:line="360" w:lineRule="auto"/>
              <w:rPr>
                <w:rFonts w:hint="eastAsia" w:ascii="仿宋" w:hAnsi="仿宋" w:eastAsia="仿宋" w:cs="仿宋"/>
                <w:szCs w:val="24"/>
              </w:rPr>
            </w:pPr>
            <w:r>
              <w:rPr>
                <w:rFonts w:hint="eastAsia" w:ascii="仿宋" w:hAnsi="仿宋" w:eastAsia="仿宋" w:cs="仿宋"/>
                <w:szCs w:val="24"/>
              </w:rPr>
              <w:t>《电力装置的继电保护和自动装置设计规范》GB50062-92</w:t>
            </w:r>
          </w:p>
        </w:tc>
      </w:tr>
      <w:tr w14:paraId="7FAFA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742D3799">
            <w:pPr>
              <w:spacing w:line="360" w:lineRule="auto"/>
              <w:jc w:val="center"/>
              <w:rPr>
                <w:rFonts w:hint="eastAsia" w:ascii="仿宋" w:hAnsi="仿宋" w:eastAsia="仿宋" w:cs="仿宋"/>
                <w:szCs w:val="24"/>
              </w:rPr>
            </w:pPr>
            <w:r>
              <w:rPr>
                <w:rFonts w:hint="eastAsia" w:ascii="仿宋" w:hAnsi="仿宋" w:eastAsia="仿宋" w:cs="仿宋"/>
                <w:szCs w:val="24"/>
              </w:rPr>
              <w:t>22</w:t>
            </w:r>
          </w:p>
        </w:tc>
        <w:tc>
          <w:tcPr>
            <w:tcW w:w="7396" w:type="dxa"/>
            <w:vAlign w:val="center"/>
          </w:tcPr>
          <w:p w14:paraId="00C6C646">
            <w:pPr>
              <w:spacing w:line="360" w:lineRule="auto"/>
              <w:rPr>
                <w:rFonts w:hint="eastAsia" w:ascii="仿宋" w:hAnsi="仿宋" w:eastAsia="仿宋" w:cs="仿宋"/>
                <w:szCs w:val="24"/>
              </w:rPr>
            </w:pPr>
            <w:r>
              <w:rPr>
                <w:rFonts w:hint="eastAsia" w:ascii="仿宋" w:hAnsi="仿宋" w:eastAsia="仿宋" w:cs="仿宋"/>
                <w:szCs w:val="24"/>
              </w:rPr>
              <w:t>《建筑与建筑群综合布线系统工程设计规范》GB/T50311-2000</w:t>
            </w:r>
          </w:p>
        </w:tc>
      </w:tr>
      <w:tr w14:paraId="2F6D6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4858CC0A">
            <w:pPr>
              <w:spacing w:line="360" w:lineRule="auto"/>
              <w:jc w:val="center"/>
              <w:rPr>
                <w:rFonts w:hint="eastAsia" w:ascii="仿宋" w:hAnsi="仿宋" w:eastAsia="仿宋" w:cs="仿宋"/>
                <w:szCs w:val="24"/>
              </w:rPr>
            </w:pPr>
            <w:r>
              <w:rPr>
                <w:rFonts w:hint="eastAsia" w:ascii="仿宋" w:hAnsi="仿宋" w:eastAsia="仿宋" w:cs="仿宋"/>
                <w:szCs w:val="24"/>
              </w:rPr>
              <w:t>23</w:t>
            </w:r>
          </w:p>
        </w:tc>
        <w:tc>
          <w:tcPr>
            <w:tcW w:w="7396" w:type="dxa"/>
            <w:vAlign w:val="center"/>
          </w:tcPr>
          <w:p w14:paraId="5E52C37A">
            <w:pPr>
              <w:spacing w:line="360" w:lineRule="auto"/>
              <w:rPr>
                <w:rFonts w:hint="eastAsia" w:ascii="仿宋" w:hAnsi="仿宋" w:eastAsia="仿宋" w:cs="仿宋"/>
                <w:szCs w:val="24"/>
              </w:rPr>
            </w:pPr>
            <w:r>
              <w:rPr>
                <w:rFonts w:hint="eastAsia" w:ascii="仿宋" w:hAnsi="仿宋" w:eastAsia="仿宋" w:cs="仿宋"/>
                <w:szCs w:val="24"/>
              </w:rPr>
              <w:t>《自动化仪表工程施工及验收规范》GB50093-2002</w:t>
            </w:r>
          </w:p>
        </w:tc>
      </w:tr>
      <w:tr w14:paraId="5D46D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0C659DDF">
            <w:pPr>
              <w:spacing w:line="360" w:lineRule="auto"/>
              <w:jc w:val="center"/>
              <w:rPr>
                <w:rFonts w:hint="eastAsia" w:ascii="仿宋" w:hAnsi="仿宋" w:eastAsia="仿宋" w:cs="仿宋"/>
                <w:szCs w:val="24"/>
              </w:rPr>
            </w:pPr>
            <w:r>
              <w:rPr>
                <w:rFonts w:hint="eastAsia" w:ascii="仿宋" w:hAnsi="仿宋" w:eastAsia="仿宋" w:cs="仿宋"/>
                <w:szCs w:val="24"/>
              </w:rPr>
              <w:t>24</w:t>
            </w:r>
          </w:p>
        </w:tc>
        <w:tc>
          <w:tcPr>
            <w:tcW w:w="7396" w:type="dxa"/>
            <w:vAlign w:val="center"/>
          </w:tcPr>
          <w:p w14:paraId="411CB52A">
            <w:pPr>
              <w:spacing w:line="360" w:lineRule="auto"/>
              <w:rPr>
                <w:rFonts w:hint="eastAsia" w:ascii="仿宋" w:hAnsi="仿宋" w:eastAsia="仿宋" w:cs="仿宋"/>
                <w:szCs w:val="24"/>
              </w:rPr>
            </w:pPr>
            <w:r>
              <w:rPr>
                <w:rFonts w:hint="eastAsia" w:ascii="仿宋" w:hAnsi="仿宋" w:eastAsia="仿宋" w:cs="仿宋"/>
                <w:szCs w:val="24"/>
              </w:rPr>
              <w:t>《智能建筑工程质量验收规范》GB50339-2003</w:t>
            </w:r>
          </w:p>
        </w:tc>
      </w:tr>
      <w:tr w14:paraId="7620F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0D69984F">
            <w:pPr>
              <w:spacing w:line="360" w:lineRule="auto"/>
              <w:jc w:val="center"/>
              <w:rPr>
                <w:rFonts w:hint="eastAsia" w:ascii="仿宋" w:hAnsi="仿宋" w:eastAsia="仿宋" w:cs="仿宋"/>
                <w:szCs w:val="24"/>
              </w:rPr>
            </w:pPr>
            <w:r>
              <w:rPr>
                <w:rFonts w:hint="eastAsia" w:ascii="仿宋" w:hAnsi="仿宋" w:eastAsia="仿宋" w:cs="仿宋"/>
                <w:szCs w:val="24"/>
              </w:rPr>
              <w:t>25</w:t>
            </w:r>
          </w:p>
        </w:tc>
        <w:tc>
          <w:tcPr>
            <w:tcW w:w="7396" w:type="dxa"/>
            <w:vAlign w:val="center"/>
          </w:tcPr>
          <w:p w14:paraId="2C9B7BBB">
            <w:pPr>
              <w:spacing w:line="360" w:lineRule="auto"/>
              <w:rPr>
                <w:rFonts w:hint="eastAsia" w:ascii="仿宋" w:hAnsi="仿宋" w:eastAsia="仿宋" w:cs="仿宋"/>
                <w:szCs w:val="24"/>
              </w:rPr>
            </w:pPr>
            <w:r>
              <w:rPr>
                <w:rFonts w:hint="eastAsia" w:ascii="仿宋" w:hAnsi="仿宋" w:eastAsia="仿宋" w:cs="仿宋"/>
                <w:szCs w:val="24"/>
              </w:rPr>
              <w:t>《电气装置安装工程高压电器施工及验收规范》GBJ147-90</w:t>
            </w:r>
          </w:p>
        </w:tc>
      </w:tr>
      <w:tr w14:paraId="47CF9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7A8EE901">
            <w:pPr>
              <w:spacing w:line="360" w:lineRule="auto"/>
              <w:jc w:val="center"/>
              <w:rPr>
                <w:rFonts w:hint="eastAsia" w:ascii="仿宋" w:hAnsi="仿宋" w:eastAsia="仿宋" w:cs="仿宋"/>
                <w:szCs w:val="24"/>
              </w:rPr>
            </w:pPr>
            <w:r>
              <w:rPr>
                <w:rFonts w:hint="eastAsia" w:ascii="仿宋" w:hAnsi="仿宋" w:eastAsia="仿宋" w:cs="仿宋"/>
                <w:szCs w:val="24"/>
              </w:rPr>
              <w:t>26</w:t>
            </w:r>
          </w:p>
        </w:tc>
        <w:tc>
          <w:tcPr>
            <w:tcW w:w="7396" w:type="dxa"/>
            <w:vAlign w:val="center"/>
          </w:tcPr>
          <w:p w14:paraId="73D5DB69">
            <w:pPr>
              <w:spacing w:line="360" w:lineRule="auto"/>
              <w:rPr>
                <w:rFonts w:hint="eastAsia" w:ascii="仿宋" w:hAnsi="仿宋" w:eastAsia="仿宋" w:cs="仿宋"/>
                <w:szCs w:val="24"/>
              </w:rPr>
            </w:pPr>
            <w:r>
              <w:rPr>
                <w:rFonts w:hint="eastAsia" w:ascii="仿宋" w:hAnsi="仿宋" w:eastAsia="仿宋" w:cs="仿宋"/>
                <w:szCs w:val="24"/>
              </w:rPr>
              <w:t>《电气装置安装工程低压电器施工及验收规范》GB50254-96</w:t>
            </w:r>
          </w:p>
        </w:tc>
      </w:tr>
      <w:tr w14:paraId="52E14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28EB4C9B">
            <w:pPr>
              <w:spacing w:line="360" w:lineRule="auto"/>
              <w:jc w:val="center"/>
              <w:rPr>
                <w:rFonts w:hint="eastAsia" w:ascii="仿宋" w:hAnsi="仿宋" w:eastAsia="仿宋" w:cs="仿宋"/>
                <w:szCs w:val="24"/>
              </w:rPr>
            </w:pPr>
            <w:r>
              <w:rPr>
                <w:rFonts w:hint="eastAsia" w:ascii="仿宋" w:hAnsi="仿宋" w:eastAsia="仿宋" w:cs="仿宋"/>
                <w:szCs w:val="24"/>
              </w:rPr>
              <w:t>27</w:t>
            </w:r>
          </w:p>
        </w:tc>
        <w:tc>
          <w:tcPr>
            <w:tcW w:w="7396" w:type="dxa"/>
            <w:vAlign w:val="center"/>
          </w:tcPr>
          <w:p w14:paraId="79DD064B">
            <w:pPr>
              <w:spacing w:line="360" w:lineRule="auto"/>
              <w:rPr>
                <w:rFonts w:hint="eastAsia" w:ascii="仿宋" w:hAnsi="仿宋" w:eastAsia="仿宋" w:cs="仿宋"/>
                <w:szCs w:val="24"/>
              </w:rPr>
            </w:pPr>
            <w:r>
              <w:rPr>
                <w:rFonts w:hint="eastAsia" w:ascii="仿宋" w:hAnsi="仿宋" w:eastAsia="仿宋" w:cs="仿宋"/>
                <w:szCs w:val="24"/>
              </w:rPr>
              <w:t>《电气装置安装工程电气照明装置施工及验收规范》GB50259-96</w:t>
            </w:r>
          </w:p>
        </w:tc>
      </w:tr>
      <w:tr w14:paraId="10A3C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566BD999">
            <w:pPr>
              <w:spacing w:line="360" w:lineRule="auto"/>
              <w:jc w:val="center"/>
              <w:rPr>
                <w:rFonts w:hint="eastAsia" w:ascii="仿宋" w:hAnsi="仿宋" w:eastAsia="仿宋" w:cs="仿宋"/>
                <w:szCs w:val="24"/>
              </w:rPr>
            </w:pPr>
            <w:r>
              <w:rPr>
                <w:rFonts w:hint="eastAsia" w:ascii="仿宋" w:hAnsi="仿宋" w:eastAsia="仿宋" w:cs="仿宋"/>
                <w:szCs w:val="24"/>
              </w:rPr>
              <w:t>28</w:t>
            </w:r>
          </w:p>
        </w:tc>
        <w:tc>
          <w:tcPr>
            <w:tcW w:w="7396" w:type="dxa"/>
            <w:vAlign w:val="center"/>
          </w:tcPr>
          <w:p w14:paraId="3E9EE5B6">
            <w:pPr>
              <w:spacing w:line="360" w:lineRule="auto"/>
              <w:rPr>
                <w:rFonts w:hint="eastAsia" w:ascii="仿宋" w:hAnsi="仿宋" w:eastAsia="仿宋" w:cs="仿宋"/>
                <w:szCs w:val="24"/>
              </w:rPr>
            </w:pPr>
            <w:r>
              <w:rPr>
                <w:rFonts w:hint="eastAsia" w:ascii="仿宋" w:hAnsi="仿宋" w:eastAsia="仿宋" w:cs="仿宋"/>
                <w:szCs w:val="24"/>
              </w:rPr>
              <w:t>《电气装置安装工程盘、柜及二次回路结线施工及验收规范》GB50171-2012</w:t>
            </w:r>
          </w:p>
        </w:tc>
      </w:tr>
      <w:tr w14:paraId="7A39F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2ECC40E3">
            <w:pPr>
              <w:spacing w:line="360" w:lineRule="auto"/>
              <w:jc w:val="center"/>
              <w:rPr>
                <w:rFonts w:hint="eastAsia" w:ascii="仿宋" w:hAnsi="仿宋" w:eastAsia="仿宋" w:cs="仿宋"/>
                <w:szCs w:val="24"/>
              </w:rPr>
            </w:pPr>
            <w:r>
              <w:rPr>
                <w:rFonts w:hint="eastAsia" w:ascii="仿宋" w:hAnsi="仿宋" w:eastAsia="仿宋" w:cs="仿宋"/>
                <w:szCs w:val="24"/>
              </w:rPr>
              <w:t>29</w:t>
            </w:r>
          </w:p>
        </w:tc>
        <w:tc>
          <w:tcPr>
            <w:tcW w:w="7396" w:type="dxa"/>
            <w:vAlign w:val="center"/>
          </w:tcPr>
          <w:p w14:paraId="32AD8A1C">
            <w:pPr>
              <w:spacing w:line="360" w:lineRule="auto"/>
              <w:rPr>
                <w:rFonts w:hint="eastAsia" w:ascii="仿宋" w:hAnsi="仿宋" w:eastAsia="仿宋" w:cs="仿宋"/>
                <w:szCs w:val="24"/>
              </w:rPr>
            </w:pPr>
            <w:r>
              <w:rPr>
                <w:rFonts w:hint="eastAsia" w:ascii="仿宋" w:hAnsi="仿宋" w:eastAsia="仿宋" w:cs="仿宋"/>
                <w:szCs w:val="24"/>
              </w:rPr>
              <w:t>《电力装置的电测量仪表装置设计规范》GB/T50063-2008</w:t>
            </w:r>
          </w:p>
        </w:tc>
      </w:tr>
      <w:tr w14:paraId="3B52BF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dxa"/>
            <w:vAlign w:val="center"/>
          </w:tcPr>
          <w:p w14:paraId="01B60E39">
            <w:pPr>
              <w:spacing w:line="360" w:lineRule="auto"/>
              <w:jc w:val="center"/>
              <w:rPr>
                <w:rFonts w:hint="eastAsia" w:ascii="仿宋" w:hAnsi="仿宋" w:eastAsia="仿宋" w:cs="仿宋"/>
                <w:b/>
                <w:bCs/>
                <w:szCs w:val="24"/>
              </w:rPr>
            </w:pPr>
            <w:r>
              <w:rPr>
                <w:rFonts w:hint="eastAsia" w:ascii="仿宋" w:hAnsi="仿宋" w:eastAsia="仿宋" w:cs="仿宋"/>
                <w:b/>
                <w:bCs/>
                <w:szCs w:val="24"/>
              </w:rPr>
              <w:t>四</w:t>
            </w:r>
          </w:p>
        </w:tc>
        <w:tc>
          <w:tcPr>
            <w:tcW w:w="7396" w:type="dxa"/>
            <w:vAlign w:val="center"/>
          </w:tcPr>
          <w:p w14:paraId="5BE9A76C">
            <w:pPr>
              <w:spacing w:line="360" w:lineRule="auto"/>
              <w:rPr>
                <w:rFonts w:hint="eastAsia" w:ascii="仿宋" w:hAnsi="仿宋" w:eastAsia="仿宋" w:cs="仿宋"/>
                <w:b/>
                <w:bCs/>
                <w:szCs w:val="24"/>
              </w:rPr>
            </w:pPr>
            <w:r>
              <w:rPr>
                <w:rFonts w:hint="eastAsia" w:ascii="仿宋" w:hAnsi="仿宋" w:eastAsia="仿宋" w:cs="仿宋"/>
                <w:b/>
                <w:bCs/>
                <w:szCs w:val="24"/>
                <w:lang w:val="en-US" w:eastAsia="zh-CN"/>
              </w:rPr>
              <w:t>采购人</w:t>
            </w:r>
            <w:r>
              <w:rPr>
                <w:rFonts w:hint="eastAsia" w:ascii="仿宋" w:hAnsi="仿宋" w:eastAsia="仿宋" w:cs="仿宋"/>
                <w:b/>
                <w:bCs/>
                <w:szCs w:val="24"/>
              </w:rPr>
              <w:t>有关文件制度</w:t>
            </w:r>
          </w:p>
        </w:tc>
      </w:tr>
    </w:tbl>
    <w:p w14:paraId="4714CFFB">
      <w:pPr>
        <w:spacing w:line="360" w:lineRule="auto"/>
        <w:ind w:firstLine="420"/>
        <w:rPr>
          <w:rFonts w:hint="eastAsia" w:ascii="仿宋" w:hAnsi="仿宋" w:eastAsia="仿宋" w:cs="仿宋"/>
        </w:rPr>
      </w:pPr>
      <w:r>
        <w:rPr>
          <w:rFonts w:hint="eastAsia" w:ascii="仿宋" w:hAnsi="仿宋" w:eastAsia="仿宋" w:cs="仿宋"/>
        </w:rPr>
        <w:t>5.</w:t>
      </w:r>
      <w:r>
        <w:rPr>
          <w:rFonts w:hint="eastAsia" w:ascii="仿宋" w:hAnsi="仿宋" w:eastAsia="仿宋" w:cs="仿宋"/>
          <w:lang w:val="en-US" w:eastAsia="zh-CN"/>
        </w:rPr>
        <w:t>5</w:t>
      </w:r>
      <w:r>
        <w:rPr>
          <w:rFonts w:hint="eastAsia" w:ascii="仿宋" w:hAnsi="仿宋" w:eastAsia="仿宋" w:cs="仿宋"/>
        </w:rPr>
        <w:t>.2 原则</w:t>
      </w:r>
    </w:p>
    <w:p w14:paraId="5EC259C6">
      <w:pPr>
        <w:spacing w:line="360" w:lineRule="auto"/>
        <w:ind w:firstLine="420"/>
        <w:rPr>
          <w:rFonts w:hint="eastAsia" w:ascii="仿宋" w:hAnsi="仿宋" w:eastAsia="仿宋" w:cs="仿宋"/>
        </w:rPr>
      </w:pPr>
      <w:r>
        <w:rPr>
          <w:rFonts w:hint="eastAsia" w:ascii="仿宋" w:hAnsi="仿宋" w:eastAsia="仿宋" w:cs="仿宋"/>
        </w:rPr>
        <w:t>(1)在满足</w:t>
      </w:r>
      <w:r>
        <w:rPr>
          <w:rFonts w:hint="eastAsia" w:ascii="仿宋" w:hAnsi="仿宋" w:eastAsia="仿宋" w:cs="仿宋"/>
          <w:lang w:val="en-US" w:eastAsia="zh-CN"/>
        </w:rPr>
        <w:t>采购人</w:t>
      </w:r>
      <w:r>
        <w:rPr>
          <w:rFonts w:hint="eastAsia" w:ascii="仿宋" w:hAnsi="仿宋" w:eastAsia="仿宋" w:cs="仿宋"/>
        </w:rPr>
        <w:t>正常用能及舒适的前提下开展综合节能改造，改造范围包括但不限于：高效冷站系统建设、采暖系统改造、生活热水系统改造、照明系统改造、节水改造、末端空调控制系统建设、光储充发电系统建设、信息智慧平台。</w:t>
      </w:r>
    </w:p>
    <w:p w14:paraId="13A0A2FE">
      <w:pPr>
        <w:spacing w:line="360" w:lineRule="auto"/>
        <w:ind w:firstLine="420"/>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按照安全可靠、技术先进、经济合理、节能环保、维修方便的原则进行。</w:t>
      </w:r>
    </w:p>
    <w:p w14:paraId="53E40831">
      <w:pPr>
        <w:spacing w:line="360" w:lineRule="auto"/>
        <w:ind w:firstLine="420"/>
        <w:rPr>
          <w:rFonts w:hint="eastAsia" w:ascii="仿宋" w:hAnsi="仿宋" w:eastAsia="仿宋" w:cs="仿宋"/>
        </w:rPr>
      </w:pPr>
      <w:r>
        <w:rPr>
          <w:rFonts w:hint="eastAsia" w:ascii="仿宋" w:hAnsi="仿宋" w:eastAsia="仿宋" w:cs="仿宋"/>
        </w:rPr>
        <w:t>(3)</w:t>
      </w:r>
      <w:r>
        <w:rPr>
          <w:rFonts w:hint="eastAsia" w:ascii="仿宋" w:hAnsi="仿宋" w:eastAsia="仿宋" w:cs="仿宋"/>
        </w:rPr>
        <w:tab/>
      </w:r>
      <w:r>
        <w:rPr>
          <w:rFonts w:hint="eastAsia" w:ascii="仿宋" w:hAnsi="仿宋" w:eastAsia="仿宋" w:cs="仿宋"/>
        </w:rPr>
        <w:t>前期工作准备要充分、施工组织协调措施要落实。</w:t>
      </w:r>
    </w:p>
    <w:p w14:paraId="7E869607">
      <w:pPr>
        <w:spacing w:line="360" w:lineRule="auto"/>
        <w:ind w:firstLine="422"/>
        <w:rPr>
          <w:rFonts w:hint="eastAsia" w:ascii="仿宋" w:hAnsi="仿宋" w:eastAsia="仿宋" w:cs="仿宋"/>
          <w:b/>
          <w:bCs/>
        </w:rPr>
      </w:pPr>
      <w:r>
        <w:rPr>
          <w:rFonts w:hint="eastAsia" w:ascii="仿宋" w:hAnsi="仿宋" w:eastAsia="仿宋" w:cs="仿宋"/>
          <w:b/>
          <w:bCs/>
        </w:rPr>
        <w:t>5.</w:t>
      </w:r>
      <w:r>
        <w:rPr>
          <w:rFonts w:hint="eastAsia" w:ascii="仿宋" w:hAnsi="仿宋" w:eastAsia="仿宋" w:cs="仿宋"/>
          <w:b/>
          <w:bCs/>
          <w:lang w:val="en-US" w:eastAsia="zh-CN"/>
        </w:rPr>
        <w:t>6</w:t>
      </w:r>
      <w:r>
        <w:rPr>
          <w:rFonts w:hint="eastAsia" w:ascii="仿宋" w:hAnsi="仿宋" w:eastAsia="仿宋" w:cs="仿宋"/>
          <w:b/>
          <w:bCs/>
        </w:rPr>
        <w:t xml:space="preserve"> 项目管理要求</w:t>
      </w:r>
    </w:p>
    <w:p w14:paraId="4D78040E">
      <w:pPr>
        <w:spacing w:line="360" w:lineRule="auto"/>
        <w:ind w:firstLine="420"/>
        <w:rPr>
          <w:rFonts w:hint="eastAsia" w:ascii="仿宋" w:hAnsi="仿宋" w:eastAsia="仿宋" w:cs="仿宋"/>
        </w:rPr>
      </w:pPr>
      <w:r>
        <w:rPr>
          <w:rFonts w:hint="eastAsia" w:ascii="仿宋" w:hAnsi="仿宋" w:eastAsia="仿宋" w:cs="仿宋"/>
        </w:rPr>
        <w:t>5.</w:t>
      </w:r>
      <w:r>
        <w:rPr>
          <w:rFonts w:hint="eastAsia" w:ascii="仿宋" w:hAnsi="仿宋" w:eastAsia="仿宋" w:cs="仿宋"/>
          <w:lang w:val="en-US" w:eastAsia="zh-CN"/>
        </w:rPr>
        <w:t>6</w:t>
      </w:r>
      <w:r>
        <w:rPr>
          <w:rFonts w:hint="eastAsia" w:ascii="仿宋" w:hAnsi="仿宋" w:eastAsia="仿宋" w:cs="仿宋"/>
        </w:rPr>
        <w:t>.1 人员组织</w:t>
      </w:r>
    </w:p>
    <w:p w14:paraId="3FA7197F">
      <w:pPr>
        <w:spacing w:line="360" w:lineRule="auto"/>
        <w:ind w:firstLine="420"/>
        <w:jc w:val="left"/>
        <w:rPr>
          <w:rFonts w:hint="eastAsia" w:ascii="仿宋" w:hAnsi="仿宋" w:eastAsia="仿宋" w:cs="仿宋"/>
        </w:rPr>
      </w:pPr>
      <w:r>
        <w:rPr>
          <w:rFonts w:hint="eastAsia" w:ascii="仿宋" w:hAnsi="仿宋" w:eastAsia="仿宋" w:cs="仿宋"/>
        </w:rPr>
        <w:t>中标人应为本项目配备经验丰富的技术负责人协助采购人进行运行管理，技术负责人除了应有能源系统管理、公共建筑节能改造等相关经验外，还应具备高级或中级职称。</w:t>
      </w:r>
    </w:p>
    <w:p w14:paraId="7A42EC44">
      <w:pPr>
        <w:spacing w:line="360" w:lineRule="auto"/>
        <w:ind w:firstLine="420"/>
        <w:jc w:val="left"/>
        <w:rPr>
          <w:rFonts w:hint="eastAsia" w:ascii="仿宋" w:hAnsi="仿宋" w:eastAsia="仿宋" w:cs="仿宋"/>
        </w:rPr>
      </w:pPr>
      <w:r>
        <w:rPr>
          <w:rFonts w:hint="eastAsia" w:ascii="仿宋" w:hAnsi="仿宋" w:eastAsia="仿宋" w:cs="仿宋"/>
        </w:rPr>
        <w:t>中标人应保证项目管理人员的稳定性，在未经过采购人同意的情况下，中标人不得随意更换人员。采购人或中标人认为需要更换项目管理人员时，均应提早两周向对方申明原因，中标人应同时提出新的符合合同要求的项目管理成员人选，经采购人同意并办理交接手续后方可更换。</w:t>
      </w:r>
    </w:p>
    <w:p w14:paraId="71C0DFF6">
      <w:pPr>
        <w:spacing w:line="360" w:lineRule="auto"/>
        <w:ind w:firstLine="420"/>
        <w:rPr>
          <w:rFonts w:hint="eastAsia" w:ascii="仿宋" w:hAnsi="仿宋" w:eastAsia="仿宋" w:cs="仿宋"/>
        </w:rPr>
      </w:pPr>
      <w:r>
        <w:rPr>
          <w:rFonts w:hint="eastAsia" w:ascii="仿宋" w:hAnsi="仿宋" w:eastAsia="仿宋" w:cs="仿宋"/>
        </w:rPr>
        <w:t>中标人应配备专业技术团队为本项目提供专业技术支持服务，专业技术人员应来自不同的专业领域，如暖通设备专家、电力系统专家以及其它专业业务专家等。同时专家团队应协助采购人对采购人指派的操作人员进行适当的培训，以使其能承担相应的操作和设施维护要求。</w:t>
      </w:r>
    </w:p>
    <w:p w14:paraId="06BF0BF6">
      <w:pPr>
        <w:spacing w:line="360" w:lineRule="auto"/>
        <w:ind w:firstLine="420"/>
        <w:rPr>
          <w:rFonts w:hint="eastAsia" w:ascii="仿宋" w:hAnsi="仿宋" w:eastAsia="仿宋" w:cs="仿宋"/>
        </w:rPr>
      </w:pPr>
      <w:r>
        <w:rPr>
          <w:rFonts w:hint="eastAsia" w:ascii="仿宋" w:hAnsi="仿宋" w:eastAsia="仿宋" w:cs="仿宋"/>
        </w:rPr>
        <w:t>中标人应当确保其工作人员或者其聘请的第三方在项目实施、运行的整个过程中遵守采购人的相关规章制度。</w:t>
      </w:r>
    </w:p>
    <w:p w14:paraId="729B20C9">
      <w:pPr>
        <w:spacing w:line="360" w:lineRule="auto"/>
        <w:ind w:firstLine="420"/>
        <w:rPr>
          <w:rFonts w:hint="eastAsia" w:ascii="仿宋" w:hAnsi="仿宋" w:eastAsia="仿宋" w:cs="仿宋"/>
          <w:b w:val="0"/>
          <w:bCs w:val="0"/>
          <w:i/>
          <w:iCs/>
          <w:u w:val="single"/>
        </w:rPr>
      </w:pPr>
      <w:r>
        <w:rPr>
          <w:rFonts w:hint="eastAsia" w:ascii="仿宋" w:hAnsi="仿宋" w:eastAsia="仿宋" w:cs="仿宋"/>
          <w:b w:val="0"/>
          <w:bCs w:val="0"/>
          <w:i/>
          <w:iCs/>
          <w:u w:val="single"/>
        </w:rPr>
        <w:t>★5.</w:t>
      </w:r>
      <w:r>
        <w:rPr>
          <w:rFonts w:hint="eastAsia" w:ascii="仿宋" w:hAnsi="仿宋" w:eastAsia="仿宋" w:cs="仿宋"/>
          <w:b w:val="0"/>
          <w:bCs w:val="0"/>
          <w:i/>
          <w:iCs/>
          <w:u w:val="single"/>
          <w:lang w:val="en-US" w:eastAsia="zh-CN"/>
        </w:rPr>
        <w:t>6</w:t>
      </w:r>
      <w:r>
        <w:rPr>
          <w:rFonts w:hint="eastAsia" w:ascii="仿宋" w:hAnsi="仿宋" w:eastAsia="仿宋" w:cs="仿宋"/>
          <w:b w:val="0"/>
          <w:bCs w:val="0"/>
          <w:i/>
          <w:iCs/>
          <w:u w:val="single"/>
        </w:rPr>
        <w:t>.2 进度管理</w:t>
      </w:r>
    </w:p>
    <w:p w14:paraId="69F483C5">
      <w:pPr>
        <w:spacing w:line="360" w:lineRule="auto"/>
        <w:ind w:firstLine="420"/>
        <w:rPr>
          <w:rFonts w:hint="eastAsia" w:ascii="仿宋" w:hAnsi="仿宋" w:eastAsia="仿宋" w:cs="仿宋"/>
          <w:b/>
          <w:bCs/>
          <w:i/>
          <w:iCs/>
          <w:color w:val="auto"/>
          <w:u w:val="single"/>
        </w:rPr>
      </w:pPr>
      <w:r>
        <w:rPr>
          <w:rFonts w:hint="eastAsia" w:ascii="仿宋" w:hAnsi="仿宋" w:eastAsia="仿宋" w:cs="仿宋"/>
          <w:b/>
          <w:bCs/>
          <w:i/>
          <w:iCs/>
          <w:color w:val="auto"/>
          <w:u w:val="single"/>
        </w:rPr>
        <w:t>实施综合节能改造计划：中标人应在合同生效之日起365个日历天，完成节能改造内容（含设备调试），其中高效冷站系统建设应在</w:t>
      </w:r>
      <w:r>
        <w:rPr>
          <w:rFonts w:hint="eastAsia" w:ascii="仿宋" w:hAnsi="仿宋" w:eastAsia="仿宋" w:cs="仿宋"/>
          <w:b/>
          <w:bCs/>
          <w:i/>
          <w:iCs/>
          <w:color w:val="FF0000"/>
          <w:u w:val="single"/>
        </w:rPr>
        <w:t>合同生效之日起50日内</w:t>
      </w:r>
      <w:r>
        <w:rPr>
          <w:rFonts w:hint="eastAsia" w:ascii="仿宋" w:hAnsi="仿宋" w:eastAsia="仿宋" w:cs="仿宋"/>
          <w:b/>
          <w:bCs/>
          <w:i/>
          <w:iCs/>
          <w:color w:val="auto"/>
          <w:u w:val="single"/>
        </w:rPr>
        <w:t>完成并运行（含设备调试）。投标文件中提供承诺书，否则视为无效投标。</w:t>
      </w:r>
    </w:p>
    <w:p w14:paraId="3FFDB7E5">
      <w:pPr>
        <w:spacing w:line="360" w:lineRule="auto"/>
        <w:ind w:firstLine="420"/>
        <w:rPr>
          <w:rFonts w:hint="eastAsia" w:ascii="仿宋" w:hAnsi="仿宋" w:eastAsia="仿宋" w:cs="仿宋"/>
        </w:rPr>
      </w:pPr>
      <w:r>
        <w:rPr>
          <w:rFonts w:hint="eastAsia" w:ascii="仿宋" w:hAnsi="仿宋" w:eastAsia="仿宋" w:cs="仿宋"/>
        </w:rPr>
        <w:t>5.</w:t>
      </w:r>
      <w:r>
        <w:rPr>
          <w:rFonts w:hint="eastAsia" w:ascii="仿宋" w:hAnsi="仿宋" w:eastAsia="仿宋" w:cs="仿宋"/>
          <w:lang w:val="en-US" w:eastAsia="zh-CN"/>
        </w:rPr>
        <w:t>6</w:t>
      </w:r>
      <w:r>
        <w:rPr>
          <w:rFonts w:hint="eastAsia" w:ascii="仿宋" w:hAnsi="仿宋" w:eastAsia="仿宋" w:cs="仿宋"/>
        </w:rPr>
        <w:t>.3风险管理</w:t>
      </w:r>
    </w:p>
    <w:p w14:paraId="07162571">
      <w:pPr>
        <w:spacing w:line="360" w:lineRule="auto"/>
        <w:ind w:firstLine="420"/>
        <w:rPr>
          <w:rFonts w:hint="eastAsia" w:ascii="仿宋" w:hAnsi="仿宋" w:eastAsia="仿宋" w:cs="仿宋"/>
        </w:rPr>
      </w:pPr>
      <w:r>
        <w:rPr>
          <w:rFonts w:hint="eastAsia" w:ascii="仿宋" w:hAnsi="仿宋" w:eastAsia="仿宋" w:cs="仿宋"/>
        </w:rPr>
        <w:t>实际运行过程中，风险随时可能出现，中标人应根据项目实际情况加强风险管理，做好风险的识别，风险的量化分析，制定风险的应对预案。中标人应当确保其工作人员和其聘请的第三方严格遵守采购人有关施工场地安全和卫生等方面的规定，并听从采购人合理的现场指挥。</w:t>
      </w:r>
    </w:p>
    <w:p w14:paraId="5C26D534">
      <w:pPr>
        <w:spacing w:line="360" w:lineRule="auto"/>
        <w:ind w:firstLine="420"/>
        <w:rPr>
          <w:rFonts w:hint="eastAsia" w:ascii="仿宋" w:hAnsi="仿宋" w:eastAsia="仿宋" w:cs="仿宋"/>
        </w:rPr>
      </w:pPr>
      <w:r>
        <w:rPr>
          <w:rFonts w:hint="eastAsia" w:ascii="仿宋" w:hAnsi="仿宋" w:eastAsia="仿宋" w:cs="仿宋"/>
        </w:rPr>
        <w:t>（1</w:t>
      </w:r>
      <w:r>
        <w:rPr>
          <w:rFonts w:hint="eastAsia" w:ascii="仿宋" w:hAnsi="仿宋" w:eastAsia="仿宋" w:cs="仿宋"/>
          <w:lang w:eastAsia="zh-CN"/>
        </w:rPr>
        <w:t>）</w:t>
      </w:r>
      <w:r>
        <w:rPr>
          <w:rFonts w:hint="eastAsia" w:ascii="仿宋" w:hAnsi="仿宋" w:eastAsia="仿宋" w:cs="仿宋"/>
        </w:rPr>
        <w:t>投标人的改造方案需提交</w:t>
      </w:r>
      <w:r>
        <w:rPr>
          <w:rFonts w:hint="eastAsia" w:ascii="仿宋" w:hAnsi="仿宋" w:eastAsia="仿宋" w:cs="仿宋"/>
          <w:lang w:eastAsia="zh-CN"/>
        </w:rPr>
        <w:t>采购人</w:t>
      </w:r>
      <w:r>
        <w:rPr>
          <w:rFonts w:hint="eastAsia" w:ascii="仿宋" w:hAnsi="仿宋" w:eastAsia="仿宋" w:cs="仿宋"/>
        </w:rPr>
        <w:t>审核通过后方可实施，改造期间不得影响医院正常运行，因</w:t>
      </w:r>
      <w:r>
        <w:rPr>
          <w:rFonts w:hint="eastAsia" w:ascii="仿宋" w:hAnsi="仿宋" w:eastAsia="仿宋" w:cs="仿宋"/>
          <w:lang w:eastAsia="zh-CN"/>
        </w:rPr>
        <w:t>采购人</w:t>
      </w:r>
      <w:r>
        <w:rPr>
          <w:rFonts w:hint="eastAsia" w:ascii="仿宋" w:hAnsi="仿宋" w:eastAsia="仿宋" w:cs="仿宋"/>
        </w:rPr>
        <w:t>和不可抗力因素除外。</w:t>
      </w:r>
    </w:p>
    <w:p w14:paraId="66CE6A1B">
      <w:pPr>
        <w:spacing w:line="360" w:lineRule="auto"/>
        <w:ind w:firstLine="420"/>
        <w:rPr>
          <w:rFonts w:hint="eastAsia" w:ascii="仿宋" w:hAnsi="仿宋" w:eastAsia="仿宋" w:cs="仿宋"/>
        </w:rPr>
      </w:pPr>
      <w:r>
        <w:rPr>
          <w:rFonts w:hint="eastAsia" w:ascii="仿宋" w:hAnsi="仿宋" w:eastAsia="仿宋" w:cs="仿宋"/>
        </w:rPr>
        <w:t>（2</w:t>
      </w:r>
      <w:r>
        <w:rPr>
          <w:rFonts w:hint="eastAsia" w:ascii="仿宋" w:hAnsi="仿宋" w:eastAsia="仿宋" w:cs="仿宋"/>
          <w:lang w:eastAsia="zh-CN"/>
        </w:rPr>
        <w:t>）</w:t>
      </w:r>
      <w:r>
        <w:rPr>
          <w:rFonts w:hint="eastAsia" w:ascii="仿宋" w:hAnsi="仿宋" w:eastAsia="仿宋" w:cs="仿宋"/>
        </w:rPr>
        <w:t>由投标人根据现场调研情况，因地制宜，选择技术先进、经济合理的技术或产品，技术或产品要求技术成熟、稳定可靠。改造应在不对医院造成较大影响的情况下进行，而且不应影响原有系统的正常运行。</w:t>
      </w:r>
    </w:p>
    <w:p w14:paraId="5DEA3F21">
      <w:pPr>
        <w:spacing w:line="360" w:lineRule="auto"/>
        <w:ind w:firstLine="420"/>
        <w:rPr>
          <w:rFonts w:hint="eastAsia" w:ascii="仿宋" w:hAnsi="仿宋" w:eastAsia="仿宋" w:cs="仿宋"/>
        </w:rPr>
      </w:pPr>
      <w:r>
        <w:rPr>
          <w:rFonts w:hint="eastAsia" w:ascii="仿宋" w:hAnsi="仿宋" w:eastAsia="仿宋" w:cs="仿宋"/>
        </w:rPr>
        <w:t>（3</w:t>
      </w:r>
      <w:r>
        <w:rPr>
          <w:rFonts w:hint="eastAsia" w:ascii="仿宋" w:hAnsi="仿宋" w:eastAsia="仿宋" w:cs="仿宋"/>
          <w:lang w:eastAsia="zh-CN"/>
        </w:rPr>
        <w:t>）</w:t>
      </w:r>
      <w:r>
        <w:rPr>
          <w:rFonts w:hint="eastAsia" w:ascii="仿宋" w:hAnsi="仿宋" w:eastAsia="仿宋" w:cs="仿宋"/>
        </w:rPr>
        <w:t>投标人应认真踏勘现场，了解熟悉工程位置地形、材料储存条件以及与相邻已建环境的关系，以取得一切可能影响投标报价的资料，合理安排组织施工。现场考察期间发生的费用由投标人自理。</w:t>
      </w:r>
    </w:p>
    <w:p w14:paraId="4BED2533">
      <w:pPr>
        <w:spacing w:line="360" w:lineRule="auto"/>
        <w:ind w:firstLine="420"/>
        <w:rPr>
          <w:rFonts w:hint="eastAsia" w:ascii="仿宋" w:hAnsi="仿宋" w:eastAsia="仿宋" w:cs="仿宋"/>
        </w:rPr>
      </w:pPr>
      <w:r>
        <w:rPr>
          <w:rFonts w:hint="eastAsia" w:ascii="仿宋" w:hAnsi="仿宋" w:eastAsia="仿宋" w:cs="仿宋"/>
        </w:rPr>
        <w:t>（4</w:t>
      </w:r>
      <w:r>
        <w:rPr>
          <w:rFonts w:hint="eastAsia" w:ascii="仿宋" w:hAnsi="仿宋" w:eastAsia="仿宋" w:cs="仿宋"/>
          <w:lang w:eastAsia="zh-CN"/>
        </w:rPr>
        <w:t>）</w:t>
      </w:r>
      <w:r>
        <w:rPr>
          <w:rFonts w:hint="eastAsia" w:ascii="仿宋" w:hAnsi="仿宋" w:eastAsia="仿宋" w:cs="仿宋"/>
        </w:rPr>
        <w:t>投标人应提出关于施工管理的措施及意见，包括安全、消防、治安保卫、场地清洁、绿化保护、现场管理等。特别应考虑施工期间安全问题，避免影响医院的正常医疗秩序。投标人进场后，应加强管理，做好安全、文明施工。</w:t>
      </w:r>
    </w:p>
    <w:p w14:paraId="52E755E9">
      <w:pPr>
        <w:spacing w:line="360" w:lineRule="auto"/>
        <w:ind w:firstLine="420"/>
        <w:rPr>
          <w:rFonts w:hint="eastAsia" w:ascii="仿宋" w:hAnsi="仿宋" w:eastAsia="仿宋" w:cs="仿宋"/>
        </w:rPr>
      </w:pPr>
      <w:r>
        <w:rPr>
          <w:rFonts w:hint="eastAsia" w:ascii="仿宋" w:hAnsi="仿宋" w:eastAsia="仿宋" w:cs="仿宋"/>
        </w:rPr>
        <w:t>（5</w:t>
      </w:r>
      <w:r>
        <w:rPr>
          <w:rFonts w:hint="eastAsia" w:ascii="仿宋" w:hAnsi="仿宋" w:eastAsia="仿宋" w:cs="仿宋"/>
          <w:lang w:eastAsia="zh-CN"/>
        </w:rPr>
        <w:t>）</w:t>
      </w:r>
      <w:r>
        <w:rPr>
          <w:rFonts w:hint="eastAsia" w:ascii="仿宋" w:hAnsi="仿宋" w:eastAsia="仿宋" w:cs="仿宋"/>
        </w:rPr>
        <w:t>投标人投入的施工机械、材料、人员均应按采购人的内部管理规定进出，并自觉做好相应登记手续。</w:t>
      </w:r>
    </w:p>
    <w:p w14:paraId="5D8733CB">
      <w:pPr>
        <w:spacing w:line="360" w:lineRule="auto"/>
        <w:ind w:firstLine="420"/>
        <w:rPr>
          <w:rFonts w:hint="eastAsia" w:ascii="仿宋" w:hAnsi="仿宋" w:eastAsia="仿宋" w:cs="仿宋"/>
        </w:rPr>
      </w:pPr>
      <w:r>
        <w:rPr>
          <w:rFonts w:hint="eastAsia" w:ascii="仿宋" w:hAnsi="仿宋" w:eastAsia="仿宋" w:cs="仿宋"/>
        </w:rPr>
        <w:t>（6</w:t>
      </w:r>
      <w:r>
        <w:rPr>
          <w:rFonts w:hint="eastAsia" w:ascii="仿宋" w:hAnsi="仿宋" w:eastAsia="仿宋" w:cs="仿宋"/>
          <w:lang w:eastAsia="zh-CN"/>
        </w:rPr>
        <w:t>）</w:t>
      </w:r>
      <w:r>
        <w:rPr>
          <w:rFonts w:hint="eastAsia" w:ascii="仿宋" w:hAnsi="仿宋" w:eastAsia="仿宋" w:cs="仿宋"/>
        </w:rPr>
        <w:t>施工必要的水、电及材料堆场，由采购人协助解决。</w:t>
      </w:r>
    </w:p>
    <w:p w14:paraId="28727D7D">
      <w:pPr>
        <w:spacing w:line="360" w:lineRule="auto"/>
        <w:ind w:firstLine="420"/>
        <w:rPr>
          <w:rFonts w:hint="eastAsia" w:ascii="仿宋" w:hAnsi="仿宋" w:eastAsia="仿宋" w:cs="仿宋"/>
        </w:rPr>
      </w:pPr>
      <w:r>
        <w:rPr>
          <w:rFonts w:hint="eastAsia" w:ascii="仿宋" w:hAnsi="仿宋" w:eastAsia="仿宋" w:cs="仿宋"/>
        </w:rPr>
        <w:t>（7</w:t>
      </w:r>
      <w:r>
        <w:rPr>
          <w:rFonts w:hint="eastAsia" w:ascii="仿宋" w:hAnsi="仿宋" w:eastAsia="仿宋" w:cs="仿宋"/>
          <w:lang w:eastAsia="zh-CN"/>
        </w:rPr>
        <w:t>）</w:t>
      </w:r>
      <w:r>
        <w:rPr>
          <w:rFonts w:hint="eastAsia" w:ascii="仿宋" w:hAnsi="仿宋" w:eastAsia="仿宋" w:cs="仿宋"/>
        </w:rPr>
        <w:t>投标人拟派的施工人员，其食宿问题由投标人自行解决。</w:t>
      </w:r>
    </w:p>
    <w:p w14:paraId="052BAFAE">
      <w:pPr>
        <w:spacing w:line="360" w:lineRule="auto"/>
        <w:ind w:firstLine="420"/>
        <w:rPr>
          <w:rFonts w:hint="eastAsia" w:ascii="仿宋" w:hAnsi="仿宋" w:eastAsia="仿宋" w:cs="仿宋"/>
        </w:rPr>
      </w:pPr>
      <w:r>
        <w:rPr>
          <w:rFonts w:hint="eastAsia" w:ascii="仿宋" w:hAnsi="仿宋" w:eastAsia="仿宋" w:cs="仿宋"/>
        </w:rPr>
        <w:t>（8</w:t>
      </w:r>
      <w:r>
        <w:rPr>
          <w:rFonts w:hint="eastAsia" w:ascii="仿宋" w:hAnsi="仿宋" w:eastAsia="仿宋" w:cs="仿宋"/>
          <w:lang w:eastAsia="zh-CN"/>
        </w:rPr>
        <w:t>）</w:t>
      </w:r>
      <w:r>
        <w:rPr>
          <w:rFonts w:hint="eastAsia" w:ascii="仿宋" w:hAnsi="仿宋" w:eastAsia="仿宋" w:cs="仿宋"/>
        </w:rPr>
        <w:t>改造建设投入资金由投标人全额承担。</w:t>
      </w:r>
    </w:p>
    <w:p w14:paraId="5E62D3F6">
      <w:pPr>
        <w:spacing w:line="360" w:lineRule="auto"/>
        <w:ind w:firstLine="420"/>
        <w:rPr>
          <w:rFonts w:hint="eastAsia" w:ascii="仿宋" w:hAnsi="仿宋" w:eastAsia="仿宋" w:cs="仿宋"/>
        </w:rPr>
      </w:pPr>
      <w:r>
        <w:rPr>
          <w:rFonts w:hint="eastAsia" w:ascii="仿宋" w:hAnsi="仿宋" w:eastAsia="仿宋" w:cs="仿宋"/>
        </w:rPr>
        <w:t>编制安全文明施工及环境保护措施方案，实施前须征得采购人同意。未经采购人同意造成的损失由投标人承担。</w:t>
      </w:r>
    </w:p>
    <w:p w14:paraId="75C05FC5">
      <w:pPr>
        <w:spacing w:line="360" w:lineRule="auto"/>
        <w:ind w:firstLine="420"/>
        <w:rPr>
          <w:rFonts w:hint="eastAsia" w:ascii="仿宋" w:hAnsi="仿宋" w:eastAsia="仿宋" w:cs="仿宋"/>
        </w:rPr>
      </w:pPr>
      <w:r>
        <w:rPr>
          <w:rFonts w:hint="eastAsia" w:ascii="仿宋" w:hAnsi="仿宋" w:eastAsia="仿宋" w:cs="仿宋"/>
        </w:rPr>
        <w:t>5.</w:t>
      </w:r>
      <w:r>
        <w:rPr>
          <w:rFonts w:hint="eastAsia" w:ascii="仿宋" w:hAnsi="仿宋" w:eastAsia="仿宋" w:cs="仿宋"/>
          <w:lang w:val="en-US" w:eastAsia="zh-CN"/>
        </w:rPr>
        <w:t>6</w:t>
      </w:r>
      <w:r>
        <w:rPr>
          <w:rFonts w:hint="eastAsia" w:ascii="仿宋" w:hAnsi="仿宋" w:eastAsia="仿宋" w:cs="仿宋"/>
        </w:rPr>
        <w:t>.4 服务质量</w:t>
      </w:r>
    </w:p>
    <w:p w14:paraId="4DA8AE50">
      <w:pPr>
        <w:spacing w:line="360" w:lineRule="auto"/>
        <w:ind w:firstLine="420"/>
        <w:rPr>
          <w:rFonts w:hint="eastAsia" w:ascii="仿宋" w:hAnsi="仿宋" w:eastAsia="仿宋" w:cs="仿宋"/>
        </w:rPr>
      </w:pPr>
      <w:r>
        <w:rPr>
          <w:rFonts w:hint="eastAsia" w:ascii="仿宋" w:hAnsi="仿宋" w:eastAsia="仿宋" w:cs="仿宋"/>
        </w:rPr>
        <w:t>中标人应建立严格的质量保证体系，制定项目服务质量控制方案和实施措施，并督促落实各环节质量控制内容和目标，确保安装和调试相关设备、设施应符合国家、行业有关施工管理法律法规和与项目相对应的技术标准规范要求，以及</w:t>
      </w:r>
      <w:r>
        <w:rPr>
          <w:rFonts w:hint="eastAsia" w:ascii="仿宋" w:hAnsi="仿宋" w:eastAsia="仿宋" w:cs="仿宋"/>
          <w:lang w:eastAsia="zh-CN"/>
        </w:rPr>
        <w:t>采购人</w:t>
      </w:r>
      <w:r>
        <w:rPr>
          <w:rFonts w:hint="eastAsia" w:ascii="仿宋" w:hAnsi="仿宋" w:eastAsia="仿宋" w:cs="仿宋"/>
        </w:rPr>
        <w:t>合理的特有的施工、管理、质量要求。满足采购人对质量的要求。中标人应根据整个项目周期的工作计划，对阶段性工作成果进行审查和测试，并向项目单位提交阶段性工作成果。通过保证各阶段性成果的质量，最终保证整个项目的质量。中标人应针对项目制定详细的质量管理方案。</w:t>
      </w:r>
    </w:p>
    <w:p w14:paraId="7048F793">
      <w:pPr>
        <w:spacing w:line="360" w:lineRule="auto"/>
        <w:ind w:firstLine="420"/>
        <w:rPr>
          <w:rFonts w:hint="eastAsia" w:ascii="仿宋" w:hAnsi="仿宋" w:eastAsia="仿宋" w:cs="仿宋"/>
        </w:rPr>
      </w:pPr>
      <w:r>
        <w:rPr>
          <w:rFonts w:hint="eastAsia" w:ascii="仿宋" w:hAnsi="仿宋" w:eastAsia="仿宋" w:cs="仿宋"/>
        </w:rPr>
        <w:t>5.</w:t>
      </w:r>
      <w:r>
        <w:rPr>
          <w:rFonts w:hint="eastAsia" w:ascii="仿宋" w:hAnsi="仿宋" w:eastAsia="仿宋" w:cs="仿宋"/>
          <w:lang w:val="en-US" w:eastAsia="zh-CN"/>
        </w:rPr>
        <w:t>6</w:t>
      </w:r>
      <w:r>
        <w:rPr>
          <w:rFonts w:hint="eastAsia" w:ascii="仿宋" w:hAnsi="仿宋" w:eastAsia="仿宋" w:cs="仿宋"/>
        </w:rPr>
        <w:t>.5 文档要求</w:t>
      </w:r>
    </w:p>
    <w:p w14:paraId="338C4238">
      <w:pPr>
        <w:spacing w:line="360" w:lineRule="auto"/>
        <w:ind w:firstLine="420"/>
        <w:rPr>
          <w:rFonts w:hint="eastAsia" w:ascii="仿宋" w:hAnsi="仿宋" w:eastAsia="仿宋" w:cs="仿宋"/>
        </w:rPr>
      </w:pPr>
      <w:r>
        <w:rPr>
          <w:rFonts w:hint="eastAsia" w:ascii="仿宋" w:hAnsi="仿宋" w:eastAsia="仿宋" w:cs="仿宋"/>
        </w:rPr>
        <w:t>中标人应依照要求提供服务周期内的各类文档，除特别要求的文档，可采用电子文档的形式；中标人应按照采购人规定的文档格式、文档要求、提交周期准时提交相关文档；中标人应提供所有的文档，主要包括：各项问题分析报告、典型经验总结、系统数据报告、系统数据分析报告、系统的优化建议方案等；除了常规报告类的文档，中标人需按照服务要求提供相关技术方案等临时性文档，还应配合采购人进行相关项目验收的资料准备、各项规章制度的编制、完善等文档类工作。</w:t>
      </w:r>
    </w:p>
    <w:p w14:paraId="630F4A94">
      <w:pPr>
        <w:spacing w:line="360" w:lineRule="auto"/>
        <w:ind w:firstLine="420"/>
        <w:rPr>
          <w:rFonts w:hint="eastAsia" w:ascii="仿宋" w:hAnsi="仿宋" w:eastAsia="仿宋" w:cs="仿宋"/>
        </w:rPr>
      </w:pPr>
      <w:r>
        <w:rPr>
          <w:rFonts w:hint="eastAsia" w:ascii="仿宋" w:hAnsi="仿宋" w:eastAsia="仿宋" w:cs="仿宋"/>
        </w:rPr>
        <w:t>5.</w:t>
      </w:r>
      <w:r>
        <w:rPr>
          <w:rFonts w:hint="eastAsia" w:ascii="仿宋" w:hAnsi="仿宋" w:eastAsia="仿宋" w:cs="仿宋"/>
          <w:lang w:val="en-US" w:eastAsia="zh-CN"/>
        </w:rPr>
        <w:t>6</w:t>
      </w:r>
      <w:r>
        <w:rPr>
          <w:rFonts w:hint="eastAsia" w:ascii="仿宋" w:hAnsi="仿宋" w:eastAsia="仿宋" w:cs="仿宋"/>
        </w:rPr>
        <w:t>.6 知识产权</w:t>
      </w:r>
    </w:p>
    <w:p w14:paraId="324681CA">
      <w:pPr>
        <w:spacing w:line="360" w:lineRule="auto"/>
        <w:ind w:firstLine="420"/>
        <w:rPr>
          <w:rFonts w:hint="eastAsia" w:ascii="仿宋" w:hAnsi="仿宋" w:eastAsia="仿宋" w:cs="仿宋"/>
        </w:rPr>
      </w:pPr>
      <w:r>
        <w:rPr>
          <w:rFonts w:hint="eastAsia" w:ascii="仿宋" w:hAnsi="仿宋" w:eastAsia="仿宋" w:cs="仿宋"/>
        </w:rPr>
        <w:t>对于结合采购人专门服务需求开发的部分，采购人享有知识产权。中标人在项目服务过程中涉及第三方产品，若出现技术、经济或法律上的纠纷，应由中标人全面承担并全权解决，确保不影响工作的正常开展。</w:t>
      </w:r>
    </w:p>
    <w:p w14:paraId="2BDBFE8F">
      <w:pPr>
        <w:spacing w:line="360" w:lineRule="auto"/>
        <w:ind w:firstLine="420"/>
        <w:rPr>
          <w:rFonts w:hint="eastAsia" w:ascii="仿宋" w:hAnsi="仿宋" w:eastAsia="仿宋" w:cs="仿宋"/>
        </w:rPr>
      </w:pPr>
      <w:r>
        <w:rPr>
          <w:rFonts w:hint="eastAsia" w:ascii="仿宋" w:hAnsi="仿宋" w:eastAsia="仿宋" w:cs="仿宋"/>
        </w:rPr>
        <w:t>5.</w:t>
      </w:r>
      <w:r>
        <w:rPr>
          <w:rFonts w:hint="eastAsia" w:ascii="仿宋" w:hAnsi="仿宋" w:eastAsia="仿宋" w:cs="仿宋"/>
          <w:lang w:val="en-US" w:eastAsia="zh-CN"/>
        </w:rPr>
        <w:t>6</w:t>
      </w:r>
      <w:r>
        <w:rPr>
          <w:rFonts w:hint="eastAsia" w:ascii="仿宋" w:hAnsi="仿宋" w:eastAsia="仿宋" w:cs="仿宋"/>
        </w:rPr>
        <w:t>.7 合同变更要求</w:t>
      </w:r>
    </w:p>
    <w:p w14:paraId="7AD13AF8">
      <w:pPr>
        <w:spacing w:line="360" w:lineRule="auto"/>
        <w:ind w:firstLine="420"/>
        <w:rPr>
          <w:rFonts w:hint="eastAsia" w:ascii="仿宋" w:hAnsi="仿宋" w:eastAsia="仿宋" w:cs="仿宋"/>
        </w:rPr>
      </w:pPr>
      <w:r>
        <w:rPr>
          <w:rFonts w:hint="eastAsia" w:ascii="仿宋" w:hAnsi="仿宋" w:eastAsia="仿宋" w:cs="仿宋"/>
        </w:rPr>
        <w:t>如在项目服务过程中需要调整合同中规定的工作内容，需经中标人与采购人共同同意，按合同变更程序办理。</w:t>
      </w:r>
    </w:p>
    <w:p w14:paraId="09F0DC37">
      <w:pPr>
        <w:spacing w:line="360" w:lineRule="auto"/>
        <w:ind w:firstLine="420"/>
        <w:rPr>
          <w:rFonts w:hint="eastAsia" w:ascii="仿宋" w:hAnsi="仿宋" w:eastAsia="仿宋" w:cs="仿宋"/>
        </w:rPr>
      </w:pPr>
      <w:r>
        <w:rPr>
          <w:rFonts w:hint="eastAsia" w:ascii="仿宋" w:hAnsi="仿宋" w:eastAsia="仿宋" w:cs="仿宋"/>
        </w:rPr>
        <w:t>5.</w:t>
      </w:r>
      <w:r>
        <w:rPr>
          <w:rFonts w:hint="eastAsia" w:ascii="仿宋" w:hAnsi="仿宋" w:eastAsia="仿宋" w:cs="仿宋"/>
          <w:lang w:val="en-US" w:eastAsia="zh-CN"/>
        </w:rPr>
        <w:t>6</w:t>
      </w:r>
      <w:r>
        <w:rPr>
          <w:rFonts w:hint="eastAsia" w:ascii="仿宋" w:hAnsi="仿宋" w:eastAsia="仿宋" w:cs="仿宋"/>
        </w:rPr>
        <w:t>.8 保密条款</w:t>
      </w:r>
    </w:p>
    <w:p w14:paraId="5E05F487">
      <w:pPr>
        <w:spacing w:line="360" w:lineRule="auto"/>
        <w:ind w:firstLine="420"/>
        <w:rPr>
          <w:rFonts w:hint="eastAsia" w:ascii="仿宋" w:hAnsi="仿宋" w:eastAsia="仿宋" w:cs="仿宋"/>
        </w:rPr>
      </w:pPr>
      <w:r>
        <w:rPr>
          <w:rFonts w:hint="eastAsia" w:ascii="仿宋" w:hAnsi="仿宋" w:eastAsia="仿宋" w:cs="仿宋"/>
        </w:rPr>
        <w:t>（1）中标人必须严格遵守采购人信息安全方面的要求。对于参与项目的人员均需要签订统一的信息保密协议。</w:t>
      </w:r>
    </w:p>
    <w:p w14:paraId="2F174E6A">
      <w:pPr>
        <w:spacing w:line="360" w:lineRule="auto"/>
        <w:ind w:firstLine="420"/>
        <w:rPr>
          <w:rFonts w:hint="eastAsia" w:ascii="仿宋" w:hAnsi="仿宋" w:eastAsia="仿宋" w:cs="仿宋"/>
        </w:rPr>
      </w:pPr>
      <w:r>
        <w:rPr>
          <w:rFonts w:hint="eastAsia" w:ascii="仿宋" w:hAnsi="仿宋" w:eastAsia="仿宋" w:cs="仿宋"/>
        </w:rPr>
        <w:t>（2）中标人应对以下信息进行保密，具体包括：</w:t>
      </w:r>
    </w:p>
    <w:p w14:paraId="574D27EA">
      <w:pPr>
        <w:spacing w:line="360" w:lineRule="auto"/>
        <w:ind w:firstLine="420"/>
        <w:rPr>
          <w:rFonts w:hint="eastAsia" w:ascii="仿宋" w:hAnsi="仿宋" w:eastAsia="仿宋" w:cs="仿宋"/>
        </w:rPr>
      </w:pPr>
      <w:r>
        <w:rPr>
          <w:rFonts w:hint="eastAsia" w:ascii="仿宋" w:hAnsi="仿宋" w:eastAsia="仿宋" w:cs="仿宋"/>
        </w:rPr>
        <w:t>项目信息：如业务流程、技术方案、业务数据（静态数据、动态数据、历史数据）、报表指标、技术指标、计算机软件、数据库、操作手册、技术资料等。</w:t>
      </w:r>
    </w:p>
    <w:p w14:paraId="625AA60A">
      <w:pPr>
        <w:spacing w:line="360" w:lineRule="auto"/>
        <w:ind w:firstLine="420"/>
        <w:rPr>
          <w:rFonts w:hint="eastAsia" w:ascii="仿宋" w:hAnsi="仿宋" w:eastAsia="仿宋" w:cs="仿宋"/>
        </w:rPr>
      </w:pPr>
      <w:r>
        <w:rPr>
          <w:rFonts w:hint="eastAsia" w:ascii="仿宋" w:hAnsi="仿宋" w:eastAsia="仿宋" w:cs="仿宋"/>
        </w:rPr>
        <w:t>保密信息既包括书面认定为保密或专有的，又包括口头给予，随即被书面确认为保密或专有的信息。保密信息存储介质包括但不限于纸质文档、电子文档、光盘、U盘、服务器等文档。</w:t>
      </w:r>
    </w:p>
    <w:p w14:paraId="613D39DA">
      <w:pPr>
        <w:spacing w:line="360" w:lineRule="auto"/>
        <w:ind w:firstLine="420"/>
        <w:rPr>
          <w:rFonts w:hint="eastAsia" w:ascii="仿宋" w:hAnsi="仿宋" w:eastAsia="仿宋" w:cs="仿宋"/>
          <w:b/>
          <w:bCs/>
        </w:rPr>
      </w:pPr>
      <w:r>
        <w:rPr>
          <w:rFonts w:hint="eastAsia" w:ascii="仿宋" w:hAnsi="仿宋" w:eastAsia="仿宋" w:cs="仿宋"/>
        </w:rPr>
        <w:t>（3）中标人组建的项目成员在项目单位履行职责期间，必须遵守采购人规定的任何成文或不成文的保密规章、制度，履行与其工作岗位相应的保密职责。不向不承担相应保密义务的任何第三人披露采购单位的商业秘密。</w:t>
      </w:r>
    </w:p>
    <w:p w14:paraId="798F92F4">
      <w:pPr>
        <w:spacing w:line="360" w:lineRule="auto"/>
        <w:ind w:firstLine="420"/>
        <w:rPr>
          <w:rFonts w:hint="eastAsia" w:ascii="仿宋" w:hAnsi="仿宋" w:eastAsia="仿宋" w:cs="仿宋"/>
        </w:rPr>
      </w:pPr>
      <w:r>
        <w:rPr>
          <w:rFonts w:hint="eastAsia" w:ascii="仿宋" w:hAnsi="仿宋" w:eastAsia="仿宋" w:cs="仿宋"/>
        </w:rPr>
        <w:t>中标人应有详细计划，明确每个阶段的阶段目标、阶段交付物的成果、验收依据、双方的责任和义务等。节能改造实施方案经采购人同意，中标人应按项目方案文件规定的技术标准和要求以及本合同的规定，按时完成本项目的方案设计、建设。</w:t>
      </w:r>
    </w:p>
    <w:p w14:paraId="6A765530">
      <w:pPr>
        <w:spacing w:line="360" w:lineRule="auto"/>
        <w:ind w:firstLine="422"/>
        <w:rPr>
          <w:rFonts w:hint="eastAsia" w:ascii="仿宋" w:hAnsi="仿宋" w:eastAsia="仿宋" w:cs="仿宋"/>
          <w:b/>
          <w:bCs/>
        </w:rPr>
      </w:pPr>
      <w:r>
        <w:rPr>
          <w:rFonts w:hint="eastAsia" w:ascii="仿宋" w:hAnsi="仿宋" w:eastAsia="仿宋" w:cs="仿宋"/>
          <w:b/>
          <w:bCs/>
        </w:rPr>
        <w:t>5.</w:t>
      </w:r>
      <w:r>
        <w:rPr>
          <w:rFonts w:hint="eastAsia" w:ascii="仿宋" w:hAnsi="仿宋" w:eastAsia="仿宋" w:cs="仿宋"/>
          <w:b/>
          <w:bCs/>
          <w:lang w:val="en-US" w:eastAsia="zh-CN"/>
        </w:rPr>
        <w:t>7</w:t>
      </w:r>
      <w:r>
        <w:rPr>
          <w:rFonts w:hint="eastAsia" w:ascii="仿宋" w:hAnsi="仿宋" w:eastAsia="仿宋" w:cs="仿宋"/>
          <w:b/>
          <w:bCs/>
        </w:rPr>
        <w:t xml:space="preserve"> 投资改造期限</w:t>
      </w:r>
    </w:p>
    <w:p w14:paraId="6CC4D33E">
      <w:pPr>
        <w:pStyle w:val="34"/>
        <w:spacing w:beforeAutospacing="0" w:afterAutospacing="0" w:line="360" w:lineRule="auto"/>
        <w:ind w:firstLine="480"/>
        <w:rPr>
          <w:rFonts w:hint="eastAsia" w:ascii="仿宋" w:hAnsi="仿宋" w:eastAsia="仿宋" w:cs="仿宋"/>
          <w:bCs/>
        </w:rPr>
      </w:pPr>
      <w:r>
        <w:rPr>
          <w:rFonts w:hint="eastAsia" w:ascii="仿宋" w:hAnsi="仿宋" w:eastAsia="仿宋" w:cs="仿宋"/>
          <w:bCs/>
          <w:color w:val="auto"/>
        </w:rPr>
        <w:t>（1）期限：合同生效之日起365个日历天，完成节能改造内容（含设备调试），</w:t>
      </w:r>
      <w:r>
        <w:rPr>
          <w:rFonts w:hint="eastAsia" w:ascii="仿宋" w:hAnsi="仿宋" w:eastAsia="仿宋" w:cs="仿宋"/>
          <w:b/>
          <w:bCs/>
          <w:color w:val="auto"/>
        </w:rPr>
        <w:t>其中高效冷站系统建设应在</w:t>
      </w:r>
      <w:r>
        <w:rPr>
          <w:rFonts w:hint="eastAsia" w:ascii="仿宋" w:hAnsi="仿宋" w:eastAsia="仿宋" w:cs="仿宋"/>
          <w:b/>
          <w:bCs/>
          <w:color w:val="FF0000"/>
        </w:rPr>
        <w:t>合同生效之日起50日内</w:t>
      </w:r>
      <w:r>
        <w:rPr>
          <w:rFonts w:hint="eastAsia" w:ascii="仿宋" w:hAnsi="仿宋" w:eastAsia="仿宋" w:cs="仿宋"/>
          <w:b/>
          <w:bCs/>
          <w:color w:val="auto"/>
        </w:rPr>
        <w:t>完成</w:t>
      </w:r>
      <w:r>
        <w:rPr>
          <w:rFonts w:hint="eastAsia" w:ascii="仿宋" w:hAnsi="仿宋" w:eastAsia="仿宋" w:cs="仿宋"/>
          <w:b/>
          <w:bCs/>
          <w:color w:val="auto"/>
          <w:lang w:val="en-US" w:eastAsia="zh-CN"/>
        </w:rPr>
        <w:t>并运行</w:t>
      </w:r>
      <w:r>
        <w:rPr>
          <w:rFonts w:hint="eastAsia" w:ascii="仿宋" w:hAnsi="仿宋" w:eastAsia="仿宋" w:cs="仿宋"/>
          <w:b/>
          <w:bCs/>
          <w:color w:val="auto"/>
        </w:rPr>
        <w:t>（含设备调试）</w:t>
      </w:r>
      <w:r>
        <w:rPr>
          <w:rFonts w:hint="eastAsia" w:ascii="仿宋" w:hAnsi="仿宋" w:eastAsia="仿宋" w:cs="仿宋"/>
          <w:bCs/>
          <w:color w:val="auto"/>
        </w:rPr>
        <w:t>。采购</w:t>
      </w:r>
      <w:r>
        <w:rPr>
          <w:rFonts w:hint="eastAsia" w:ascii="仿宋" w:hAnsi="仿宋" w:eastAsia="仿宋" w:cs="仿宋"/>
          <w:bCs/>
        </w:rPr>
        <w:t>人将组织专业人员进行验收，对工程量及核心技术参数符合性进行审核，对于低于要求标准的，责令整改或者将在合同费用里进行相应扣减。</w:t>
      </w:r>
    </w:p>
    <w:p w14:paraId="177BEEE1">
      <w:pPr>
        <w:pStyle w:val="34"/>
        <w:spacing w:beforeAutospacing="0" w:afterAutospacing="0" w:line="360" w:lineRule="auto"/>
        <w:ind w:firstLine="482"/>
        <w:jc w:val="both"/>
        <w:rPr>
          <w:rFonts w:hint="eastAsia" w:ascii="仿宋" w:hAnsi="仿宋" w:eastAsia="仿宋" w:cs="仿宋"/>
          <w:bCs/>
        </w:rPr>
      </w:pPr>
      <w:r>
        <w:rPr>
          <w:rFonts w:hint="eastAsia" w:ascii="仿宋" w:hAnsi="仿宋" w:eastAsia="仿宋" w:cs="仿宋"/>
          <w:bCs/>
        </w:rPr>
        <w:t>（2）合同生效之日起365个日历天，完成节能改造内容（含设备调试），（因采购人原因造成的改造工期延误，双方协商顺延），节能措施应符合国家法律法规、产业政策要求以及工艺、设备等相关标准的规定。信息化数据安全等须符合当地政策的要求。</w:t>
      </w:r>
    </w:p>
    <w:p w14:paraId="0440D8A0">
      <w:pPr>
        <w:spacing w:line="360" w:lineRule="auto"/>
        <w:ind w:firstLine="422"/>
        <w:rPr>
          <w:rFonts w:hint="eastAsia" w:ascii="仿宋" w:hAnsi="仿宋" w:eastAsia="仿宋" w:cs="仿宋"/>
          <w:b/>
          <w:bCs/>
        </w:rPr>
      </w:pPr>
      <w:r>
        <w:rPr>
          <w:rFonts w:hint="eastAsia" w:ascii="仿宋" w:hAnsi="仿宋" w:eastAsia="仿宋" w:cs="仿宋"/>
          <w:b/>
          <w:bCs/>
        </w:rPr>
        <w:t>5.</w:t>
      </w:r>
      <w:r>
        <w:rPr>
          <w:rFonts w:hint="eastAsia" w:ascii="仿宋" w:hAnsi="仿宋" w:eastAsia="仿宋" w:cs="仿宋"/>
          <w:b/>
          <w:bCs/>
          <w:lang w:val="en-US" w:eastAsia="zh-CN"/>
        </w:rPr>
        <w:t>8</w:t>
      </w:r>
      <w:r>
        <w:rPr>
          <w:rFonts w:hint="eastAsia" w:ascii="仿宋" w:hAnsi="仿宋" w:eastAsia="仿宋" w:cs="仿宋"/>
          <w:b/>
          <w:bCs/>
        </w:rPr>
        <w:t xml:space="preserve"> 综合能源服务要求</w:t>
      </w:r>
    </w:p>
    <w:p w14:paraId="5A94458E">
      <w:pPr>
        <w:pStyle w:val="34"/>
        <w:spacing w:beforeAutospacing="0" w:afterAutospacing="0" w:line="360" w:lineRule="auto"/>
        <w:ind w:firstLine="480"/>
        <w:jc w:val="both"/>
        <w:rPr>
          <w:rFonts w:hint="eastAsia" w:ascii="仿宋" w:hAnsi="仿宋" w:eastAsia="仿宋" w:cs="仿宋"/>
        </w:rPr>
      </w:pPr>
      <w:r>
        <w:rPr>
          <w:rFonts w:hint="eastAsia" w:ascii="仿宋" w:hAnsi="仿宋" w:eastAsia="仿宋" w:cs="仿宋"/>
          <w:highlight w:val="none"/>
        </w:rPr>
        <w:t>投标人应提供综合能源服务，安排至少1名能源经理提供24小时响应服务，需在2小时内进行响应，服务期限为整个托管期，服务内容包括不限于协助医院缴纳</w:t>
      </w:r>
      <w:r>
        <w:rPr>
          <w:rFonts w:hint="eastAsia" w:ascii="仿宋" w:hAnsi="仿宋" w:eastAsia="仿宋" w:cs="仿宋"/>
        </w:rPr>
        <w:t>相关能源费用，对招标范围内的系统建设与改造进行监管并持续输出合理的运营策略，并制定相应培训，提供能源计量并定期出具用能分析报告，协助医院对潜在节能点进行深入挖掘，能源系统做运营优化建议，协助医院梳理能源管理流程，为实现医院能源费用的降低和能源高效利用做出支撑。针对本项目投入的技改设备及智慧能源管理平台，投标人提供托管期间的维保服务，负责投资改造内容的运行维护保养，定期对前期投入的节能技改设备进行巡视，保证系统的有效使用。</w:t>
      </w:r>
    </w:p>
    <w:p w14:paraId="7A713CA5">
      <w:pPr>
        <w:spacing w:line="360" w:lineRule="auto"/>
        <w:ind w:firstLine="422"/>
        <w:rPr>
          <w:rFonts w:hint="eastAsia" w:ascii="仿宋" w:hAnsi="仿宋" w:eastAsia="仿宋" w:cs="仿宋"/>
          <w:b/>
          <w:bCs/>
        </w:rPr>
      </w:pPr>
      <w:r>
        <w:rPr>
          <w:rFonts w:hint="eastAsia" w:ascii="仿宋" w:hAnsi="仿宋" w:eastAsia="仿宋" w:cs="仿宋"/>
          <w:b/>
          <w:bCs/>
        </w:rPr>
        <w:t>5.</w:t>
      </w:r>
      <w:r>
        <w:rPr>
          <w:rFonts w:hint="eastAsia" w:ascii="仿宋" w:hAnsi="仿宋" w:eastAsia="仿宋" w:cs="仿宋"/>
          <w:b/>
          <w:bCs/>
          <w:lang w:val="en-US" w:eastAsia="zh-CN"/>
        </w:rPr>
        <w:t>9</w:t>
      </w:r>
      <w:r>
        <w:rPr>
          <w:rFonts w:hint="eastAsia" w:ascii="仿宋" w:hAnsi="仿宋" w:eastAsia="仿宋" w:cs="仿宋"/>
          <w:b/>
          <w:bCs/>
        </w:rPr>
        <w:t xml:space="preserve"> 能源供应及保障服务要求</w:t>
      </w:r>
    </w:p>
    <w:p w14:paraId="75CEBF16">
      <w:pPr>
        <w:spacing w:before="0" w:line="360" w:lineRule="auto"/>
        <w:ind w:firstLine="480"/>
        <w:rPr>
          <w:rFonts w:hint="eastAsia" w:ascii="仿宋" w:hAnsi="仿宋" w:eastAsia="仿宋" w:cs="仿宋"/>
          <w:color w:val="000000"/>
        </w:rPr>
      </w:pPr>
      <w:r>
        <w:rPr>
          <w:rFonts w:hint="eastAsia" w:ascii="仿宋" w:hAnsi="仿宋" w:eastAsia="仿宋" w:cs="仿宋"/>
          <w:color w:val="000000"/>
        </w:rPr>
        <w:t>投标人应负责托管期间院内所有用电设备电力供应、用水供应、蒸汽供应、空调供应。分体和多联式空调按实际需求开停。</w:t>
      </w:r>
    </w:p>
    <w:p w14:paraId="44690B0A">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color w:val="000000"/>
        </w:rPr>
      </w:pPr>
      <w:r>
        <w:rPr>
          <w:rFonts w:hint="eastAsia" w:ascii="仿宋" w:hAnsi="仿宋" w:eastAsia="仿宋" w:cs="仿宋"/>
          <w:color w:val="000000"/>
        </w:rPr>
        <w:t>（1） 空调集中供冷时间拟为5月15日至10月15日（特殊科室除外）</w:t>
      </w:r>
    </w:p>
    <w:p w14:paraId="71BB819B">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color w:val="000000"/>
        </w:rPr>
      </w:pPr>
      <w:r>
        <w:rPr>
          <w:rFonts w:hint="eastAsia" w:ascii="仿宋" w:hAnsi="仿宋" w:eastAsia="仿宋" w:cs="仿宋"/>
          <w:color w:val="000000"/>
        </w:rPr>
        <w:t>空调集中供冷开始条件：室外最高气温连续3天</w:t>
      </w:r>
      <w:r>
        <w:rPr>
          <w:rFonts w:hint="eastAsia" w:ascii="仿宋" w:hAnsi="仿宋" w:eastAsia="仿宋" w:cs="仿宋"/>
          <w:color w:val="000000"/>
          <w:lang w:val="en-US" w:eastAsia="zh-CN"/>
        </w:rPr>
        <w:t>＞</w:t>
      </w:r>
      <w:r>
        <w:rPr>
          <w:rFonts w:hint="eastAsia" w:ascii="仿宋" w:hAnsi="仿宋" w:eastAsia="仿宋" w:cs="仿宋"/>
          <w:color w:val="000000"/>
        </w:rPr>
        <w:t>28℃或当天</w:t>
      </w:r>
      <w:r>
        <w:rPr>
          <w:rFonts w:hint="eastAsia" w:ascii="仿宋" w:hAnsi="仿宋" w:eastAsia="仿宋" w:cs="仿宋"/>
          <w:color w:val="FF0000"/>
        </w:rPr>
        <w:t>≥</w:t>
      </w:r>
      <w:r>
        <w:rPr>
          <w:rFonts w:hint="eastAsia" w:ascii="仿宋" w:hAnsi="仿宋" w:eastAsia="仿宋" w:cs="仿宋"/>
          <w:color w:val="000000"/>
        </w:rPr>
        <w:t>30℃时；</w:t>
      </w:r>
    </w:p>
    <w:p w14:paraId="2CC49C8A">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color w:val="000000"/>
        </w:rPr>
      </w:pPr>
      <w:r>
        <w:rPr>
          <w:rFonts w:hint="eastAsia" w:ascii="仿宋" w:hAnsi="仿宋" w:eastAsia="仿宋" w:cs="仿宋"/>
          <w:color w:val="000000"/>
        </w:rPr>
        <w:t>空调集中供冷结束条件：室外最高气温连续3天</w:t>
      </w:r>
      <w:r>
        <w:rPr>
          <w:rFonts w:hint="eastAsia" w:ascii="仿宋" w:hAnsi="仿宋" w:eastAsia="仿宋" w:cs="仿宋"/>
          <w:color w:val="000000"/>
          <w:lang w:val="en-US" w:eastAsia="zh-CN"/>
        </w:rPr>
        <w:t>＜</w:t>
      </w:r>
      <w:r>
        <w:rPr>
          <w:rFonts w:hint="eastAsia" w:ascii="仿宋" w:hAnsi="仿宋" w:eastAsia="仿宋" w:cs="仿宋"/>
          <w:color w:val="000000"/>
        </w:rPr>
        <w:t>24℃或当天</w:t>
      </w:r>
      <w:r>
        <w:rPr>
          <w:rFonts w:hint="eastAsia" w:ascii="仿宋" w:hAnsi="仿宋" w:eastAsia="仿宋" w:cs="仿宋"/>
          <w:color w:val="000000"/>
          <w:lang w:val="en-US" w:eastAsia="zh-CN"/>
        </w:rPr>
        <w:t>＜</w:t>
      </w:r>
      <w:r>
        <w:rPr>
          <w:rFonts w:hint="eastAsia" w:ascii="仿宋" w:hAnsi="仿宋" w:eastAsia="仿宋" w:cs="仿宋"/>
          <w:color w:val="000000"/>
        </w:rPr>
        <w:t>22℃；</w:t>
      </w:r>
    </w:p>
    <w:p w14:paraId="3B23BBC1">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color w:val="000000"/>
        </w:rPr>
      </w:pPr>
      <w:r>
        <w:rPr>
          <w:rFonts w:hint="eastAsia" w:ascii="仿宋" w:hAnsi="仿宋" w:eastAsia="仿宋" w:cs="仿宋"/>
          <w:color w:val="000000"/>
        </w:rPr>
        <w:t>供冷时，室内温度范围26±2℃，具体根据临床工作需求及病人要求供冷。手术室、ICU 、供应室等特殊要求区域，按照临床要求供冷。门诊区域、病房、办公区域按实际需求供冷。</w:t>
      </w:r>
    </w:p>
    <w:p w14:paraId="6FCDCE4D">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color w:val="000000"/>
        </w:rPr>
      </w:pPr>
      <w:r>
        <w:rPr>
          <w:rFonts w:hint="eastAsia" w:ascii="仿宋" w:hAnsi="仿宋" w:eastAsia="仿宋" w:cs="仿宋"/>
          <w:color w:val="000000"/>
        </w:rPr>
        <w:t>（2）空调集中供暖时间拟为11月15日至次年3月15日（特殊科室除外）。</w:t>
      </w:r>
    </w:p>
    <w:p w14:paraId="7DE3D851">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rPr>
      </w:pPr>
      <w:r>
        <w:rPr>
          <w:rFonts w:hint="eastAsia" w:ascii="仿宋" w:hAnsi="仿宋" w:eastAsia="仿宋" w:cs="仿宋"/>
          <w:color w:val="000000"/>
        </w:rPr>
        <w:t>空调集中供暖开始条件：室外最低气温连续3天＜12℃或当天</w:t>
      </w:r>
      <w:r>
        <w:rPr>
          <w:rFonts w:hint="eastAsia" w:ascii="仿宋" w:hAnsi="仿宋" w:eastAsia="仿宋" w:cs="仿宋"/>
          <w:color w:val="FF0000"/>
        </w:rPr>
        <w:t>≤</w:t>
      </w:r>
      <w:r>
        <w:rPr>
          <w:rFonts w:hint="eastAsia" w:ascii="仿宋" w:hAnsi="仿宋" w:eastAsia="仿宋" w:cs="仿宋"/>
          <w:color w:val="000000"/>
        </w:rPr>
        <w:t>10℃时；</w:t>
      </w:r>
    </w:p>
    <w:p w14:paraId="7F0D8845">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rPr>
      </w:pPr>
      <w:r>
        <w:rPr>
          <w:rFonts w:hint="eastAsia" w:ascii="仿宋" w:hAnsi="仿宋" w:eastAsia="仿宋" w:cs="仿宋"/>
          <w:color w:val="000000"/>
        </w:rPr>
        <w:t>空调集中供暖结束条件：室外最低气温连续3天＞10℃或当天＞12℃；</w:t>
      </w:r>
    </w:p>
    <w:p w14:paraId="0966C77F">
      <w:pPr>
        <w:spacing w:before="0" w:line="360" w:lineRule="auto"/>
        <w:rPr>
          <w:rFonts w:hint="eastAsia" w:ascii="仿宋" w:hAnsi="仿宋" w:eastAsia="仿宋" w:cs="仿宋"/>
          <w:color w:val="000000"/>
        </w:rPr>
      </w:pPr>
      <w:r>
        <w:rPr>
          <w:rFonts w:hint="eastAsia" w:ascii="仿宋" w:hAnsi="仿宋" w:eastAsia="仿宋" w:cs="仿宋"/>
          <w:color w:val="000000"/>
        </w:rPr>
        <w:t xml:space="preserve">   </w:t>
      </w:r>
      <w:r>
        <w:rPr>
          <w:rFonts w:hint="eastAsia" w:ascii="仿宋" w:hAnsi="仿宋" w:eastAsia="仿宋" w:cs="仿宋"/>
          <w:color w:val="000000"/>
          <w:lang w:val="en-US" w:eastAsia="zh-CN"/>
        </w:rPr>
        <w:t>供</w:t>
      </w:r>
      <w:r>
        <w:rPr>
          <w:rFonts w:hint="eastAsia" w:ascii="仿宋" w:hAnsi="仿宋" w:eastAsia="仿宋" w:cs="仿宋"/>
          <w:color w:val="000000"/>
        </w:rPr>
        <w:t xml:space="preserve">暖时，室内温度范围18±2℃，具体根据临床工作需求及病人要求供暖。手术室、ICU、供应室、影像科、牙科手术室、胃镜室、各类实验室、药库、机房等特殊区域设置有独立备用独立风冷螺杆或VRV空调控制由医院自行管控；门诊区域、病房、办公区域按实际需求供暖。             </w:t>
      </w:r>
    </w:p>
    <w:p w14:paraId="4D1D65E7">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color w:val="000000"/>
        </w:rPr>
      </w:pPr>
      <w:r>
        <w:rPr>
          <w:rFonts w:hint="eastAsia" w:ascii="仿宋" w:hAnsi="仿宋" w:eastAsia="仿宋" w:cs="仿宋"/>
          <w:color w:val="000000"/>
        </w:rPr>
        <w:t>（3）生活热水供应时间：1号楼早上5点30分-8点30分、下午4点30分-8点30分开始供应；3号楼早上6点-8点、下午4点-9点开始供应，夏季生活热水温度范围45±5℃，冬季生活热水温度范围50±5℃。</w:t>
      </w:r>
    </w:p>
    <w:p w14:paraId="1353545B">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color w:val="000000"/>
        </w:rPr>
      </w:pPr>
      <w:r>
        <w:rPr>
          <w:rFonts w:hint="eastAsia" w:ascii="仿宋" w:hAnsi="仿宋" w:eastAsia="仿宋" w:cs="仿宋"/>
          <w:color w:val="000000"/>
        </w:rPr>
        <w:t>（4）蒸汽供应时间：供应室每天6：00-19：30（具体根据使用需求调整），蒸汽压力符合医用消毒蒸汽技术标准要求，其余空调、热水、食堂24小时供应。</w:t>
      </w:r>
    </w:p>
    <w:p w14:paraId="4A2F1AF7">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color w:val="000000"/>
        </w:rPr>
      </w:pPr>
      <w:r>
        <w:rPr>
          <w:rFonts w:hint="eastAsia" w:ascii="仿宋" w:hAnsi="仿宋" w:eastAsia="仿宋" w:cs="仿宋"/>
          <w:color w:val="000000"/>
        </w:rPr>
        <w:t>（5）供电供应时间：全院24小时供应，部分特殊科室采用双电源、UPS电源供应。</w:t>
      </w:r>
    </w:p>
    <w:p w14:paraId="2A17A480">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color w:val="000000"/>
        </w:rPr>
      </w:pPr>
      <w:r>
        <w:rPr>
          <w:rFonts w:hint="eastAsia" w:ascii="仿宋" w:hAnsi="仿宋" w:eastAsia="仿宋" w:cs="仿宋"/>
          <w:color w:val="000000"/>
        </w:rPr>
        <w:t>（6）生活水供应时间：全院24小时供应</w:t>
      </w:r>
    </w:p>
    <w:p w14:paraId="0E5B7F84">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rPr>
      </w:pPr>
      <w:r>
        <w:rPr>
          <w:rFonts w:hint="eastAsia" w:ascii="仿宋" w:hAnsi="仿宋" w:eastAsia="仿宋" w:cs="仿宋"/>
          <w:color w:val="000000"/>
        </w:rPr>
        <w:t>（7）服务要求：由于托管项目医院用能的特殊性，所有用能设备系统以及医院智慧能源管理平台的主动管控权由采购人合理管控，投标人须在采购人认可的情况下对用能设备进行合理提醒并协助管控。涉及投标人技改措施或供能系统运营，采购人合理采纳投标人建议并授权投标人供能系统调控权限，协助投标人节能策略落地。</w:t>
      </w:r>
    </w:p>
    <w:p w14:paraId="32827F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rPr>
      </w:pPr>
      <w:r>
        <w:rPr>
          <w:rFonts w:hint="eastAsia" w:ascii="仿宋" w:hAnsi="仿宋" w:eastAsia="仿宋" w:cs="仿宋"/>
          <w:color w:val="000000"/>
        </w:rPr>
        <w:t>（8）项目保障：协助采购人建立健全医院智慧运营相关规章制度、工作流程等体系，并协助采购人执行。</w:t>
      </w:r>
    </w:p>
    <w:p w14:paraId="06215461">
      <w:pPr>
        <w:spacing w:line="360" w:lineRule="auto"/>
        <w:ind w:firstLine="480" w:firstLineChars="200"/>
        <w:outlineLvl w:val="2"/>
        <w:rPr>
          <w:rFonts w:hint="eastAsia" w:ascii="仿宋" w:hAnsi="仿宋" w:eastAsia="仿宋" w:cs="仿宋"/>
          <w:b/>
          <w:bCs/>
          <w:i/>
          <w:iCs/>
          <w:sz w:val="24"/>
          <w:szCs w:val="24"/>
          <w:u w:val="single"/>
        </w:rPr>
      </w:pPr>
      <w:r>
        <w:rPr>
          <w:rFonts w:hint="eastAsia" w:ascii="仿宋" w:hAnsi="仿宋" w:eastAsia="仿宋" w:cs="仿宋"/>
          <w:i/>
          <w:iCs/>
          <w:color w:val="auto"/>
          <w:kern w:val="0"/>
          <w:sz w:val="24"/>
          <w:highlight w:val="none"/>
          <w:u w:val="single"/>
        </w:rPr>
        <w:t>★</w:t>
      </w:r>
      <w:r>
        <w:rPr>
          <w:rFonts w:hint="eastAsia" w:ascii="仿宋" w:hAnsi="仿宋" w:eastAsia="仿宋" w:cs="仿宋"/>
          <w:b/>
          <w:bCs/>
          <w:i/>
          <w:iCs/>
          <w:sz w:val="24"/>
          <w:szCs w:val="24"/>
          <w:u w:val="single"/>
        </w:rPr>
        <w:t>（六）商务合作要求</w:t>
      </w:r>
    </w:p>
    <w:p w14:paraId="6C396248">
      <w:pPr>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6</w:t>
      </w:r>
      <w:r>
        <w:rPr>
          <w:rFonts w:hint="eastAsia" w:ascii="仿宋" w:hAnsi="仿宋" w:eastAsia="仿宋" w:cs="仿宋"/>
          <w:i/>
          <w:iCs/>
          <w:u w:val="single"/>
          <w:lang w:val="en-US" w:eastAsia="zh-CN"/>
        </w:rPr>
        <w:t>.1</w:t>
      </w:r>
      <w:r>
        <w:rPr>
          <w:rFonts w:hint="eastAsia" w:ascii="仿宋" w:hAnsi="仿宋" w:eastAsia="仿宋" w:cs="仿宋"/>
          <w:i/>
          <w:iCs/>
          <w:u w:val="single"/>
        </w:rPr>
        <w:t>合同履行期限：</w:t>
      </w:r>
    </w:p>
    <w:p w14:paraId="5D37BC7B">
      <w:pPr>
        <w:spacing w:line="360" w:lineRule="auto"/>
        <w:ind w:firstLine="480" w:firstLineChars="200"/>
        <w:rPr>
          <w:rFonts w:hint="eastAsia" w:ascii="仿宋" w:hAnsi="仿宋" w:eastAsia="仿宋" w:cs="仿宋"/>
          <w:i/>
          <w:iCs/>
          <w:highlight w:val="none"/>
          <w:u w:val="single"/>
        </w:rPr>
      </w:pPr>
      <w:r>
        <w:rPr>
          <w:rFonts w:hint="eastAsia" w:ascii="仿宋" w:hAnsi="仿宋" w:eastAsia="仿宋" w:cs="仿宋"/>
          <w:i/>
          <w:iCs/>
          <w:highlight w:val="none"/>
          <w:u w:val="single"/>
        </w:rPr>
        <w:t>（1）项目建设期：合同生效之日起365个日历天，完成节能改造内容（含设备调试），其中高效冷站系统建设应在</w:t>
      </w:r>
      <w:r>
        <w:rPr>
          <w:rFonts w:hint="eastAsia" w:ascii="仿宋" w:hAnsi="仿宋" w:eastAsia="仿宋" w:cs="仿宋"/>
          <w:i/>
          <w:iCs/>
          <w:color w:val="FF0000"/>
          <w:highlight w:val="none"/>
          <w:u w:val="single"/>
        </w:rPr>
        <w:t>合同生效之日起50日内</w:t>
      </w:r>
      <w:r>
        <w:rPr>
          <w:rFonts w:hint="eastAsia" w:ascii="仿宋" w:hAnsi="仿宋" w:eastAsia="仿宋" w:cs="仿宋"/>
          <w:i/>
          <w:iCs/>
          <w:highlight w:val="none"/>
          <w:u w:val="single"/>
        </w:rPr>
        <w:t>完成并运行（含设备调试）。经验收合格后次月1号进入能源托管服务期。</w:t>
      </w:r>
    </w:p>
    <w:p w14:paraId="0E2328BC">
      <w:pPr>
        <w:spacing w:line="360" w:lineRule="auto"/>
        <w:ind w:firstLine="422"/>
        <w:rPr>
          <w:rFonts w:hint="eastAsia" w:ascii="仿宋" w:hAnsi="仿宋" w:eastAsia="仿宋" w:cs="仿宋"/>
          <w:i/>
          <w:iCs/>
          <w:color w:val="auto"/>
          <w:highlight w:val="none"/>
          <w:u w:val="single"/>
        </w:rPr>
      </w:pPr>
      <w:r>
        <w:rPr>
          <w:rFonts w:hint="eastAsia" w:ascii="仿宋" w:hAnsi="仿宋" w:eastAsia="仿宋" w:cs="仿宋"/>
          <w:i/>
          <w:iCs/>
          <w:color w:val="auto"/>
          <w:highlight w:val="none"/>
          <w:u w:val="single"/>
        </w:rPr>
        <w:t>（2）项目能源托管服务期限：本项目合同分为两部分，其中能源托管内容服务合作期限 10 年，光储充发电内容合作期限</w:t>
      </w:r>
      <w:r>
        <w:rPr>
          <w:rFonts w:hint="eastAsia" w:ascii="仿宋" w:hAnsi="仿宋" w:eastAsia="仿宋" w:cs="仿宋"/>
          <w:i/>
          <w:iCs/>
          <w:color w:val="auto"/>
          <w:highlight w:val="none"/>
          <w:u w:val="single"/>
          <w:lang w:val="en-US" w:eastAsia="zh-CN"/>
        </w:rPr>
        <w:t xml:space="preserve"> </w:t>
      </w:r>
      <w:r>
        <w:rPr>
          <w:rFonts w:hint="eastAsia" w:ascii="仿宋" w:hAnsi="仿宋" w:eastAsia="仿宋" w:cs="仿宋"/>
          <w:i/>
          <w:iCs/>
          <w:color w:val="auto"/>
          <w:highlight w:val="none"/>
          <w:u w:val="single"/>
        </w:rPr>
        <w:t>25 年，项目从验收后的次月1号进入托管服务期，能源托管服务期共10年，至合同结束且双方履行完毕各自权利与义务之日止。</w:t>
      </w:r>
    </w:p>
    <w:p w14:paraId="53658254">
      <w:pPr>
        <w:spacing w:line="360" w:lineRule="auto"/>
        <w:ind w:firstLine="422"/>
        <w:rPr>
          <w:rFonts w:hint="eastAsia" w:ascii="仿宋" w:hAnsi="仿宋" w:eastAsia="仿宋" w:cs="仿宋"/>
          <w:b/>
          <w:bCs/>
          <w:i/>
          <w:iCs/>
          <w:color w:val="auto"/>
          <w:u w:val="single"/>
        </w:rPr>
      </w:pPr>
      <w:r>
        <w:rPr>
          <w:rFonts w:hint="eastAsia" w:ascii="仿宋" w:hAnsi="仿宋" w:eastAsia="仿宋" w:cs="仿宋"/>
          <w:i/>
          <w:iCs/>
          <w:color w:val="auto"/>
          <w:u w:val="single"/>
        </w:rPr>
        <w:t>6.1.1</w:t>
      </w:r>
      <w:r>
        <w:rPr>
          <w:rFonts w:hint="eastAsia" w:ascii="仿宋" w:hAnsi="仿宋" w:eastAsia="仿宋" w:cs="仿宋"/>
          <w:b/>
          <w:bCs/>
          <w:i/>
          <w:iCs/>
          <w:color w:val="auto"/>
          <w:u w:val="single"/>
        </w:rPr>
        <w:t>施工期限</w:t>
      </w:r>
    </w:p>
    <w:p w14:paraId="5FFFDC81">
      <w:pPr>
        <w:spacing w:line="360" w:lineRule="auto"/>
        <w:ind w:firstLine="480"/>
        <w:rPr>
          <w:rFonts w:hint="eastAsia" w:ascii="仿宋" w:hAnsi="仿宋" w:eastAsia="仿宋" w:cs="仿宋"/>
          <w:i/>
          <w:iCs/>
          <w:color w:val="auto"/>
          <w:u w:val="single"/>
        </w:rPr>
      </w:pPr>
      <w:r>
        <w:rPr>
          <w:rFonts w:hint="eastAsia" w:ascii="仿宋" w:hAnsi="仿宋" w:eastAsia="仿宋" w:cs="仿宋"/>
          <w:i/>
          <w:iCs/>
          <w:color w:val="auto"/>
          <w:u w:val="single"/>
        </w:rPr>
        <w:t>自合同生效之日起365个日历天，完成节能改造内容（含设备调试），其中高效冷站系统建设技改项目要求</w:t>
      </w:r>
      <w:r>
        <w:rPr>
          <w:rFonts w:hint="eastAsia" w:ascii="仿宋" w:hAnsi="仿宋" w:eastAsia="仿宋" w:cs="仿宋"/>
          <w:i/>
          <w:iCs/>
          <w:color w:val="FF0000"/>
          <w:u w:val="single"/>
          <w:lang w:val="en-US" w:eastAsia="zh-CN"/>
        </w:rPr>
        <w:t>在</w:t>
      </w:r>
      <w:r>
        <w:rPr>
          <w:rFonts w:hint="eastAsia" w:ascii="仿宋" w:hAnsi="仿宋" w:eastAsia="仿宋" w:cs="仿宋"/>
          <w:i/>
          <w:iCs/>
          <w:color w:val="FF0000"/>
          <w:u w:val="single"/>
        </w:rPr>
        <w:t>合同生效之日起50日内</w:t>
      </w:r>
      <w:r>
        <w:rPr>
          <w:rFonts w:hint="eastAsia" w:ascii="仿宋" w:hAnsi="仿宋" w:eastAsia="仿宋" w:cs="仿宋"/>
          <w:i/>
          <w:iCs/>
          <w:color w:val="auto"/>
          <w:u w:val="single"/>
        </w:rPr>
        <w:t>完成并运行，改造时不得影响医院水电气各系统的使用和正常医疗秩序。</w:t>
      </w:r>
    </w:p>
    <w:p w14:paraId="7AFC35E8">
      <w:pPr>
        <w:spacing w:line="360" w:lineRule="auto"/>
        <w:ind w:firstLine="480"/>
        <w:rPr>
          <w:rFonts w:hint="eastAsia" w:ascii="仿宋" w:hAnsi="仿宋" w:eastAsia="仿宋" w:cs="仿宋"/>
          <w:i/>
          <w:iCs/>
          <w:u w:val="single"/>
        </w:rPr>
      </w:pPr>
      <w:r>
        <w:rPr>
          <w:rFonts w:hint="eastAsia" w:ascii="仿宋" w:hAnsi="仿宋" w:eastAsia="仿宋" w:cs="仿宋"/>
          <w:i/>
          <w:iCs/>
          <w:u w:val="single"/>
        </w:rPr>
        <w:t>6.1.</w:t>
      </w:r>
      <w:r>
        <w:rPr>
          <w:rFonts w:hint="eastAsia" w:ascii="仿宋" w:hAnsi="仿宋" w:eastAsia="仿宋" w:cs="仿宋"/>
          <w:i/>
          <w:iCs/>
          <w:u w:val="single"/>
          <w:lang w:val="en-US" w:eastAsia="zh-CN"/>
        </w:rPr>
        <w:t>2</w:t>
      </w:r>
      <w:r>
        <w:rPr>
          <w:rFonts w:hint="eastAsia" w:ascii="仿宋" w:hAnsi="仿宋" w:eastAsia="仿宋" w:cs="仿宋"/>
          <w:i/>
          <w:iCs/>
          <w:u w:val="single"/>
        </w:rPr>
        <w:t>重要要求</w:t>
      </w:r>
    </w:p>
    <w:p w14:paraId="715BFDAD">
      <w:pPr>
        <w:spacing w:line="360" w:lineRule="auto"/>
        <w:ind w:firstLine="480"/>
        <w:rPr>
          <w:rFonts w:hint="eastAsia" w:ascii="仿宋" w:hAnsi="仿宋" w:eastAsia="仿宋" w:cs="仿宋"/>
          <w:i/>
          <w:iCs/>
          <w:highlight w:val="none"/>
          <w:u w:val="single"/>
        </w:rPr>
      </w:pPr>
      <w:r>
        <w:rPr>
          <w:rFonts w:hint="eastAsia" w:ascii="仿宋" w:hAnsi="仿宋" w:eastAsia="仿宋" w:cs="仿宋"/>
          <w:i/>
          <w:iCs/>
          <w:highlight w:val="none"/>
          <w:u w:val="single"/>
        </w:rPr>
        <w:t>（1）降低医院整体能耗：在满足医院正常运行的前提下，中标人自行投资开展院内各能源项目综合节能改造，能源综合</w:t>
      </w:r>
      <w:r>
        <w:rPr>
          <w:rFonts w:hint="eastAsia" w:ascii="仿宋" w:hAnsi="仿宋" w:eastAsia="仿宋" w:cs="仿宋"/>
          <w:i/>
          <w:iCs/>
          <w:highlight w:val="yellow"/>
          <w:u w:val="single"/>
          <w:lang w:eastAsia="zh-CN"/>
        </w:rPr>
        <w:t>节费率</w:t>
      </w:r>
      <w:r>
        <w:rPr>
          <w:rFonts w:hint="eastAsia" w:ascii="仿宋" w:hAnsi="仿宋" w:eastAsia="仿宋" w:cs="仿宋"/>
          <w:i/>
          <w:iCs/>
          <w:highlight w:val="none"/>
          <w:u w:val="single"/>
        </w:rPr>
        <w:t>≥11%。</w:t>
      </w:r>
    </w:p>
    <w:p w14:paraId="16A69988">
      <w:pPr>
        <w:spacing w:line="360" w:lineRule="auto"/>
        <w:ind w:firstLine="480"/>
        <w:rPr>
          <w:rFonts w:hint="eastAsia" w:ascii="仿宋" w:hAnsi="仿宋" w:eastAsia="仿宋" w:cs="仿宋"/>
          <w:b/>
          <w:bCs/>
          <w:i/>
          <w:iCs/>
          <w:highlight w:val="none"/>
          <w:u w:val="single"/>
        </w:rPr>
      </w:pPr>
      <w:r>
        <w:rPr>
          <w:rFonts w:hint="eastAsia" w:ascii="仿宋" w:hAnsi="仿宋" w:eastAsia="仿宋" w:cs="仿宋"/>
          <w:b/>
          <w:bCs/>
          <w:i/>
          <w:iCs/>
          <w:highlight w:val="none"/>
          <w:u w:val="single"/>
        </w:rPr>
        <w:t>（2）节能效益分享：</w:t>
      </w:r>
      <w:r>
        <w:rPr>
          <w:rFonts w:hint="eastAsia" w:ascii="仿宋" w:hAnsi="仿宋" w:eastAsia="仿宋" w:cs="仿宋"/>
          <w:b/>
          <w:bCs/>
          <w:i/>
          <w:iCs/>
          <w:highlight w:val="yellow"/>
          <w:u w:val="single"/>
          <w:lang w:eastAsia="zh-CN"/>
        </w:rPr>
        <w:t>节费率</w:t>
      </w:r>
      <w:r>
        <w:rPr>
          <w:rFonts w:hint="eastAsia" w:ascii="仿宋" w:hAnsi="仿宋" w:eastAsia="仿宋" w:cs="仿宋"/>
          <w:b/>
          <w:bCs/>
          <w:i/>
          <w:iCs/>
          <w:highlight w:val="none"/>
          <w:u w:val="single"/>
        </w:rPr>
        <w:t>11-15%区间采购人分享不低于20%，≥15%区间采购人分享不低于40%，具体节能效益分享以投标文件为准。</w:t>
      </w:r>
    </w:p>
    <w:p w14:paraId="61C00A15">
      <w:pPr>
        <w:spacing w:line="360" w:lineRule="auto"/>
        <w:ind w:firstLine="480"/>
        <w:rPr>
          <w:rFonts w:hint="eastAsia" w:ascii="仿宋" w:hAnsi="仿宋" w:eastAsia="仿宋" w:cs="仿宋"/>
          <w:b/>
          <w:bCs/>
          <w:i/>
          <w:iCs/>
          <w:highlight w:val="none"/>
          <w:u w:val="single"/>
        </w:rPr>
      </w:pPr>
      <w:r>
        <w:rPr>
          <w:rFonts w:hint="eastAsia" w:ascii="仿宋" w:hAnsi="仿宋" w:eastAsia="仿宋" w:cs="仿宋"/>
          <w:b/>
          <w:bCs/>
          <w:i/>
          <w:iCs/>
          <w:highlight w:val="none"/>
          <w:u w:val="single"/>
        </w:rPr>
        <w:t>（3）光储充系统内容合作期限 25 年，前10年光伏发电及充电桩收益归投标人所有，后15年充电桩由投标人整修完备后全权移交给院方，院方负责此部分运维及与收费平台续签服务协议，光伏发电优先以当期市场价销售给院方使用，上网电收益则全归投标人所有。</w:t>
      </w:r>
    </w:p>
    <w:p w14:paraId="2BBC64BB">
      <w:pPr>
        <w:spacing w:line="360" w:lineRule="auto"/>
        <w:ind w:firstLine="480"/>
        <w:rPr>
          <w:rFonts w:hint="eastAsia" w:ascii="仿宋" w:hAnsi="仿宋" w:eastAsia="仿宋" w:cs="仿宋"/>
          <w:i/>
          <w:iCs/>
          <w:kern w:val="2"/>
          <w:szCs w:val="24"/>
          <w:u w:val="single"/>
        </w:rPr>
      </w:pPr>
      <w:r>
        <w:rPr>
          <w:rFonts w:hint="eastAsia" w:ascii="仿宋" w:hAnsi="仿宋" w:eastAsia="仿宋" w:cs="仿宋"/>
          <w:i/>
          <w:iCs/>
          <w:u w:val="single"/>
        </w:rPr>
        <w:t>6.1.2 服务地点</w:t>
      </w:r>
    </w:p>
    <w:p w14:paraId="65190F36">
      <w:pPr>
        <w:spacing w:line="360" w:lineRule="auto"/>
        <w:ind w:firstLine="480"/>
        <w:rPr>
          <w:rFonts w:hint="eastAsia" w:ascii="仿宋" w:hAnsi="仿宋" w:eastAsia="仿宋" w:cs="仿宋"/>
          <w:i/>
          <w:iCs/>
          <w:u w:val="single"/>
        </w:rPr>
      </w:pPr>
      <w:r>
        <w:rPr>
          <w:rFonts w:hint="eastAsia" w:ascii="仿宋" w:hAnsi="仿宋" w:eastAsia="仿宋" w:cs="仿宋"/>
          <w:i/>
          <w:iCs/>
          <w:u w:val="single"/>
        </w:rPr>
        <w:t>扬州市中医院（文昌路院区）（扬州市邗江区文昌中路577号）</w:t>
      </w:r>
      <w:r>
        <w:rPr>
          <w:rFonts w:hint="eastAsia" w:ascii="仿宋" w:hAnsi="仿宋" w:eastAsia="仿宋" w:cs="仿宋"/>
          <w:i/>
          <w:iCs/>
          <w:color w:val="000000"/>
          <w:u w:val="single"/>
        </w:rPr>
        <w:t>。</w:t>
      </w:r>
    </w:p>
    <w:p w14:paraId="468FBE64">
      <w:pPr>
        <w:spacing w:line="360" w:lineRule="auto"/>
        <w:ind w:firstLine="422"/>
        <w:rPr>
          <w:rFonts w:hint="eastAsia" w:ascii="仿宋" w:hAnsi="仿宋" w:eastAsia="仿宋" w:cs="仿宋"/>
          <w:b/>
          <w:bCs/>
          <w:i/>
          <w:iCs/>
          <w:u w:val="single"/>
        </w:rPr>
      </w:pPr>
      <w:r>
        <w:rPr>
          <w:rFonts w:hint="eastAsia" w:ascii="仿宋" w:hAnsi="仿宋" w:eastAsia="仿宋" w:cs="仿宋"/>
          <w:b/>
          <w:bCs/>
          <w:i/>
          <w:iCs/>
          <w:u w:val="single"/>
        </w:rPr>
        <w:t>6.</w:t>
      </w:r>
      <w:r>
        <w:rPr>
          <w:rFonts w:hint="eastAsia" w:ascii="仿宋" w:hAnsi="仿宋" w:eastAsia="仿宋" w:cs="仿宋"/>
          <w:b/>
          <w:bCs/>
          <w:i/>
          <w:iCs/>
          <w:u w:val="single"/>
          <w:lang w:val="en-US" w:eastAsia="zh-CN"/>
        </w:rPr>
        <w:t>2</w:t>
      </w:r>
      <w:r>
        <w:rPr>
          <w:rFonts w:hint="eastAsia" w:ascii="仿宋" w:hAnsi="仿宋" w:eastAsia="仿宋" w:cs="仿宋"/>
          <w:b/>
          <w:bCs/>
          <w:i/>
          <w:iCs/>
          <w:u w:val="single"/>
        </w:rPr>
        <w:t xml:space="preserve"> 验收要求与标准</w:t>
      </w:r>
    </w:p>
    <w:p w14:paraId="70AE3257">
      <w:pPr>
        <w:spacing w:line="360" w:lineRule="auto"/>
        <w:ind w:firstLine="480"/>
        <w:rPr>
          <w:rFonts w:hint="eastAsia" w:ascii="仿宋" w:hAnsi="仿宋" w:eastAsia="仿宋" w:cs="仿宋"/>
          <w:i/>
          <w:iCs/>
          <w:u w:val="single"/>
        </w:rPr>
      </w:pPr>
      <w:r>
        <w:rPr>
          <w:rFonts w:hint="eastAsia" w:ascii="仿宋" w:hAnsi="仿宋" w:eastAsia="仿宋" w:cs="仿宋"/>
          <w:i/>
          <w:iCs/>
          <w:color w:val="000000"/>
          <w:u w:val="single"/>
        </w:rPr>
        <w:t>严格按照政府采购相关法律法规、《财政部关于进一步加强政府采购需求和履约验收管理的指导意见》（财库〔2016〕205号）以及《政府采购需求管理办法》（财库〔2021〕22号）的要求进行验收。</w:t>
      </w:r>
    </w:p>
    <w:p w14:paraId="6FD4B516">
      <w:pPr>
        <w:spacing w:line="360" w:lineRule="auto"/>
        <w:ind w:firstLine="422"/>
        <w:rPr>
          <w:rFonts w:hint="eastAsia" w:ascii="仿宋" w:hAnsi="仿宋" w:eastAsia="仿宋" w:cs="仿宋"/>
          <w:b/>
          <w:bCs/>
          <w:i/>
          <w:iCs/>
          <w:u w:val="single"/>
        </w:rPr>
      </w:pPr>
      <w:r>
        <w:rPr>
          <w:rFonts w:hint="eastAsia" w:ascii="仿宋" w:hAnsi="仿宋" w:eastAsia="仿宋" w:cs="仿宋"/>
          <w:b/>
          <w:bCs/>
          <w:i/>
          <w:iCs/>
          <w:u w:val="single"/>
        </w:rPr>
        <w:t>6.</w:t>
      </w:r>
      <w:r>
        <w:rPr>
          <w:rFonts w:hint="eastAsia" w:ascii="仿宋" w:hAnsi="仿宋" w:eastAsia="仿宋" w:cs="仿宋"/>
          <w:b/>
          <w:bCs/>
          <w:i/>
          <w:iCs/>
          <w:u w:val="single"/>
          <w:lang w:val="en-US" w:eastAsia="zh-CN"/>
        </w:rPr>
        <w:t>3</w:t>
      </w:r>
      <w:r>
        <w:rPr>
          <w:rFonts w:hint="eastAsia" w:ascii="仿宋" w:hAnsi="仿宋" w:eastAsia="仿宋" w:cs="仿宋"/>
          <w:b/>
          <w:bCs/>
          <w:i/>
          <w:iCs/>
          <w:u w:val="single"/>
        </w:rPr>
        <w:t xml:space="preserve"> </w:t>
      </w:r>
      <w:bookmarkStart w:id="50" w:name="_Toc90977820"/>
      <w:r>
        <w:rPr>
          <w:rFonts w:hint="eastAsia" w:ascii="仿宋" w:hAnsi="仿宋" w:eastAsia="仿宋" w:cs="仿宋"/>
          <w:b/>
          <w:bCs/>
          <w:i/>
          <w:iCs/>
          <w:u w:val="single"/>
        </w:rPr>
        <w:t>能源托管服务考核</w:t>
      </w:r>
      <w:bookmarkEnd w:id="50"/>
      <w:r>
        <w:rPr>
          <w:rFonts w:hint="eastAsia" w:ascii="仿宋" w:hAnsi="仿宋" w:eastAsia="仿宋" w:cs="仿宋"/>
          <w:b/>
          <w:bCs/>
          <w:i/>
          <w:iCs/>
          <w:u w:val="single"/>
        </w:rPr>
        <w:t>标准（考核标准和内容根据医院的发展和管理要求实时调整）</w:t>
      </w:r>
    </w:p>
    <w:p w14:paraId="643E8BA6">
      <w:pPr>
        <w:spacing w:line="360" w:lineRule="auto"/>
        <w:ind w:firstLine="480"/>
        <w:rPr>
          <w:rFonts w:hint="eastAsia" w:ascii="仿宋" w:hAnsi="仿宋" w:eastAsia="仿宋" w:cs="仿宋"/>
          <w:i/>
          <w:iCs/>
          <w:u w:val="single"/>
        </w:rPr>
      </w:pPr>
      <w:r>
        <w:rPr>
          <w:rFonts w:hint="eastAsia" w:ascii="仿宋" w:hAnsi="仿宋" w:eastAsia="仿宋" w:cs="仿宋"/>
          <w:i/>
          <w:iCs/>
          <w:color w:val="000000"/>
          <w:u w:val="single"/>
        </w:rPr>
        <w:t>1、医院组织监督小组每月进行常规检查，每季度对能源托管工作服务质量全面检查一次；</w:t>
      </w:r>
    </w:p>
    <w:p w14:paraId="06BD7FDB">
      <w:pPr>
        <w:spacing w:line="360" w:lineRule="auto"/>
        <w:ind w:firstLine="480"/>
        <w:rPr>
          <w:rFonts w:hint="eastAsia" w:ascii="仿宋" w:hAnsi="仿宋" w:eastAsia="仿宋" w:cs="仿宋"/>
          <w:i/>
          <w:iCs/>
          <w:u w:val="single"/>
        </w:rPr>
      </w:pPr>
      <w:r>
        <w:rPr>
          <w:rFonts w:hint="eastAsia" w:ascii="仿宋" w:hAnsi="仿宋" w:eastAsia="仿宋" w:cs="仿宋"/>
          <w:i/>
          <w:iCs/>
          <w:color w:val="000000"/>
          <w:u w:val="single"/>
        </w:rPr>
        <w:t>2、医院将考核分为6大项，每季度进行汇总统计。</w:t>
      </w:r>
    </w:p>
    <w:p w14:paraId="02FE80CC">
      <w:pPr>
        <w:spacing w:line="360" w:lineRule="auto"/>
        <w:ind w:firstLine="480"/>
        <w:rPr>
          <w:rFonts w:hint="eastAsia" w:ascii="仿宋" w:hAnsi="仿宋" w:eastAsia="仿宋" w:cs="仿宋"/>
          <w:i/>
          <w:iCs/>
          <w:u w:val="single"/>
        </w:rPr>
      </w:pPr>
      <w:r>
        <w:rPr>
          <w:rFonts w:hint="eastAsia" w:ascii="仿宋" w:hAnsi="仿宋" w:eastAsia="仿宋" w:cs="仿宋"/>
          <w:i/>
          <w:iCs/>
          <w:color w:val="000000"/>
          <w:u w:val="single"/>
        </w:rPr>
        <w:t>3、采取扣分法进行能源托管服务质量评估和评分，评分结果作为对服务单位工作质量的奖惩依据。</w:t>
      </w:r>
    </w:p>
    <w:p w14:paraId="08C30C98">
      <w:pPr>
        <w:spacing w:line="360" w:lineRule="auto"/>
        <w:ind w:firstLine="480"/>
        <w:rPr>
          <w:rFonts w:hint="eastAsia" w:ascii="仿宋" w:hAnsi="仿宋" w:eastAsia="仿宋" w:cs="仿宋"/>
          <w:b/>
          <w:bCs/>
          <w:i/>
          <w:iCs/>
          <w:color w:val="000000" w:themeColor="text1"/>
          <w:u w:val="single"/>
          <w14:textFill>
            <w14:solidFill>
              <w14:schemeClr w14:val="tx1"/>
            </w14:solidFill>
          </w14:textFill>
        </w:rPr>
      </w:pPr>
      <w:r>
        <w:rPr>
          <w:rFonts w:hint="eastAsia" w:ascii="仿宋" w:hAnsi="仿宋" w:eastAsia="仿宋" w:cs="仿宋"/>
          <w:i/>
          <w:iCs/>
          <w:color w:val="000000"/>
          <w:u w:val="single"/>
        </w:rPr>
        <w:t>4、考核在90分以下（不包含90分），每扣考核分1分，则扣人民币</w:t>
      </w:r>
      <w:r>
        <w:rPr>
          <w:rFonts w:hint="eastAsia" w:ascii="仿宋" w:hAnsi="仿宋" w:eastAsia="仿宋" w:cs="仿宋"/>
          <w:b/>
          <w:bCs/>
          <w:i/>
          <w:iCs/>
          <w:color w:val="000000" w:themeColor="text1"/>
          <w:u w:val="single"/>
          <w14:textFill>
            <w14:solidFill>
              <w14:schemeClr w14:val="tx1"/>
            </w14:solidFill>
          </w14:textFill>
        </w:rPr>
        <w:t>1000元；</w:t>
      </w:r>
    </w:p>
    <w:p w14:paraId="4C5F4E3F">
      <w:pPr>
        <w:spacing w:line="360" w:lineRule="auto"/>
        <w:ind w:firstLine="480"/>
        <w:rPr>
          <w:rFonts w:hint="eastAsia" w:ascii="仿宋" w:hAnsi="仿宋" w:eastAsia="仿宋" w:cs="仿宋"/>
          <w:i/>
          <w:iCs/>
          <w:u w:val="single"/>
        </w:rPr>
      </w:pPr>
      <w:r>
        <w:rPr>
          <w:rFonts w:hint="eastAsia" w:ascii="仿宋" w:hAnsi="仿宋" w:eastAsia="仿宋" w:cs="仿宋"/>
          <w:i/>
          <w:iCs/>
          <w:color w:val="000000"/>
          <w:u w:val="single"/>
        </w:rPr>
        <w:t>5、对能源托管服务费实施的罚金，从当月应付的能源托管费中扣除；应得的奖励金，由医院在当月汇总考核结果时一并支付；</w:t>
      </w:r>
    </w:p>
    <w:p w14:paraId="62B8E125">
      <w:pPr>
        <w:spacing w:line="360" w:lineRule="auto"/>
        <w:ind w:firstLine="480"/>
        <w:rPr>
          <w:rFonts w:hint="eastAsia" w:ascii="仿宋" w:hAnsi="仿宋" w:eastAsia="仿宋" w:cs="仿宋"/>
          <w:i/>
          <w:iCs/>
          <w:u w:val="single"/>
        </w:rPr>
      </w:pPr>
      <w:r>
        <w:rPr>
          <w:rFonts w:hint="eastAsia" w:ascii="仿宋" w:hAnsi="仿宋" w:eastAsia="仿宋" w:cs="仿宋"/>
          <w:i/>
          <w:iCs/>
          <w:color w:val="000000"/>
          <w:u w:val="single"/>
        </w:rPr>
        <w:t>6、监督小组采用每月例会的方式与能源托管公司召开工作会，对管理服务好的方面给予肯定，对管理服务不到位及存在问题及时指出。</w:t>
      </w:r>
    </w:p>
    <w:p w14:paraId="3EF7BF6C">
      <w:pPr>
        <w:spacing w:line="360" w:lineRule="auto"/>
        <w:ind w:firstLine="480"/>
        <w:rPr>
          <w:rFonts w:hint="eastAsia" w:ascii="仿宋" w:hAnsi="仿宋" w:eastAsia="仿宋" w:cs="仿宋"/>
          <w:i/>
          <w:iCs/>
          <w:u w:val="single"/>
        </w:rPr>
      </w:pPr>
      <w:r>
        <w:rPr>
          <w:rFonts w:hint="eastAsia" w:ascii="仿宋" w:hAnsi="仿宋" w:eastAsia="仿宋" w:cs="仿宋"/>
          <w:i/>
          <w:iCs/>
          <w:color w:val="000000"/>
          <w:u w:val="single"/>
        </w:rPr>
        <w:t>7、中标人负责向采购人提供每季度、年中、全年度的能耗运行分析报告。依据分析报告结果制定相应的管理对策或改造方案，保障医院能源供应，降低能源消耗。</w:t>
      </w:r>
    </w:p>
    <w:p w14:paraId="70B296A2">
      <w:pPr>
        <w:spacing w:line="360" w:lineRule="auto"/>
        <w:ind w:firstLine="480"/>
        <w:rPr>
          <w:rFonts w:hint="eastAsia" w:ascii="仿宋" w:hAnsi="仿宋" w:eastAsia="仿宋" w:cs="仿宋"/>
          <w:i/>
          <w:iCs/>
          <w:u w:val="single"/>
        </w:rPr>
      </w:pPr>
      <w:r>
        <w:rPr>
          <w:rFonts w:hint="eastAsia" w:ascii="仿宋" w:hAnsi="仿宋" w:eastAsia="仿宋" w:cs="仿宋"/>
          <w:i/>
          <w:iCs/>
          <w:color w:val="000000"/>
          <w:u w:val="single"/>
        </w:rPr>
        <w:t>8、在托管期内，中标人指派管理专员对整个系统的运行策略进行全日制管理， 每个月提供运行指导策略书，保证按照设定策略运行。</w:t>
      </w:r>
    </w:p>
    <w:p w14:paraId="7D4B5FF1">
      <w:pPr>
        <w:spacing w:line="360" w:lineRule="auto"/>
        <w:ind w:firstLine="480"/>
        <w:rPr>
          <w:rFonts w:hint="eastAsia" w:ascii="仿宋" w:hAnsi="仿宋" w:eastAsia="仿宋" w:cs="仿宋"/>
          <w:i/>
          <w:iCs/>
          <w:u w:val="single"/>
        </w:rPr>
      </w:pPr>
      <w:r>
        <w:rPr>
          <w:rFonts w:hint="eastAsia" w:ascii="仿宋" w:hAnsi="仿宋" w:eastAsia="仿宋" w:cs="仿宋"/>
          <w:i/>
          <w:iCs/>
          <w:color w:val="000000"/>
          <w:u w:val="single"/>
        </w:rPr>
        <w:t>9、中标人的项目管理，经国、省、市相关部门及业主检查、考核、通知整改后仍达不到服务要求的，采购人有权进行在扣考核分的基础上再次处罚。</w:t>
      </w:r>
    </w:p>
    <w:p w14:paraId="7518EFC3">
      <w:pPr>
        <w:spacing w:line="360" w:lineRule="auto"/>
        <w:ind w:firstLine="480"/>
        <w:rPr>
          <w:rFonts w:hint="eastAsia" w:ascii="仿宋" w:hAnsi="仿宋" w:eastAsia="仿宋" w:cs="仿宋"/>
          <w:i/>
          <w:iCs/>
          <w:u w:val="single"/>
        </w:rPr>
      </w:pPr>
      <w:r>
        <w:rPr>
          <w:rFonts w:hint="eastAsia" w:ascii="仿宋" w:hAnsi="仿宋" w:eastAsia="仿宋" w:cs="仿宋"/>
          <w:i/>
          <w:iCs/>
          <w:color w:val="000000"/>
          <w:u w:val="single"/>
        </w:rPr>
        <w:t>下列情况每次扣除</w:t>
      </w:r>
      <w:r>
        <w:rPr>
          <w:rFonts w:hint="eastAsia" w:ascii="仿宋" w:hAnsi="仿宋" w:eastAsia="仿宋" w:cs="仿宋"/>
          <w:b/>
          <w:bCs/>
          <w:i/>
          <w:iCs/>
          <w:color w:val="000000" w:themeColor="text1"/>
          <w:u w:val="single"/>
          <w14:textFill>
            <w14:solidFill>
              <w14:schemeClr w14:val="tx1"/>
            </w14:solidFill>
          </w14:textFill>
        </w:rPr>
        <w:t>1000-5000元</w:t>
      </w:r>
      <w:r>
        <w:rPr>
          <w:rFonts w:hint="eastAsia" w:ascii="仿宋" w:hAnsi="仿宋" w:eastAsia="仿宋" w:cs="仿宋"/>
          <w:i/>
          <w:iCs/>
          <w:color w:val="000000"/>
          <w:u w:val="single"/>
        </w:rPr>
        <w:t>：</w:t>
      </w:r>
    </w:p>
    <w:p w14:paraId="13081B7B">
      <w:pPr>
        <w:spacing w:line="360" w:lineRule="auto"/>
        <w:ind w:firstLine="480"/>
        <w:rPr>
          <w:rFonts w:hint="eastAsia" w:ascii="仿宋" w:hAnsi="仿宋" w:eastAsia="仿宋" w:cs="仿宋"/>
          <w:i/>
          <w:iCs/>
          <w:u w:val="single"/>
        </w:rPr>
      </w:pPr>
      <w:r>
        <w:rPr>
          <w:rFonts w:hint="eastAsia" w:ascii="仿宋" w:hAnsi="仿宋" w:eastAsia="仿宋" w:cs="仿宋"/>
          <w:i/>
          <w:iCs/>
          <w:color w:val="000000"/>
          <w:u w:val="single"/>
        </w:rPr>
        <w:t>（1）被国、省、市相关部门通报的。</w:t>
      </w:r>
    </w:p>
    <w:p w14:paraId="05B402B8">
      <w:pPr>
        <w:spacing w:line="360" w:lineRule="auto"/>
        <w:ind w:firstLine="480"/>
        <w:rPr>
          <w:rFonts w:hint="eastAsia" w:ascii="仿宋" w:hAnsi="仿宋" w:eastAsia="仿宋" w:cs="仿宋"/>
          <w:i/>
          <w:iCs/>
          <w:u w:val="single"/>
        </w:rPr>
      </w:pPr>
      <w:r>
        <w:rPr>
          <w:rFonts w:hint="eastAsia" w:ascii="仿宋" w:hAnsi="仿宋" w:eastAsia="仿宋" w:cs="仿宋"/>
          <w:i/>
          <w:iCs/>
          <w:color w:val="000000"/>
          <w:u w:val="single"/>
        </w:rPr>
        <w:t>（2）能源托管方人员内部矛盾影响公共秩序的。</w:t>
      </w:r>
      <w:bookmarkStart w:id="51" w:name="_Toc90977821"/>
      <w:bookmarkEnd w:id="51"/>
    </w:p>
    <w:p w14:paraId="3F9E8AAA">
      <w:pPr>
        <w:spacing w:line="360" w:lineRule="auto"/>
        <w:jc w:val="center"/>
        <w:rPr>
          <w:rFonts w:hint="eastAsia" w:ascii="仿宋" w:hAnsi="仿宋" w:eastAsia="仿宋" w:cs="仿宋"/>
          <w:i/>
          <w:iCs/>
          <w:u w:val="single"/>
        </w:rPr>
      </w:pPr>
      <w:r>
        <w:rPr>
          <w:rFonts w:hint="eastAsia" w:ascii="仿宋" w:hAnsi="仿宋" w:eastAsia="仿宋" w:cs="仿宋"/>
          <w:b/>
          <w:bCs/>
          <w:i/>
          <w:iCs/>
          <w:color w:val="000000"/>
          <w:u w:val="single"/>
        </w:rPr>
        <w:t>《扬州市中医院能源托管服务管理考核评分标准》</w:t>
      </w:r>
      <w:r>
        <w:rPr>
          <w:rFonts w:hint="eastAsia" w:ascii="仿宋" w:hAnsi="仿宋" w:eastAsia="仿宋" w:cs="仿宋"/>
          <w:i/>
          <w:iCs/>
          <w:color w:val="000000"/>
          <w:u w:val="single"/>
        </w:rPr>
        <w:t xml:space="preserve"> </w:t>
      </w:r>
    </w:p>
    <w:tbl>
      <w:tblPr>
        <w:tblStyle w:val="38"/>
        <w:tblW w:w="51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5445"/>
        <w:gridCol w:w="2703"/>
      </w:tblGrid>
      <w:tr w14:paraId="7E3B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tcBorders>
              <w:top w:val="single" w:color="auto" w:sz="4" w:space="0"/>
              <w:left w:val="single" w:color="auto" w:sz="4" w:space="0"/>
              <w:bottom w:val="single" w:color="auto" w:sz="4" w:space="0"/>
              <w:right w:val="single" w:color="auto" w:sz="4" w:space="0"/>
            </w:tcBorders>
            <w:vAlign w:val="center"/>
          </w:tcPr>
          <w:p w14:paraId="2CD8C6DA">
            <w:pPr>
              <w:spacing w:line="360" w:lineRule="auto"/>
              <w:jc w:val="center"/>
              <w:rPr>
                <w:rFonts w:hint="eastAsia" w:ascii="仿宋" w:hAnsi="仿宋" w:eastAsia="仿宋" w:cs="仿宋"/>
                <w:i/>
                <w:iCs/>
                <w:szCs w:val="24"/>
                <w:u w:val="single"/>
              </w:rPr>
            </w:pPr>
            <w:r>
              <w:rPr>
                <w:rFonts w:hint="eastAsia" w:ascii="仿宋" w:hAnsi="仿宋" w:eastAsia="仿宋" w:cs="仿宋"/>
                <w:i/>
                <w:iCs/>
                <w:color w:val="000000"/>
                <w:szCs w:val="24"/>
                <w:u w:val="single"/>
              </w:rPr>
              <w:t>考核项目</w:t>
            </w:r>
          </w:p>
        </w:tc>
        <w:tc>
          <w:tcPr>
            <w:tcW w:w="2913" w:type="pct"/>
            <w:tcBorders>
              <w:top w:val="single" w:color="auto" w:sz="4" w:space="0"/>
              <w:left w:val="single" w:color="auto" w:sz="4" w:space="0"/>
              <w:bottom w:val="single" w:color="auto" w:sz="4" w:space="0"/>
              <w:right w:val="single" w:color="auto" w:sz="4" w:space="0"/>
            </w:tcBorders>
            <w:vAlign w:val="center"/>
          </w:tcPr>
          <w:p w14:paraId="6E855301">
            <w:pPr>
              <w:spacing w:line="360" w:lineRule="auto"/>
              <w:jc w:val="center"/>
              <w:rPr>
                <w:rFonts w:hint="eastAsia" w:ascii="仿宋" w:hAnsi="仿宋" w:eastAsia="仿宋" w:cs="仿宋"/>
                <w:i/>
                <w:iCs/>
                <w:szCs w:val="24"/>
                <w:u w:val="single"/>
              </w:rPr>
            </w:pPr>
            <w:r>
              <w:rPr>
                <w:rFonts w:hint="eastAsia" w:ascii="仿宋" w:hAnsi="仿宋" w:eastAsia="仿宋" w:cs="仿宋"/>
                <w:i/>
                <w:iCs/>
                <w:color w:val="000000"/>
                <w:szCs w:val="24"/>
                <w:u w:val="single"/>
              </w:rPr>
              <w:t>内容与标准</w:t>
            </w:r>
          </w:p>
        </w:tc>
        <w:tc>
          <w:tcPr>
            <w:tcW w:w="1446" w:type="pct"/>
            <w:tcBorders>
              <w:top w:val="single" w:color="auto" w:sz="4" w:space="0"/>
              <w:left w:val="single" w:color="auto" w:sz="4" w:space="0"/>
              <w:bottom w:val="single" w:color="auto" w:sz="4" w:space="0"/>
              <w:right w:val="single" w:color="auto" w:sz="4" w:space="0"/>
            </w:tcBorders>
            <w:vAlign w:val="center"/>
          </w:tcPr>
          <w:p w14:paraId="210141E6">
            <w:pPr>
              <w:spacing w:line="360" w:lineRule="auto"/>
              <w:jc w:val="center"/>
              <w:rPr>
                <w:rFonts w:hint="eastAsia" w:ascii="仿宋" w:hAnsi="仿宋" w:eastAsia="仿宋" w:cs="仿宋"/>
                <w:i/>
                <w:iCs/>
                <w:szCs w:val="24"/>
                <w:u w:val="single"/>
              </w:rPr>
            </w:pPr>
            <w:r>
              <w:rPr>
                <w:rFonts w:hint="eastAsia" w:ascii="仿宋" w:hAnsi="仿宋" w:eastAsia="仿宋" w:cs="仿宋"/>
                <w:i/>
                <w:iCs/>
                <w:color w:val="000000"/>
                <w:szCs w:val="24"/>
                <w:u w:val="single"/>
              </w:rPr>
              <w:t>评分办法</w:t>
            </w:r>
          </w:p>
        </w:tc>
      </w:tr>
      <w:tr w14:paraId="2C6A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vMerge w:val="restart"/>
            <w:tcBorders>
              <w:top w:val="nil"/>
              <w:left w:val="single" w:color="auto" w:sz="4" w:space="0"/>
              <w:bottom w:val="single" w:color="auto" w:sz="4" w:space="0"/>
              <w:right w:val="single" w:color="auto" w:sz="4" w:space="0"/>
            </w:tcBorders>
            <w:vAlign w:val="center"/>
          </w:tcPr>
          <w:p w14:paraId="7B94F36D">
            <w:pPr>
              <w:spacing w:line="360" w:lineRule="auto"/>
              <w:jc w:val="center"/>
              <w:rPr>
                <w:rFonts w:hint="eastAsia" w:ascii="仿宋" w:hAnsi="仿宋" w:eastAsia="仿宋" w:cs="仿宋"/>
                <w:i/>
                <w:iCs/>
                <w:szCs w:val="24"/>
                <w:u w:val="single"/>
              </w:rPr>
            </w:pPr>
            <w:r>
              <w:rPr>
                <w:rFonts w:hint="eastAsia" w:ascii="仿宋" w:hAnsi="仿宋" w:eastAsia="仿宋" w:cs="仿宋"/>
                <w:i/>
                <w:iCs/>
                <w:color w:val="000000"/>
                <w:szCs w:val="24"/>
                <w:u w:val="single"/>
              </w:rPr>
              <w:t>基本要求</w:t>
            </w:r>
          </w:p>
        </w:tc>
        <w:tc>
          <w:tcPr>
            <w:tcW w:w="2913" w:type="pct"/>
            <w:tcBorders>
              <w:top w:val="single" w:color="auto" w:sz="4" w:space="0"/>
              <w:left w:val="single" w:color="auto" w:sz="4" w:space="0"/>
              <w:bottom w:val="single" w:color="auto" w:sz="4" w:space="0"/>
              <w:right w:val="single" w:color="auto" w:sz="4" w:space="0"/>
            </w:tcBorders>
            <w:vAlign w:val="center"/>
          </w:tcPr>
          <w:p w14:paraId="776AC912">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1、日常工作未做详细的工作计划表</w:t>
            </w:r>
          </w:p>
        </w:tc>
        <w:tc>
          <w:tcPr>
            <w:tcW w:w="1446" w:type="pct"/>
            <w:tcBorders>
              <w:top w:val="single" w:color="auto" w:sz="4" w:space="0"/>
              <w:left w:val="single" w:color="auto" w:sz="4" w:space="0"/>
              <w:bottom w:val="single" w:color="auto" w:sz="4" w:space="0"/>
              <w:right w:val="single" w:color="auto" w:sz="4" w:space="0"/>
            </w:tcBorders>
            <w:vAlign w:val="center"/>
          </w:tcPr>
          <w:p w14:paraId="5FDFFF72">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不合格扣5分</w:t>
            </w:r>
          </w:p>
        </w:tc>
      </w:tr>
      <w:tr w14:paraId="4F95C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vMerge w:val="continue"/>
            <w:tcBorders>
              <w:top w:val="nil"/>
              <w:left w:val="single" w:color="auto" w:sz="4" w:space="0"/>
              <w:bottom w:val="single" w:color="auto" w:sz="4" w:space="0"/>
              <w:right w:val="single" w:color="auto" w:sz="4" w:space="0"/>
            </w:tcBorders>
            <w:vAlign w:val="center"/>
          </w:tcPr>
          <w:p w14:paraId="4B42CDF0">
            <w:pPr>
              <w:spacing w:line="360" w:lineRule="auto"/>
              <w:rPr>
                <w:rFonts w:hint="eastAsia" w:ascii="仿宋" w:hAnsi="仿宋" w:eastAsia="仿宋" w:cs="仿宋"/>
                <w:i/>
                <w:iCs/>
                <w:szCs w:val="24"/>
                <w:u w:val="single"/>
              </w:rPr>
            </w:pPr>
          </w:p>
        </w:tc>
        <w:tc>
          <w:tcPr>
            <w:tcW w:w="2913" w:type="pct"/>
            <w:tcBorders>
              <w:top w:val="single" w:color="auto" w:sz="4" w:space="0"/>
              <w:left w:val="single" w:color="auto" w:sz="4" w:space="0"/>
              <w:bottom w:val="single" w:color="auto" w:sz="4" w:space="0"/>
              <w:right w:val="single" w:color="auto" w:sz="4" w:space="0"/>
            </w:tcBorders>
            <w:vAlign w:val="center"/>
          </w:tcPr>
          <w:p w14:paraId="73A5D268">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2、制定安全生产标准，施工应急预案</w:t>
            </w:r>
          </w:p>
        </w:tc>
        <w:tc>
          <w:tcPr>
            <w:tcW w:w="1446" w:type="pct"/>
            <w:tcBorders>
              <w:top w:val="single" w:color="auto" w:sz="4" w:space="0"/>
              <w:left w:val="single" w:color="auto" w:sz="4" w:space="0"/>
              <w:bottom w:val="single" w:color="auto" w:sz="4" w:space="0"/>
              <w:right w:val="single" w:color="auto" w:sz="4" w:space="0"/>
            </w:tcBorders>
            <w:vAlign w:val="center"/>
          </w:tcPr>
          <w:p w14:paraId="08770D05">
            <w:pPr>
              <w:spacing w:line="360" w:lineRule="auto"/>
              <w:rPr>
                <w:rFonts w:hint="eastAsia" w:ascii="仿宋" w:hAnsi="仿宋" w:eastAsia="仿宋" w:cs="仿宋"/>
                <w:i/>
                <w:iCs/>
                <w:szCs w:val="24"/>
                <w:u w:val="single"/>
              </w:rPr>
            </w:pPr>
            <w:r>
              <w:rPr>
                <w:rFonts w:hint="eastAsia" w:ascii="仿宋" w:hAnsi="仿宋" w:eastAsia="仿宋" w:cs="仿宋"/>
                <w:i/>
                <w:iCs/>
                <w:color w:val="000000" w:themeColor="text1"/>
                <w:szCs w:val="24"/>
                <w:u w:val="single"/>
                <w14:textFill>
                  <w14:solidFill>
                    <w14:schemeClr w14:val="tx1"/>
                  </w14:solidFill>
                </w14:textFill>
              </w:rPr>
              <w:t>一项不符合要求扣5分</w:t>
            </w:r>
          </w:p>
        </w:tc>
      </w:tr>
      <w:tr w14:paraId="4332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vMerge w:val="continue"/>
            <w:tcBorders>
              <w:top w:val="nil"/>
              <w:left w:val="single" w:color="auto" w:sz="4" w:space="0"/>
              <w:bottom w:val="single" w:color="auto" w:sz="4" w:space="0"/>
              <w:right w:val="single" w:color="auto" w:sz="4" w:space="0"/>
            </w:tcBorders>
            <w:vAlign w:val="center"/>
          </w:tcPr>
          <w:p w14:paraId="609D9714">
            <w:pPr>
              <w:spacing w:line="360" w:lineRule="auto"/>
              <w:rPr>
                <w:rFonts w:hint="eastAsia" w:ascii="仿宋" w:hAnsi="仿宋" w:eastAsia="仿宋" w:cs="仿宋"/>
                <w:i/>
                <w:iCs/>
                <w:szCs w:val="24"/>
                <w:u w:val="single"/>
              </w:rPr>
            </w:pPr>
          </w:p>
        </w:tc>
        <w:tc>
          <w:tcPr>
            <w:tcW w:w="2913" w:type="pct"/>
            <w:tcBorders>
              <w:top w:val="single" w:color="auto" w:sz="4" w:space="0"/>
              <w:left w:val="single" w:color="auto" w:sz="4" w:space="0"/>
              <w:bottom w:val="single" w:color="auto" w:sz="4" w:space="0"/>
              <w:right w:val="single" w:color="auto" w:sz="4" w:space="0"/>
            </w:tcBorders>
            <w:vAlign w:val="center"/>
          </w:tcPr>
          <w:p w14:paraId="1AD8741C">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3、档案资料规范管理，制定服务项目内各类应急预案</w:t>
            </w:r>
          </w:p>
        </w:tc>
        <w:tc>
          <w:tcPr>
            <w:tcW w:w="1446" w:type="pct"/>
            <w:tcBorders>
              <w:top w:val="single" w:color="auto" w:sz="4" w:space="0"/>
              <w:left w:val="single" w:color="auto" w:sz="4" w:space="0"/>
              <w:bottom w:val="single" w:color="auto" w:sz="4" w:space="0"/>
              <w:right w:val="single" w:color="auto" w:sz="4" w:space="0"/>
            </w:tcBorders>
            <w:vAlign w:val="center"/>
          </w:tcPr>
          <w:p w14:paraId="4AF3889F">
            <w:pPr>
              <w:spacing w:line="360" w:lineRule="auto"/>
              <w:rPr>
                <w:rFonts w:hint="eastAsia" w:ascii="仿宋" w:hAnsi="仿宋" w:eastAsia="仿宋" w:cs="仿宋"/>
                <w:i/>
                <w:iCs/>
                <w:szCs w:val="24"/>
                <w:u w:val="single"/>
              </w:rPr>
            </w:pPr>
            <w:r>
              <w:rPr>
                <w:rFonts w:hint="eastAsia" w:ascii="仿宋" w:hAnsi="仿宋" w:eastAsia="仿宋" w:cs="仿宋"/>
                <w:i/>
                <w:iCs/>
                <w:color w:val="000000" w:themeColor="text1"/>
                <w:szCs w:val="24"/>
                <w:u w:val="single"/>
                <w14:textFill>
                  <w14:solidFill>
                    <w14:schemeClr w14:val="tx1"/>
                  </w14:solidFill>
                </w14:textFill>
              </w:rPr>
              <w:t>每缺一项或不符合要求扣2分</w:t>
            </w:r>
          </w:p>
        </w:tc>
      </w:tr>
      <w:tr w14:paraId="667C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vMerge w:val="continue"/>
            <w:tcBorders>
              <w:top w:val="nil"/>
              <w:left w:val="single" w:color="auto" w:sz="4" w:space="0"/>
              <w:bottom w:val="single" w:color="auto" w:sz="4" w:space="0"/>
              <w:right w:val="single" w:color="auto" w:sz="4" w:space="0"/>
            </w:tcBorders>
            <w:vAlign w:val="center"/>
          </w:tcPr>
          <w:p w14:paraId="637D53A3">
            <w:pPr>
              <w:spacing w:line="360" w:lineRule="auto"/>
              <w:rPr>
                <w:rFonts w:hint="eastAsia" w:ascii="仿宋" w:hAnsi="仿宋" w:eastAsia="仿宋" w:cs="仿宋"/>
                <w:i/>
                <w:iCs/>
                <w:szCs w:val="24"/>
                <w:u w:val="single"/>
              </w:rPr>
            </w:pPr>
          </w:p>
        </w:tc>
        <w:tc>
          <w:tcPr>
            <w:tcW w:w="2913" w:type="pct"/>
            <w:tcBorders>
              <w:top w:val="single" w:color="auto" w:sz="4" w:space="0"/>
              <w:left w:val="single" w:color="auto" w:sz="4" w:space="0"/>
              <w:bottom w:val="single" w:color="auto" w:sz="4" w:space="0"/>
              <w:right w:val="single" w:color="auto" w:sz="4" w:space="0"/>
            </w:tcBorders>
            <w:vAlign w:val="center"/>
          </w:tcPr>
          <w:p w14:paraId="3ED8F5E5">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4、管理服务人员统一着装，佩戴胸牌，行为规范，服务主动，热情及时</w:t>
            </w:r>
          </w:p>
        </w:tc>
        <w:tc>
          <w:tcPr>
            <w:tcW w:w="1446" w:type="pct"/>
            <w:tcBorders>
              <w:top w:val="single" w:color="auto" w:sz="4" w:space="0"/>
              <w:left w:val="single" w:color="auto" w:sz="4" w:space="0"/>
              <w:bottom w:val="single" w:color="auto" w:sz="4" w:space="0"/>
              <w:right w:val="single" w:color="auto" w:sz="4" w:space="0"/>
            </w:tcBorders>
            <w:vAlign w:val="center"/>
          </w:tcPr>
          <w:p w14:paraId="461EB87D">
            <w:pPr>
              <w:spacing w:line="360" w:lineRule="auto"/>
              <w:rPr>
                <w:rFonts w:hint="eastAsia" w:ascii="仿宋" w:hAnsi="仿宋" w:eastAsia="仿宋" w:cs="仿宋"/>
                <w:i/>
                <w:iCs/>
                <w:szCs w:val="24"/>
                <w:u w:val="single"/>
              </w:rPr>
            </w:pPr>
            <w:r>
              <w:rPr>
                <w:rFonts w:hint="eastAsia" w:ascii="仿宋" w:hAnsi="仿宋" w:eastAsia="仿宋" w:cs="仿宋"/>
                <w:i/>
                <w:iCs/>
                <w:color w:val="000000" w:themeColor="text1"/>
                <w:szCs w:val="24"/>
                <w:u w:val="single"/>
                <w14:textFill>
                  <w14:solidFill>
                    <w14:schemeClr w14:val="tx1"/>
                  </w14:solidFill>
                </w14:textFill>
              </w:rPr>
              <w:t>未按要求扣1分/人</w:t>
            </w:r>
          </w:p>
        </w:tc>
      </w:tr>
      <w:tr w14:paraId="737C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vMerge w:val="continue"/>
            <w:tcBorders>
              <w:top w:val="nil"/>
              <w:left w:val="single" w:color="auto" w:sz="4" w:space="0"/>
              <w:bottom w:val="single" w:color="auto" w:sz="4" w:space="0"/>
              <w:right w:val="single" w:color="auto" w:sz="4" w:space="0"/>
            </w:tcBorders>
            <w:vAlign w:val="center"/>
          </w:tcPr>
          <w:p w14:paraId="49225537">
            <w:pPr>
              <w:spacing w:line="360" w:lineRule="auto"/>
              <w:rPr>
                <w:rFonts w:hint="eastAsia" w:ascii="仿宋" w:hAnsi="仿宋" w:eastAsia="仿宋" w:cs="仿宋"/>
                <w:i/>
                <w:iCs/>
                <w:szCs w:val="24"/>
                <w:u w:val="single"/>
              </w:rPr>
            </w:pPr>
          </w:p>
        </w:tc>
        <w:tc>
          <w:tcPr>
            <w:tcW w:w="2913" w:type="pct"/>
            <w:tcBorders>
              <w:top w:val="single" w:color="auto" w:sz="4" w:space="0"/>
              <w:left w:val="single" w:color="auto" w:sz="4" w:space="0"/>
              <w:bottom w:val="single" w:color="auto" w:sz="4" w:space="0"/>
              <w:right w:val="single" w:color="auto" w:sz="4" w:space="0"/>
            </w:tcBorders>
            <w:vAlign w:val="center"/>
          </w:tcPr>
          <w:p w14:paraId="5003EEE9">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5、服从医院管理，遵守医院规章制度，劳动纪律，不与职工和患者发生纠纷</w:t>
            </w:r>
          </w:p>
        </w:tc>
        <w:tc>
          <w:tcPr>
            <w:tcW w:w="1446" w:type="pct"/>
            <w:tcBorders>
              <w:top w:val="single" w:color="auto" w:sz="4" w:space="0"/>
              <w:left w:val="single" w:color="auto" w:sz="4" w:space="0"/>
              <w:bottom w:val="single" w:color="auto" w:sz="4" w:space="0"/>
              <w:right w:val="single" w:color="auto" w:sz="4" w:space="0"/>
            </w:tcBorders>
            <w:vAlign w:val="center"/>
          </w:tcPr>
          <w:p w14:paraId="7D22853B">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每次扣2分</w:t>
            </w:r>
          </w:p>
        </w:tc>
      </w:tr>
      <w:tr w14:paraId="7D1A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vMerge w:val="restart"/>
            <w:tcBorders>
              <w:top w:val="nil"/>
              <w:left w:val="single" w:color="auto" w:sz="4" w:space="0"/>
              <w:bottom w:val="single" w:color="auto" w:sz="4" w:space="0"/>
              <w:right w:val="single" w:color="auto" w:sz="4" w:space="0"/>
            </w:tcBorders>
            <w:vAlign w:val="center"/>
          </w:tcPr>
          <w:p w14:paraId="00FE3025">
            <w:pPr>
              <w:spacing w:line="360" w:lineRule="auto"/>
              <w:jc w:val="center"/>
              <w:rPr>
                <w:rFonts w:hint="eastAsia" w:ascii="仿宋" w:hAnsi="仿宋" w:eastAsia="仿宋" w:cs="仿宋"/>
                <w:i/>
                <w:iCs/>
                <w:szCs w:val="24"/>
                <w:u w:val="single"/>
              </w:rPr>
            </w:pPr>
            <w:r>
              <w:rPr>
                <w:rFonts w:hint="eastAsia" w:ascii="仿宋" w:hAnsi="仿宋" w:eastAsia="仿宋" w:cs="仿宋"/>
                <w:i/>
                <w:iCs/>
                <w:color w:val="000000"/>
                <w:szCs w:val="24"/>
                <w:u w:val="single"/>
              </w:rPr>
              <w:t>服务规范</w:t>
            </w:r>
          </w:p>
        </w:tc>
        <w:tc>
          <w:tcPr>
            <w:tcW w:w="2913" w:type="pct"/>
            <w:tcBorders>
              <w:top w:val="single" w:color="auto" w:sz="4" w:space="0"/>
              <w:left w:val="single" w:color="auto" w:sz="4" w:space="0"/>
              <w:bottom w:val="single" w:color="auto" w:sz="4" w:space="0"/>
              <w:right w:val="single" w:color="auto" w:sz="4" w:space="0"/>
            </w:tcBorders>
            <w:vAlign w:val="center"/>
          </w:tcPr>
          <w:p w14:paraId="0B183CD7">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1、设备运行维护按照服务规范执行</w:t>
            </w:r>
          </w:p>
        </w:tc>
        <w:tc>
          <w:tcPr>
            <w:tcW w:w="1446" w:type="pct"/>
            <w:tcBorders>
              <w:top w:val="single" w:color="auto" w:sz="4" w:space="0"/>
              <w:left w:val="single" w:color="auto" w:sz="4" w:space="0"/>
              <w:bottom w:val="single" w:color="auto" w:sz="4" w:space="0"/>
              <w:right w:val="single" w:color="auto" w:sz="4" w:space="0"/>
            </w:tcBorders>
            <w:vAlign w:val="center"/>
          </w:tcPr>
          <w:p w14:paraId="5393F531">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每次扣1分</w:t>
            </w:r>
          </w:p>
        </w:tc>
      </w:tr>
      <w:tr w14:paraId="4B5E8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vMerge w:val="continue"/>
            <w:tcBorders>
              <w:top w:val="nil"/>
              <w:left w:val="single" w:color="auto" w:sz="4" w:space="0"/>
              <w:bottom w:val="single" w:color="auto" w:sz="4" w:space="0"/>
              <w:right w:val="single" w:color="auto" w:sz="4" w:space="0"/>
            </w:tcBorders>
            <w:vAlign w:val="center"/>
          </w:tcPr>
          <w:p w14:paraId="478AF6C8">
            <w:pPr>
              <w:spacing w:line="360" w:lineRule="auto"/>
              <w:rPr>
                <w:rFonts w:hint="eastAsia" w:ascii="仿宋" w:hAnsi="仿宋" w:eastAsia="仿宋" w:cs="仿宋"/>
                <w:i/>
                <w:iCs/>
                <w:szCs w:val="24"/>
                <w:u w:val="single"/>
              </w:rPr>
            </w:pPr>
          </w:p>
        </w:tc>
        <w:tc>
          <w:tcPr>
            <w:tcW w:w="2913" w:type="pct"/>
            <w:tcBorders>
              <w:top w:val="single" w:color="auto" w:sz="4" w:space="0"/>
              <w:left w:val="single" w:color="auto" w:sz="4" w:space="0"/>
              <w:bottom w:val="single" w:color="auto" w:sz="4" w:space="0"/>
              <w:right w:val="single" w:color="auto" w:sz="4" w:space="0"/>
            </w:tcBorders>
            <w:vAlign w:val="center"/>
          </w:tcPr>
          <w:p w14:paraId="38F7CB9F">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2、标识完整无污渍</w:t>
            </w:r>
          </w:p>
        </w:tc>
        <w:tc>
          <w:tcPr>
            <w:tcW w:w="1446" w:type="pct"/>
            <w:tcBorders>
              <w:top w:val="single" w:color="auto" w:sz="4" w:space="0"/>
              <w:left w:val="single" w:color="auto" w:sz="4" w:space="0"/>
              <w:bottom w:val="single" w:color="auto" w:sz="4" w:space="0"/>
              <w:right w:val="single" w:color="auto" w:sz="4" w:space="0"/>
            </w:tcBorders>
            <w:vAlign w:val="center"/>
          </w:tcPr>
          <w:p w14:paraId="4C5C5D90">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每次扣1分</w:t>
            </w:r>
          </w:p>
        </w:tc>
      </w:tr>
      <w:tr w14:paraId="41E1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vMerge w:val="continue"/>
            <w:tcBorders>
              <w:top w:val="nil"/>
              <w:left w:val="single" w:color="auto" w:sz="4" w:space="0"/>
              <w:bottom w:val="single" w:color="auto" w:sz="4" w:space="0"/>
              <w:right w:val="single" w:color="auto" w:sz="4" w:space="0"/>
            </w:tcBorders>
            <w:vAlign w:val="center"/>
          </w:tcPr>
          <w:p w14:paraId="110CE266">
            <w:pPr>
              <w:spacing w:line="360" w:lineRule="auto"/>
              <w:rPr>
                <w:rFonts w:hint="eastAsia" w:ascii="仿宋" w:hAnsi="仿宋" w:eastAsia="仿宋" w:cs="仿宋"/>
                <w:i/>
                <w:iCs/>
                <w:szCs w:val="24"/>
                <w:u w:val="single"/>
              </w:rPr>
            </w:pPr>
          </w:p>
        </w:tc>
        <w:tc>
          <w:tcPr>
            <w:tcW w:w="2913" w:type="pct"/>
            <w:tcBorders>
              <w:top w:val="single" w:color="auto" w:sz="4" w:space="0"/>
              <w:left w:val="single" w:color="auto" w:sz="4" w:space="0"/>
              <w:bottom w:val="single" w:color="auto" w:sz="4" w:space="0"/>
              <w:right w:val="single" w:color="auto" w:sz="4" w:space="0"/>
            </w:tcBorders>
            <w:vAlign w:val="center"/>
          </w:tcPr>
          <w:p w14:paraId="1689982C">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3、落实管理节能措施到位，每月向院方汇报用能情况</w:t>
            </w:r>
          </w:p>
        </w:tc>
        <w:tc>
          <w:tcPr>
            <w:tcW w:w="1446" w:type="pct"/>
            <w:tcBorders>
              <w:top w:val="single" w:color="auto" w:sz="4" w:space="0"/>
              <w:left w:val="single" w:color="auto" w:sz="4" w:space="0"/>
              <w:bottom w:val="single" w:color="auto" w:sz="4" w:space="0"/>
              <w:right w:val="single" w:color="auto" w:sz="4" w:space="0"/>
            </w:tcBorders>
            <w:vAlign w:val="center"/>
          </w:tcPr>
          <w:p w14:paraId="690368E0">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每次扣1分</w:t>
            </w:r>
          </w:p>
        </w:tc>
      </w:tr>
      <w:tr w14:paraId="35BD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vMerge w:val="restart"/>
            <w:tcBorders>
              <w:top w:val="nil"/>
              <w:left w:val="single" w:color="auto" w:sz="4" w:space="0"/>
              <w:bottom w:val="single" w:color="auto" w:sz="4" w:space="0"/>
              <w:right w:val="single" w:color="auto" w:sz="4" w:space="0"/>
            </w:tcBorders>
            <w:vAlign w:val="center"/>
          </w:tcPr>
          <w:p w14:paraId="79876432">
            <w:pPr>
              <w:spacing w:line="360" w:lineRule="auto"/>
              <w:jc w:val="center"/>
              <w:rPr>
                <w:rFonts w:hint="eastAsia" w:ascii="仿宋" w:hAnsi="仿宋" w:eastAsia="仿宋" w:cs="仿宋"/>
                <w:i/>
                <w:iCs/>
                <w:szCs w:val="24"/>
                <w:u w:val="single"/>
              </w:rPr>
            </w:pPr>
            <w:r>
              <w:rPr>
                <w:rFonts w:hint="eastAsia" w:ascii="仿宋" w:hAnsi="仿宋" w:eastAsia="仿宋" w:cs="仿宋"/>
                <w:i/>
                <w:iCs/>
                <w:color w:val="000000"/>
                <w:szCs w:val="24"/>
                <w:u w:val="single"/>
              </w:rPr>
              <w:t>管理能力</w:t>
            </w:r>
          </w:p>
        </w:tc>
        <w:tc>
          <w:tcPr>
            <w:tcW w:w="2913" w:type="pct"/>
            <w:tcBorders>
              <w:top w:val="single" w:color="auto" w:sz="4" w:space="0"/>
              <w:left w:val="single" w:color="auto" w:sz="4" w:space="0"/>
              <w:bottom w:val="single" w:color="auto" w:sz="4" w:space="0"/>
              <w:right w:val="single" w:color="auto" w:sz="4" w:space="0"/>
            </w:tcBorders>
            <w:vAlign w:val="center"/>
          </w:tcPr>
          <w:p w14:paraId="760C8DA3">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1、协助指挥运营中心管理，完善工作制度、操作规程</w:t>
            </w:r>
          </w:p>
        </w:tc>
        <w:tc>
          <w:tcPr>
            <w:tcW w:w="1446" w:type="pct"/>
            <w:tcBorders>
              <w:top w:val="single" w:color="auto" w:sz="4" w:space="0"/>
              <w:left w:val="single" w:color="auto" w:sz="4" w:space="0"/>
              <w:bottom w:val="single" w:color="auto" w:sz="4" w:space="0"/>
              <w:right w:val="single" w:color="auto" w:sz="4" w:space="0"/>
            </w:tcBorders>
            <w:vAlign w:val="center"/>
          </w:tcPr>
          <w:p w14:paraId="5BA1986E">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每次扣1分</w:t>
            </w:r>
          </w:p>
        </w:tc>
      </w:tr>
      <w:tr w14:paraId="16F93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vMerge w:val="continue"/>
            <w:tcBorders>
              <w:top w:val="nil"/>
              <w:left w:val="single" w:color="auto" w:sz="4" w:space="0"/>
              <w:bottom w:val="single" w:color="auto" w:sz="4" w:space="0"/>
              <w:right w:val="single" w:color="auto" w:sz="4" w:space="0"/>
            </w:tcBorders>
            <w:vAlign w:val="center"/>
          </w:tcPr>
          <w:p w14:paraId="0BBCC280">
            <w:pPr>
              <w:spacing w:line="360" w:lineRule="auto"/>
              <w:rPr>
                <w:rFonts w:hint="eastAsia" w:ascii="仿宋" w:hAnsi="仿宋" w:eastAsia="仿宋" w:cs="仿宋"/>
                <w:i/>
                <w:iCs/>
                <w:szCs w:val="24"/>
                <w:u w:val="single"/>
              </w:rPr>
            </w:pPr>
          </w:p>
        </w:tc>
        <w:tc>
          <w:tcPr>
            <w:tcW w:w="2913" w:type="pct"/>
            <w:tcBorders>
              <w:top w:val="single" w:color="auto" w:sz="4" w:space="0"/>
              <w:left w:val="single" w:color="auto" w:sz="4" w:space="0"/>
              <w:bottom w:val="single" w:color="auto" w:sz="4" w:space="0"/>
              <w:right w:val="single" w:color="auto" w:sz="4" w:space="0"/>
            </w:tcBorders>
            <w:vAlign w:val="center"/>
          </w:tcPr>
          <w:p w14:paraId="6A2389EA">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3、具备有效处理突发事件能力</w:t>
            </w:r>
          </w:p>
        </w:tc>
        <w:tc>
          <w:tcPr>
            <w:tcW w:w="1446" w:type="pct"/>
            <w:tcBorders>
              <w:top w:val="single" w:color="auto" w:sz="4" w:space="0"/>
              <w:left w:val="single" w:color="auto" w:sz="4" w:space="0"/>
              <w:bottom w:val="single" w:color="auto" w:sz="4" w:space="0"/>
              <w:right w:val="single" w:color="auto" w:sz="4" w:space="0"/>
            </w:tcBorders>
            <w:vAlign w:val="center"/>
          </w:tcPr>
          <w:p w14:paraId="0E2B615A">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每次扣2分</w:t>
            </w:r>
          </w:p>
        </w:tc>
      </w:tr>
      <w:tr w14:paraId="1C50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vMerge w:val="continue"/>
            <w:tcBorders>
              <w:top w:val="nil"/>
              <w:left w:val="single" w:color="auto" w:sz="4" w:space="0"/>
              <w:bottom w:val="single" w:color="auto" w:sz="4" w:space="0"/>
              <w:right w:val="single" w:color="auto" w:sz="4" w:space="0"/>
            </w:tcBorders>
            <w:vAlign w:val="center"/>
          </w:tcPr>
          <w:p w14:paraId="7B7AFDDB">
            <w:pPr>
              <w:spacing w:line="360" w:lineRule="auto"/>
              <w:rPr>
                <w:rFonts w:hint="eastAsia" w:ascii="仿宋" w:hAnsi="仿宋" w:eastAsia="仿宋" w:cs="仿宋"/>
                <w:i/>
                <w:iCs/>
                <w:szCs w:val="24"/>
                <w:u w:val="single"/>
              </w:rPr>
            </w:pPr>
          </w:p>
        </w:tc>
        <w:tc>
          <w:tcPr>
            <w:tcW w:w="2913" w:type="pct"/>
            <w:tcBorders>
              <w:top w:val="single" w:color="auto" w:sz="4" w:space="0"/>
              <w:left w:val="single" w:color="auto" w:sz="4" w:space="0"/>
              <w:bottom w:val="single" w:color="auto" w:sz="4" w:space="0"/>
              <w:right w:val="single" w:color="auto" w:sz="4" w:space="0"/>
            </w:tcBorders>
            <w:vAlign w:val="center"/>
          </w:tcPr>
          <w:p w14:paraId="30403E50">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4、能源月度分析报告资料提交准确、及时</w:t>
            </w:r>
          </w:p>
        </w:tc>
        <w:tc>
          <w:tcPr>
            <w:tcW w:w="1446" w:type="pct"/>
            <w:tcBorders>
              <w:top w:val="single" w:color="auto" w:sz="4" w:space="0"/>
              <w:left w:val="single" w:color="auto" w:sz="4" w:space="0"/>
              <w:bottom w:val="single" w:color="auto" w:sz="4" w:space="0"/>
              <w:right w:val="single" w:color="auto" w:sz="4" w:space="0"/>
            </w:tcBorders>
            <w:vAlign w:val="center"/>
          </w:tcPr>
          <w:p w14:paraId="45FAD1DA">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每次扣2分</w:t>
            </w:r>
          </w:p>
        </w:tc>
      </w:tr>
      <w:tr w14:paraId="2115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vMerge w:val="restart"/>
            <w:tcBorders>
              <w:top w:val="nil"/>
              <w:left w:val="single" w:color="auto" w:sz="4" w:space="0"/>
              <w:bottom w:val="single" w:color="auto" w:sz="4" w:space="0"/>
              <w:right w:val="single" w:color="auto" w:sz="4" w:space="0"/>
            </w:tcBorders>
            <w:vAlign w:val="center"/>
          </w:tcPr>
          <w:p w14:paraId="7D9EF537">
            <w:pPr>
              <w:spacing w:line="360" w:lineRule="auto"/>
              <w:jc w:val="center"/>
              <w:rPr>
                <w:rFonts w:hint="eastAsia" w:ascii="仿宋" w:hAnsi="仿宋" w:eastAsia="仿宋" w:cs="仿宋"/>
                <w:i/>
                <w:iCs/>
                <w:szCs w:val="24"/>
                <w:u w:val="single"/>
              </w:rPr>
            </w:pPr>
            <w:r>
              <w:rPr>
                <w:rFonts w:hint="eastAsia" w:ascii="仿宋" w:hAnsi="仿宋" w:eastAsia="仿宋" w:cs="仿宋"/>
                <w:i/>
                <w:iCs/>
                <w:color w:val="000000"/>
                <w:szCs w:val="24"/>
                <w:u w:val="single"/>
              </w:rPr>
              <w:t>维保   服务</w:t>
            </w:r>
          </w:p>
        </w:tc>
        <w:tc>
          <w:tcPr>
            <w:tcW w:w="2913" w:type="pct"/>
            <w:tcBorders>
              <w:top w:val="single" w:color="auto" w:sz="4" w:space="0"/>
              <w:left w:val="single" w:color="auto" w:sz="4" w:space="0"/>
              <w:bottom w:val="single" w:color="auto" w:sz="4" w:space="0"/>
              <w:right w:val="single" w:color="auto" w:sz="4" w:space="0"/>
            </w:tcBorders>
            <w:vAlign w:val="center"/>
          </w:tcPr>
          <w:p w14:paraId="7E054438">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1、根据设备运行情况制定维保计划</w:t>
            </w:r>
          </w:p>
        </w:tc>
        <w:tc>
          <w:tcPr>
            <w:tcW w:w="1446" w:type="pct"/>
            <w:tcBorders>
              <w:top w:val="single" w:color="auto" w:sz="4" w:space="0"/>
              <w:left w:val="single" w:color="auto" w:sz="4" w:space="0"/>
              <w:bottom w:val="single" w:color="auto" w:sz="4" w:space="0"/>
              <w:right w:val="single" w:color="auto" w:sz="4" w:space="0"/>
            </w:tcBorders>
            <w:vAlign w:val="center"/>
          </w:tcPr>
          <w:p w14:paraId="272BF652">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每次扣1分</w:t>
            </w:r>
          </w:p>
        </w:tc>
      </w:tr>
      <w:tr w14:paraId="0D67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vMerge w:val="continue"/>
            <w:tcBorders>
              <w:top w:val="nil"/>
              <w:left w:val="single" w:color="auto" w:sz="4" w:space="0"/>
              <w:bottom w:val="single" w:color="auto" w:sz="4" w:space="0"/>
              <w:right w:val="single" w:color="auto" w:sz="4" w:space="0"/>
            </w:tcBorders>
            <w:vAlign w:val="center"/>
          </w:tcPr>
          <w:p w14:paraId="5B94A9CA">
            <w:pPr>
              <w:spacing w:line="360" w:lineRule="auto"/>
              <w:rPr>
                <w:rFonts w:hint="eastAsia" w:ascii="仿宋" w:hAnsi="仿宋" w:eastAsia="仿宋" w:cs="仿宋"/>
                <w:i/>
                <w:iCs/>
                <w:szCs w:val="24"/>
                <w:u w:val="single"/>
              </w:rPr>
            </w:pPr>
          </w:p>
        </w:tc>
        <w:tc>
          <w:tcPr>
            <w:tcW w:w="2913" w:type="pct"/>
            <w:tcBorders>
              <w:top w:val="single" w:color="auto" w:sz="4" w:space="0"/>
              <w:left w:val="single" w:color="auto" w:sz="4" w:space="0"/>
              <w:bottom w:val="single" w:color="auto" w:sz="4" w:space="0"/>
              <w:right w:val="single" w:color="auto" w:sz="4" w:space="0"/>
            </w:tcBorders>
            <w:vAlign w:val="center"/>
          </w:tcPr>
          <w:p w14:paraId="4653D4BE">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2、针对维保范围开展主动巡查，记录完善，建立完善的维修档案</w:t>
            </w:r>
          </w:p>
        </w:tc>
        <w:tc>
          <w:tcPr>
            <w:tcW w:w="1446" w:type="pct"/>
            <w:tcBorders>
              <w:top w:val="single" w:color="auto" w:sz="4" w:space="0"/>
              <w:left w:val="single" w:color="auto" w:sz="4" w:space="0"/>
              <w:bottom w:val="single" w:color="auto" w:sz="4" w:space="0"/>
              <w:right w:val="single" w:color="auto" w:sz="4" w:space="0"/>
            </w:tcBorders>
            <w:vAlign w:val="center"/>
          </w:tcPr>
          <w:p w14:paraId="64FAB75C">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每次扣1分</w:t>
            </w:r>
          </w:p>
        </w:tc>
      </w:tr>
      <w:tr w14:paraId="19F0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vMerge w:val="restart"/>
            <w:tcBorders>
              <w:top w:val="nil"/>
              <w:left w:val="single" w:color="auto" w:sz="4" w:space="0"/>
              <w:bottom w:val="single" w:color="auto" w:sz="4" w:space="0"/>
              <w:right w:val="single" w:color="auto" w:sz="4" w:space="0"/>
            </w:tcBorders>
            <w:vAlign w:val="center"/>
          </w:tcPr>
          <w:p w14:paraId="656B6862">
            <w:pPr>
              <w:spacing w:line="360" w:lineRule="auto"/>
              <w:jc w:val="center"/>
              <w:rPr>
                <w:rFonts w:hint="eastAsia" w:ascii="仿宋" w:hAnsi="仿宋" w:eastAsia="仿宋" w:cs="仿宋"/>
                <w:i/>
                <w:iCs/>
                <w:szCs w:val="24"/>
                <w:u w:val="single"/>
              </w:rPr>
            </w:pPr>
            <w:r>
              <w:rPr>
                <w:rFonts w:hint="eastAsia" w:ascii="仿宋" w:hAnsi="仿宋" w:eastAsia="仿宋" w:cs="仿宋"/>
                <w:i/>
                <w:iCs/>
                <w:color w:val="000000"/>
                <w:szCs w:val="24"/>
                <w:u w:val="single"/>
              </w:rPr>
              <w:t>监督检查</w:t>
            </w:r>
          </w:p>
        </w:tc>
        <w:tc>
          <w:tcPr>
            <w:tcW w:w="2913" w:type="pct"/>
            <w:tcBorders>
              <w:top w:val="single" w:color="auto" w:sz="4" w:space="0"/>
              <w:left w:val="single" w:color="auto" w:sz="4" w:space="0"/>
              <w:bottom w:val="single" w:color="auto" w:sz="4" w:space="0"/>
              <w:right w:val="single" w:color="auto" w:sz="4" w:space="0"/>
            </w:tcBorders>
            <w:vAlign w:val="center"/>
          </w:tcPr>
          <w:p w14:paraId="6B59D956">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1、全面配合医院的各类相关检查</w:t>
            </w:r>
          </w:p>
        </w:tc>
        <w:tc>
          <w:tcPr>
            <w:tcW w:w="1446" w:type="pct"/>
            <w:tcBorders>
              <w:top w:val="single" w:color="auto" w:sz="4" w:space="0"/>
              <w:left w:val="single" w:color="auto" w:sz="4" w:space="0"/>
              <w:bottom w:val="single" w:color="auto" w:sz="4" w:space="0"/>
              <w:right w:val="single" w:color="auto" w:sz="4" w:space="0"/>
            </w:tcBorders>
            <w:vAlign w:val="center"/>
          </w:tcPr>
          <w:p w14:paraId="4935B2C2">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每次扣3分</w:t>
            </w:r>
          </w:p>
        </w:tc>
      </w:tr>
      <w:tr w14:paraId="3550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vMerge w:val="continue"/>
            <w:tcBorders>
              <w:top w:val="nil"/>
              <w:left w:val="single" w:color="auto" w:sz="4" w:space="0"/>
              <w:bottom w:val="single" w:color="auto" w:sz="4" w:space="0"/>
              <w:right w:val="single" w:color="auto" w:sz="4" w:space="0"/>
            </w:tcBorders>
            <w:vAlign w:val="center"/>
          </w:tcPr>
          <w:p w14:paraId="6251B318">
            <w:pPr>
              <w:spacing w:line="360" w:lineRule="auto"/>
              <w:rPr>
                <w:rFonts w:hint="eastAsia" w:ascii="仿宋" w:hAnsi="仿宋" w:eastAsia="仿宋" w:cs="仿宋"/>
                <w:i/>
                <w:iCs/>
                <w:szCs w:val="24"/>
                <w:u w:val="single"/>
              </w:rPr>
            </w:pPr>
          </w:p>
        </w:tc>
        <w:tc>
          <w:tcPr>
            <w:tcW w:w="2913" w:type="pct"/>
            <w:tcBorders>
              <w:top w:val="single" w:color="auto" w:sz="4" w:space="0"/>
              <w:left w:val="single" w:color="auto" w:sz="4" w:space="0"/>
              <w:bottom w:val="single" w:color="auto" w:sz="4" w:space="0"/>
              <w:right w:val="single" w:color="auto" w:sz="4" w:space="0"/>
            </w:tcBorders>
            <w:vAlign w:val="center"/>
          </w:tcPr>
          <w:p w14:paraId="2A9C9B39">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2、上级部门检查中发现问题未整改</w:t>
            </w:r>
          </w:p>
        </w:tc>
        <w:tc>
          <w:tcPr>
            <w:tcW w:w="1446" w:type="pct"/>
            <w:tcBorders>
              <w:top w:val="single" w:color="auto" w:sz="4" w:space="0"/>
              <w:left w:val="single" w:color="auto" w:sz="4" w:space="0"/>
              <w:bottom w:val="single" w:color="auto" w:sz="4" w:space="0"/>
              <w:right w:val="single" w:color="auto" w:sz="4" w:space="0"/>
            </w:tcBorders>
            <w:vAlign w:val="center"/>
          </w:tcPr>
          <w:p w14:paraId="47CE264A">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医院扣2分、市级扣3分、省级扣5分、国级扣10分</w:t>
            </w:r>
          </w:p>
        </w:tc>
      </w:tr>
      <w:tr w14:paraId="6CC6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vMerge w:val="continue"/>
            <w:tcBorders>
              <w:top w:val="nil"/>
              <w:left w:val="single" w:color="auto" w:sz="4" w:space="0"/>
              <w:bottom w:val="single" w:color="auto" w:sz="4" w:space="0"/>
              <w:right w:val="single" w:color="auto" w:sz="4" w:space="0"/>
            </w:tcBorders>
            <w:vAlign w:val="center"/>
          </w:tcPr>
          <w:p w14:paraId="654A72D2">
            <w:pPr>
              <w:spacing w:line="360" w:lineRule="auto"/>
              <w:rPr>
                <w:rFonts w:hint="eastAsia" w:ascii="仿宋" w:hAnsi="仿宋" w:eastAsia="仿宋" w:cs="仿宋"/>
                <w:i/>
                <w:iCs/>
                <w:szCs w:val="24"/>
                <w:u w:val="single"/>
              </w:rPr>
            </w:pPr>
          </w:p>
        </w:tc>
        <w:tc>
          <w:tcPr>
            <w:tcW w:w="2913" w:type="pct"/>
            <w:tcBorders>
              <w:top w:val="single" w:color="auto" w:sz="4" w:space="0"/>
              <w:left w:val="single" w:color="auto" w:sz="4" w:space="0"/>
              <w:bottom w:val="single" w:color="auto" w:sz="4" w:space="0"/>
              <w:right w:val="single" w:color="auto" w:sz="4" w:space="0"/>
            </w:tcBorders>
            <w:vAlign w:val="center"/>
          </w:tcPr>
          <w:p w14:paraId="1AFB2ADC">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3、出现问题，立即整改落实。</w:t>
            </w:r>
          </w:p>
        </w:tc>
        <w:tc>
          <w:tcPr>
            <w:tcW w:w="1446" w:type="pct"/>
            <w:tcBorders>
              <w:top w:val="single" w:color="auto" w:sz="4" w:space="0"/>
              <w:left w:val="single" w:color="auto" w:sz="4" w:space="0"/>
              <w:bottom w:val="single" w:color="auto" w:sz="4" w:space="0"/>
              <w:right w:val="single" w:color="auto" w:sz="4" w:space="0"/>
            </w:tcBorders>
            <w:vAlign w:val="center"/>
          </w:tcPr>
          <w:p w14:paraId="1EA1BA12">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医院扣2分、市级扣3分、省级扣5分、国级扣10分</w:t>
            </w:r>
          </w:p>
        </w:tc>
      </w:tr>
      <w:tr w14:paraId="160B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tcBorders>
              <w:top w:val="nil"/>
              <w:left w:val="single" w:color="auto" w:sz="4" w:space="0"/>
              <w:bottom w:val="single" w:color="auto" w:sz="4" w:space="0"/>
              <w:right w:val="single" w:color="auto" w:sz="4" w:space="0"/>
            </w:tcBorders>
            <w:vAlign w:val="center"/>
          </w:tcPr>
          <w:p w14:paraId="458B1006">
            <w:pPr>
              <w:pStyle w:val="14"/>
              <w:rPr>
                <w:rFonts w:hint="eastAsia" w:ascii="仿宋" w:hAnsi="仿宋" w:eastAsia="仿宋" w:cs="仿宋"/>
                <w:i/>
                <w:iCs/>
                <w:color w:val="000000"/>
                <w:szCs w:val="24"/>
                <w:u w:val="single"/>
              </w:rPr>
            </w:pPr>
            <w:r>
              <w:rPr>
                <w:rFonts w:hint="eastAsia" w:ascii="仿宋" w:hAnsi="仿宋" w:eastAsia="仿宋" w:cs="仿宋"/>
                <w:i/>
                <w:iCs/>
                <w:color w:val="000000"/>
                <w:u w:val="single"/>
                <w:lang w:val="en-US" w:eastAsia="zh-CN"/>
              </w:rPr>
              <w:t>供冷、供暖质量</w:t>
            </w:r>
          </w:p>
        </w:tc>
        <w:tc>
          <w:tcPr>
            <w:tcW w:w="2913" w:type="pct"/>
            <w:tcBorders>
              <w:top w:val="single" w:color="auto" w:sz="4" w:space="0"/>
              <w:left w:val="single" w:color="auto" w:sz="4" w:space="0"/>
              <w:bottom w:val="single" w:color="auto" w:sz="4" w:space="0"/>
              <w:right w:val="single" w:color="auto" w:sz="4" w:space="0"/>
            </w:tcBorders>
            <w:vAlign w:val="center"/>
          </w:tcPr>
          <w:p w14:paraId="332DE29B">
            <w:pPr>
              <w:spacing w:line="360" w:lineRule="auto"/>
              <w:rPr>
                <w:rFonts w:hint="eastAsia" w:ascii="仿宋" w:hAnsi="仿宋" w:eastAsia="仿宋" w:cs="仿宋"/>
                <w:i/>
                <w:iCs/>
                <w:color w:val="000000"/>
                <w:szCs w:val="24"/>
                <w:u w:val="single"/>
              </w:rPr>
            </w:pPr>
            <w:r>
              <w:rPr>
                <w:rFonts w:hint="eastAsia" w:ascii="仿宋" w:hAnsi="仿宋" w:eastAsia="仿宋" w:cs="仿宋"/>
                <w:i/>
                <w:iCs/>
                <w:color w:val="000000"/>
                <w:u w:val="single"/>
              </w:rPr>
              <w:t>供暖季</w:t>
            </w:r>
            <w:r>
              <w:rPr>
                <w:rFonts w:hint="eastAsia" w:ascii="仿宋" w:hAnsi="仿宋" w:eastAsia="仿宋" w:cs="仿宋"/>
                <w:i/>
                <w:iCs/>
                <w:color w:val="000000"/>
                <w:u w:val="single"/>
                <w:lang w:eastAsia="zh-CN"/>
              </w:rPr>
              <w:t>、</w:t>
            </w:r>
            <w:r>
              <w:rPr>
                <w:rFonts w:hint="eastAsia" w:ascii="仿宋" w:hAnsi="仿宋" w:eastAsia="仿宋" w:cs="仿宋"/>
                <w:i/>
                <w:iCs/>
                <w:color w:val="000000"/>
                <w:u w:val="single"/>
                <w:lang w:val="en-US" w:eastAsia="zh-CN"/>
              </w:rPr>
              <w:t>供冷季</w:t>
            </w:r>
            <w:r>
              <w:rPr>
                <w:rFonts w:hint="eastAsia" w:ascii="仿宋" w:hAnsi="仿宋" w:eastAsia="仿宋" w:cs="仿宋"/>
                <w:i/>
                <w:iCs/>
                <w:color w:val="000000"/>
                <w:u w:val="single"/>
              </w:rPr>
              <w:t>保证每天室内温度满足</w:t>
            </w:r>
            <w:r>
              <w:rPr>
                <w:rFonts w:hint="eastAsia" w:ascii="仿宋" w:hAnsi="仿宋" w:eastAsia="仿宋" w:cs="仿宋"/>
                <w:i/>
                <w:iCs/>
                <w:color w:val="000000"/>
                <w:u w:val="single"/>
                <w:lang w:val="en-US" w:eastAsia="zh-CN"/>
              </w:rPr>
              <w:t>需求</w:t>
            </w:r>
            <w:r>
              <w:rPr>
                <w:rFonts w:hint="eastAsia" w:ascii="仿宋" w:hAnsi="仿宋" w:eastAsia="仿宋" w:cs="仿宋"/>
                <w:i/>
                <w:iCs/>
                <w:color w:val="000000"/>
                <w:u w:val="single"/>
              </w:rPr>
              <w:t>条件。</w:t>
            </w:r>
          </w:p>
        </w:tc>
        <w:tc>
          <w:tcPr>
            <w:tcW w:w="1446" w:type="pct"/>
            <w:tcBorders>
              <w:top w:val="single" w:color="auto" w:sz="4" w:space="0"/>
              <w:left w:val="single" w:color="auto" w:sz="4" w:space="0"/>
              <w:bottom w:val="single" w:color="auto" w:sz="4" w:space="0"/>
              <w:right w:val="single" w:color="auto" w:sz="4" w:space="0"/>
            </w:tcBorders>
            <w:vAlign w:val="center"/>
          </w:tcPr>
          <w:p w14:paraId="05038E5B">
            <w:pPr>
              <w:spacing w:line="360" w:lineRule="auto"/>
              <w:rPr>
                <w:rFonts w:hint="default" w:ascii="仿宋" w:hAnsi="仿宋" w:eastAsia="仿宋" w:cs="仿宋"/>
                <w:i/>
                <w:iCs/>
                <w:color w:val="000000"/>
                <w:szCs w:val="24"/>
                <w:u w:val="single"/>
                <w:lang w:val="en-US" w:eastAsia="zh-CN"/>
              </w:rPr>
            </w:pPr>
            <w:r>
              <w:rPr>
                <w:rFonts w:hint="eastAsia" w:ascii="仿宋" w:hAnsi="仿宋" w:eastAsia="仿宋" w:cs="仿宋"/>
                <w:i/>
                <w:iCs/>
                <w:color w:val="000000"/>
                <w:szCs w:val="24"/>
                <w:u w:val="single"/>
                <w:lang w:val="en-US" w:eastAsia="zh-CN"/>
              </w:rPr>
              <w:t>不满足要求每天扣3分</w:t>
            </w:r>
          </w:p>
        </w:tc>
      </w:tr>
      <w:tr w14:paraId="231F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tcBorders>
              <w:top w:val="nil"/>
              <w:left w:val="single" w:color="auto" w:sz="4" w:space="0"/>
              <w:bottom w:val="single" w:color="auto" w:sz="4" w:space="0"/>
              <w:right w:val="single" w:color="auto" w:sz="4" w:space="0"/>
            </w:tcBorders>
            <w:vAlign w:val="center"/>
          </w:tcPr>
          <w:p w14:paraId="304583AC">
            <w:pPr>
              <w:spacing w:line="360" w:lineRule="auto"/>
              <w:jc w:val="center"/>
              <w:rPr>
                <w:rFonts w:hint="eastAsia" w:ascii="仿宋" w:hAnsi="仿宋" w:eastAsia="仿宋" w:cs="仿宋"/>
                <w:i/>
                <w:iCs/>
                <w:color w:val="000000"/>
                <w:szCs w:val="24"/>
                <w:u w:val="single"/>
              </w:rPr>
            </w:pPr>
            <w:r>
              <w:rPr>
                <w:rFonts w:hint="eastAsia" w:ascii="仿宋" w:hAnsi="仿宋" w:eastAsia="仿宋" w:cs="仿宋"/>
                <w:i/>
                <w:iCs/>
                <w:color w:val="000000"/>
                <w:u w:val="single"/>
                <w:lang w:val="en-US" w:eastAsia="zh-CN"/>
              </w:rPr>
              <w:t>服务时间</w:t>
            </w:r>
          </w:p>
        </w:tc>
        <w:tc>
          <w:tcPr>
            <w:tcW w:w="2913" w:type="pct"/>
            <w:tcBorders>
              <w:top w:val="single" w:color="auto" w:sz="4" w:space="0"/>
              <w:left w:val="single" w:color="auto" w:sz="4" w:space="0"/>
              <w:bottom w:val="single" w:color="auto" w:sz="4" w:space="0"/>
              <w:right w:val="single" w:color="auto" w:sz="4" w:space="0"/>
            </w:tcBorders>
            <w:vAlign w:val="center"/>
          </w:tcPr>
          <w:p w14:paraId="77107C03">
            <w:pPr>
              <w:spacing w:line="360" w:lineRule="auto"/>
              <w:rPr>
                <w:rFonts w:hint="eastAsia" w:ascii="仿宋" w:hAnsi="仿宋" w:eastAsia="仿宋" w:cs="仿宋"/>
                <w:i/>
                <w:iCs/>
                <w:color w:val="000000"/>
                <w:szCs w:val="24"/>
                <w:u w:val="single"/>
              </w:rPr>
            </w:pPr>
            <w:r>
              <w:rPr>
                <w:rFonts w:hint="eastAsia" w:ascii="仿宋" w:hAnsi="仿宋" w:eastAsia="仿宋" w:cs="仿宋"/>
                <w:i/>
                <w:iCs/>
                <w:color w:val="000000"/>
                <w:sz w:val="24"/>
                <w:szCs w:val="24"/>
                <w:u w:val="single"/>
              </w:rPr>
              <w:t>提供365天*24小时的不间断运维服务指导</w:t>
            </w:r>
          </w:p>
        </w:tc>
        <w:tc>
          <w:tcPr>
            <w:tcW w:w="1446" w:type="pct"/>
            <w:tcBorders>
              <w:top w:val="single" w:color="auto" w:sz="4" w:space="0"/>
              <w:left w:val="single" w:color="auto" w:sz="4" w:space="0"/>
              <w:bottom w:val="single" w:color="auto" w:sz="4" w:space="0"/>
              <w:right w:val="single" w:color="auto" w:sz="4" w:space="0"/>
            </w:tcBorders>
            <w:vAlign w:val="center"/>
          </w:tcPr>
          <w:p w14:paraId="13BE6BC1">
            <w:pPr>
              <w:spacing w:line="360" w:lineRule="auto"/>
              <w:rPr>
                <w:rFonts w:hint="default" w:ascii="仿宋" w:hAnsi="仿宋" w:eastAsia="仿宋" w:cs="仿宋"/>
                <w:i/>
                <w:iCs/>
                <w:color w:val="000000"/>
                <w:szCs w:val="24"/>
                <w:u w:val="single"/>
                <w:lang w:val="en-US" w:eastAsia="zh-CN"/>
              </w:rPr>
            </w:pPr>
            <w:r>
              <w:rPr>
                <w:rFonts w:hint="eastAsia" w:ascii="仿宋" w:hAnsi="仿宋" w:eastAsia="仿宋" w:cs="仿宋"/>
                <w:i/>
                <w:iCs/>
                <w:color w:val="000000"/>
                <w:szCs w:val="24"/>
                <w:u w:val="single"/>
                <w:lang w:val="en-US" w:eastAsia="zh-CN"/>
              </w:rPr>
              <w:t>每次扣3分</w:t>
            </w:r>
          </w:p>
        </w:tc>
      </w:tr>
      <w:tr w14:paraId="29E4A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tcBorders>
              <w:top w:val="nil"/>
              <w:left w:val="single" w:color="auto" w:sz="4" w:space="0"/>
              <w:bottom w:val="single" w:color="auto" w:sz="4" w:space="0"/>
              <w:right w:val="single" w:color="auto" w:sz="4" w:space="0"/>
            </w:tcBorders>
            <w:vAlign w:val="center"/>
          </w:tcPr>
          <w:p w14:paraId="62974F68">
            <w:pPr>
              <w:spacing w:line="360" w:lineRule="auto"/>
              <w:jc w:val="center"/>
              <w:rPr>
                <w:rFonts w:hint="eastAsia" w:ascii="仿宋" w:hAnsi="仿宋" w:eastAsia="仿宋" w:cs="仿宋"/>
                <w:i/>
                <w:iCs/>
                <w:color w:val="000000"/>
                <w:u w:val="single"/>
                <w:lang w:val="en-US" w:eastAsia="zh-CN"/>
              </w:rPr>
            </w:pPr>
            <w:r>
              <w:rPr>
                <w:rFonts w:hint="eastAsia" w:ascii="仿宋" w:hAnsi="仿宋" w:eastAsia="仿宋" w:cs="仿宋"/>
                <w:i/>
                <w:iCs/>
                <w:color w:val="000000"/>
                <w:u w:val="single"/>
                <w:lang w:val="en-US" w:eastAsia="zh-CN"/>
              </w:rPr>
              <w:t>故障响应时间</w:t>
            </w:r>
          </w:p>
        </w:tc>
        <w:tc>
          <w:tcPr>
            <w:tcW w:w="2913" w:type="pct"/>
            <w:tcBorders>
              <w:top w:val="single" w:color="auto" w:sz="4" w:space="0"/>
              <w:left w:val="single" w:color="auto" w:sz="4" w:space="0"/>
              <w:bottom w:val="single" w:color="auto" w:sz="4" w:space="0"/>
              <w:right w:val="single" w:color="auto" w:sz="4" w:space="0"/>
            </w:tcBorders>
            <w:vAlign w:val="center"/>
          </w:tcPr>
          <w:p w14:paraId="57A06724">
            <w:pPr>
              <w:spacing w:line="360" w:lineRule="auto"/>
              <w:jc w:val="left"/>
              <w:rPr>
                <w:rFonts w:hint="eastAsia" w:ascii="仿宋" w:hAnsi="仿宋" w:eastAsia="仿宋" w:cs="仿宋"/>
                <w:i/>
                <w:iCs/>
                <w:color w:val="000000"/>
                <w:szCs w:val="24"/>
                <w:u w:val="single"/>
              </w:rPr>
            </w:pPr>
            <w:r>
              <w:rPr>
                <w:rFonts w:hint="eastAsia" w:ascii="仿宋" w:hAnsi="仿宋" w:eastAsia="仿宋" w:cs="仿宋"/>
                <w:i/>
                <w:iCs/>
                <w:color w:val="000000"/>
                <w:sz w:val="24"/>
                <w:szCs w:val="24"/>
                <w:u w:val="single"/>
              </w:rPr>
              <w:t>设备发生故障应在2小时内予以响应，8小时内修复，因特殊零配件原因48小时内修复，并持续协助故障的最终解答或解决。</w:t>
            </w:r>
          </w:p>
        </w:tc>
        <w:tc>
          <w:tcPr>
            <w:tcW w:w="1446" w:type="pct"/>
            <w:tcBorders>
              <w:top w:val="single" w:color="auto" w:sz="4" w:space="0"/>
              <w:left w:val="single" w:color="auto" w:sz="4" w:space="0"/>
              <w:bottom w:val="single" w:color="auto" w:sz="4" w:space="0"/>
              <w:right w:val="single" w:color="auto" w:sz="4" w:space="0"/>
            </w:tcBorders>
            <w:vAlign w:val="center"/>
          </w:tcPr>
          <w:p w14:paraId="0D7BD351">
            <w:pPr>
              <w:spacing w:line="360" w:lineRule="auto"/>
              <w:rPr>
                <w:rFonts w:hint="default" w:ascii="仿宋" w:hAnsi="仿宋" w:eastAsia="仿宋" w:cs="仿宋"/>
                <w:i/>
                <w:iCs/>
                <w:color w:val="000000"/>
                <w:szCs w:val="24"/>
                <w:u w:val="single"/>
                <w:lang w:val="en-US" w:eastAsia="zh-CN"/>
              </w:rPr>
            </w:pPr>
            <w:r>
              <w:rPr>
                <w:rFonts w:hint="eastAsia" w:ascii="仿宋" w:hAnsi="仿宋" w:eastAsia="仿宋" w:cs="仿宋"/>
                <w:i/>
                <w:iCs/>
                <w:color w:val="000000"/>
                <w:szCs w:val="24"/>
                <w:u w:val="single"/>
                <w:lang w:val="en-US" w:eastAsia="zh-CN"/>
              </w:rPr>
              <w:t>每次扣5分</w:t>
            </w:r>
          </w:p>
        </w:tc>
      </w:tr>
      <w:tr w14:paraId="0A5F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vMerge w:val="restart"/>
            <w:tcBorders>
              <w:top w:val="nil"/>
              <w:left w:val="single" w:color="auto" w:sz="4" w:space="0"/>
              <w:bottom w:val="single" w:color="auto" w:sz="4" w:space="0"/>
              <w:right w:val="single" w:color="auto" w:sz="4" w:space="0"/>
            </w:tcBorders>
            <w:vAlign w:val="center"/>
          </w:tcPr>
          <w:p w14:paraId="187D879D">
            <w:pPr>
              <w:spacing w:line="360" w:lineRule="auto"/>
              <w:jc w:val="center"/>
              <w:rPr>
                <w:rFonts w:hint="eastAsia" w:ascii="仿宋" w:hAnsi="仿宋" w:eastAsia="仿宋" w:cs="仿宋"/>
                <w:i/>
                <w:iCs/>
                <w:szCs w:val="24"/>
                <w:u w:val="single"/>
              </w:rPr>
            </w:pPr>
            <w:r>
              <w:rPr>
                <w:rFonts w:hint="eastAsia" w:ascii="仿宋" w:hAnsi="仿宋" w:eastAsia="仿宋" w:cs="仿宋"/>
                <w:i/>
                <w:iCs/>
                <w:color w:val="000000"/>
                <w:szCs w:val="24"/>
                <w:u w:val="single"/>
              </w:rPr>
              <w:t>满意度调查</w:t>
            </w:r>
          </w:p>
        </w:tc>
        <w:tc>
          <w:tcPr>
            <w:tcW w:w="2913" w:type="pct"/>
            <w:tcBorders>
              <w:top w:val="single" w:color="auto" w:sz="4" w:space="0"/>
              <w:left w:val="single" w:color="auto" w:sz="4" w:space="0"/>
              <w:bottom w:val="single" w:color="auto" w:sz="4" w:space="0"/>
              <w:right w:val="single" w:color="auto" w:sz="4" w:space="0"/>
            </w:tcBorders>
            <w:vAlign w:val="center"/>
          </w:tcPr>
          <w:p w14:paraId="43CC6A63">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1、每个季度进行满意度调查，并统计存档</w:t>
            </w:r>
          </w:p>
        </w:tc>
        <w:tc>
          <w:tcPr>
            <w:tcW w:w="1446" w:type="pct"/>
            <w:tcBorders>
              <w:top w:val="single" w:color="auto" w:sz="4" w:space="0"/>
              <w:left w:val="single" w:color="auto" w:sz="4" w:space="0"/>
              <w:bottom w:val="single" w:color="auto" w:sz="4" w:space="0"/>
              <w:right w:val="single" w:color="auto" w:sz="4" w:space="0"/>
            </w:tcBorders>
            <w:vAlign w:val="center"/>
          </w:tcPr>
          <w:p w14:paraId="5ABAF00C">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每次扣2分</w:t>
            </w:r>
          </w:p>
        </w:tc>
      </w:tr>
      <w:tr w14:paraId="5120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vMerge w:val="continue"/>
            <w:tcBorders>
              <w:top w:val="nil"/>
              <w:left w:val="single" w:color="auto" w:sz="4" w:space="0"/>
              <w:bottom w:val="single" w:color="auto" w:sz="4" w:space="0"/>
              <w:right w:val="single" w:color="auto" w:sz="4" w:space="0"/>
            </w:tcBorders>
            <w:vAlign w:val="center"/>
          </w:tcPr>
          <w:p w14:paraId="06603464">
            <w:pPr>
              <w:spacing w:line="360" w:lineRule="auto"/>
              <w:rPr>
                <w:rFonts w:hint="eastAsia" w:ascii="仿宋" w:hAnsi="仿宋" w:eastAsia="仿宋" w:cs="仿宋"/>
                <w:i/>
                <w:iCs/>
                <w:szCs w:val="24"/>
                <w:u w:val="single"/>
              </w:rPr>
            </w:pPr>
          </w:p>
        </w:tc>
        <w:tc>
          <w:tcPr>
            <w:tcW w:w="2913" w:type="pct"/>
            <w:tcBorders>
              <w:top w:val="single" w:color="auto" w:sz="4" w:space="0"/>
              <w:left w:val="single" w:color="auto" w:sz="4" w:space="0"/>
              <w:bottom w:val="single" w:color="auto" w:sz="4" w:space="0"/>
              <w:right w:val="single" w:color="auto" w:sz="4" w:space="0"/>
            </w:tcBorders>
            <w:vAlign w:val="center"/>
          </w:tcPr>
          <w:p w14:paraId="77506957">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2、年度服务满意度达80%以上</w:t>
            </w:r>
          </w:p>
        </w:tc>
        <w:tc>
          <w:tcPr>
            <w:tcW w:w="1446" w:type="pct"/>
            <w:tcBorders>
              <w:top w:val="single" w:color="auto" w:sz="4" w:space="0"/>
              <w:left w:val="single" w:color="auto" w:sz="4" w:space="0"/>
              <w:bottom w:val="single" w:color="auto" w:sz="4" w:space="0"/>
              <w:right w:val="single" w:color="auto" w:sz="4" w:space="0"/>
            </w:tcBorders>
            <w:vAlign w:val="center"/>
          </w:tcPr>
          <w:p w14:paraId="190813B6">
            <w:pPr>
              <w:spacing w:line="360" w:lineRule="auto"/>
              <w:rPr>
                <w:rFonts w:hint="eastAsia" w:ascii="仿宋" w:hAnsi="仿宋" w:eastAsia="仿宋" w:cs="仿宋"/>
                <w:i/>
                <w:iCs/>
                <w:szCs w:val="24"/>
                <w:u w:val="single"/>
              </w:rPr>
            </w:pPr>
            <w:r>
              <w:rPr>
                <w:rFonts w:hint="eastAsia" w:ascii="仿宋" w:hAnsi="仿宋" w:eastAsia="仿宋" w:cs="仿宋"/>
                <w:i/>
                <w:iCs/>
                <w:color w:val="000000"/>
                <w:szCs w:val="24"/>
                <w:u w:val="single"/>
              </w:rPr>
              <w:t>低于80%，扣5分</w:t>
            </w:r>
          </w:p>
        </w:tc>
      </w:tr>
    </w:tbl>
    <w:p w14:paraId="2E6C0B22">
      <w:pPr>
        <w:spacing w:line="360" w:lineRule="auto"/>
        <w:ind w:firstLine="422"/>
        <w:rPr>
          <w:rFonts w:hint="eastAsia" w:ascii="仿宋" w:hAnsi="仿宋" w:eastAsia="仿宋" w:cs="仿宋"/>
          <w:b/>
          <w:bCs/>
          <w:i/>
          <w:iCs/>
          <w:u w:val="single"/>
        </w:rPr>
      </w:pPr>
      <w:r>
        <w:rPr>
          <w:rFonts w:hint="eastAsia" w:ascii="仿宋" w:hAnsi="仿宋" w:eastAsia="仿宋" w:cs="仿宋"/>
          <w:b/>
          <w:bCs/>
          <w:i/>
          <w:iCs/>
          <w:u w:val="single"/>
        </w:rPr>
        <w:t>6.</w:t>
      </w:r>
      <w:r>
        <w:rPr>
          <w:rFonts w:hint="eastAsia" w:ascii="仿宋" w:hAnsi="仿宋" w:eastAsia="仿宋" w:cs="仿宋"/>
          <w:b/>
          <w:bCs/>
          <w:i/>
          <w:iCs/>
          <w:u w:val="single"/>
          <w:lang w:val="en-US" w:eastAsia="zh-CN"/>
        </w:rPr>
        <w:t>4</w:t>
      </w:r>
      <w:r>
        <w:rPr>
          <w:rFonts w:hint="eastAsia" w:ascii="仿宋" w:hAnsi="仿宋" w:eastAsia="仿宋" w:cs="仿宋"/>
          <w:b/>
          <w:bCs/>
          <w:i/>
          <w:iCs/>
          <w:u w:val="single"/>
        </w:rPr>
        <w:t xml:space="preserve"> 付款方式及费用调整</w:t>
      </w:r>
    </w:p>
    <w:p w14:paraId="04441E8E">
      <w:pPr>
        <w:spacing w:line="360" w:lineRule="auto"/>
        <w:ind w:firstLine="422"/>
        <w:rPr>
          <w:rFonts w:hint="eastAsia" w:ascii="仿宋" w:hAnsi="仿宋" w:eastAsia="仿宋" w:cs="仿宋"/>
          <w:b/>
          <w:bCs/>
          <w:i/>
          <w:iCs/>
          <w:u w:val="single"/>
        </w:rPr>
      </w:pPr>
      <w:r>
        <w:rPr>
          <w:rFonts w:hint="eastAsia" w:ascii="仿宋" w:hAnsi="仿宋" w:eastAsia="仿宋" w:cs="仿宋"/>
          <w:b/>
          <w:bCs/>
          <w:i/>
          <w:iCs/>
          <w:u w:val="single"/>
        </w:rPr>
        <w:t>6.</w:t>
      </w:r>
      <w:r>
        <w:rPr>
          <w:rFonts w:hint="eastAsia" w:ascii="仿宋" w:hAnsi="仿宋" w:eastAsia="仿宋" w:cs="仿宋"/>
          <w:b/>
          <w:bCs/>
          <w:i/>
          <w:iCs/>
          <w:u w:val="single"/>
          <w:lang w:val="en-US" w:eastAsia="zh-CN"/>
        </w:rPr>
        <w:t>4</w:t>
      </w:r>
      <w:r>
        <w:rPr>
          <w:rFonts w:hint="eastAsia" w:ascii="仿宋" w:hAnsi="仿宋" w:eastAsia="仿宋" w:cs="仿宋"/>
          <w:b/>
          <w:bCs/>
          <w:i/>
          <w:iCs/>
          <w:u w:val="single"/>
        </w:rPr>
        <w:t>.1托管基准</w:t>
      </w:r>
    </w:p>
    <w:p w14:paraId="079F0580">
      <w:pPr>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本项目能源托管费用包含电费、水费、蒸汽费在内的能源费用,以及综合能源服务费用，能源托管费用以中标价为准。</w:t>
      </w:r>
    </w:p>
    <w:p w14:paraId="60E7416F">
      <w:pPr>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投标人能源报价（电、蒸汽、水）不能超过下表各部分的最高限量计算的限价。</w:t>
      </w:r>
    </w:p>
    <w:p w14:paraId="2A7B8AA4">
      <w:pPr>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第一至第十个托管周期能源基准（最高限量）</w:t>
      </w:r>
    </w:p>
    <w:tbl>
      <w:tblPr>
        <w:tblStyle w:val="39"/>
        <w:tblW w:w="5098" w:type="pct"/>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83"/>
        <w:gridCol w:w="2240"/>
        <w:gridCol w:w="2171"/>
        <w:gridCol w:w="2044"/>
      </w:tblGrid>
      <w:tr w14:paraId="2969E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trPr>
        <w:tc>
          <w:tcPr>
            <w:tcW w:w="1506" w:type="pct"/>
            <w:vMerge w:val="restart"/>
            <w:tcBorders>
              <w:top w:val="single" w:color="auto" w:sz="4" w:space="0"/>
              <w:left w:val="single" w:color="auto" w:sz="4" w:space="0"/>
              <w:bottom w:val="single" w:color="auto" w:sz="4" w:space="0"/>
              <w:right w:val="single" w:color="auto" w:sz="4" w:space="0"/>
            </w:tcBorders>
            <w:vAlign w:val="center"/>
          </w:tcPr>
          <w:p w14:paraId="20A85E9C">
            <w:pPr>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托管周期</w:t>
            </w:r>
          </w:p>
        </w:tc>
        <w:tc>
          <w:tcPr>
            <w:tcW w:w="3493" w:type="pct"/>
            <w:gridSpan w:val="3"/>
            <w:tcBorders>
              <w:top w:val="single" w:color="auto" w:sz="4" w:space="0"/>
              <w:left w:val="single" w:color="auto" w:sz="4" w:space="0"/>
              <w:bottom w:val="single" w:color="auto" w:sz="4" w:space="0"/>
              <w:right w:val="single" w:color="auto" w:sz="4" w:space="0"/>
            </w:tcBorders>
            <w:vAlign w:val="center"/>
          </w:tcPr>
          <w:p w14:paraId="3186AA99">
            <w:pPr>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能源基准</w:t>
            </w:r>
          </w:p>
        </w:tc>
      </w:tr>
      <w:tr w14:paraId="5142B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5" w:hRule="atLeast"/>
        </w:trPr>
        <w:tc>
          <w:tcPr>
            <w:tcW w:w="1506" w:type="pct"/>
            <w:vMerge w:val="continue"/>
            <w:tcBorders>
              <w:top w:val="single" w:color="auto" w:sz="4" w:space="0"/>
              <w:left w:val="single" w:color="auto" w:sz="4" w:space="0"/>
              <w:bottom w:val="single" w:color="auto" w:sz="4" w:space="0"/>
              <w:right w:val="single" w:color="auto" w:sz="4" w:space="0"/>
            </w:tcBorders>
            <w:vAlign w:val="center"/>
          </w:tcPr>
          <w:p w14:paraId="32062AA8">
            <w:pPr>
              <w:spacing w:line="360" w:lineRule="auto"/>
              <w:rPr>
                <w:rFonts w:hint="eastAsia" w:ascii="仿宋" w:hAnsi="仿宋" w:eastAsia="仿宋" w:cs="仿宋"/>
                <w:i/>
                <w:iCs/>
                <w:color w:val="000000" w:themeColor="text1"/>
                <w:sz w:val="24"/>
                <w:szCs w:val="24"/>
                <w:u w:val="single"/>
                <w14:textFill>
                  <w14:solidFill>
                    <w14:schemeClr w14:val="tx1"/>
                  </w14:solidFill>
                </w14:textFill>
              </w:rPr>
            </w:pPr>
          </w:p>
        </w:tc>
        <w:tc>
          <w:tcPr>
            <w:tcW w:w="1212" w:type="pct"/>
            <w:tcBorders>
              <w:top w:val="single" w:color="auto" w:sz="4" w:space="0"/>
              <w:left w:val="single" w:color="auto" w:sz="4" w:space="0"/>
              <w:bottom w:val="single" w:color="auto" w:sz="4" w:space="0"/>
              <w:right w:val="single" w:color="auto" w:sz="4" w:space="0"/>
            </w:tcBorders>
            <w:vAlign w:val="center"/>
          </w:tcPr>
          <w:p w14:paraId="42CDEEBB">
            <w:pPr>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基准用电量</w:t>
            </w:r>
          </w:p>
          <w:p w14:paraId="75FC1EF4">
            <w:pPr>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（kWh）</w:t>
            </w:r>
          </w:p>
        </w:tc>
        <w:tc>
          <w:tcPr>
            <w:tcW w:w="1175" w:type="pct"/>
            <w:tcBorders>
              <w:top w:val="single" w:color="auto" w:sz="4" w:space="0"/>
              <w:left w:val="single" w:color="auto" w:sz="4" w:space="0"/>
              <w:bottom w:val="single" w:color="auto" w:sz="4" w:space="0"/>
              <w:right w:val="single" w:color="auto" w:sz="4" w:space="0"/>
            </w:tcBorders>
            <w:vAlign w:val="center"/>
          </w:tcPr>
          <w:p w14:paraId="4DDB3037">
            <w:pPr>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基准用汽量</w:t>
            </w:r>
          </w:p>
          <w:p w14:paraId="6E32EC0C">
            <w:pPr>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（t）</w:t>
            </w:r>
          </w:p>
        </w:tc>
        <w:tc>
          <w:tcPr>
            <w:tcW w:w="1104" w:type="pct"/>
            <w:tcBorders>
              <w:top w:val="single" w:color="auto" w:sz="4" w:space="0"/>
              <w:left w:val="single" w:color="auto" w:sz="4" w:space="0"/>
              <w:bottom w:val="single" w:color="auto" w:sz="4" w:space="0"/>
              <w:right w:val="single" w:color="auto" w:sz="4" w:space="0"/>
            </w:tcBorders>
            <w:vAlign w:val="center"/>
          </w:tcPr>
          <w:p w14:paraId="045FFC02">
            <w:pPr>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基准用水量</w:t>
            </w:r>
          </w:p>
          <w:p w14:paraId="6062276B">
            <w:pPr>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（m³）</w:t>
            </w:r>
          </w:p>
        </w:tc>
      </w:tr>
      <w:tr w14:paraId="7780F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506" w:type="pct"/>
            <w:tcBorders>
              <w:top w:val="single" w:color="auto" w:sz="4" w:space="0"/>
              <w:left w:val="single" w:color="auto" w:sz="4" w:space="0"/>
              <w:bottom w:val="single" w:color="auto" w:sz="4" w:space="0"/>
              <w:right w:val="single" w:color="auto" w:sz="4" w:space="0"/>
            </w:tcBorders>
            <w:vAlign w:val="center"/>
          </w:tcPr>
          <w:p w14:paraId="4D9C19E7">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基期能源基准</w:t>
            </w:r>
          </w:p>
        </w:tc>
        <w:tc>
          <w:tcPr>
            <w:tcW w:w="1212" w:type="pct"/>
            <w:tcBorders>
              <w:top w:val="single" w:color="auto" w:sz="4" w:space="0"/>
              <w:left w:val="single" w:color="auto" w:sz="4" w:space="0"/>
              <w:bottom w:val="single" w:color="auto" w:sz="4" w:space="0"/>
              <w:right w:val="single" w:color="auto" w:sz="4" w:space="0"/>
            </w:tcBorders>
            <w:vAlign w:val="center"/>
          </w:tcPr>
          <w:p w14:paraId="20EA8E17">
            <w:pPr>
              <w:widowControl/>
              <w:spacing w:line="360" w:lineRule="auto"/>
              <w:jc w:val="center"/>
              <w:rPr>
                <w:rFonts w:hint="eastAsia" w:ascii="仿宋" w:hAnsi="仿宋" w:eastAsia="仿宋" w:cs="仿宋"/>
                <w:i/>
                <w:iCs/>
                <w:color w:val="000000" w:themeColor="text1"/>
                <w:sz w:val="24"/>
                <w:szCs w:val="24"/>
                <w:u w:val="single"/>
                <w:lang w:val="en-US" w:eastAsia="zh-CN"/>
                <w14:textFill>
                  <w14:solidFill>
                    <w14:schemeClr w14:val="tx1"/>
                  </w14:solidFill>
                </w14:textFill>
              </w:rPr>
            </w:pPr>
            <w:r>
              <w:rPr>
                <w:rFonts w:hint="eastAsia" w:ascii="仿宋" w:hAnsi="仿宋" w:eastAsia="仿宋" w:cs="仿宋"/>
                <w:i/>
                <w:iCs/>
                <w:color w:val="000000" w:themeColor="text1"/>
                <w:sz w:val="24"/>
                <w:szCs w:val="24"/>
                <w:u w:val="single"/>
                <w:lang w:val="en-US" w:eastAsia="zh-CN"/>
                <w14:textFill>
                  <w14:solidFill>
                    <w14:schemeClr w14:val="tx1"/>
                  </w14:solidFill>
                </w14:textFill>
              </w:rPr>
              <w:t>6205813</w:t>
            </w:r>
          </w:p>
        </w:tc>
        <w:tc>
          <w:tcPr>
            <w:tcW w:w="1175" w:type="pct"/>
            <w:tcBorders>
              <w:top w:val="single" w:color="auto" w:sz="4" w:space="0"/>
              <w:left w:val="single" w:color="auto" w:sz="4" w:space="0"/>
              <w:bottom w:val="single" w:color="auto" w:sz="4" w:space="0"/>
              <w:right w:val="single" w:color="auto" w:sz="4" w:space="0"/>
            </w:tcBorders>
            <w:vAlign w:val="center"/>
          </w:tcPr>
          <w:p w14:paraId="41FF9AE7">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4881.7</w:t>
            </w:r>
          </w:p>
        </w:tc>
        <w:tc>
          <w:tcPr>
            <w:tcW w:w="1104" w:type="pct"/>
            <w:tcBorders>
              <w:top w:val="single" w:color="auto" w:sz="4" w:space="0"/>
              <w:left w:val="single" w:color="auto" w:sz="4" w:space="0"/>
              <w:bottom w:val="single" w:color="auto" w:sz="4" w:space="0"/>
              <w:right w:val="single" w:color="auto" w:sz="4" w:space="0"/>
            </w:tcBorders>
            <w:vAlign w:val="center"/>
          </w:tcPr>
          <w:p w14:paraId="740F7698">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 xml:space="preserve">151221 </w:t>
            </w:r>
          </w:p>
        </w:tc>
      </w:tr>
      <w:tr w14:paraId="362E3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506" w:type="pct"/>
            <w:tcBorders>
              <w:top w:val="single" w:color="auto" w:sz="4" w:space="0"/>
              <w:left w:val="single" w:color="auto" w:sz="4" w:space="0"/>
              <w:bottom w:val="single" w:color="auto" w:sz="4" w:space="0"/>
              <w:right w:val="single" w:color="auto" w:sz="4" w:space="0"/>
            </w:tcBorders>
            <w:vAlign w:val="center"/>
          </w:tcPr>
          <w:p w14:paraId="3A6FBBFE">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第一个托管周期</w:t>
            </w:r>
          </w:p>
        </w:tc>
        <w:tc>
          <w:tcPr>
            <w:tcW w:w="1212" w:type="pct"/>
            <w:tcBorders>
              <w:top w:val="single" w:color="auto" w:sz="4" w:space="0"/>
              <w:left w:val="single" w:color="auto" w:sz="4" w:space="0"/>
              <w:bottom w:val="single" w:color="auto" w:sz="4" w:space="0"/>
              <w:right w:val="single" w:color="auto" w:sz="4" w:space="0"/>
            </w:tcBorders>
            <w:vAlign w:val="center"/>
          </w:tcPr>
          <w:p w14:paraId="3888E720">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lang w:val="en-US" w:eastAsia="zh-CN"/>
                <w14:textFill>
                  <w14:solidFill>
                    <w14:schemeClr w14:val="tx1"/>
                  </w14:solidFill>
                </w14:textFill>
              </w:rPr>
              <w:t>6205813</w:t>
            </w:r>
          </w:p>
        </w:tc>
        <w:tc>
          <w:tcPr>
            <w:tcW w:w="1175" w:type="pct"/>
            <w:tcBorders>
              <w:top w:val="single" w:color="auto" w:sz="4" w:space="0"/>
              <w:left w:val="single" w:color="auto" w:sz="4" w:space="0"/>
              <w:bottom w:val="single" w:color="auto" w:sz="4" w:space="0"/>
              <w:right w:val="single" w:color="auto" w:sz="4" w:space="0"/>
            </w:tcBorders>
            <w:vAlign w:val="center"/>
          </w:tcPr>
          <w:p w14:paraId="559015F4">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4881.7</w:t>
            </w:r>
          </w:p>
        </w:tc>
        <w:tc>
          <w:tcPr>
            <w:tcW w:w="1104" w:type="pct"/>
            <w:tcBorders>
              <w:top w:val="single" w:color="auto" w:sz="4" w:space="0"/>
              <w:left w:val="single" w:color="auto" w:sz="4" w:space="0"/>
              <w:bottom w:val="single" w:color="auto" w:sz="4" w:space="0"/>
              <w:right w:val="single" w:color="auto" w:sz="4" w:space="0"/>
            </w:tcBorders>
            <w:vAlign w:val="center"/>
          </w:tcPr>
          <w:p w14:paraId="12ACF026">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 xml:space="preserve">151221 </w:t>
            </w:r>
          </w:p>
        </w:tc>
      </w:tr>
      <w:tr w14:paraId="55312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506" w:type="pct"/>
            <w:tcBorders>
              <w:top w:val="single" w:color="auto" w:sz="4" w:space="0"/>
              <w:left w:val="single" w:color="auto" w:sz="4" w:space="0"/>
              <w:bottom w:val="single" w:color="auto" w:sz="4" w:space="0"/>
              <w:right w:val="single" w:color="auto" w:sz="4" w:space="0"/>
            </w:tcBorders>
            <w:vAlign w:val="center"/>
          </w:tcPr>
          <w:p w14:paraId="0834BD40">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第二个托管周期</w:t>
            </w:r>
          </w:p>
        </w:tc>
        <w:tc>
          <w:tcPr>
            <w:tcW w:w="1212" w:type="pct"/>
            <w:tcBorders>
              <w:top w:val="single" w:color="auto" w:sz="4" w:space="0"/>
              <w:left w:val="single" w:color="auto" w:sz="4" w:space="0"/>
              <w:bottom w:val="single" w:color="auto" w:sz="4" w:space="0"/>
              <w:right w:val="single" w:color="auto" w:sz="4" w:space="0"/>
            </w:tcBorders>
            <w:vAlign w:val="center"/>
          </w:tcPr>
          <w:p w14:paraId="455673DC">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lang w:val="en-US" w:eastAsia="zh-CN"/>
                <w14:textFill>
                  <w14:solidFill>
                    <w14:schemeClr w14:val="tx1"/>
                  </w14:solidFill>
                </w14:textFill>
              </w:rPr>
              <w:t>6205813</w:t>
            </w:r>
          </w:p>
        </w:tc>
        <w:tc>
          <w:tcPr>
            <w:tcW w:w="1175" w:type="pct"/>
            <w:tcBorders>
              <w:top w:val="single" w:color="auto" w:sz="4" w:space="0"/>
              <w:left w:val="single" w:color="auto" w:sz="4" w:space="0"/>
              <w:bottom w:val="single" w:color="auto" w:sz="4" w:space="0"/>
              <w:right w:val="single" w:color="auto" w:sz="4" w:space="0"/>
            </w:tcBorders>
            <w:vAlign w:val="center"/>
          </w:tcPr>
          <w:p w14:paraId="178D5FF3">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4881.7</w:t>
            </w:r>
          </w:p>
        </w:tc>
        <w:tc>
          <w:tcPr>
            <w:tcW w:w="1104" w:type="pct"/>
            <w:tcBorders>
              <w:top w:val="single" w:color="auto" w:sz="4" w:space="0"/>
              <w:left w:val="single" w:color="auto" w:sz="4" w:space="0"/>
              <w:bottom w:val="single" w:color="auto" w:sz="4" w:space="0"/>
              <w:right w:val="single" w:color="auto" w:sz="4" w:space="0"/>
            </w:tcBorders>
            <w:vAlign w:val="center"/>
          </w:tcPr>
          <w:p w14:paraId="7687072B">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 xml:space="preserve">151221 </w:t>
            </w:r>
          </w:p>
        </w:tc>
      </w:tr>
      <w:tr w14:paraId="5897D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506" w:type="pct"/>
            <w:tcBorders>
              <w:top w:val="single" w:color="auto" w:sz="4" w:space="0"/>
              <w:left w:val="single" w:color="auto" w:sz="4" w:space="0"/>
              <w:bottom w:val="single" w:color="auto" w:sz="4" w:space="0"/>
              <w:right w:val="single" w:color="auto" w:sz="4" w:space="0"/>
            </w:tcBorders>
            <w:vAlign w:val="center"/>
          </w:tcPr>
          <w:p w14:paraId="00C3B669">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第三个托管周期</w:t>
            </w:r>
          </w:p>
        </w:tc>
        <w:tc>
          <w:tcPr>
            <w:tcW w:w="1212" w:type="pct"/>
            <w:tcBorders>
              <w:top w:val="single" w:color="auto" w:sz="4" w:space="0"/>
              <w:left w:val="single" w:color="auto" w:sz="4" w:space="0"/>
              <w:bottom w:val="single" w:color="auto" w:sz="4" w:space="0"/>
              <w:right w:val="single" w:color="auto" w:sz="4" w:space="0"/>
            </w:tcBorders>
            <w:vAlign w:val="center"/>
          </w:tcPr>
          <w:p w14:paraId="05D37BDB">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lang w:val="en-US" w:eastAsia="zh-CN"/>
                <w14:textFill>
                  <w14:solidFill>
                    <w14:schemeClr w14:val="tx1"/>
                  </w14:solidFill>
                </w14:textFill>
              </w:rPr>
              <w:t>6205813</w:t>
            </w:r>
          </w:p>
        </w:tc>
        <w:tc>
          <w:tcPr>
            <w:tcW w:w="1175" w:type="pct"/>
            <w:tcBorders>
              <w:top w:val="single" w:color="auto" w:sz="4" w:space="0"/>
              <w:left w:val="single" w:color="auto" w:sz="4" w:space="0"/>
              <w:bottom w:val="single" w:color="auto" w:sz="4" w:space="0"/>
              <w:right w:val="single" w:color="auto" w:sz="4" w:space="0"/>
            </w:tcBorders>
            <w:vAlign w:val="center"/>
          </w:tcPr>
          <w:p w14:paraId="2C1FFEA5">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4881.7</w:t>
            </w:r>
          </w:p>
        </w:tc>
        <w:tc>
          <w:tcPr>
            <w:tcW w:w="1104" w:type="pct"/>
            <w:tcBorders>
              <w:top w:val="single" w:color="auto" w:sz="4" w:space="0"/>
              <w:left w:val="single" w:color="auto" w:sz="4" w:space="0"/>
              <w:bottom w:val="single" w:color="auto" w:sz="4" w:space="0"/>
              <w:right w:val="single" w:color="auto" w:sz="4" w:space="0"/>
            </w:tcBorders>
            <w:vAlign w:val="center"/>
          </w:tcPr>
          <w:p w14:paraId="2F34307E">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 xml:space="preserve">151221 </w:t>
            </w:r>
          </w:p>
        </w:tc>
      </w:tr>
      <w:tr w14:paraId="436DD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506" w:type="pct"/>
            <w:tcBorders>
              <w:top w:val="single" w:color="auto" w:sz="4" w:space="0"/>
              <w:left w:val="single" w:color="auto" w:sz="4" w:space="0"/>
              <w:bottom w:val="single" w:color="auto" w:sz="4" w:space="0"/>
              <w:right w:val="single" w:color="auto" w:sz="4" w:space="0"/>
            </w:tcBorders>
            <w:vAlign w:val="center"/>
          </w:tcPr>
          <w:p w14:paraId="07CA48D6">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第四个托管周期</w:t>
            </w:r>
          </w:p>
        </w:tc>
        <w:tc>
          <w:tcPr>
            <w:tcW w:w="1212" w:type="pct"/>
            <w:tcBorders>
              <w:top w:val="single" w:color="auto" w:sz="4" w:space="0"/>
              <w:left w:val="single" w:color="auto" w:sz="4" w:space="0"/>
              <w:bottom w:val="single" w:color="auto" w:sz="4" w:space="0"/>
              <w:right w:val="single" w:color="auto" w:sz="4" w:space="0"/>
            </w:tcBorders>
            <w:vAlign w:val="center"/>
          </w:tcPr>
          <w:p w14:paraId="13E7BA4B">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lang w:val="en-US" w:eastAsia="zh-CN"/>
                <w14:textFill>
                  <w14:solidFill>
                    <w14:schemeClr w14:val="tx1"/>
                  </w14:solidFill>
                </w14:textFill>
              </w:rPr>
              <w:t>6205813</w:t>
            </w:r>
          </w:p>
        </w:tc>
        <w:tc>
          <w:tcPr>
            <w:tcW w:w="1175" w:type="pct"/>
            <w:tcBorders>
              <w:top w:val="single" w:color="auto" w:sz="4" w:space="0"/>
              <w:left w:val="single" w:color="auto" w:sz="4" w:space="0"/>
              <w:bottom w:val="single" w:color="auto" w:sz="4" w:space="0"/>
              <w:right w:val="single" w:color="auto" w:sz="4" w:space="0"/>
            </w:tcBorders>
            <w:vAlign w:val="center"/>
          </w:tcPr>
          <w:p w14:paraId="45CB482C">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4881.7</w:t>
            </w:r>
          </w:p>
        </w:tc>
        <w:tc>
          <w:tcPr>
            <w:tcW w:w="1104" w:type="pct"/>
            <w:tcBorders>
              <w:top w:val="single" w:color="auto" w:sz="4" w:space="0"/>
              <w:left w:val="single" w:color="auto" w:sz="4" w:space="0"/>
              <w:bottom w:val="single" w:color="auto" w:sz="4" w:space="0"/>
              <w:right w:val="single" w:color="auto" w:sz="4" w:space="0"/>
            </w:tcBorders>
            <w:vAlign w:val="center"/>
          </w:tcPr>
          <w:p w14:paraId="7181670C">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 xml:space="preserve">151221 </w:t>
            </w:r>
          </w:p>
        </w:tc>
      </w:tr>
      <w:tr w14:paraId="048B0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506" w:type="pct"/>
            <w:tcBorders>
              <w:top w:val="single" w:color="auto" w:sz="4" w:space="0"/>
              <w:left w:val="single" w:color="auto" w:sz="4" w:space="0"/>
              <w:bottom w:val="single" w:color="auto" w:sz="4" w:space="0"/>
              <w:right w:val="single" w:color="auto" w:sz="4" w:space="0"/>
            </w:tcBorders>
            <w:vAlign w:val="center"/>
          </w:tcPr>
          <w:p w14:paraId="4BAFEC19">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第五个托管周期</w:t>
            </w:r>
          </w:p>
        </w:tc>
        <w:tc>
          <w:tcPr>
            <w:tcW w:w="1212" w:type="pct"/>
            <w:tcBorders>
              <w:top w:val="single" w:color="auto" w:sz="4" w:space="0"/>
              <w:left w:val="single" w:color="auto" w:sz="4" w:space="0"/>
              <w:bottom w:val="single" w:color="auto" w:sz="4" w:space="0"/>
              <w:right w:val="single" w:color="auto" w:sz="4" w:space="0"/>
            </w:tcBorders>
            <w:vAlign w:val="center"/>
          </w:tcPr>
          <w:p w14:paraId="47992E8D">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lang w:val="en-US" w:eastAsia="zh-CN"/>
                <w14:textFill>
                  <w14:solidFill>
                    <w14:schemeClr w14:val="tx1"/>
                  </w14:solidFill>
                </w14:textFill>
              </w:rPr>
              <w:t>6205813</w:t>
            </w:r>
          </w:p>
        </w:tc>
        <w:tc>
          <w:tcPr>
            <w:tcW w:w="1175" w:type="pct"/>
            <w:tcBorders>
              <w:top w:val="single" w:color="auto" w:sz="4" w:space="0"/>
              <w:left w:val="single" w:color="auto" w:sz="4" w:space="0"/>
              <w:bottom w:val="single" w:color="auto" w:sz="4" w:space="0"/>
              <w:right w:val="single" w:color="auto" w:sz="4" w:space="0"/>
            </w:tcBorders>
            <w:vAlign w:val="center"/>
          </w:tcPr>
          <w:p w14:paraId="1FA891E2">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4881.7</w:t>
            </w:r>
          </w:p>
        </w:tc>
        <w:tc>
          <w:tcPr>
            <w:tcW w:w="1104" w:type="pct"/>
            <w:tcBorders>
              <w:top w:val="single" w:color="auto" w:sz="4" w:space="0"/>
              <w:left w:val="single" w:color="auto" w:sz="4" w:space="0"/>
              <w:bottom w:val="single" w:color="auto" w:sz="4" w:space="0"/>
              <w:right w:val="single" w:color="auto" w:sz="4" w:space="0"/>
            </w:tcBorders>
            <w:vAlign w:val="center"/>
          </w:tcPr>
          <w:p w14:paraId="247AACF2">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 xml:space="preserve">151221 </w:t>
            </w:r>
          </w:p>
        </w:tc>
      </w:tr>
      <w:tr w14:paraId="18762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506" w:type="pct"/>
            <w:tcBorders>
              <w:top w:val="single" w:color="auto" w:sz="4" w:space="0"/>
              <w:left w:val="single" w:color="auto" w:sz="4" w:space="0"/>
              <w:bottom w:val="single" w:color="auto" w:sz="4" w:space="0"/>
              <w:right w:val="single" w:color="auto" w:sz="4" w:space="0"/>
            </w:tcBorders>
            <w:vAlign w:val="center"/>
          </w:tcPr>
          <w:p w14:paraId="3E79CA81">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第六个托管周期</w:t>
            </w:r>
          </w:p>
        </w:tc>
        <w:tc>
          <w:tcPr>
            <w:tcW w:w="1212" w:type="pct"/>
            <w:tcBorders>
              <w:top w:val="single" w:color="auto" w:sz="4" w:space="0"/>
              <w:left w:val="single" w:color="auto" w:sz="4" w:space="0"/>
              <w:bottom w:val="single" w:color="auto" w:sz="4" w:space="0"/>
              <w:right w:val="single" w:color="auto" w:sz="4" w:space="0"/>
            </w:tcBorders>
            <w:vAlign w:val="center"/>
          </w:tcPr>
          <w:p w14:paraId="29F2CC6F">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lang w:val="en-US" w:eastAsia="zh-CN"/>
                <w14:textFill>
                  <w14:solidFill>
                    <w14:schemeClr w14:val="tx1"/>
                  </w14:solidFill>
                </w14:textFill>
              </w:rPr>
              <w:t>6205813</w:t>
            </w:r>
          </w:p>
        </w:tc>
        <w:tc>
          <w:tcPr>
            <w:tcW w:w="1175" w:type="pct"/>
            <w:tcBorders>
              <w:top w:val="single" w:color="auto" w:sz="4" w:space="0"/>
              <w:left w:val="single" w:color="auto" w:sz="4" w:space="0"/>
              <w:bottom w:val="single" w:color="auto" w:sz="4" w:space="0"/>
              <w:right w:val="single" w:color="auto" w:sz="4" w:space="0"/>
            </w:tcBorders>
            <w:vAlign w:val="center"/>
          </w:tcPr>
          <w:p w14:paraId="35505403">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4881.7</w:t>
            </w:r>
          </w:p>
        </w:tc>
        <w:tc>
          <w:tcPr>
            <w:tcW w:w="1104" w:type="pct"/>
            <w:tcBorders>
              <w:top w:val="single" w:color="auto" w:sz="4" w:space="0"/>
              <w:left w:val="single" w:color="auto" w:sz="4" w:space="0"/>
              <w:bottom w:val="single" w:color="auto" w:sz="4" w:space="0"/>
              <w:right w:val="single" w:color="auto" w:sz="4" w:space="0"/>
            </w:tcBorders>
            <w:vAlign w:val="center"/>
          </w:tcPr>
          <w:p w14:paraId="62BC97BF">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 xml:space="preserve">151221 </w:t>
            </w:r>
          </w:p>
        </w:tc>
      </w:tr>
      <w:tr w14:paraId="18EA9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506" w:type="pct"/>
            <w:tcBorders>
              <w:top w:val="single" w:color="auto" w:sz="4" w:space="0"/>
              <w:left w:val="single" w:color="auto" w:sz="4" w:space="0"/>
              <w:bottom w:val="single" w:color="auto" w:sz="4" w:space="0"/>
              <w:right w:val="single" w:color="auto" w:sz="4" w:space="0"/>
            </w:tcBorders>
            <w:vAlign w:val="center"/>
          </w:tcPr>
          <w:p w14:paraId="2D1C606C">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第七个托管周期</w:t>
            </w:r>
          </w:p>
        </w:tc>
        <w:tc>
          <w:tcPr>
            <w:tcW w:w="1212" w:type="pct"/>
            <w:tcBorders>
              <w:top w:val="single" w:color="auto" w:sz="4" w:space="0"/>
              <w:left w:val="single" w:color="auto" w:sz="4" w:space="0"/>
              <w:bottom w:val="single" w:color="auto" w:sz="4" w:space="0"/>
              <w:right w:val="single" w:color="auto" w:sz="4" w:space="0"/>
            </w:tcBorders>
            <w:vAlign w:val="center"/>
          </w:tcPr>
          <w:p w14:paraId="38E31F58">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lang w:val="en-US" w:eastAsia="zh-CN"/>
                <w14:textFill>
                  <w14:solidFill>
                    <w14:schemeClr w14:val="tx1"/>
                  </w14:solidFill>
                </w14:textFill>
              </w:rPr>
              <w:t>6205813</w:t>
            </w:r>
          </w:p>
        </w:tc>
        <w:tc>
          <w:tcPr>
            <w:tcW w:w="1175" w:type="pct"/>
            <w:tcBorders>
              <w:top w:val="single" w:color="auto" w:sz="4" w:space="0"/>
              <w:left w:val="single" w:color="auto" w:sz="4" w:space="0"/>
              <w:bottom w:val="single" w:color="auto" w:sz="4" w:space="0"/>
              <w:right w:val="single" w:color="auto" w:sz="4" w:space="0"/>
            </w:tcBorders>
            <w:vAlign w:val="center"/>
          </w:tcPr>
          <w:p w14:paraId="605E82C7">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4881.7</w:t>
            </w:r>
          </w:p>
        </w:tc>
        <w:tc>
          <w:tcPr>
            <w:tcW w:w="1104" w:type="pct"/>
            <w:tcBorders>
              <w:top w:val="single" w:color="auto" w:sz="4" w:space="0"/>
              <w:left w:val="single" w:color="auto" w:sz="4" w:space="0"/>
              <w:bottom w:val="single" w:color="auto" w:sz="4" w:space="0"/>
              <w:right w:val="single" w:color="auto" w:sz="4" w:space="0"/>
            </w:tcBorders>
            <w:vAlign w:val="center"/>
          </w:tcPr>
          <w:p w14:paraId="3A5BFBF8">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 xml:space="preserve">151221 </w:t>
            </w:r>
          </w:p>
        </w:tc>
      </w:tr>
      <w:tr w14:paraId="64E31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506" w:type="pct"/>
            <w:tcBorders>
              <w:top w:val="single" w:color="auto" w:sz="4" w:space="0"/>
              <w:left w:val="single" w:color="auto" w:sz="4" w:space="0"/>
              <w:bottom w:val="single" w:color="auto" w:sz="4" w:space="0"/>
              <w:right w:val="single" w:color="auto" w:sz="4" w:space="0"/>
            </w:tcBorders>
            <w:vAlign w:val="center"/>
          </w:tcPr>
          <w:p w14:paraId="31FB6465">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第八个托管周期</w:t>
            </w:r>
          </w:p>
        </w:tc>
        <w:tc>
          <w:tcPr>
            <w:tcW w:w="1212" w:type="pct"/>
            <w:tcBorders>
              <w:top w:val="single" w:color="auto" w:sz="4" w:space="0"/>
              <w:left w:val="single" w:color="auto" w:sz="4" w:space="0"/>
              <w:bottom w:val="single" w:color="auto" w:sz="4" w:space="0"/>
              <w:right w:val="single" w:color="auto" w:sz="4" w:space="0"/>
            </w:tcBorders>
            <w:vAlign w:val="center"/>
          </w:tcPr>
          <w:p w14:paraId="33942CE9">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lang w:val="en-US" w:eastAsia="zh-CN"/>
                <w14:textFill>
                  <w14:solidFill>
                    <w14:schemeClr w14:val="tx1"/>
                  </w14:solidFill>
                </w14:textFill>
              </w:rPr>
              <w:t>6205813</w:t>
            </w:r>
          </w:p>
        </w:tc>
        <w:tc>
          <w:tcPr>
            <w:tcW w:w="1175" w:type="pct"/>
            <w:tcBorders>
              <w:top w:val="single" w:color="auto" w:sz="4" w:space="0"/>
              <w:left w:val="single" w:color="auto" w:sz="4" w:space="0"/>
              <w:bottom w:val="single" w:color="auto" w:sz="4" w:space="0"/>
              <w:right w:val="single" w:color="auto" w:sz="4" w:space="0"/>
            </w:tcBorders>
            <w:vAlign w:val="center"/>
          </w:tcPr>
          <w:p w14:paraId="2C8C5329">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4881.7</w:t>
            </w:r>
          </w:p>
        </w:tc>
        <w:tc>
          <w:tcPr>
            <w:tcW w:w="1104" w:type="pct"/>
            <w:tcBorders>
              <w:top w:val="single" w:color="auto" w:sz="4" w:space="0"/>
              <w:left w:val="single" w:color="auto" w:sz="4" w:space="0"/>
              <w:bottom w:val="single" w:color="auto" w:sz="4" w:space="0"/>
              <w:right w:val="single" w:color="auto" w:sz="4" w:space="0"/>
            </w:tcBorders>
            <w:vAlign w:val="center"/>
          </w:tcPr>
          <w:p w14:paraId="268FEA41">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 xml:space="preserve">151221 </w:t>
            </w:r>
          </w:p>
        </w:tc>
      </w:tr>
      <w:tr w14:paraId="25217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506" w:type="pct"/>
            <w:tcBorders>
              <w:top w:val="single" w:color="auto" w:sz="4" w:space="0"/>
              <w:left w:val="single" w:color="auto" w:sz="4" w:space="0"/>
              <w:bottom w:val="single" w:color="auto" w:sz="4" w:space="0"/>
              <w:right w:val="single" w:color="auto" w:sz="4" w:space="0"/>
            </w:tcBorders>
            <w:vAlign w:val="center"/>
          </w:tcPr>
          <w:p w14:paraId="35BBB246">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第九个托管周期</w:t>
            </w:r>
          </w:p>
        </w:tc>
        <w:tc>
          <w:tcPr>
            <w:tcW w:w="1212" w:type="pct"/>
            <w:tcBorders>
              <w:top w:val="single" w:color="auto" w:sz="4" w:space="0"/>
              <w:left w:val="single" w:color="auto" w:sz="4" w:space="0"/>
              <w:bottom w:val="single" w:color="auto" w:sz="4" w:space="0"/>
              <w:right w:val="single" w:color="auto" w:sz="4" w:space="0"/>
            </w:tcBorders>
            <w:vAlign w:val="center"/>
          </w:tcPr>
          <w:p w14:paraId="54788A4D">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lang w:val="en-US" w:eastAsia="zh-CN"/>
                <w14:textFill>
                  <w14:solidFill>
                    <w14:schemeClr w14:val="tx1"/>
                  </w14:solidFill>
                </w14:textFill>
              </w:rPr>
              <w:t>6205813</w:t>
            </w:r>
          </w:p>
        </w:tc>
        <w:tc>
          <w:tcPr>
            <w:tcW w:w="1175" w:type="pct"/>
            <w:tcBorders>
              <w:top w:val="single" w:color="auto" w:sz="4" w:space="0"/>
              <w:left w:val="single" w:color="auto" w:sz="4" w:space="0"/>
              <w:bottom w:val="single" w:color="auto" w:sz="4" w:space="0"/>
              <w:right w:val="single" w:color="auto" w:sz="4" w:space="0"/>
            </w:tcBorders>
            <w:vAlign w:val="center"/>
          </w:tcPr>
          <w:p w14:paraId="1E6758DF">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4881.7</w:t>
            </w:r>
          </w:p>
        </w:tc>
        <w:tc>
          <w:tcPr>
            <w:tcW w:w="1104" w:type="pct"/>
            <w:tcBorders>
              <w:top w:val="single" w:color="auto" w:sz="4" w:space="0"/>
              <w:left w:val="single" w:color="auto" w:sz="4" w:space="0"/>
              <w:bottom w:val="single" w:color="auto" w:sz="4" w:space="0"/>
              <w:right w:val="single" w:color="auto" w:sz="4" w:space="0"/>
            </w:tcBorders>
            <w:vAlign w:val="center"/>
          </w:tcPr>
          <w:p w14:paraId="25BEB15B">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 xml:space="preserve">151221 </w:t>
            </w:r>
          </w:p>
        </w:tc>
      </w:tr>
      <w:tr w14:paraId="5E23E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trPr>
        <w:tc>
          <w:tcPr>
            <w:tcW w:w="1506" w:type="pct"/>
            <w:tcBorders>
              <w:top w:val="single" w:color="auto" w:sz="4" w:space="0"/>
              <w:left w:val="single" w:color="auto" w:sz="4" w:space="0"/>
              <w:bottom w:val="single" w:color="auto" w:sz="4" w:space="0"/>
              <w:right w:val="single" w:color="auto" w:sz="4" w:space="0"/>
            </w:tcBorders>
            <w:vAlign w:val="center"/>
          </w:tcPr>
          <w:p w14:paraId="65479717">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第十个托管周期</w:t>
            </w:r>
          </w:p>
        </w:tc>
        <w:tc>
          <w:tcPr>
            <w:tcW w:w="1212" w:type="pct"/>
            <w:tcBorders>
              <w:top w:val="single" w:color="auto" w:sz="4" w:space="0"/>
              <w:left w:val="single" w:color="auto" w:sz="4" w:space="0"/>
              <w:bottom w:val="single" w:color="auto" w:sz="4" w:space="0"/>
              <w:right w:val="single" w:color="auto" w:sz="4" w:space="0"/>
            </w:tcBorders>
            <w:vAlign w:val="center"/>
          </w:tcPr>
          <w:p w14:paraId="2A149476">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lang w:val="en-US" w:eastAsia="zh-CN"/>
                <w14:textFill>
                  <w14:solidFill>
                    <w14:schemeClr w14:val="tx1"/>
                  </w14:solidFill>
                </w14:textFill>
              </w:rPr>
              <w:t>6205813</w:t>
            </w:r>
          </w:p>
        </w:tc>
        <w:tc>
          <w:tcPr>
            <w:tcW w:w="1175" w:type="pct"/>
            <w:tcBorders>
              <w:top w:val="single" w:color="auto" w:sz="4" w:space="0"/>
              <w:left w:val="single" w:color="auto" w:sz="4" w:space="0"/>
              <w:bottom w:val="single" w:color="auto" w:sz="4" w:space="0"/>
              <w:right w:val="single" w:color="auto" w:sz="4" w:space="0"/>
            </w:tcBorders>
            <w:vAlign w:val="center"/>
          </w:tcPr>
          <w:p w14:paraId="5939E06E">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4881.7</w:t>
            </w:r>
          </w:p>
        </w:tc>
        <w:tc>
          <w:tcPr>
            <w:tcW w:w="1104" w:type="pct"/>
            <w:tcBorders>
              <w:top w:val="single" w:color="auto" w:sz="4" w:space="0"/>
              <w:left w:val="single" w:color="auto" w:sz="4" w:space="0"/>
              <w:bottom w:val="single" w:color="auto" w:sz="4" w:space="0"/>
              <w:right w:val="single" w:color="auto" w:sz="4" w:space="0"/>
            </w:tcBorders>
            <w:vAlign w:val="center"/>
          </w:tcPr>
          <w:p w14:paraId="27E9954C">
            <w:pPr>
              <w:widowControl/>
              <w:spacing w:line="360" w:lineRule="auto"/>
              <w:jc w:val="center"/>
              <w:rPr>
                <w:rFonts w:hint="eastAsia" w:ascii="仿宋" w:hAnsi="仿宋" w:eastAsia="仿宋" w:cs="仿宋"/>
                <w:i/>
                <w:iCs/>
                <w:color w:val="000000" w:themeColor="text1"/>
                <w:sz w:val="24"/>
                <w:szCs w:val="24"/>
                <w:u w:val="single"/>
                <w14:textFill>
                  <w14:solidFill>
                    <w14:schemeClr w14:val="tx1"/>
                  </w14:solidFill>
                </w14:textFill>
              </w:rPr>
            </w:pPr>
            <w:r>
              <w:rPr>
                <w:rFonts w:hint="eastAsia" w:ascii="仿宋" w:hAnsi="仿宋" w:eastAsia="仿宋" w:cs="仿宋"/>
                <w:i/>
                <w:iCs/>
                <w:color w:val="000000" w:themeColor="text1"/>
                <w:sz w:val="24"/>
                <w:szCs w:val="24"/>
                <w:u w:val="single"/>
                <w14:textFill>
                  <w14:solidFill>
                    <w14:schemeClr w14:val="tx1"/>
                  </w14:solidFill>
                </w14:textFill>
              </w:rPr>
              <w:t xml:space="preserve">151221 </w:t>
            </w:r>
          </w:p>
        </w:tc>
      </w:tr>
    </w:tbl>
    <w:p w14:paraId="3BFD8468">
      <w:pPr>
        <w:pStyle w:val="661"/>
        <w:widowControl/>
        <w:numPr>
          <w:ilvl w:val="0"/>
          <w:numId w:val="5"/>
        </w:numPr>
        <w:spacing w:line="360" w:lineRule="auto"/>
        <w:ind w:firstLine="480"/>
        <w:rPr>
          <w:rFonts w:hint="eastAsia" w:ascii="仿宋" w:hAnsi="仿宋" w:eastAsia="仿宋" w:cs="仿宋"/>
          <w:i/>
          <w:iCs/>
          <w:color w:val="auto"/>
          <w:sz w:val="24"/>
          <w:szCs w:val="24"/>
          <w:u w:val="single"/>
        </w:rPr>
      </w:pPr>
      <w:r>
        <w:rPr>
          <w:rFonts w:ascii="仿宋" w:hAnsi="仿宋" w:eastAsia="仿宋" w:cs="仿宋"/>
          <w:i/>
          <w:iCs/>
          <w:color w:val="auto"/>
          <w:sz w:val="24"/>
          <w:szCs w:val="24"/>
          <w:u w:val="single"/>
        </w:rPr>
        <w:t>电费=电用量×基准电单价（0.7</w:t>
      </w:r>
      <w:r>
        <w:rPr>
          <w:rFonts w:hint="eastAsia" w:ascii="仿宋" w:hAnsi="仿宋" w:eastAsia="仿宋" w:cs="仿宋"/>
          <w:i/>
          <w:iCs/>
          <w:color w:val="auto"/>
          <w:sz w:val="24"/>
          <w:szCs w:val="24"/>
          <w:u w:val="single"/>
          <w:lang w:val="en-US" w:eastAsia="zh-CN"/>
        </w:rPr>
        <w:t>17122237</w:t>
      </w:r>
      <w:r>
        <w:rPr>
          <w:rFonts w:ascii="仿宋" w:hAnsi="仿宋" w:eastAsia="仿宋" w:cs="仿宋"/>
          <w:i/>
          <w:iCs/>
          <w:color w:val="auto"/>
          <w:sz w:val="24"/>
          <w:szCs w:val="24"/>
          <w:u w:val="single"/>
        </w:rPr>
        <w:t>元/ kWh）。</w:t>
      </w:r>
    </w:p>
    <w:p w14:paraId="220B2CCA">
      <w:pPr>
        <w:pStyle w:val="661"/>
        <w:widowControl/>
        <w:numPr>
          <w:ilvl w:val="0"/>
          <w:numId w:val="5"/>
        </w:numPr>
        <w:spacing w:line="360" w:lineRule="auto"/>
        <w:ind w:firstLine="480"/>
        <w:rPr>
          <w:rFonts w:hint="eastAsia" w:ascii="仿宋" w:hAnsi="仿宋" w:eastAsia="仿宋" w:cs="仿宋"/>
          <w:i/>
          <w:iCs/>
          <w:color w:val="auto"/>
          <w:sz w:val="24"/>
          <w:szCs w:val="24"/>
          <w:u w:val="single"/>
        </w:rPr>
      </w:pPr>
      <w:r>
        <w:rPr>
          <w:rFonts w:ascii="仿宋" w:hAnsi="仿宋" w:eastAsia="仿宋" w:cs="仿宋"/>
          <w:i/>
          <w:iCs/>
          <w:color w:val="auto"/>
          <w:sz w:val="24"/>
          <w:szCs w:val="24"/>
          <w:u w:val="single"/>
        </w:rPr>
        <w:t>蒸汽费=蒸汽用量×基准蒸汽单价（240.</w:t>
      </w:r>
      <w:r>
        <w:rPr>
          <w:rFonts w:hint="eastAsia" w:ascii="仿宋" w:hAnsi="仿宋" w:eastAsia="仿宋" w:cs="仿宋"/>
          <w:i/>
          <w:iCs/>
          <w:color w:val="auto"/>
          <w:sz w:val="24"/>
          <w:szCs w:val="24"/>
          <w:u w:val="single"/>
          <w:lang w:val="en-US" w:eastAsia="zh-CN"/>
        </w:rPr>
        <w:t>98674</w:t>
      </w:r>
      <w:r>
        <w:rPr>
          <w:rFonts w:ascii="仿宋" w:hAnsi="仿宋" w:eastAsia="仿宋" w:cs="仿宋"/>
          <w:i/>
          <w:iCs/>
          <w:color w:val="auto"/>
          <w:sz w:val="24"/>
          <w:szCs w:val="24"/>
          <w:u w:val="single"/>
        </w:rPr>
        <w:t>元/t）。</w:t>
      </w:r>
    </w:p>
    <w:p w14:paraId="3A294908">
      <w:pPr>
        <w:pStyle w:val="661"/>
        <w:widowControl/>
        <w:numPr>
          <w:ilvl w:val="0"/>
          <w:numId w:val="5"/>
        </w:numPr>
        <w:spacing w:line="360" w:lineRule="auto"/>
        <w:ind w:firstLine="480"/>
        <w:rPr>
          <w:rFonts w:hint="eastAsia" w:ascii="仿宋" w:hAnsi="仿宋" w:eastAsia="仿宋" w:cs="仿宋"/>
          <w:i/>
          <w:iCs/>
          <w:color w:val="auto"/>
          <w:sz w:val="24"/>
          <w:szCs w:val="24"/>
          <w:u w:val="single"/>
        </w:rPr>
      </w:pPr>
      <w:r>
        <w:rPr>
          <w:rFonts w:ascii="仿宋" w:hAnsi="仿宋" w:eastAsia="仿宋" w:cs="仿宋"/>
          <w:i/>
          <w:iCs/>
          <w:color w:val="auto"/>
          <w:sz w:val="24"/>
          <w:szCs w:val="24"/>
          <w:u w:val="single"/>
        </w:rPr>
        <w:t>水费=水用量×基准水单价（3.43元/m³）。</w:t>
      </w:r>
    </w:p>
    <w:p w14:paraId="6A1C5D3A">
      <w:pPr>
        <w:pStyle w:val="661"/>
        <w:widowControl/>
        <w:numPr>
          <w:ilvl w:val="0"/>
          <w:numId w:val="5"/>
        </w:numPr>
        <w:spacing w:line="360" w:lineRule="auto"/>
        <w:ind w:firstLine="480"/>
        <w:rPr>
          <w:rFonts w:hint="eastAsia" w:ascii="仿宋" w:hAnsi="仿宋" w:eastAsia="仿宋" w:cs="仿宋"/>
          <w:i/>
          <w:iCs/>
          <w:color w:val="auto"/>
          <w:sz w:val="24"/>
          <w:szCs w:val="24"/>
          <w:u w:val="single"/>
        </w:rPr>
      </w:pPr>
      <w:r>
        <w:rPr>
          <w:rFonts w:ascii="仿宋" w:hAnsi="仿宋" w:eastAsia="仿宋" w:cs="仿宋"/>
          <w:i/>
          <w:iCs/>
          <w:color w:val="auto"/>
          <w:sz w:val="24"/>
          <w:szCs w:val="24"/>
          <w:u w:val="single"/>
        </w:rPr>
        <w:t>单独计量收费</w:t>
      </w:r>
    </w:p>
    <w:p w14:paraId="6411ABB1">
      <w:pPr>
        <w:pStyle w:val="661"/>
        <w:widowControl/>
        <w:spacing w:line="360" w:lineRule="auto"/>
        <w:ind w:firstLine="679" w:firstLineChars="283"/>
        <w:rPr>
          <w:rFonts w:hint="eastAsia" w:ascii="仿宋" w:hAnsi="仿宋" w:eastAsia="仿宋" w:cs="仿宋"/>
          <w:i/>
          <w:iCs/>
          <w:color w:val="auto"/>
          <w:sz w:val="24"/>
          <w:szCs w:val="24"/>
          <w:u w:val="single"/>
        </w:rPr>
      </w:pPr>
      <w:r>
        <w:rPr>
          <w:rFonts w:ascii="仿宋" w:hAnsi="仿宋" w:eastAsia="仿宋" w:cs="仿宋"/>
          <w:i/>
          <w:iCs/>
          <w:color w:val="auto"/>
          <w:sz w:val="24"/>
          <w:szCs w:val="24"/>
          <w:u w:val="single"/>
        </w:rPr>
        <w:t>食堂、药膳坊、超市部分由中标人安装水、电、蒸汽计量设备，定期将用能数据报给采购人单独向食堂、药膳坊、超市服务单位收费，并于文昌路院区整体能耗支出中进行扣减，扣减后费用即为当期托管范围内实际产生的能耗费用。</w:t>
      </w:r>
    </w:p>
    <w:p w14:paraId="7A15B451">
      <w:pPr>
        <w:pStyle w:val="661"/>
        <w:widowControl/>
        <w:spacing w:line="360" w:lineRule="auto"/>
        <w:ind w:left="480" w:firstLine="0"/>
        <w:rPr>
          <w:rFonts w:hint="eastAsia" w:ascii="仿宋" w:hAnsi="仿宋" w:eastAsia="仿宋" w:cs="仿宋"/>
          <w:i/>
          <w:iCs/>
          <w:color w:val="auto"/>
          <w:sz w:val="24"/>
          <w:szCs w:val="24"/>
          <w:u w:val="single"/>
        </w:rPr>
      </w:pPr>
      <w:r>
        <w:rPr>
          <w:rFonts w:ascii="仿宋" w:hAnsi="仿宋" w:eastAsia="仿宋" w:cs="仿宋"/>
          <w:i/>
          <w:iCs/>
          <w:color w:val="auto"/>
          <w:sz w:val="24"/>
          <w:szCs w:val="24"/>
          <w:u w:val="single"/>
        </w:rPr>
        <w:t>5) 实报实销</w:t>
      </w:r>
    </w:p>
    <w:tbl>
      <w:tblPr>
        <w:tblStyle w:val="39"/>
        <w:tblW w:w="975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2076"/>
        <w:gridCol w:w="6330"/>
      </w:tblGrid>
      <w:tr w14:paraId="250C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1" w:type="dxa"/>
            <w:vAlign w:val="center"/>
          </w:tcPr>
          <w:p w14:paraId="28E57662">
            <w:pPr>
              <w:widowControl/>
              <w:spacing w:line="360" w:lineRule="auto"/>
              <w:jc w:val="center"/>
              <w:rPr>
                <w:rFonts w:hint="eastAsia" w:ascii="仿宋" w:hAnsi="仿宋" w:eastAsia="仿宋" w:cs="仿宋"/>
                <w:i/>
                <w:iCs/>
                <w:u w:val="single"/>
              </w:rPr>
            </w:pPr>
            <w:r>
              <w:rPr>
                <w:rFonts w:hint="eastAsia" w:ascii="仿宋" w:hAnsi="仿宋" w:eastAsia="仿宋" w:cs="仿宋"/>
                <w:i/>
                <w:iCs/>
                <w:u w:val="single"/>
              </w:rPr>
              <w:t>类别</w:t>
            </w:r>
          </w:p>
        </w:tc>
        <w:tc>
          <w:tcPr>
            <w:tcW w:w="2076" w:type="dxa"/>
            <w:vAlign w:val="center"/>
          </w:tcPr>
          <w:p w14:paraId="75162F32">
            <w:pPr>
              <w:widowControl/>
              <w:spacing w:line="360" w:lineRule="auto"/>
              <w:jc w:val="center"/>
              <w:rPr>
                <w:rFonts w:hint="eastAsia" w:ascii="仿宋" w:hAnsi="仿宋" w:eastAsia="仿宋" w:cs="仿宋"/>
                <w:i/>
                <w:iCs/>
                <w:u w:val="single"/>
              </w:rPr>
            </w:pPr>
            <w:r>
              <w:rPr>
                <w:rFonts w:hint="eastAsia" w:ascii="仿宋" w:hAnsi="仿宋" w:eastAsia="仿宋" w:cs="仿宋"/>
                <w:i/>
                <w:iCs/>
                <w:u w:val="single"/>
              </w:rPr>
              <w:t>项目</w:t>
            </w:r>
          </w:p>
        </w:tc>
        <w:tc>
          <w:tcPr>
            <w:tcW w:w="6330" w:type="dxa"/>
            <w:vAlign w:val="center"/>
          </w:tcPr>
          <w:p w14:paraId="535673D2">
            <w:pPr>
              <w:widowControl/>
              <w:spacing w:line="360" w:lineRule="auto"/>
              <w:jc w:val="center"/>
              <w:rPr>
                <w:rFonts w:hint="eastAsia" w:ascii="仿宋" w:hAnsi="仿宋" w:eastAsia="仿宋" w:cs="仿宋"/>
                <w:i/>
                <w:iCs/>
                <w:u w:val="single"/>
              </w:rPr>
            </w:pPr>
            <w:r>
              <w:rPr>
                <w:rFonts w:hint="eastAsia" w:ascii="仿宋" w:hAnsi="仿宋" w:eastAsia="仿宋" w:cs="仿宋"/>
                <w:i/>
                <w:iCs/>
                <w:u w:val="single"/>
              </w:rPr>
              <w:t>备注</w:t>
            </w:r>
          </w:p>
        </w:tc>
      </w:tr>
      <w:tr w14:paraId="555E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1" w:type="dxa"/>
            <w:vMerge w:val="restart"/>
            <w:vAlign w:val="center"/>
          </w:tcPr>
          <w:p w14:paraId="502F4D05">
            <w:pPr>
              <w:widowControl/>
              <w:spacing w:line="360" w:lineRule="auto"/>
              <w:jc w:val="center"/>
              <w:rPr>
                <w:rFonts w:hint="eastAsia" w:ascii="仿宋" w:hAnsi="仿宋" w:eastAsia="仿宋" w:cs="仿宋"/>
                <w:i/>
                <w:iCs/>
                <w:highlight w:val="none"/>
                <w:u w:val="single"/>
              </w:rPr>
            </w:pPr>
            <w:r>
              <w:rPr>
                <w:rFonts w:hint="eastAsia" w:ascii="仿宋" w:hAnsi="仿宋" w:eastAsia="仿宋" w:cs="仿宋"/>
                <w:i/>
                <w:iCs/>
                <w:highlight w:val="none"/>
                <w:u w:val="single"/>
              </w:rPr>
              <w:t>水/电/蒸汽</w:t>
            </w:r>
          </w:p>
        </w:tc>
        <w:tc>
          <w:tcPr>
            <w:tcW w:w="2076" w:type="dxa"/>
            <w:vAlign w:val="center"/>
          </w:tcPr>
          <w:p w14:paraId="1EB57CA5">
            <w:pPr>
              <w:widowControl/>
              <w:spacing w:line="360" w:lineRule="auto"/>
              <w:jc w:val="center"/>
              <w:rPr>
                <w:rFonts w:hint="eastAsia" w:ascii="仿宋" w:hAnsi="仿宋" w:eastAsia="仿宋" w:cs="仿宋"/>
                <w:i/>
                <w:iCs/>
                <w:color w:val="auto"/>
                <w:highlight w:val="none"/>
                <w:u w:val="single"/>
              </w:rPr>
            </w:pPr>
            <w:r>
              <w:rPr>
                <w:rFonts w:hint="eastAsia" w:ascii="仿宋" w:hAnsi="仿宋" w:eastAsia="仿宋" w:cs="仿宋"/>
                <w:i/>
                <w:iCs/>
                <w:color w:val="auto"/>
                <w:highlight w:val="none"/>
                <w:u w:val="single"/>
              </w:rPr>
              <w:t>新增用能设备</w:t>
            </w:r>
          </w:p>
        </w:tc>
        <w:tc>
          <w:tcPr>
            <w:tcW w:w="6330" w:type="dxa"/>
            <w:vAlign w:val="center"/>
          </w:tcPr>
          <w:p w14:paraId="150F7580">
            <w:pPr>
              <w:widowControl/>
              <w:spacing w:line="360" w:lineRule="auto"/>
              <w:jc w:val="left"/>
              <w:rPr>
                <w:rFonts w:hint="eastAsia" w:ascii="仿宋" w:hAnsi="仿宋" w:eastAsia="仿宋" w:cs="仿宋"/>
                <w:i/>
                <w:iCs/>
                <w:color w:val="auto"/>
                <w:highlight w:val="none"/>
                <w:u w:val="single"/>
              </w:rPr>
            </w:pPr>
            <w:r>
              <w:rPr>
                <w:rFonts w:hint="eastAsia" w:ascii="仿宋" w:hAnsi="仿宋" w:eastAsia="仿宋" w:cs="仿宋"/>
                <w:i/>
                <w:iCs/>
                <w:color w:val="auto"/>
                <w:highlight w:val="none"/>
                <w:u w:val="single"/>
              </w:rPr>
              <w:t>2026年1月1日以来，新投入的大型用能设备</w:t>
            </w:r>
          </w:p>
        </w:tc>
      </w:tr>
      <w:tr w14:paraId="39AA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1" w:type="dxa"/>
            <w:vMerge w:val="continue"/>
            <w:vAlign w:val="center"/>
          </w:tcPr>
          <w:p w14:paraId="657AE86C">
            <w:pPr>
              <w:widowControl/>
              <w:spacing w:line="360" w:lineRule="auto"/>
              <w:jc w:val="center"/>
              <w:rPr>
                <w:rFonts w:hint="eastAsia" w:ascii="仿宋" w:hAnsi="仿宋" w:eastAsia="仿宋" w:cs="仿宋"/>
                <w:i/>
                <w:iCs/>
                <w:highlight w:val="none"/>
                <w:u w:val="single"/>
              </w:rPr>
            </w:pPr>
          </w:p>
        </w:tc>
        <w:tc>
          <w:tcPr>
            <w:tcW w:w="2076" w:type="dxa"/>
            <w:vAlign w:val="center"/>
          </w:tcPr>
          <w:p w14:paraId="5AC72772">
            <w:pPr>
              <w:widowControl/>
              <w:spacing w:line="360" w:lineRule="auto"/>
              <w:jc w:val="center"/>
              <w:rPr>
                <w:rFonts w:hint="eastAsia" w:ascii="仿宋" w:hAnsi="仿宋" w:eastAsia="仿宋" w:cs="仿宋"/>
                <w:i/>
                <w:iCs/>
                <w:highlight w:val="none"/>
                <w:u w:val="single"/>
              </w:rPr>
            </w:pPr>
            <w:r>
              <w:rPr>
                <w:rFonts w:hint="eastAsia" w:ascii="仿宋" w:hAnsi="仿宋" w:eastAsia="仿宋" w:cs="仿宋"/>
                <w:i/>
                <w:iCs/>
                <w:highlight w:val="none"/>
                <w:u w:val="single"/>
              </w:rPr>
              <w:t>其他</w:t>
            </w:r>
          </w:p>
        </w:tc>
        <w:tc>
          <w:tcPr>
            <w:tcW w:w="6330" w:type="dxa"/>
            <w:vAlign w:val="center"/>
          </w:tcPr>
          <w:p w14:paraId="5B2379BE">
            <w:pPr>
              <w:widowControl/>
              <w:spacing w:line="360" w:lineRule="auto"/>
              <w:jc w:val="left"/>
              <w:rPr>
                <w:rFonts w:hint="eastAsia" w:ascii="仿宋" w:hAnsi="仿宋" w:eastAsia="仿宋" w:cs="仿宋"/>
                <w:i/>
                <w:iCs/>
                <w:highlight w:val="none"/>
                <w:u w:val="single"/>
              </w:rPr>
            </w:pPr>
            <w:r>
              <w:rPr>
                <w:rFonts w:hint="eastAsia" w:ascii="仿宋" w:hAnsi="仿宋" w:eastAsia="仿宋" w:cs="仿宋"/>
                <w:i/>
                <w:iCs/>
                <w:highlight w:val="none"/>
                <w:u w:val="single"/>
              </w:rPr>
              <w:t>未来改造大楼、区域，如污水站、3号楼，安装单独表计计量。</w:t>
            </w:r>
          </w:p>
        </w:tc>
      </w:tr>
    </w:tbl>
    <w:p w14:paraId="0AB43144">
      <w:pPr>
        <w:spacing w:line="360" w:lineRule="auto"/>
        <w:ind w:firstLine="422"/>
        <w:rPr>
          <w:rFonts w:hint="eastAsia" w:ascii="仿宋" w:hAnsi="仿宋" w:eastAsia="仿宋" w:cs="仿宋"/>
          <w:b/>
          <w:bCs/>
          <w:i/>
          <w:iCs/>
          <w:highlight w:val="none"/>
          <w:u w:val="single"/>
        </w:rPr>
      </w:pPr>
      <w:r>
        <w:rPr>
          <w:rFonts w:hint="eastAsia" w:ascii="仿宋" w:hAnsi="仿宋" w:eastAsia="仿宋" w:cs="仿宋"/>
          <w:b/>
          <w:bCs/>
          <w:i/>
          <w:iCs/>
          <w:highlight w:val="none"/>
          <w:u w:val="single"/>
        </w:rPr>
        <w:t>6.</w:t>
      </w:r>
      <w:r>
        <w:rPr>
          <w:rFonts w:hint="eastAsia" w:ascii="仿宋" w:hAnsi="仿宋" w:eastAsia="仿宋" w:cs="仿宋"/>
          <w:b/>
          <w:bCs/>
          <w:i/>
          <w:iCs/>
          <w:highlight w:val="none"/>
          <w:u w:val="single"/>
          <w:lang w:val="en-US" w:eastAsia="zh-CN"/>
        </w:rPr>
        <w:t>4</w:t>
      </w:r>
      <w:r>
        <w:rPr>
          <w:rFonts w:hint="eastAsia" w:ascii="仿宋" w:hAnsi="仿宋" w:eastAsia="仿宋" w:cs="仿宋"/>
          <w:b/>
          <w:bCs/>
          <w:i/>
          <w:iCs/>
          <w:highlight w:val="none"/>
          <w:u w:val="single"/>
        </w:rPr>
        <w:t>.2付款方式</w:t>
      </w:r>
    </w:p>
    <w:p w14:paraId="487BFBF9">
      <w:pPr>
        <w:spacing w:line="360" w:lineRule="auto"/>
        <w:ind w:firstLine="480" w:firstLineChars="200"/>
        <w:rPr>
          <w:rFonts w:hint="eastAsia" w:ascii="仿宋" w:hAnsi="仿宋" w:eastAsia="仿宋" w:cs="仿宋"/>
          <w:i/>
          <w:iCs/>
          <w:color w:val="000000"/>
          <w:u w:val="single"/>
        </w:rPr>
      </w:pPr>
      <w:r>
        <w:rPr>
          <w:rFonts w:hint="eastAsia" w:ascii="仿宋" w:hAnsi="仿宋" w:eastAsia="仿宋" w:cs="仿宋"/>
          <w:i/>
          <w:iCs/>
          <w:color w:val="000000"/>
          <w:highlight w:val="none"/>
          <w:u w:val="single"/>
        </w:rPr>
        <w:t>合同期内，由采购人委托中标人进行能源系统的节能改造及其设备维护，中标</w:t>
      </w:r>
      <w:r>
        <w:rPr>
          <w:rFonts w:hint="eastAsia" w:ascii="仿宋" w:hAnsi="仿宋" w:eastAsia="仿宋" w:cs="仿宋"/>
          <w:i/>
          <w:iCs/>
          <w:color w:val="000000"/>
          <w:u w:val="single"/>
        </w:rPr>
        <w:t>人定期与采购人进行能源服务费结算（采购人按照合同约定每月向中标人支付能源托管费用，托管期内产生的电费、</w:t>
      </w:r>
      <w:r>
        <w:rPr>
          <w:rFonts w:hint="eastAsia" w:ascii="仿宋" w:hAnsi="仿宋" w:eastAsia="仿宋" w:cs="仿宋"/>
          <w:i/>
          <w:iCs/>
          <w:color w:val="000000"/>
          <w:u w:val="single"/>
          <w:lang w:eastAsia="zh-CN"/>
        </w:rPr>
        <w:t>蒸汽</w:t>
      </w:r>
      <w:r>
        <w:rPr>
          <w:rFonts w:hint="eastAsia" w:ascii="仿宋" w:hAnsi="仿宋" w:eastAsia="仿宋" w:cs="仿宋"/>
          <w:i/>
          <w:iCs/>
          <w:color w:val="000000"/>
          <w:u w:val="single"/>
        </w:rPr>
        <w:t>费、水费由中标人根据实际发生能耗费用缴付至当地供电部门、</w:t>
      </w:r>
      <w:r>
        <w:rPr>
          <w:rFonts w:hint="eastAsia" w:ascii="仿宋" w:hAnsi="仿宋" w:eastAsia="仿宋" w:cs="仿宋"/>
          <w:i/>
          <w:iCs/>
          <w:color w:val="000000"/>
          <w:u w:val="single"/>
          <w:lang w:val="en-US" w:eastAsia="zh-CN"/>
        </w:rPr>
        <w:t>供热</w:t>
      </w:r>
      <w:r>
        <w:rPr>
          <w:rFonts w:hint="eastAsia" w:ascii="仿宋" w:hAnsi="仿宋" w:eastAsia="仿宋" w:cs="仿宋"/>
          <w:i/>
          <w:iCs/>
          <w:color w:val="000000"/>
          <w:u w:val="single"/>
        </w:rPr>
        <w:t>公司、自来水公司</w:t>
      </w:r>
      <w:r>
        <w:rPr>
          <w:rFonts w:hint="eastAsia" w:ascii="仿宋" w:hAnsi="仿宋" w:eastAsia="仿宋" w:cs="仿宋"/>
          <w:i/>
          <w:iCs/>
          <w:color w:val="000000"/>
          <w:u w:val="single"/>
          <w:lang w:eastAsia="zh-CN"/>
        </w:rPr>
        <w:t>，结算时须提供原始支付凭证</w:t>
      </w:r>
      <w:r>
        <w:rPr>
          <w:rFonts w:hint="eastAsia" w:ascii="仿宋" w:hAnsi="仿宋" w:eastAsia="仿宋" w:cs="仿宋"/>
          <w:i/>
          <w:iCs/>
          <w:color w:val="000000"/>
          <w:u w:val="single"/>
        </w:rPr>
        <w:t>。采购人支付能源托管费用前中标人需向采购人开具税率为6%的增值税发票（若国家出台新的税收政策则调整相应税率）；定期对能耗情况进行分析，按照约定节能分享比例进行结算。</w:t>
      </w:r>
      <w:r>
        <w:rPr>
          <w:rFonts w:hint="eastAsia" w:ascii="仿宋" w:hAnsi="仿宋" w:eastAsia="仿宋" w:cs="仿宋"/>
          <w:i/>
          <w:iCs/>
          <w:u w:val="single"/>
        </w:rPr>
        <w:t>（如有政策调整，按相关政策调整，由双方协商后确定相关费用及缴费形式）</w:t>
      </w:r>
    </w:p>
    <w:p w14:paraId="09DE2A56">
      <w:pPr>
        <w:spacing w:line="360" w:lineRule="auto"/>
        <w:ind w:firstLine="480" w:firstLineChars="200"/>
        <w:rPr>
          <w:rFonts w:hint="eastAsia" w:ascii="仿宋" w:hAnsi="仿宋" w:eastAsia="仿宋" w:cs="仿宋"/>
          <w:i/>
          <w:iCs/>
          <w:color w:val="000000"/>
          <w:u w:val="single"/>
        </w:rPr>
      </w:pPr>
      <w:r>
        <w:rPr>
          <w:rFonts w:hint="eastAsia" w:ascii="仿宋" w:hAnsi="仿宋" w:eastAsia="仿宋" w:cs="仿宋"/>
          <w:i/>
          <w:iCs/>
          <w:color w:val="000000"/>
          <w:u w:val="single"/>
        </w:rPr>
        <w:t>光储充发电用电费用：能源托管期10年内光伏发电和充电桩费用作为中标人节能收益项，合同期第11-25年，后15年充电桩由投标人整修完备后全权移交给院方，院方负责此部分运维及与收费平台续签服务协议，光伏发电优先以当期市场价销售给院方使用，上网电收益则全归投标人所有，详见合同条款。</w:t>
      </w:r>
    </w:p>
    <w:p w14:paraId="257090A3">
      <w:pPr>
        <w:spacing w:line="360" w:lineRule="auto"/>
        <w:ind w:firstLine="422"/>
        <w:rPr>
          <w:rFonts w:hint="eastAsia" w:ascii="仿宋" w:hAnsi="仿宋" w:eastAsia="仿宋" w:cs="仿宋"/>
          <w:b/>
          <w:bCs/>
          <w:i/>
          <w:iCs/>
          <w:u w:val="single"/>
        </w:rPr>
      </w:pPr>
      <w:r>
        <w:rPr>
          <w:rFonts w:hint="eastAsia" w:ascii="仿宋" w:hAnsi="仿宋" w:eastAsia="仿宋" w:cs="仿宋"/>
          <w:b/>
          <w:bCs/>
          <w:i/>
          <w:iCs/>
          <w:u w:val="single"/>
        </w:rPr>
        <w:t>6.</w:t>
      </w:r>
      <w:r>
        <w:rPr>
          <w:rFonts w:hint="eastAsia" w:ascii="仿宋" w:hAnsi="仿宋" w:eastAsia="仿宋" w:cs="仿宋"/>
          <w:b/>
          <w:bCs/>
          <w:i/>
          <w:iCs/>
          <w:u w:val="single"/>
          <w:lang w:val="en-US" w:eastAsia="zh-CN"/>
        </w:rPr>
        <w:t>4</w:t>
      </w:r>
      <w:r>
        <w:rPr>
          <w:rFonts w:hint="eastAsia" w:ascii="仿宋" w:hAnsi="仿宋" w:eastAsia="仿宋" w:cs="仿宋"/>
          <w:b/>
          <w:bCs/>
          <w:i/>
          <w:iCs/>
          <w:u w:val="single"/>
        </w:rPr>
        <w:t>.3费用调整机制</w:t>
      </w:r>
    </w:p>
    <w:p w14:paraId="0E2AD828">
      <w:pPr>
        <w:spacing w:line="360" w:lineRule="auto"/>
        <w:ind w:firstLine="480" w:firstLineChars="200"/>
        <w:rPr>
          <w:rFonts w:hint="eastAsia" w:ascii="仿宋" w:hAnsi="仿宋" w:eastAsia="仿宋" w:cs="仿宋"/>
          <w:i/>
          <w:iCs/>
          <w:u w:val="single"/>
        </w:rPr>
      </w:pPr>
      <w:bookmarkStart w:id="52" w:name="_Hlk171586648"/>
      <w:r>
        <w:rPr>
          <w:rFonts w:hint="eastAsia" w:ascii="仿宋" w:hAnsi="仿宋" w:eastAsia="仿宋" w:cs="仿宋"/>
          <w:i/>
          <w:iCs/>
          <w:u w:val="single"/>
        </w:rPr>
        <w:t>能源托管费用的调整规则主要包括以下几个部分，一为能源单价变化调整规则；二为用能区域变化调整规则（功能、面积）；三为用能设备变化调整规则；四为用能人数变化调整规则（床位数、就诊量、人均）；五为供能条件变化调整规则；六为其它按实托管区域调整规则；七为其它情况调整规则。</w:t>
      </w:r>
    </w:p>
    <w:p w14:paraId="631E0EF2">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1、能源单价变化调整规则</w:t>
      </w:r>
    </w:p>
    <w:p w14:paraId="2488A053">
      <w:pPr>
        <w:widowControl/>
        <w:spacing w:line="360" w:lineRule="auto"/>
        <w:ind w:firstLine="480" w:firstLineChars="200"/>
        <w:rPr>
          <w:rFonts w:hint="eastAsia" w:ascii="仿宋" w:hAnsi="仿宋" w:eastAsia="仿宋" w:cs="仿宋"/>
          <w:i/>
          <w:iCs/>
          <w:color w:val="auto"/>
          <w:highlight w:val="none"/>
          <w:u w:val="single"/>
        </w:rPr>
      </w:pPr>
      <w:r>
        <w:rPr>
          <w:rFonts w:hint="eastAsia" w:ascii="仿宋" w:hAnsi="仿宋" w:eastAsia="仿宋" w:cs="仿宋"/>
          <w:i/>
          <w:iCs/>
          <w:color w:val="auto"/>
          <w:highlight w:val="yellow"/>
          <w:u w:val="single"/>
        </w:rPr>
        <w:t>能源价格与基准价不一致的，以扬州市中医院合同能源管理项目第三方能源资源消耗基准值核定报告第三章建筑能耗分析中相关要求为准。</w:t>
      </w:r>
      <w:r>
        <w:rPr>
          <w:rFonts w:hint="eastAsia" w:ascii="仿宋" w:hAnsi="仿宋" w:eastAsia="仿宋" w:cs="仿宋"/>
          <w:i/>
          <w:iCs/>
          <w:color w:val="auto"/>
          <w:highlight w:val="none"/>
          <w:u w:val="single"/>
        </w:rPr>
        <w:t>能源基准单价如下：</w:t>
      </w:r>
    </w:p>
    <w:p w14:paraId="76234B6A">
      <w:pPr>
        <w:widowControl/>
        <w:spacing w:line="360" w:lineRule="auto"/>
        <w:ind w:firstLine="480" w:firstLineChars="200"/>
        <w:rPr>
          <w:rFonts w:hint="eastAsia" w:ascii="仿宋" w:hAnsi="仿宋" w:eastAsia="仿宋" w:cs="仿宋"/>
          <w:i/>
          <w:iCs/>
          <w:color w:val="auto"/>
          <w:highlight w:val="none"/>
          <w:u w:val="single"/>
        </w:rPr>
      </w:pPr>
      <w:r>
        <w:rPr>
          <w:rFonts w:hint="eastAsia" w:ascii="仿宋" w:hAnsi="仿宋" w:eastAsia="仿宋" w:cs="仿宋"/>
          <w:i/>
          <w:iCs/>
          <w:color w:val="auto"/>
          <w:highlight w:val="none"/>
          <w:u w:val="single"/>
        </w:rPr>
        <w:t>（1）电单价：0.717122237元/kWh；</w:t>
      </w:r>
    </w:p>
    <w:p w14:paraId="7ABB1429">
      <w:pPr>
        <w:widowControl/>
        <w:spacing w:line="360" w:lineRule="auto"/>
        <w:ind w:firstLine="480" w:firstLineChars="200"/>
        <w:rPr>
          <w:rFonts w:hint="eastAsia" w:ascii="仿宋" w:hAnsi="仿宋" w:eastAsia="仿宋" w:cs="仿宋"/>
          <w:i/>
          <w:iCs/>
          <w:color w:val="auto"/>
          <w:highlight w:val="none"/>
          <w:u w:val="single"/>
        </w:rPr>
      </w:pPr>
      <w:r>
        <w:rPr>
          <w:rFonts w:hint="eastAsia" w:ascii="仿宋" w:hAnsi="仿宋" w:eastAsia="仿宋" w:cs="仿宋"/>
          <w:i/>
          <w:iCs/>
          <w:color w:val="auto"/>
          <w:highlight w:val="none"/>
          <w:u w:val="single"/>
        </w:rPr>
        <w:t>（2）蒸汽单价：240.98674元/t；</w:t>
      </w:r>
    </w:p>
    <w:p w14:paraId="71CC53D8">
      <w:pPr>
        <w:spacing w:line="360" w:lineRule="auto"/>
        <w:ind w:firstLine="480" w:firstLineChars="200"/>
        <w:rPr>
          <w:rFonts w:hint="eastAsia" w:ascii="仿宋" w:hAnsi="仿宋" w:eastAsia="仿宋" w:cs="仿宋"/>
          <w:i/>
          <w:iCs/>
          <w:color w:val="auto"/>
          <w:highlight w:val="none"/>
          <w:u w:val="single"/>
        </w:rPr>
      </w:pPr>
      <w:r>
        <w:rPr>
          <w:rFonts w:hint="eastAsia" w:ascii="仿宋" w:hAnsi="仿宋" w:eastAsia="仿宋" w:cs="仿宋"/>
          <w:i/>
          <w:iCs/>
          <w:color w:val="auto"/>
          <w:highlight w:val="none"/>
          <w:u w:val="single"/>
        </w:rPr>
        <w:t>（3）水单价：3.43元/m³。</w:t>
      </w:r>
    </w:p>
    <w:p w14:paraId="79E00E69">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2、用能区域变化调整规则</w:t>
      </w:r>
    </w:p>
    <w:p w14:paraId="58D5921C">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用能区域变化主要包括：1、用能区域功能变化；2、大楼新建投用或装修、拆除等退出变化。</w:t>
      </w:r>
    </w:p>
    <w:p w14:paraId="09C98C36">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1）用能区域功能变化调整规则</w:t>
      </w:r>
    </w:p>
    <w:p w14:paraId="7620345F">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托管期内医院托管建筑用能区域发生新增/减少、重新启用/闲置、区域用途变化时，应安装智能表计进行独立计量，并根据该楼栋目前实际使用面积的能源单耗进行边界调整费用核算。假定目前实际投用面积为A，各月用电量为B1、B2、……、B12，则对应能源单耗为B1/A、B2/A、……，B12/A。如果大楼内功能区域重新使用或闲置的面积为ΔC，则该区域每月调整能源用量为对应月的能源单耗乘以ΔC。如果大楼内功能区域的用途变化，则根据能源单耗变化和调整面积计算调整用量。若已有大楼无实际用能数据，可以基于第三方机构出具审计报告为依据，以全院单位面积能耗进行计算。此部分每月结算，多退少补。</w:t>
      </w:r>
    </w:p>
    <w:p w14:paraId="2B202AAB">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2）大楼新建投用或装修、拆除等退出变化调整规则</w:t>
      </w:r>
    </w:p>
    <w:p w14:paraId="4E386835">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对于新建大楼，在新建大楼用能趋于稳定之前安装智能表计据实结算，实报实销，用能稳定后由采购人和中标供应商双方协商纳入托管范围内。对于大楼装修、拆除，在大楼拆除、装修至少1个月前安装智能表计，拆除后根据计量数值退减托管费用。</w:t>
      </w:r>
    </w:p>
    <w:p w14:paraId="0AC58029">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3、用能设备变化调整规则</w:t>
      </w:r>
    </w:p>
    <w:p w14:paraId="5E96D9E7">
      <w:pPr>
        <w:widowControl/>
        <w:spacing w:line="360" w:lineRule="auto"/>
        <w:ind w:firstLine="480" w:firstLineChars="200"/>
        <w:rPr>
          <w:rFonts w:hint="eastAsia" w:ascii="仿宋" w:hAnsi="仿宋" w:eastAsia="仿宋" w:cs="仿宋"/>
          <w:i/>
          <w:iCs/>
          <w:highlight w:val="none"/>
          <w:u w:val="single"/>
        </w:rPr>
      </w:pPr>
      <w:r>
        <w:rPr>
          <w:rFonts w:hint="eastAsia" w:ascii="仿宋" w:hAnsi="仿宋" w:eastAsia="仿宋" w:cs="仿宋"/>
          <w:i/>
          <w:iCs/>
          <w:highlight w:val="none"/>
          <w:u w:val="single"/>
        </w:rPr>
        <w:t>双方与用能设备清单以2026年1月1日为基准登记节点，于2026年1月1日前登记设备为原有设备，于2026年1月1日后登记设备为新增/减设备。</w:t>
      </w:r>
    </w:p>
    <w:p w14:paraId="0C9B1573">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托管期内如用水/用电/用汽设备发生调整（包括但不限于增减、使用时间或状态变化），采购人应于事先书面告知中标供应商，中标供应商协助采购人更新完善用能设备台账，当用电设备累计铭牌功率增减≥3kW，用汽设备累计额定蒸汽消耗量增减≥0.1m³/h，用水设备累计额定用水量增减≥1m³/h时，应在对应托管周期能源基准量基础上进行调整并核算费用。</w:t>
      </w:r>
    </w:p>
    <w:p w14:paraId="17D945D8">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当具备条件安装表计进行独立计量的用能设备，由中标供应商在采购人指导下加装计量表计，按照实际用量进行调整，针对大型用能设备的退出，如已加装表计，根据前一年同期抄表数据进行调减；如未加装表计，退出前采购单位需提前至少一个月告知中标供应商加装计量电表，根据计量读数进行全年的托管用能量调减计算，最终调减用能量需经双方确认(年用能量=计量表计日均用电量X投入使用天数)。</w:t>
      </w:r>
    </w:p>
    <w:p w14:paraId="39EECD0E">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对于不具备表计安装条件独立计量的新增/减用能设备导致用能基准变化，按照设备增减的具体时间计算用电基准情况。</w:t>
      </w:r>
    </w:p>
    <w:p w14:paraId="548C2A8C">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新增/减用电设备年调整电量=</w:t>
      </w:r>
      <w:r>
        <w:rPr>
          <w:rFonts w:hint="eastAsia" w:ascii="仿宋" w:hAnsi="仿宋" w:eastAsia="仿宋" w:cs="仿宋"/>
          <w:i/>
          <w:iCs/>
          <w:u w:val="single"/>
        </w:rPr>
        <w:object>
          <v:shape id="_x0000_i1025" o:spt="75" type="#_x0000_t75" style="height:34pt;width:67.4pt;" o:ole="t" filled="f" o:preferrelative="t" stroked="f" coordsize="21600,21600">
            <v:path/>
            <v:fill on="f" focussize="0,0"/>
            <v:stroke on="f" joinstyle="miter"/>
            <v:imagedata r:id="rId12" o:title=""/>
            <o:lock v:ext="edit" aspectratio="t"/>
            <w10:wrap type="none"/>
            <w10:anchorlock/>
          </v:shape>
          <o:OLEObject Type="Embed" ProgID="Equation.KSEE3" ShapeID="_x0000_i1025" DrawAspect="Content" ObjectID="_1468075725" r:id="rId11">
            <o:LockedField>false</o:LockedField>
          </o:OLEObject>
        </w:object>
      </w:r>
    </w:p>
    <w:p w14:paraId="1A54F665">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其中：Ni—添加或减少的第i类用电设备功率（kW），i∝（1～ｎ）；</w:t>
      </w:r>
    </w:p>
    <w:p w14:paraId="5B8C95C5">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Q—添加或减少的第i类用电设备数量（台）；</w:t>
      </w:r>
    </w:p>
    <w:p w14:paraId="1EDE0FB4">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H—添加或减少的第i类用电设备年运行时间（小时）。</w:t>
      </w:r>
    </w:p>
    <w:p w14:paraId="2BF37B0B">
      <w:pPr>
        <w:widowControl/>
        <w:spacing w:line="360" w:lineRule="auto"/>
        <w:rPr>
          <w:rFonts w:hint="eastAsia" w:ascii="仿宋" w:hAnsi="仿宋" w:eastAsia="仿宋" w:cs="仿宋"/>
          <w:i/>
          <w:iCs/>
          <w:color w:val="auto"/>
          <w:u w:val="single"/>
        </w:rPr>
      </w:pPr>
      <w:r>
        <w:rPr>
          <w:rFonts w:hint="eastAsia" w:ascii="仿宋" w:hAnsi="仿宋" w:eastAsia="仿宋" w:cs="仿宋"/>
          <w:i/>
          <w:iCs/>
          <w:color w:val="auto"/>
          <w:u w:val="single"/>
        </w:rPr>
        <w:t>（注释：来自JST-301-2024-公共机构能源费用托管实施规程）</w:t>
      </w:r>
    </w:p>
    <w:p w14:paraId="7E88E501">
      <w:pPr>
        <w:widowControl/>
        <w:spacing w:line="360" w:lineRule="auto"/>
        <w:ind w:firstLine="480" w:firstLineChars="200"/>
        <w:rPr>
          <w:rFonts w:hint="eastAsia" w:ascii="仿宋" w:hAnsi="仿宋" w:eastAsia="仿宋" w:cs="仿宋"/>
          <w:i/>
          <w:iCs/>
          <w:color w:val="auto"/>
          <w:u w:val="single"/>
        </w:rPr>
      </w:pPr>
      <w:r>
        <w:rPr>
          <w:rFonts w:hint="eastAsia" w:ascii="仿宋" w:hAnsi="仿宋" w:eastAsia="仿宋" w:cs="仿宋"/>
          <w:i/>
          <w:iCs/>
          <w:color w:val="auto"/>
          <w:u w:val="single"/>
        </w:rPr>
        <w:t>4、用能人数变化调整规则</w:t>
      </w:r>
    </w:p>
    <w:p w14:paraId="7C906F16">
      <w:pPr>
        <w:widowControl/>
        <w:spacing w:line="360" w:lineRule="auto"/>
        <w:ind w:firstLine="480" w:firstLineChars="200"/>
        <w:rPr>
          <w:rFonts w:hint="eastAsia" w:ascii="仿宋" w:hAnsi="仿宋" w:eastAsia="仿宋" w:cs="仿宋"/>
          <w:i/>
          <w:iCs/>
          <w:color w:val="auto"/>
          <w:u w:val="single"/>
        </w:rPr>
      </w:pPr>
      <w:r>
        <w:rPr>
          <w:rFonts w:hint="eastAsia" w:ascii="仿宋" w:hAnsi="仿宋" w:eastAsia="仿宋" w:cs="仿宋"/>
          <w:i/>
          <w:iCs/>
          <w:color w:val="auto"/>
          <w:u w:val="single"/>
        </w:rPr>
        <w:t>当门急诊量和医院床位变化，导致医院日均用能人数变化较基准期变化≥5%时，按照能源审计核定的人均用电、人均用水、人均用蒸汽做调整能源用量，由采购人每年1月提供上一年度的业务量数据，并对业务量数据的准确性和及时性负责。</w:t>
      </w:r>
    </w:p>
    <w:p w14:paraId="5AE37EA7">
      <w:pPr>
        <w:widowControl/>
        <w:spacing w:line="360" w:lineRule="auto"/>
        <w:ind w:firstLine="480" w:firstLineChars="200"/>
        <w:rPr>
          <w:rFonts w:hint="eastAsia" w:ascii="仿宋" w:hAnsi="仿宋" w:eastAsia="仿宋" w:cs="仿宋"/>
          <w:i/>
          <w:iCs/>
          <w:color w:val="auto"/>
          <w:u w:val="single"/>
        </w:rPr>
      </w:pPr>
      <w:r>
        <w:rPr>
          <w:rFonts w:hint="eastAsia" w:ascii="仿宋" w:hAnsi="仿宋" w:eastAsia="仿宋" w:cs="仿宋"/>
          <w:i/>
          <w:iCs/>
          <w:color w:val="auto"/>
          <w:u w:val="single"/>
        </w:rPr>
        <w:t>日均用能人数=常驻人数（医院职工+第三方服务人员+规培实习人员）+年门急诊数量/365+床位数*床位使用率</w:t>
      </w:r>
    </w:p>
    <w:p w14:paraId="783B4569">
      <w:pPr>
        <w:widowControl/>
        <w:spacing w:line="360" w:lineRule="auto"/>
        <w:ind w:firstLine="480" w:firstLineChars="200"/>
        <w:rPr>
          <w:rFonts w:hint="eastAsia" w:ascii="仿宋" w:hAnsi="仿宋" w:eastAsia="仿宋" w:cs="仿宋"/>
          <w:i/>
          <w:iCs/>
          <w:color w:val="auto"/>
          <w:u w:val="single"/>
        </w:rPr>
      </w:pPr>
      <w:r>
        <w:rPr>
          <w:rFonts w:hint="eastAsia" w:ascii="仿宋" w:hAnsi="仿宋" w:eastAsia="仿宋" w:cs="仿宋"/>
          <w:i/>
          <w:iCs/>
          <w:color w:val="auto"/>
          <w:u w:val="single"/>
        </w:rPr>
        <w:t>5、供能条件变化调整规则</w:t>
      </w:r>
    </w:p>
    <w:p w14:paraId="2EC825AF">
      <w:pPr>
        <w:widowControl/>
        <w:spacing w:line="360" w:lineRule="auto"/>
        <w:ind w:firstLine="480" w:firstLineChars="200"/>
        <w:rPr>
          <w:rFonts w:hint="eastAsia" w:ascii="仿宋" w:hAnsi="仿宋" w:eastAsia="仿宋" w:cs="仿宋"/>
          <w:i/>
          <w:iCs/>
          <w:color w:val="auto"/>
          <w:u w:val="single"/>
        </w:rPr>
      </w:pPr>
      <w:r>
        <w:rPr>
          <w:rFonts w:hint="eastAsia" w:ascii="仿宋" w:hAnsi="仿宋" w:eastAsia="仿宋" w:cs="仿宋"/>
          <w:i/>
          <w:iCs/>
          <w:color w:val="auto"/>
          <w:u w:val="single"/>
        </w:rPr>
        <w:t>托管期内，发生供能条件（如供空调时间延长、特殊用能需求等）改变，能源费用经双方协商决定（具体可参照JST-301-2024-公共机构能源费用托管实施规程调整细则）。</w:t>
      </w:r>
    </w:p>
    <w:p w14:paraId="1014B3EF">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6、其它情况调整规则</w:t>
      </w:r>
    </w:p>
    <w:p w14:paraId="74E81C82">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1）托管期内工程施工作业用能（包括但不限于新建建筑、既有业务楼栋/区域翻新、装修和改扩建等），用能调整方式如下：</w:t>
      </w:r>
    </w:p>
    <w:p w14:paraId="383533A8">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（1）如工程施工作业用能独立开户，由采购人或第三方自行缴纳能源费用，则不产生合同费用调整。</w:t>
      </w:r>
    </w:p>
    <w:p w14:paraId="72C59F06">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2）如工程施工作业用能未独立开户，第三方使用托管范围内能源，则由中标供应商对第三方施工用能进行挂表计量，按实际计量的能源消耗量进行调整并核算费用，相关能源费用由采购人于次月15号前另行支付给中标供应商，调整费用=调整用量*当月能耗实际单价。此部分每月一次性结算。</w:t>
      </w:r>
    </w:p>
    <w:p w14:paraId="1848198D">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2）不可控因素（重大公共卫生事件、重大活动、外力破坏、极端气候等）造成的用能发生重大增减变化，超过该能源托管周期能源基准5%时，该能源托管周期基准量变化由双方协商调整。</w:t>
      </w:r>
    </w:p>
    <w:p w14:paraId="0FD170B6">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3）对于非托管区域内的食堂、药膳坊、超市，由中标供应商安装计量表计，协助采购人据实结算。</w:t>
      </w:r>
    </w:p>
    <w:p w14:paraId="2FBEDC45">
      <w:pPr>
        <w:widowControl/>
        <w:spacing w:line="360" w:lineRule="auto"/>
        <w:ind w:firstLine="482" w:firstLineChars="200"/>
        <w:rPr>
          <w:rFonts w:hint="eastAsia" w:ascii="仿宋" w:hAnsi="仿宋" w:eastAsia="仿宋" w:cs="仿宋"/>
          <w:i/>
          <w:iCs/>
          <w:u w:val="single"/>
        </w:rPr>
      </w:pPr>
      <w:r>
        <w:rPr>
          <w:rFonts w:hint="eastAsia" w:ascii="仿宋" w:hAnsi="仿宋" w:eastAsia="仿宋" w:cs="仿宋"/>
          <w:b/>
          <w:bCs/>
          <w:i/>
          <w:iCs/>
          <w:u w:val="single"/>
        </w:rPr>
        <w:t>6.</w:t>
      </w:r>
      <w:r>
        <w:rPr>
          <w:rFonts w:hint="eastAsia" w:ascii="仿宋" w:hAnsi="仿宋" w:eastAsia="仿宋" w:cs="仿宋"/>
          <w:b/>
          <w:bCs/>
          <w:i/>
          <w:iCs/>
          <w:u w:val="single"/>
          <w:lang w:val="en-US" w:eastAsia="zh-CN"/>
        </w:rPr>
        <w:t>4</w:t>
      </w:r>
      <w:r>
        <w:rPr>
          <w:rFonts w:hint="eastAsia" w:ascii="仿宋" w:hAnsi="仿宋" w:eastAsia="仿宋" w:cs="仿宋"/>
          <w:b/>
          <w:bCs/>
          <w:i/>
          <w:iCs/>
          <w:u w:val="single"/>
        </w:rPr>
        <w:t>.4托管费用调整的确认办法</w:t>
      </w:r>
    </w:p>
    <w:p w14:paraId="3B1A6BFF">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1、中标人应按上述要求及时整理数据，编写托管费用调整报告，并报医院主管部门审核；</w:t>
      </w:r>
    </w:p>
    <w:p w14:paraId="0C3CE830">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2、医院主管部门完成审核、确认托管费用调整报告；</w:t>
      </w:r>
    </w:p>
    <w:p w14:paraId="23846AC8">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3、双方不再另行签订托管费用调整的补充协议；</w:t>
      </w:r>
    </w:p>
    <w:p w14:paraId="618F7B41">
      <w:pPr>
        <w:widowControl/>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rPr>
        <w:t>4、如上面第2点调整规则中有重复之处，双方协商确定。</w:t>
      </w:r>
    </w:p>
    <w:p w14:paraId="51072A5C">
      <w:pPr>
        <w:widowControl/>
        <w:spacing w:line="360" w:lineRule="auto"/>
        <w:ind w:firstLine="480" w:firstLineChars="200"/>
        <w:rPr>
          <w:rFonts w:hint="eastAsia" w:ascii="仿宋" w:hAnsi="仿宋" w:eastAsia="仿宋" w:cs="仿宋"/>
          <w:i/>
          <w:iCs/>
          <w:color w:val="auto"/>
          <w:highlight w:val="none"/>
          <w:u w:val="single"/>
        </w:rPr>
      </w:pPr>
      <w:r>
        <w:rPr>
          <w:rFonts w:hint="eastAsia" w:ascii="仿宋" w:hAnsi="仿宋" w:eastAsia="仿宋" w:cs="仿宋"/>
          <w:i/>
          <w:iCs/>
          <w:u w:val="single"/>
        </w:rPr>
        <w:t>5、托管费用调整时间：托管费用每年调整一次（或双方协商的时间、周期），对发生在调整日之前的调整电费按照上述调整办法采取多退少补一次性调整，发生</w:t>
      </w:r>
      <w:r>
        <w:rPr>
          <w:rFonts w:hint="eastAsia" w:ascii="仿宋" w:hAnsi="仿宋" w:eastAsia="仿宋" w:cs="仿宋"/>
          <w:i/>
          <w:iCs/>
          <w:color w:val="auto"/>
          <w:highlight w:val="none"/>
          <w:u w:val="single"/>
        </w:rPr>
        <w:t>在调整日之后的电量按照调整后的基准电费进行结算。</w:t>
      </w:r>
    </w:p>
    <w:bookmarkEnd w:id="52"/>
    <w:p w14:paraId="3B51B36C">
      <w:pPr>
        <w:widowControl/>
        <w:spacing w:line="360" w:lineRule="auto"/>
        <w:ind w:firstLine="482" w:firstLineChars="200"/>
        <w:rPr>
          <w:rFonts w:hint="eastAsia" w:ascii="仿宋" w:hAnsi="仿宋" w:eastAsia="仿宋" w:cs="仿宋"/>
          <w:b/>
          <w:bCs/>
          <w:i/>
          <w:iCs/>
          <w:color w:val="auto"/>
          <w:highlight w:val="none"/>
          <w:u w:val="single"/>
        </w:rPr>
      </w:pPr>
      <w:r>
        <w:rPr>
          <w:rFonts w:hint="eastAsia" w:ascii="仿宋" w:hAnsi="仿宋" w:eastAsia="仿宋" w:cs="仿宋"/>
          <w:b/>
          <w:bCs/>
          <w:i/>
          <w:iCs/>
          <w:color w:val="auto"/>
          <w:highlight w:val="none"/>
          <w:u w:val="single"/>
        </w:rPr>
        <w:t>6.</w:t>
      </w:r>
      <w:r>
        <w:rPr>
          <w:rFonts w:hint="eastAsia" w:ascii="仿宋" w:hAnsi="仿宋" w:eastAsia="仿宋" w:cs="仿宋"/>
          <w:b/>
          <w:bCs/>
          <w:i/>
          <w:iCs/>
          <w:color w:val="auto"/>
          <w:highlight w:val="none"/>
          <w:u w:val="single"/>
          <w:lang w:val="en-US" w:eastAsia="zh-CN"/>
        </w:rPr>
        <w:t>4</w:t>
      </w:r>
      <w:r>
        <w:rPr>
          <w:rFonts w:hint="eastAsia" w:ascii="仿宋" w:hAnsi="仿宋" w:eastAsia="仿宋" w:cs="仿宋"/>
          <w:b/>
          <w:bCs/>
          <w:i/>
          <w:iCs/>
          <w:color w:val="auto"/>
          <w:highlight w:val="none"/>
          <w:u w:val="single"/>
        </w:rPr>
        <w:t>.5政府征收与院区搬迁等特别条款</w:t>
      </w:r>
    </w:p>
    <w:p w14:paraId="22A4863C">
      <w:pPr>
        <w:widowControl/>
        <w:spacing w:line="360" w:lineRule="auto"/>
        <w:ind w:firstLine="480" w:firstLineChars="200"/>
        <w:rPr>
          <w:rFonts w:hint="eastAsia" w:ascii="仿宋" w:hAnsi="仿宋" w:eastAsia="仿宋" w:cs="仿宋"/>
          <w:i/>
          <w:iCs/>
          <w:color w:val="auto"/>
          <w:highlight w:val="none"/>
          <w:u w:val="single"/>
        </w:rPr>
      </w:pPr>
      <w:r>
        <w:rPr>
          <w:rFonts w:hint="eastAsia" w:ascii="仿宋" w:hAnsi="仿宋" w:eastAsia="仿宋" w:cs="仿宋"/>
          <w:i/>
          <w:iCs/>
          <w:color w:val="auto"/>
          <w:highlight w:val="none"/>
          <w:u w:val="single"/>
        </w:rPr>
        <w:t>1、因政府征收、拆迁及规划调整导致</w:t>
      </w:r>
      <w:r>
        <w:rPr>
          <w:rFonts w:hint="eastAsia" w:ascii="仿宋" w:hAnsi="仿宋" w:eastAsia="仿宋" w:cs="仿宋"/>
          <w:i/>
          <w:iCs/>
          <w:color w:val="auto"/>
          <w:highlight w:val="none"/>
          <w:u w:val="single"/>
          <w:lang w:eastAsia="zh-CN"/>
        </w:rPr>
        <w:t>采购人</w:t>
      </w:r>
      <w:r>
        <w:rPr>
          <w:rFonts w:hint="eastAsia" w:ascii="仿宋" w:hAnsi="仿宋" w:eastAsia="仿宋" w:cs="仿宋"/>
          <w:i/>
          <w:iCs/>
          <w:color w:val="auto"/>
          <w:highlight w:val="none"/>
          <w:u w:val="single"/>
        </w:rPr>
        <w:t>托管区域（即扬州市中医院（文昌路院区））停止使用、整体搬迁，托管合同自动提前终止，双方互不承担违约责任。</w:t>
      </w:r>
    </w:p>
    <w:p w14:paraId="0C3ADC41">
      <w:pPr>
        <w:widowControl/>
        <w:spacing w:line="360" w:lineRule="auto"/>
        <w:ind w:firstLine="480" w:firstLineChars="200"/>
        <w:rPr>
          <w:rFonts w:hint="eastAsia" w:ascii="仿宋" w:hAnsi="仿宋" w:eastAsia="仿宋" w:cs="仿宋"/>
          <w:i/>
          <w:iCs/>
          <w:color w:val="auto"/>
          <w:highlight w:val="none"/>
          <w:u w:val="single"/>
        </w:rPr>
      </w:pPr>
      <w:r>
        <w:rPr>
          <w:rFonts w:hint="eastAsia" w:ascii="仿宋" w:hAnsi="仿宋" w:eastAsia="仿宋" w:cs="仿宋"/>
          <w:i/>
          <w:iCs/>
          <w:color w:val="auto"/>
          <w:highlight w:val="none"/>
          <w:u w:val="single"/>
        </w:rPr>
        <w:t>2、托管期内中标人投资形成的节能设备及改造工程等资产，所有权归中标人；政府拆迁补偿中对应中标人相关资产的补偿款，包括节能设备及改造工程残值费、节能设备及改造工程拆除费、合同终止损失等全部归中标人所有，采购人应配合将此部分内容作为独立项向政府或评估机构如实申报和申领，中标人应及时采购人提供相关设备清单、采购发票、账面净值等证明材料，配合评估，若因中标人延误提供导致未获政府补偿，相关责任由中标人承担；采购人应将政府拆迁中出具的《资产评估报告》或《征收补偿协议》中明确的对应供应商的实际补偿款足额转付给供应商，不得截留，除该笔政府专项补偿款外，采购人不再向中标人进行额外贴补或买断。</w:t>
      </w:r>
    </w:p>
    <w:p w14:paraId="2B554DEA">
      <w:pPr>
        <w:widowControl/>
        <w:spacing w:line="360" w:lineRule="auto"/>
        <w:ind w:firstLine="480" w:firstLineChars="200"/>
        <w:rPr>
          <w:rFonts w:hint="eastAsia" w:ascii="仿宋" w:hAnsi="仿宋" w:eastAsia="仿宋" w:cs="仿宋"/>
          <w:i/>
          <w:iCs/>
          <w:color w:val="auto"/>
          <w:highlight w:val="none"/>
          <w:u w:val="single"/>
        </w:rPr>
      </w:pPr>
      <w:r>
        <w:rPr>
          <w:rFonts w:hint="eastAsia" w:ascii="仿宋" w:hAnsi="仿宋" w:eastAsia="仿宋" w:cs="仿宋"/>
          <w:i/>
          <w:iCs/>
          <w:color w:val="auto"/>
          <w:highlight w:val="none"/>
          <w:u w:val="single"/>
        </w:rPr>
        <w:t>3、若征收未对节能资产单独补偿，采购人应协助配合中标人向征迁人索赔。</w:t>
      </w:r>
    </w:p>
    <w:p w14:paraId="383D992B">
      <w:pPr>
        <w:widowControl/>
        <w:spacing w:line="360" w:lineRule="auto"/>
        <w:ind w:firstLine="480" w:firstLineChars="200"/>
        <w:rPr>
          <w:rFonts w:hint="eastAsia" w:ascii="仿宋" w:hAnsi="仿宋" w:eastAsia="仿宋" w:cs="仿宋"/>
          <w:i/>
          <w:iCs/>
          <w:color w:val="auto"/>
          <w:highlight w:val="none"/>
          <w:u w:val="single"/>
        </w:rPr>
      </w:pPr>
      <w:r>
        <w:rPr>
          <w:rFonts w:hint="eastAsia" w:ascii="仿宋" w:hAnsi="仿宋" w:eastAsia="仿宋" w:cs="仿宋"/>
          <w:i/>
          <w:iCs/>
          <w:color w:val="auto"/>
          <w:highlight w:val="none"/>
          <w:u w:val="single"/>
        </w:rPr>
        <w:t>4、在托管期内，</w:t>
      </w:r>
      <w:r>
        <w:rPr>
          <w:rFonts w:hint="eastAsia" w:ascii="仿宋" w:hAnsi="仿宋" w:eastAsia="仿宋" w:cs="仿宋"/>
          <w:i/>
          <w:iCs/>
          <w:color w:val="auto"/>
          <w:highlight w:val="none"/>
          <w:u w:val="single"/>
          <w:lang w:eastAsia="zh-CN"/>
        </w:rPr>
        <w:t>采购人</w:t>
      </w:r>
      <w:r>
        <w:rPr>
          <w:rFonts w:hint="eastAsia" w:ascii="仿宋" w:hAnsi="仿宋" w:eastAsia="仿宋" w:cs="仿宋"/>
          <w:i/>
          <w:iCs/>
          <w:color w:val="auto"/>
          <w:highlight w:val="none"/>
          <w:u w:val="single"/>
        </w:rPr>
        <w:t>一旦获知征收、搬迁的官方意向或通知信息后必须在7日内书面通知供应商，托管费自托管区域实际停用日停止计算。双方在补偿款结清后10日内签署《合同终止协议》，费用据实结算，债权债务结清。</w:t>
      </w:r>
    </w:p>
    <w:p w14:paraId="05601D4F">
      <w:pPr>
        <w:widowControl/>
        <w:spacing w:line="360" w:lineRule="auto"/>
        <w:ind w:firstLine="480" w:firstLineChars="200"/>
        <w:rPr>
          <w:rFonts w:hint="eastAsia" w:ascii="仿宋" w:hAnsi="仿宋" w:eastAsia="仿宋" w:cs="仿宋"/>
          <w:i/>
          <w:iCs/>
          <w:color w:val="auto"/>
          <w:highlight w:val="none"/>
          <w:u w:val="single"/>
        </w:rPr>
      </w:pPr>
      <w:r>
        <w:rPr>
          <w:rFonts w:hint="eastAsia" w:ascii="仿宋" w:hAnsi="仿宋" w:eastAsia="仿宋" w:cs="仿宋"/>
          <w:i/>
          <w:iCs/>
          <w:color w:val="auto"/>
          <w:highlight w:val="none"/>
          <w:u w:val="single"/>
        </w:rPr>
        <w:t>5、供应商不得就征收、搬迁事件向采购人主张本条款以外的任何赔偿、违约金或预期利益。</w:t>
      </w:r>
    </w:p>
    <w:p w14:paraId="0B7D3752">
      <w:pPr>
        <w:spacing w:line="360" w:lineRule="auto"/>
        <w:ind w:firstLine="422"/>
        <w:rPr>
          <w:rFonts w:hint="eastAsia" w:ascii="仿宋" w:hAnsi="仿宋" w:eastAsia="仿宋" w:cs="仿宋"/>
          <w:b/>
          <w:bCs/>
          <w:i/>
          <w:iCs/>
          <w:color w:val="auto"/>
          <w:highlight w:val="none"/>
          <w:u w:val="single"/>
        </w:rPr>
      </w:pPr>
      <w:bookmarkStart w:id="53" w:name="_Toc87557844"/>
      <w:r>
        <w:rPr>
          <w:rFonts w:hint="eastAsia" w:ascii="仿宋" w:hAnsi="仿宋" w:eastAsia="仿宋" w:cs="仿宋"/>
          <w:b/>
          <w:bCs/>
          <w:i/>
          <w:iCs/>
          <w:color w:val="auto"/>
          <w:highlight w:val="none"/>
          <w:u w:val="single"/>
          <w:lang w:val="en-US" w:eastAsia="zh-CN"/>
        </w:rPr>
        <w:t>6</w:t>
      </w:r>
      <w:r>
        <w:rPr>
          <w:rFonts w:hint="eastAsia" w:ascii="仿宋" w:hAnsi="仿宋" w:eastAsia="仿宋" w:cs="仿宋"/>
          <w:b/>
          <w:bCs/>
          <w:i/>
          <w:iCs/>
          <w:color w:val="auto"/>
          <w:highlight w:val="none"/>
          <w:u w:val="single"/>
        </w:rPr>
        <w:t>.</w:t>
      </w:r>
      <w:r>
        <w:rPr>
          <w:rFonts w:hint="eastAsia" w:ascii="仿宋" w:hAnsi="仿宋" w:eastAsia="仿宋" w:cs="仿宋"/>
          <w:b/>
          <w:bCs/>
          <w:i/>
          <w:iCs/>
          <w:color w:val="auto"/>
          <w:highlight w:val="none"/>
          <w:u w:val="single"/>
          <w:lang w:val="en-US" w:eastAsia="zh-CN"/>
        </w:rPr>
        <w:t>4</w:t>
      </w:r>
      <w:r>
        <w:rPr>
          <w:rFonts w:hint="eastAsia" w:ascii="仿宋" w:hAnsi="仿宋" w:eastAsia="仿宋" w:cs="仿宋"/>
          <w:b/>
          <w:bCs/>
          <w:i/>
          <w:iCs/>
          <w:color w:val="auto"/>
          <w:highlight w:val="none"/>
          <w:u w:val="single"/>
        </w:rPr>
        <w:t>.6 所有权与收益要求</w:t>
      </w:r>
      <w:bookmarkEnd w:id="53"/>
    </w:p>
    <w:p w14:paraId="609B912E">
      <w:pPr>
        <w:spacing w:line="360" w:lineRule="auto"/>
        <w:ind w:firstLine="480" w:firstLineChars="200"/>
        <w:rPr>
          <w:rFonts w:hint="eastAsia" w:ascii="仿宋" w:hAnsi="仿宋" w:eastAsia="仿宋" w:cs="仿宋"/>
          <w:i/>
          <w:iCs/>
          <w:color w:val="auto"/>
          <w:highlight w:val="none"/>
          <w:u w:val="single"/>
        </w:rPr>
      </w:pPr>
      <w:r>
        <w:rPr>
          <w:rFonts w:hint="eastAsia" w:ascii="仿宋" w:hAnsi="仿宋" w:eastAsia="仿宋" w:cs="仿宋"/>
          <w:i/>
          <w:iCs/>
          <w:color w:val="auto"/>
          <w:highlight w:val="none"/>
          <w:u w:val="single"/>
        </w:rPr>
        <w:t>(1)中标人在合同期限内仅拥有中标人所投资的所有设备的产权，即在采购人没有依照合同约定付清中标人的全部款项之前处分权属于中标人，如果遇到征收、拆迁或采购人破产及其他必须处分设备的情形，未征得中标人的意见，采购人不得作出任何处分设备的决定，处分所得属于中标人。采购人既有能源设备所有权均归采购人所有。</w:t>
      </w:r>
    </w:p>
    <w:p w14:paraId="32781960">
      <w:pPr>
        <w:spacing w:line="360" w:lineRule="auto"/>
        <w:ind w:firstLine="480" w:firstLineChars="200"/>
        <w:rPr>
          <w:rFonts w:hint="eastAsia" w:ascii="仿宋" w:hAnsi="仿宋" w:eastAsia="仿宋" w:cs="仿宋"/>
          <w:i/>
          <w:iCs/>
          <w:color w:val="000000"/>
          <w:u w:val="single"/>
        </w:rPr>
      </w:pPr>
      <w:r>
        <w:rPr>
          <w:rFonts w:hint="eastAsia" w:ascii="仿宋" w:hAnsi="仿宋" w:eastAsia="仿宋" w:cs="仿宋"/>
          <w:i/>
          <w:iCs/>
          <w:color w:val="auto"/>
          <w:highlight w:val="none"/>
          <w:u w:val="single"/>
        </w:rPr>
        <w:t>(2)合同期满后且采购人按合同付清能源托管费用后，中标人所投项目财产的所有权将无偿移交给采购人（光储充除外），中标人应保证项目财产正常运行，项目</w:t>
      </w:r>
      <w:r>
        <w:rPr>
          <w:rFonts w:hint="eastAsia" w:ascii="仿宋" w:hAnsi="仿宋" w:eastAsia="仿宋" w:cs="仿宋"/>
          <w:i/>
          <w:iCs/>
          <w:color w:val="000000"/>
          <w:u w:val="single"/>
        </w:rPr>
        <w:t>财产的所有权移交时，应同时移交本项目继续运行所必需的资料。如该项目财产的继续使用需要中标人的相关技术或相关知识产权的授权，中标人应当无偿向采购人提供仅适用于本项目的授权。</w:t>
      </w:r>
    </w:p>
    <w:p w14:paraId="680F30D4">
      <w:pPr>
        <w:spacing w:line="360" w:lineRule="auto"/>
        <w:ind w:firstLine="480" w:firstLineChars="200"/>
        <w:rPr>
          <w:rFonts w:hint="eastAsia" w:ascii="仿宋" w:hAnsi="仿宋" w:eastAsia="仿宋" w:cs="仿宋"/>
          <w:i/>
          <w:iCs/>
          <w:color w:val="000000"/>
          <w:u w:val="single"/>
        </w:rPr>
      </w:pPr>
      <w:r>
        <w:rPr>
          <w:rFonts w:hint="eastAsia" w:ascii="仿宋" w:hAnsi="仿宋" w:eastAsia="仿宋" w:cs="仿宋"/>
          <w:i/>
          <w:iCs/>
          <w:color w:val="000000"/>
          <w:u w:val="single"/>
        </w:rPr>
        <w:t>(3)本项目实施内容符合国家相关部门颁布的扶持、优惠或鼓励等政策的，由中标人协助采购人完成项目申报。所获奖项由采购人与中标人协商署名，中标人所获优惠条件和专项补贴资金，由采购人与中标人协商分享，另行约定。</w:t>
      </w:r>
    </w:p>
    <w:p w14:paraId="198ADAA5">
      <w:pPr>
        <w:spacing w:line="360" w:lineRule="auto"/>
        <w:ind w:firstLine="482" w:firstLineChars="200"/>
        <w:outlineLvl w:val="2"/>
        <w:rPr>
          <w:rFonts w:hint="eastAsia" w:ascii="仿宋" w:hAnsi="仿宋" w:eastAsia="仿宋" w:cs="仿宋"/>
          <w:b/>
        </w:rPr>
      </w:pPr>
      <w:r>
        <w:rPr>
          <w:rFonts w:hint="eastAsia" w:ascii="仿宋" w:hAnsi="仿宋" w:eastAsia="仿宋" w:cs="仿宋"/>
          <w:b/>
        </w:rPr>
        <w:t>（</w:t>
      </w:r>
      <w:r>
        <w:rPr>
          <w:rFonts w:hint="eastAsia" w:ascii="仿宋" w:hAnsi="仿宋" w:eastAsia="仿宋" w:cs="仿宋"/>
          <w:b/>
          <w:lang w:val="en-US" w:eastAsia="zh-CN"/>
        </w:rPr>
        <w:t>七</w:t>
      </w:r>
      <w:r>
        <w:rPr>
          <w:rFonts w:hint="eastAsia" w:ascii="仿宋" w:hAnsi="仿宋" w:eastAsia="仿宋" w:cs="仿宋"/>
          <w:b/>
        </w:rPr>
        <w:t>）综合说明及其他要求</w:t>
      </w:r>
    </w:p>
    <w:p w14:paraId="7EF29DD7">
      <w:pPr>
        <w:spacing w:line="360" w:lineRule="auto"/>
        <w:ind w:firstLine="482" w:firstLineChars="200"/>
        <w:rPr>
          <w:rFonts w:hint="eastAsia" w:ascii="仿宋" w:hAnsi="仿宋" w:eastAsia="仿宋" w:cs="仿宋"/>
          <w:b/>
          <w:i/>
          <w:iCs/>
          <w:u w:val="single"/>
        </w:rPr>
      </w:pPr>
      <w:r>
        <w:rPr>
          <w:rFonts w:hint="eastAsia" w:ascii="仿宋" w:hAnsi="仿宋" w:eastAsia="仿宋" w:cs="仿宋"/>
          <w:b/>
          <w:i/>
          <w:iCs/>
          <w:u w:val="single"/>
        </w:rPr>
        <w:t>★</w:t>
      </w:r>
      <w:r>
        <w:rPr>
          <w:rFonts w:hint="eastAsia" w:ascii="仿宋" w:hAnsi="仿宋" w:eastAsia="仿宋" w:cs="仿宋"/>
          <w:b/>
          <w:i/>
          <w:iCs/>
          <w:u w:val="single"/>
          <w:lang w:val="en-US" w:eastAsia="zh-CN"/>
        </w:rPr>
        <w:t>7.1</w:t>
      </w:r>
      <w:r>
        <w:rPr>
          <w:rFonts w:hint="eastAsia" w:ascii="仿宋" w:hAnsi="仿宋" w:eastAsia="仿宋" w:cs="仿宋"/>
          <w:b/>
          <w:i/>
          <w:iCs/>
          <w:u w:val="single"/>
        </w:rPr>
        <w:t>报价要求：</w:t>
      </w:r>
    </w:p>
    <w:p w14:paraId="3C9E4042">
      <w:pPr>
        <w:pStyle w:val="12"/>
        <w:spacing w:line="360" w:lineRule="auto"/>
        <w:ind w:firstLine="480" w:firstLineChars="200"/>
        <w:rPr>
          <w:rFonts w:hint="eastAsia" w:ascii="仿宋" w:hAnsi="仿宋" w:eastAsia="仿宋" w:cs="仿宋"/>
          <w:i/>
          <w:iCs/>
          <w:u w:val="single"/>
        </w:rPr>
      </w:pPr>
      <w:r>
        <w:rPr>
          <w:rFonts w:hint="eastAsia" w:ascii="仿宋" w:hAnsi="仿宋" w:eastAsia="仿宋" w:cs="仿宋"/>
          <w:i/>
          <w:iCs/>
          <w:u w:val="single"/>
          <w:lang w:val="en-US" w:eastAsia="zh-CN"/>
        </w:rPr>
        <w:t>7.1.1</w:t>
      </w:r>
      <w:r>
        <w:rPr>
          <w:rFonts w:hint="eastAsia" w:ascii="仿宋" w:hAnsi="仿宋" w:eastAsia="仿宋" w:cs="仿宋"/>
          <w:i/>
          <w:iCs/>
          <w:u w:val="single"/>
        </w:rPr>
        <w:t>本项目最高限价为：6147.2万元/10年</w:t>
      </w:r>
      <w:r>
        <w:rPr>
          <w:rFonts w:hint="eastAsia" w:ascii="仿宋" w:hAnsi="仿宋" w:eastAsia="仿宋" w:cs="仿宋"/>
          <w:b/>
          <w:i/>
          <w:iCs/>
          <w:u w:val="single"/>
        </w:rPr>
        <w:t>。</w:t>
      </w:r>
    </w:p>
    <w:p w14:paraId="1E140742">
      <w:pPr>
        <w:spacing w:line="360" w:lineRule="auto"/>
        <w:ind w:firstLine="482" w:firstLineChars="200"/>
        <w:rPr>
          <w:rFonts w:hint="eastAsia" w:ascii="仿宋" w:hAnsi="仿宋" w:eastAsia="仿宋" w:cs="仿宋"/>
          <w:b/>
          <w:bCs/>
          <w:i/>
          <w:iCs/>
          <w:u w:val="single"/>
        </w:rPr>
      </w:pPr>
      <w:r>
        <w:rPr>
          <w:rFonts w:hint="eastAsia" w:ascii="仿宋" w:hAnsi="仿宋" w:eastAsia="仿宋" w:cs="仿宋"/>
          <w:b/>
          <w:bCs/>
          <w:i/>
          <w:iCs/>
          <w:u w:val="single"/>
        </w:rPr>
        <w:t>各项目明细的基准最高限价见招标书，本次招标投标总报价不高于最高限价，同时各项目明细的投标报价不高于基准最高限价的为有效投标报价，不满足上述报价要求的为无效投标报价。无效投标报价的投标文件不进行评审，也不得标。</w:t>
      </w:r>
    </w:p>
    <w:p w14:paraId="01673C4F">
      <w:pPr>
        <w:spacing w:line="360" w:lineRule="auto"/>
        <w:ind w:firstLine="480" w:firstLineChars="200"/>
        <w:rPr>
          <w:rFonts w:hint="eastAsia" w:ascii="仿宋" w:hAnsi="仿宋" w:eastAsia="仿宋" w:cs="仿宋"/>
          <w:bCs/>
          <w:i/>
          <w:iCs/>
          <w:u w:val="single"/>
        </w:rPr>
      </w:pPr>
      <w:r>
        <w:rPr>
          <w:rFonts w:hint="eastAsia" w:ascii="仿宋" w:hAnsi="仿宋" w:eastAsia="仿宋" w:cs="仿宋"/>
          <w:bCs/>
          <w:i/>
          <w:iCs/>
          <w:u w:val="single"/>
          <w:lang w:val="en-US" w:eastAsia="zh-CN"/>
        </w:rPr>
        <w:t>7.</w:t>
      </w:r>
      <w:r>
        <w:rPr>
          <w:rFonts w:hint="eastAsia" w:ascii="仿宋" w:hAnsi="仿宋" w:eastAsia="仿宋" w:cs="仿宋"/>
          <w:bCs/>
          <w:i/>
          <w:iCs/>
          <w:u w:val="single"/>
        </w:rPr>
        <w:t>1.2投标人须对本项目中的所有服务进行报价，不得拆开投报或只对其中的部分内容进行投报，否则作无效投标处理。</w:t>
      </w:r>
    </w:p>
    <w:p w14:paraId="70814131">
      <w:pPr>
        <w:spacing w:line="360" w:lineRule="auto"/>
        <w:ind w:firstLine="480" w:firstLineChars="200"/>
        <w:rPr>
          <w:rFonts w:hint="eastAsia" w:ascii="仿宋" w:hAnsi="仿宋" w:eastAsia="仿宋" w:cs="仿宋"/>
          <w:bCs/>
          <w:i/>
          <w:iCs/>
          <w:u w:val="single"/>
        </w:rPr>
      </w:pPr>
      <w:r>
        <w:rPr>
          <w:rFonts w:hint="eastAsia" w:ascii="仿宋" w:hAnsi="仿宋" w:eastAsia="仿宋" w:cs="仿宋"/>
          <w:bCs/>
          <w:i/>
          <w:iCs/>
          <w:u w:val="single"/>
          <w:lang w:val="en-US" w:eastAsia="zh-CN"/>
        </w:rPr>
        <w:t>7.</w:t>
      </w:r>
      <w:r>
        <w:rPr>
          <w:rFonts w:hint="eastAsia" w:ascii="仿宋" w:hAnsi="仿宋" w:eastAsia="仿宋" w:cs="仿宋"/>
          <w:bCs/>
          <w:i/>
          <w:iCs/>
          <w:u w:val="single"/>
        </w:rPr>
        <w:t>1.3投标人应以人民币报价，投标总价包括完成本项目改造及能源托管服务的所有费用，包括：软硬件货物费（含安装辅材）、运输费、安装调试费、集成费、改造费、人工费、综合管理费、日常运营费、维修维护费、消耗性材料费、能源费、技术/专利授权费、移交费、保险费、培训费、服务费、税费及政策性文件规定和合同所包含的所有风险、责任等各项应有费用。</w:t>
      </w:r>
    </w:p>
    <w:p w14:paraId="29AEF23C">
      <w:pPr>
        <w:spacing w:line="360" w:lineRule="auto"/>
        <w:ind w:firstLine="480" w:firstLineChars="200"/>
        <w:rPr>
          <w:rFonts w:hint="eastAsia" w:ascii="仿宋" w:hAnsi="仿宋" w:eastAsia="仿宋" w:cs="仿宋"/>
          <w:bCs/>
          <w:i/>
          <w:iCs/>
          <w:u w:val="single"/>
        </w:rPr>
      </w:pPr>
      <w:r>
        <w:rPr>
          <w:rFonts w:hint="eastAsia" w:ascii="仿宋" w:hAnsi="仿宋" w:eastAsia="仿宋" w:cs="仿宋"/>
          <w:bCs/>
          <w:i/>
          <w:iCs/>
          <w:u w:val="single"/>
          <w:lang w:val="en-US" w:eastAsia="zh-CN"/>
        </w:rPr>
        <w:t>7.</w:t>
      </w:r>
      <w:r>
        <w:rPr>
          <w:rFonts w:hint="eastAsia" w:ascii="仿宋" w:hAnsi="仿宋" w:eastAsia="仿宋" w:cs="仿宋"/>
          <w:bCs/>
          <w:i/>
          <w:iCs/>
          <w:u w:val="single"/>
        </w:rPr>
        <w:t>1.4投标人报价时应考虑各种风险因素，相关风险因素费用包含在投标总价中。</w:t>
      </w:r>
    </w:p>
    <w:p w14:paraId="79A625D2">
      <w:pPr>
        <w:spacing w:line="360" w:lineRule="auto"/>
        <w:ind w:firstLine="482" w:firstLineChars="200"/>
        <w:outlineLvl w:val="1"/>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四</w:t>
      </w:r>
      <w:r>
        <w:rPr>
          <w:rFonts w:hint="eastAsia" w:ascii="仿宋" w:hAnsi="仿宋" w:eastAsia="仿宋" w:cs="仿宋"/>
          <w:b/>
          <w:bCs/>
          <w:sz w:val="24"/>
          <w:szCs w:val="24"/>
        </w:rPr>
        <w:t>、</w:t>
      </w:r>
      <w:r>
        <w:rPr>
          <w:rFonts w:hint="eastAsia" w:ascii="仿宋" w:hAnsi="仿宋" w:eastAsia="仿宋" w:cs="仿宋"/>
          <w:b/>
          <w:bCs/>
          <w:sz w:val="24"/>
          <w:szCs w:val="24"/>
          <w:lang w:val="en-US" w:eastAsia="zh-CN"/>
        </w:rPr>
        <w:t>其他</w:t>
      </w:r>
    </w:p>
    <w:p w14:paraId="74C5E7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仿宋" w:hAnsi="仿宋" w:eastAsia="仿宋" w:cs="仿宋"/>
          <w:bCs/>
          <w:color w:val="auto"/>
          <w:sz w:val="24"/>
          <w:szCs w:val="24"/>
          <w:highlight w:val="none"/>
          <w:lang w:val="en-US" w:eastAsia="zh-CN" w:bidi="ar-SA"/>
        </w:rPr>
      </w:pPr>
      <w:r>
        <w:rPr>
          <w:rFonts w:hint="eastAsia" w:ascii="仿宋" w:hAnsi="仿宋" w:eastAsia="仿宋" w:cs="仿宋"/>
          <w:bCs/>
          <w:color w:val="auto"/>
          <w:sz w:val="24"/>
          <w:szCs w:val="24"/>
          <w:highlight w:val="none"/>
          <w:lang w:val="en-US" w:eastAsia="zh-CN" w:bidi="ar-SA"/>
        </w:rPr>
        <w:t>1.项目现状分析与测算方案</w:t>
      </w:r>
    </w:p>
    <w:p w14:paraId="1386F4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仿宋" w:hAnsi="仿宋" w:eastAsia="仿宋" w:cs="仿宋"/>
          <w:bCs/>
          <w:color w:val="auto"/>
          <w:sz w:val="24"/>
          <w:szCs w:val="24"/>
          <w:highlight w:val="none"/>
          <w:lang w:val="en-US" w:eastAsia="zh-CN" w:bidi="ar-SA"/>
        </w:rPr>
      </w:pPr>
      <w:r>
        <w:rPr>
          <w:rFonts w:hint="eastAsia" w:ascii="仿宋" w:hAnsi="仿宋" w:eastAsia="仿宋" w:cs="仿宋"/>
          <w:bCs/>
          <w:color w:val="auto"/>
          <w:sz w:val="24"/>
          <w:szCs w:val="24"/>
          <w:highlight w:val="none"/>
          <w:lang w:val="en-US" w:eastAsia="zh-CN" w:bidi="ar-SA"/>
        </w:rPr>
        <w:t>根据该项目提供符合采购人情况的项目现状分析与测算方案，</w:t>
      </w:r>
      <w:r>
        <w:rPr>
          <w:rFonts w:hint="eastAsia" w:ascii="仿宋" w:hAnsi="仿宋" w:eastAsia="仿宋" w:cs="仿宋"/>
          <w:bCs w:val="0"/>
          <w:color w:val="auto"/>
          <w:kern w:val="0"/>
          <w:sz w:val="24"/>
          <w:szCs w:val="24"/>
          <w:highlight w:val="none"/>
          <w:lang w:val="en-US" w:eastAsia="zh-CN"/>
        </w:rPr>
        <w:t>包括但不限于对项目现有设施设备状况、运行维护历史数据、当前存在问题及潜在风险的分析，以及基于现状制定的成本测算、资源需求测算、效益测算等内容。</w:t>
      </w:r>
    </w:p>
    <w:p w14:paraId="18D1D3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仿宋" w:hAnsi="仿宋" w:eastAsia="仿宋" w:cs="仿宋"/>
          <w:bCs/>
          <w:color w:val="auto"/>
          <w:sz w:val="24"/>
          <w:szCs w:val="24"/>
          <w:highlight w:val="none"/>
          <w:lang w:val="en-US" w:eastAsia="zh-CN" w:bidi="ar-SA"/>
        </w:rPr>
      </w:pPr>
      <w:r>
        <w:rPr>
          <w:rFonts w:hint="eastAsia" w:ascii="仿宋" w:hAnsi="仿宋" w:eastAsia="仿宋" w:cs="仿宋"/>
          <w:bCs/>
          <w:color w:val="auto"/>
          <w:sz w:val="24"/>
          <w:szCs w:val="24"/>
          <w:highlight w:val="none"/>
          <w:lang w:val="en-US" w:eastAsia="zh-CN" w:bidi="ar-SA"/>
        </w:rPr>
        <w:t>2.节能改造方案</w:t>
      </w:r>
    </w:p>
    <w:p w14:paraId="06F59F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仿宋" w:hAnsi="仿宋" w:eastAsia="仿宋" w:cs="仿宋"/>
          <w:bCs/>
          <w:color w:val="auto"/>
          <w:sz w:val="24"/>
          <w:szCs w:val="24"/>
          <w:highlight w:val="none"/>
          <w:lang w:val="en-US" w:eastAsia="zh-CN" w:bidi="ar-SA"/>
        </w:rPr>
      </w:pPr>
      <w:r>
        <w:rPr>
          <w:rFonts w:hint="eastAsia" w:ascii="仿宋" w:hAnsi="仿宋" w:eastAsia="仿宋" w:cs="仿宋"/>
          <w:bCs/>
          <w:color w:val="auto"/>
          <w:sz w:val="24"/>
          <w:szCs w:val="24"/>
          <w:highlight w:val="none"/>
          <w:lang w:val="en-US" w:eastAsia="zh-CN" w:bidi="ar-SA"/>
        </w:rPr>
        <w:t>根据该项目提供符合采购人情况的节能改造方案，</w:t>
      </w:r>
      <w:r>
        <w:rPr>
          <w:rFonts w:hint="eastAsia" w:ascii="仿宋" w:hAnsi="仿宋" w:eastAsia="仿宋" w:cs="仿宋"/>
          <w:bCs w:val="0"/>
          <w:color w:val="auto"/>
          <w:kern w:val="0"/>
          <w:sz w:val="24"/>
          <w:szCs w:val="24"/>
          <w:highlight w:val="none"/>
          <w:lang w:val="en-US" w:eastAsia="zh-CN"/>
        </w:rPr>
        <w:t>包括但不限于改造目标、改造范围、改造内容（如主要设施设备性能、系统优化、工艺改进等）、主要工序施工工艺、节能措施、改造过程中的质量控制及安全保障措施等内容。</w:t>
      </w:r>
    </w:p>
    <w:p w14:paraId="57AA65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仿宋" w:hAnsi="仿宋" w:eastAsia="仿宋" w:cs="仿宋"/>
          <w:bCs/>
          <w:color w:val="auto"/>
          <w:sz w:val="24"/>
          <w:szCs w:val="24"/>
          <w:highlight w:val="none"/>
          <w:lang w:val="en-US" w:eastAsia="zh-CN" w:bidi="ar-SA"/>
        </w:rPr>
      </w:pPr>
      <w:r>
        <w:rPr>
          <w:rFonts w:hint="eastAsia" w:ascii="仿宋" w:hAnsi="仿宋" w:eastAsia="仿宋" w:cs="仿宋"/>
          <w:bCs/>
          <w:color w:val="auto"/>
          <w:sz w:val="24"/>
          <w:szCs w:val="24"/>
          <w:highlight w:val="none"/>
          <w:lang w:val="en-US" w:eastAsia="zh-CN" w:bidi="ar-SA"/>
        </w:rPr>
        <w:t>3.信息智慧平台建设方案</w:t>
      </w:r>
    </w:p>
    <w:p w14:paraId="50FEC6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仿宋" w:hAnsi="仿宋" w:eastAsia="仿宋" w:cs="仿宋"/>
          <w:bCs/>
          <w:color w:val="auto"/>
          <w:sz w:val="24"/>
          <w:szCs w:val="24"/>
          <w:highlight w:val="none"/>
          <w:lang w:val="en-US" w:eastAsia="zh-CN" w:bidi="ar-SA"/>
        </w:rPr>
      </w:pPr>
      <w:r>
        <w:rPr>
          <w:rFonts w:hint="eastAsia" w:ascii="仿宋" w:hAnsi="仿宋" w:eastAsia="仿宋" w:cs="仿宋"/>
          <w:bCs/>
          <w:color w:val="auto"/>
          <w:sz w:val="24"/>
          <w:szCs w:val="24"/>
          <w:highlight w:val="none"/>
          <w:lang w:val="en-US" w:eastAsia="zh-CN" w:bidi="ar-SA"/>
        </w:rPr>
        <w:t>根据该项目提供符合采购人情况的信息智慧平台建设方案，</w:t>
      </w:r>
      <w:r>
        <w:rPr>
          <w:rFonts w:hint="eastAsia" w:ascii="仿宋" w:hAnsi="仿宋" w:eastAsia="仿宋" w:cs="仿宋"/>
          <w:bCs w:val="0"/>
          <w:color w:val="auto"/>
          <w:kern w:val="0"/>
          <w:sz w:val="24"/>
          <w:szCs w:val="24"/>
          <w:highlight w:val="none"/>
          <w:lang w:val="en-US" w:eastAsia="zh-CN"/>
        </w:rPr>
        <w:t>包括但不限于平台建设目标、总体架构设计、软件功能设计、能源监测点位设计、数据安全措施、培训与技术支持等内容。</w:t>
      </w:r>
    </w:p>
    <w:p w14:paraId="01C6B8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仿宋" w:hAnsi="仿宋" w:eastAsia="仿宋" w:cs="仿宋"/>
          <w:bCs/>
          <w:color w:val="auto"/>
          <w:sz w:val="24"/>
          <w:szCs w:val="24"/>
          <w:highlight w:val="none"/>
          <w:lang w:val="en-US" w:eastAsia="zh-CN" w:bidi="ar-SA"/>
        </w:rPr>
      </w:pPr>
      <w:r>
        <w:rPr>
          <w:rFonts w:hint="eastAsia" w:ascii="仿宋" w:hAnsi="仿宋" w:eastAsia="仿宋" w:cs="仿宋"/>
          <w:bCs/>
          <w:color w:val="auto"/>
          <w:sz w:val="24"/>
          <w:szCs w:val="24"/>
          <w:highlight w:val="none"/>
          <w:lang w:val="en-US" w:eastAsia="zh-CN" w:bidi="ar-SA"/>
        </w:rPr>
        <w:t>4.拟派人员的管理制度及安全管理方案</w:t>
      </w:r>
    </w:p>
    <w:p w14:paraId="713F28D9">
      <w:pPr>
        <w:spacing w:line="360" w:lineRule="auto"/>
        <w:ind w:firstLine="420"/>
        <w:rPr>
          <w:rFonts w:ascii="仿宋" w:hAnsi="仿宋" w:eastAsia="仿宋" w:cs="仿宋"/>
          <w:bCs/>
        </w:rPr>
      </w:pPr>
      <w:r>
        <w:rPr>
          <w:rFonts w:hint="eastAsia" w:ascii="仿宋" w:hAnsi="仿宋" w:eastAsia="仿宋" w:cs="仿宋"/>
          <w:bCs/>
        </w:rPr>
        <w:t>根据本项目制定的拟派人员的管理制度及安全管理方案，管理制度、人员培训、人员资质、人员安排、人员服务能力、人员安全管理的方案。</w:t>
      </w:r>
    </w:p>
    <w:p w14:paraId="2DFEE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仿宋" w:hAnsi="仿宋" w:eastAsia="仿宋" w:cs="仿宋"/>
          <w:bCs/>
          <w:color w:val="auto"/>
          <w:sz w:val="24"/>
          <w:szCs w:val="24"/>
          <w:highlight w:val="none"/>
          <w:lang w:val="en-US" w:eastAsia="zh-CN" w:bidi="ar-SA"/>
        </w:rPr>
      </w:pPr>
      <w:r>
        <w:rPr>
          <w:rFonts w:hint="eastAsia" w:ascii="仿宋" w:hAnsi="仿宋" w:eastAsia="仿宋" w:cs="仿宋"/>
          <w:bCs/>
          <w:color w:val="auto"/>
          <w:sz w:val="24"/>
          <w:szCs w:val="24"/>
          <w:highlight w:val="none"/>
          <w:lang w:val="en-US" w:eastAsia="zh-CN" w:bidi="ar-SA"/>
        </w:rPr>
        <w:t>5.应急方案</w:t>
      </w:r>
    </w:p>
    <w:p w14:paraId="343E7E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仿宋" w:hAnsi="仿宋" w:eastAsia="仿宋" w:cs="仿宋"/>
          <w:bCs/>
          <w:color w:val="auto"/>
          <w:sz w:val="24"/>
          <w:szCs w:val="24"/>
          <w:highlight w:val="none"/>
          <w:lang w:val="en-US" w:eastAsia="zh-CN" w:bidi="ar-SA"/>
        </w:rPr>
      </w:pPr>
      <w:r>
        <w:rPr>
          <w:rFonts w:hint="eastAsia" w:ascii="仿宋" w:hAnsi="仿宋" w:eastAsia="仿宋" w:cs="仿宋"/>
          <w:bCs/>
        </w:rPr>
        <w:t>根据本项目需求提供对项目重点难点分析、应对措施及相关的合理化建议</w:t>
      </w:r>
      <w:r>
        <w:rPr>
          <w:rFonts w:hint="eastAsia" w:ascii="仿宋" w:hAnsi="仿宋" w:eastAsia="仿宋" w:cs="仿宋"/>
          <w:bCs/>
          <w:lang w:eastAsia="zh-CN"/>
        </w:rPr>
        <w:t>。</w:t>
      </w:r>
    </w:p>
    <w:p w14:paraId="16254C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仿宋" w:hAnsi="仿宋" w:eastAsia="仿宋" w:cs="仿宋"/>
          <w:bCs/>
          <w:color w:val="auto"/>
          <w:sz w:val="24"/>
          <w:szCs w:val="24"/>
          <w:highlight w:val="none"/>
          <w:lang w:val="en-US" w:eastAsia="zh-CN" w:bidi="ar-SA"/>
        </w:rPr>
      </w:pPr>
      <w:r>
        <w:rPr>
          <w:rFonts w:hint="eastAsia" w:ascii="仿宋" w:hAnsi="仿宋" w:eastAsia="仿宋" w:cs="仿宋"/>
          <w:bCs/>
          <w:color w:val="auto"/>
          <w:sz w:val="24"/>
          <w:szCs w:val="24"/>
          <w:highlight w:val="none"/>
          <w:lang w:val="en-US" w:eastAsia="zh-CN" w:bidi="ar-SA"/>
        </w:rPr>
        <w:t>6.安全文明保障方案</w:t>
      </w:r>
    </w:p>
    <w:p w14:paraId="0AEC21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仿宋" w:hAnsi="仿宋" w:eastAsia="仿宋" w:cs="仿宋"/>
          <w:bCs/>
          <w:color w:val="auto"/>
          <w:sz w:val="24"/>
          <w:szCs w:val="24"/>
          <w:highlight w:val="none"/>
          <w:lang w:val="en-US" w:eastAsia="zh-CN" w:bidi="ar-SA"/>
        </w:rPr>
      </w:pPr>
      <w:r>
        <w:rPr>
          <w:rFonts w:hint="eastAsia" w:ascii="仿宋" w:hAnsi="仿宋" w:eastAsia="仿宋" w:cs="仿宋"/>
          <w:bCs/>
          <w:color w:val="auto"/>
          <w:sz w:val="24"/>
          <w:szCs w:val="24"/>
          <w:highlight w:val="none"/>
          <w:lang w:val="en-US" w:eastAsia="zh-CN" w:bidi="ar-SA"/>
        </w:rPr>
        <w:t>根据该项目提供符合采购人情况的安全文明保障方案，</w:t>
      </w:r>
      <w:r>
        <w:rPr>
          <w:rFonts w:hint="eastAsia" w:ascii="仿宋" w:hAnsi="仿宋" w:eastAsia="仿宋" w:cs="仿宋"/>
          <w:color w:val="auto"/>
          <w:highlight w:val="none"/>
        </w:rPr>
        <w:t>包括但不限于现场安全保障、文明保障、环境保护等</w:t>
      </w:r>
      <w:r>
        <w:rPr>
          <w:rFonts w:hint="eastAsia" w:ascii="仿宋" w:hAnsi="仿宋" w:eastAsia="仿宋" w:cs="仿宋"/>
          <w:color w:val="auto"/>
          <w:highlight w:val="none"/>
          <w:lang w:val="en-US" w:eastAsia="zh-CN"/>
        </w:rPr>
        <w:t>内容</w:t>
      </w:r>
      <w:r>
        <w:rPr>
          <w:rFonts w:hint="eastAsia" w:ascii="仿宋" w:hAnsi="仿宋" w:eastAsia="仿宋" w:cs="仿宋"/>
          <w:color w:val="auto"/>
          <w:highlight w:val="none"/>
        </w:rPr>
        <w:t>。</w:t>
      </w:r>
      <w:r>
        <w:rPr>
          <w:rFonts w:hint="eastAsia" w:ascii="仿宋" w:hAnsi="仿宋" w:eastAsia="仿宋" w:cs="仿宋"/>
          <w:bCs/>
          <w:color w:val="auto"/>
          <w:sz w:val="24"/>
          <w:szCs w:val="24"/>
          <w:highlight w:val="none"/>
          <w:lang w:val="en-US" w:eastAsia="zh-CN" w:bidi="ar-SA"/>
        </w:rPr>
        <w:br w:type="page"/>
      </w:r>
    </w:p>
    <w:bookmarkEnd w:id="48"/>
    <w:p w14:paraId="4E50843B">
      <w:pPr>
        <w:pStyle w:val="228"/>
        <w:spacing w:before="160" w:after="150" w:line="240" w:lineRule="auto"/>
        <w:jc w:val="center"/>
        <w:rPr>
          <w:rFonts w:hint="eastAsia" w:eastAsia="宋体"/>
          <w:color w:val="auto"/>
          <w:highlight w:val="none"/>
        </w:rPr>
      </w:pPr>
      <w:bookmarkStart w:id="54" w:name="_Toc22378"/>
      <w:r>
        <w:rPr>
          <w:rFonts w:hint="eastAsia" w:eastAsia="宋体"/>
          <w:color w:val="auto"/>
          <w:highlight w:val="none"/>
        </w:rPr>
        <w:t>第</w:t>
      </w:r>
      <w:r>
        <w:rPr>
          <w:rFonts w:hint="eastAsia" w:eastAsia="宋体"/>
          <w:color w:val="auto"/>
          <w:highlight w:val="none"/>
          <w:lang w:val="en-US" w:eastAsia="zh-CN"/>
        </w:rPr>
        <w:t>五</w:t>
      </w:r>
      <w:r>
        <w:rPr>
          <w:rFonts w:hint="eastAsia" w:eastAsia="宋体"/>
          <w:color w:val="auto"/>
          <w:highlight w:val="none"/>
        </w:rPr>
        <w:t xml:space="preserve">部分  </w:t>
      </w:r>
      <w:bookmarkEnd w:id="45"/>
      <w:bookmarkEnd w:id="54"/>
      <w:r>
        <w:rPr>
          <w:rFonts w:hint="eastAsia" w:eastAsia="宋体"/>
          <w:color w:val="auto"/>
          <w:highlight w:val="none"/>
        </w:rPr>
        <w:t>评标方法和标准</w:t>
      </w:r>
    </w:p>
    <w:p w14:paraId="2DA1C18E">
      <w:pPr>
        <w:spacing w:line="440" w:lineRule="exact"/>
        <w:rPr>
          <w:rFonts w:ascii="黑体" w:hAnsi="黑体" w:eastAsia="黑体"/>
          <w:color w:val="auto"/>
          <w:sz w:val="32"/>
          <w:szCs w:val="32"/>
          <w:highlight w:val="none"/>
        </w:rPr>
      </w:pPr>
      <w:r>
        <w:rPr>
          <w:rFonts w:hint="eastAsia" w:ascii="黑体" w:hAnsi="黑体" w:eastAsia="黑体"/>
          <w:color w:val="auto"/>
          <w:sz w:val="32"/>
          <w:szCs w:val="32"/>
          <w:highlight w:val="none"/>
        </w:rPr>
        <w:t>综合评分法</w:t>
      </w:r>
    </w:p>
    <w:p w14:paraId="5ECBAC25">
      <w:pPr>
        <w:numPr>
          <w:ilvl w:val="0"/>
          <w:numId w:val="6"/>
        </w:numPr>
        <w:spacing w:line="440" w:lineRule="exact"/>
        <w:ind w:firstLine="482"/>
        <w:jc w:val="left"/>
        <w:rPr>
          <w:rFonts w:ascii="仿宋" w:hAnsi="仿宋" w:eastAsia="仿宋" w:cs="仿宋"/>
          <w:b/>
          <w:color w:val="auto"/>
          <w:highlight w:val="none"/>
        </w:rPr>
      </w:pPr>
      <w:bookmarkStart w:id="55" w:name="EB1a5d8b2c3833482f95a1f101c76adb9d"/>
      <w:r>
        <w:rPr>
          <w:rFonts w:hint="eastAsia" w:ascii="仿宋" w:hAnsi="仿宋" w:eastAsia="仿宋" w:cs="仿宋"/>
          <w:b/>
          <w:color w:val="auto"/>
          <w:highlight w:val="none"/>
        </w:rPr>
        <w:t>资格性审查</w:t>
      </w:r>
    </w:p>
    <w:p w14:paraId="0832404B">
      <w:pPr>
        <w:spacing w:line="440" w:lineRule="exact"/>
        <w:ind w:firstLine="480"/>
        <w:jc w:val="left"/>
        <w:rPr>
          <w:rFonts w:ascii="仿宋" w:hAnsi="仿宋" w:eastAsia="仿宋" w:cs="仿宋"/>
          <w:color w:val="auto"/>
          <w:highlight w:val="none"/>
        </w:rPr>
      </w:pPr>
      <w:r>
        <w:rPr>
          <w:rFonts w:hint="eastAsia" w:ascii="仿宋" w:hAnsi="仿宋" w:eastAsia="仿宋" w:cs="仿宋"/>
          <w:color w:val="auto"/>
          <w:highlight w:val="none"/>
        </w:rPr>
        <w:t>采购人或采购代理机构按照招标文件第一部分《招标公告》申请人的资格要求，对各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进行资格性审查，未通过评审的为无效标，不再参与评审。</w:t>
      </w:r>
    </w:p>
    <w:p w14:paraId="4D0CF0E9">
      <w:pPr>
        <w:numPr>
          <w:ilvl w:val="0"/>
          <w:numId w:val="6"/>
        </w:numPr>
        <w:spacing w:line="440" w:lineRule="exact"/>
        <w:ind w:firstLine="482"/>
        <w:jc w:val="left"/>
        <w:rPr>
          <w:rFonts w:ascii="仿宋" w:hAnsi="仿宋" w:eastAsia="仿宋" w:cs="仿宋"/>
          <w:color w:val="auto"/>
          <w:highlight w:val="none"/>
        </w:rPr>
      </w:pPr>
      <w:r>
        <w:rPr>
          <w:rFonts w:hint="eastAsia" w:ascii="仿宋" w:hAnsi="仿宋" w:eastAsia="仿宋" w:cs="仿宋"/>
          <w:b/>
          <w:color w:val="auto"/>
          <w:highlight w:val="none"/>
        </w:rPr>
        <w:t>符合性审查</w:t>
      </w:r>
    </w:p>
    <w:p w14:paraId="3155E437">
      <w:pPr>
        <w:spacing w:line="440" w:lineRule="exact"/>
        <w:ind w:firstLine="480"/>
        <w:jc w:val="left"/>
        <w:rPr>
          <w:rFonts w:ascii="仿宋" w:hAnsi="仿宋" w:eastAsia="仿宋" w:cs="仿宋"/>
          <w:color w:val="auto"/>
          <w:highlight w:val="none"/>
        </w:rPr>
      </w:pPr>
      <w:r>
        <w:rPr>
          <w:rFonts w:hint="eastAsia" w:ascii="仿宋" w:hAnsi="仿宋" w:eastAsia="仿宋" w:cs="仿宋"/>
          <w:color w:val="auto"/>
          <w:highlight w:val="none"/>
        </w:rPr>
        <w:t>评标委员会按照下列指标对各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进行符合性审查，未通过评审的为无效标，不再参与评审。</w:t>
      </w:r>
      <w:bookmarkEnd w:id="55"/>
    </w:p>
    <w:tbl>
      <w:tblPr>
        <w:tblStyle w:val="38"/>
        <w:tblW w:w="5111" w:type="pct"/>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96"/>
        <w:gridCol w:w="2802"/>
        <w:gridCol w:w="4853"/>
      </w:tblGrid>
      <w:tr w14:paraId="10C28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rPr>
        <w:tc>
          <w:tcPr>
            <w:tcW w:w="1395" w:type="dxa"/>
            <w:vAlign w:val="center"/>
          </w:tcPr>
          <w:p w14:paraId="7A1DFE0E">
            <w:pPr>
              <w:keepNext w:val="0"/>
              <w:keepLines w:val="0"/>
              <w:suppressLineNumbers w:val="0"/>
              <w:spacing w:before="0" w:beforeAutospacing="0" w:after="0" w:afterAutospacing="0" w:line="460" w:lineRule="exact"/>
              <w:ind w:left="0" w:right="0"/>
              <w:jc w:val="center"/>
              <w:rPr>
                <w:rFonts w:hint="default" w:ascii="仿宋" w:hAnsi="仿宋" w:eastAsia="仿宋" w:cs="仿宋"/>
                <w:b/>
                <w:bCs/>
                <w:szCs w:val="28"/>
                <w:highlight w:val="none"/>
              </w:rPr>
            </w:pPr>
            <w:r>
              <w:rPr>
                <w:rFonts w:hint="eastAsia" w:ascii="仿宋" w:hAnsi="仿宋" w:eastAsia="仿宋" w:cs="仿宋"/>
                <w:b/>
                <w:bCs/>
                <w:szCs w:val="28"/>
                <w:highlight w:val="none"/>
              </w:rPr>
              <w:t>符合性要求</w:t>
            </w:r>
          </w:p>
        </w:tc>
        <w:tc>
          <w:tcPr>
            <w:tcW w:w="2799" w:type="dxa"/>
            <w:vAlign w:val="center"/>
          </w:tcPr>
          <w:p w14:paraId="52CD5CDE">
            <w:pPr>
              <w:keepNext w:val="0"/>
              <w:keepLines w:val="0"/>
              <w:suppressLineNumbers w:val="0"/>
              <w:spacing w:before="0" w:beforeAutospacing="0" w:after="0" w:afterAutospacing="0" w:line="460" w:lineRule="exact"/>
              <w:ind w:left="0" w:right="0"/>
              <w:jc w:val="center"/>
              <w:rPr>
                <w:rFonts w:hint="default" w:ascii="仿宋" w:hAnsi="仿宋" w:eastAsia="仿宋" w:cs="仿宋"/>
                <w:b/>
                <w:bCs/>
                <w:szCs w:val="28"/>
                <w:highlight w:val="none"/>
              </w:rPr>
            </w:pPr>
            <w:r>
              <w:rPr>
                <w:rFonts w:hint="eastAsia" w:ascii="仿宋" w:hAnsi="仿宋" w:eastAsia="仿宋" w:cs="仿宋"/>
                <w:b/>
                <w:bCs/>
                <w:szCs w:val="28"/>
                <w:highlight w:val="none"/>
              </w:rPr>
              <w:t>符合性审查因素</w:t>
            </w:r>
          </w:p>
        </w:tc>
        <w:tc>
          <w:tcPr>
            <w:tcW w:w="4848" w:type="dxa"/>
            <w:vAlign w:val="center"/>
          </w:tcPr>
          <w:p w14:paraId="712C3C6B">
            <w:pPr>
              <w:keepNext w:val="0"/>
              <w:keepLines w:val="0"/>
              <w:suppressLineNumbers w:val="0"/>
              <w:spacing w:before="0" w:beforeAutospacing="0" w:after="0" w:afterAutospacing="0" w:line="460" w:lineRule="exact"/>
              <w:ind w:left="0" w:right="0"/>
              <w:jc w:val="center"/>
              <w:rPr>
                <w:rFonts w:hint="default" w:ascii="仿宋" w:hAnsi="仿宋" w:eastAsia="仿宋" w:cs="仿宋"/>
                <w:b/>
                <w:bCs/>
                <w:szCs w:val="28"/>
                <w:highlight w:val="none"/>
              </w:rPr>
            </w:pPr>
            <w:r>
              <w:rPr>
                <w:rFonts w:hint="eastAsia" w:ascii="仿宋" w:hAnsi="仿宋" w:eastAsia="仿宋" w:cs="仿宋"/>
                <w:b/>
                <w:bCs/>
                <w:szCs w:val="28"/>
                <w:highlight w:val="none"/>
              </w:rPr>
              <w:t>评审标准</w:t>
            </w:r>
          </w:p>
        </w:tc>
      </w:tr>
      <w:tr w14:paraId="6FD32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rPr>
        <w:tc>
          <w:tcPr>
            <w:tcW w:w="1395" w:type="dxa"/>
            <w:vAlign w:val="center"/>
          </w:tcPr>
          <w:p w14:paraId="61651A24">
            <w:pPr>
              <w:keepNext w:val="0"/>
              <w:keepLines w:val="0"/>
              <w:suppressLineNumbers w:val="0"/>
              <w:spacing w:before="0" w:beforeAutospacing="0" w:after="0" w:afterAutospacing="0" w:line="460" w:lineRule="exact"/>
              <w:ind w:left="0" w:right="0"/>
              <w:jc w:val="center"/>
              <w:rPr>
                <w:rFonts w:hint="default" w:ascii="仿宋" w:hAnsi="仿宋" w:eastAsia="仿宋" w:cs="仿宋"/>
                <w:sz w:val="21"/>
                <w:szCs w:val="22"/>
                <w:highlight w:val="none"/>
              </w:rPr>
            </w:pPr>
            <w:r>
              <w:rPr>
                <w:rFonts w:hint="eastAsia" w:ascii="仿宋" w:hAnsi="仿宋" w:eastAsia="仿宋" w:cs="仿宋"/>
                <w:sz w:val="21"/>
                <w:szCs w:val="22"/>
                <w:highlight w:val="none"/>
              </w:rPr>
              <w:t>报价要求</w:t>
            </w:r>
          </w:p>
        </w:tc>
        <w:tc>
          <w:tcPr>
            <w:tcW w:w="2799" w:type="dxa"/>
            <w:shd w:val="clear" w:color="auto" w:fill="auto"/>
            <w:vAlign w:val="center"/>
          </w:tcPr>
          <w:p w14:paraId="35E9A166">
            <w:pPr>
              <w:keepNext w:val="0"/>
              <w:keepLines w:val="0"/>
              <w:suppressLineNumbers w:val="0"/>
              <w:spacing w:before="0" w:beforeAutospacing="0" w:after="0" w:afterAutospacing="0" w:line="460" w:lineRule="exact"/>
              <w:ind w:left="0" w:right="0"/>
              <w:jc w:val="center"/>
              <w:rPr>
                <w:rFonts w:hint="default" w:ascii="仿宋" w:hAnsi="仿宋" w:eastAsia="仿宋" w:cs="仿宋"/>
                <w:sz w:val="21"/>
                <w:szCs w:val="22"/>
                <w:highlight w:val="none"/>
              </w:rPr>
            </w:pPr>
            <w:r>
              <w:rPr>
                <w:rFonts w:hint="eastAsia" w:ascii="仿宋" w:hAnsi="仿宋" w:eastAsia="仿宋" w:cs="仿宋"/>
                <w:sz w:val="21"/>
                <w:szCs w:val="22"/>
                <w:highlight w:val="none"/>
              </w:rPr>
              <w:t>开标一览表及报价</w:t>
            </w:r>
          </w:p>
        </w:tc>
        <w:tc>
          <w:tcPr>
            <w:tcW w:w="4848" w:type="dxa"/>
            <w:shd w:val="clear" w:color="auto" w:fill="auto"/>
            <w:vAlign w:val="center"/>
          </w:tcPr>
          <w:p w14:paraId="6016021A">
            <w:pPr>
              <w:keepNext w:val="0"/>
              <w:keepLines w:val="0"/>
              <w:suppressLineNumbers w:val="0"/>
              <w:spacing w:before="0" w:beforeAutospacing="0" w:after="0" w:afterAutospacing="0" w:line="460" w:lineRule="exact"/>
              <w:ind w:left="0" w:right="0"/>
              <w:jc w:val="left"/>
              <w:rPr>
                <w:rFonts w:hint="default" w:ascii="仿宋" w:hAnsi="仿宋" w:eastAsia="仿宋" w:cs="仿宋"/>
                <w:sz w:val="21"/>
                <w:szCs w:val="22"/>
                <w:highlight w:val="none"/>
              </w:rPr>
            </w:pPr>
            <w:r>
              <w:rPr>
                <w:rFonts w:hint="eastAsia" w:ascii="仿宋" w:hAnsi="仿宋" w:eastAsia="仿宋" w:cs="仿宋"/>
                <w:sz w:val="21"/>
                <w:szCs w:val="22"/>
                <w:highlight w:val="none"/>
              </w:rPr>
              <w:t>格式、填写要求符合招标文件规定，报价未超过预算或最高限价</w:t>
            </w:r>
          </w:p>
        </w:tc>
      </w:tr>
      <w:tr w14:paraId="4C363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rPr>
        <w:tc>
          <w:tcPr>
            <w:tcW w:w="1395" w:type="dxa"/>
            <w:vMerge w:val="restart"/>
            <w:vAlign w:val="center"/>
          </w:tcPr>
          <w:p w14:paraId="0511F647">
            <w:pPr>
              <w:keepNext w:val="0"/>
              <w:keepLines w:val="0"/>
              <w:suppressLineNumbers w:val="0"/>
              <w:spacing w:before="0" w:beforeAutospacing="0" w:after="0" w:afterAutospacing="0" w:line="460" w:lineRule="exact"/>
              <w:ind w:left="0" w:right="0"/>
              <w:jc w:val="center"/>
              <w:rPr>
                <w:rFonts w:hint="default" w:ascii="仿宋" w:hAnsi="仿宋" w:eastAsia="仿宋" w:cs="仿宋"/>
                <w:sz w:val="21"/>
                <w:szCs w:val="22"/>
                <w:highlight w:val="none"/>
              </w:rPr>
            </w:pPr>
            <w:r>
              <w:rPr>
                <w:rFonts w:hint="eastAsia" w:ascii="仿宋" w:hAnsi="仿宋" w:eastAsia="仿宋" w:cs="仿宋"/>
                <w:sz w:val="21"/>
                <w:szCs w:val="22"/>
                <w:highlight w:val="none"/>
              </w:rPr>
              <w:t>商务要求</w:t>
            </w:r>
          </w:p>
        </w:tc>
        <w:tc>
          <w:tcPr>
            <w:tcW w:w="2799" w:type="dxa"/>
            <w:vAlign w:val="center"/>
          </w:tcPr>
          <w:p w14:paraId="7AC7923B">
            <w:pPr>
              <w:keepNext w:val="0"/>
              <w:keepLines w:val="0"/>
              <w:suppressLineNumbers w:val="0"/>
              <w:spacing w:before="0" w:beforeAutospacing="0" w:after="0" w:afterAutospacing="0" w:line="460" w:lineRule="exact"/>
              <w:ind w:left="0" w:right="0"/>
              <w:jc w:val="center"/>
              <w:rPr>
                <w:rFonts w:hint="default" w:ascii="仿宋" w:hAnsi="仿宋" w:eastAsia="仿宋" w:cs="仿宋"/>
                <w:sz w:val="21"/>
                <w:szCs w:val="22"/>
                <w:highlight w:val="none"/>
              </w:rPr>
            </w:pPr>
            <w:r>
              <w:rPr>
                <w:rFonts w:hint="eastAsia" w:ascii="仿宋" w:hAnsi="仿宋" w:eastAsia="仿宋" w:cs="仿宋"/>
                <w:sz w:val="21"/>
                <w:szCs w:val="22"/>
                <w:highlight w:val="none"/>
              </w:rPr>
              <w:t>投标声明及承诺函</w:t>
            </w:r>
          </w:p>
        </w:tc>
        <w:tc>
          <w:tcPr>
            <w:tcW w:w="4848" w:type="dxa"/>
            <w:vAlign w:val="center"/>
          </w:tcPr>
          <w:p w14:paraId="6003068D">
            <w:pPr>
              <w:keepNext w:val="0"/>
              <w:keepLines w:val="0"/>
              <w:suppressLineNumbers w:val="0"/>
              <w:spacing w:before="0" w:beforeAutospacing="0" w:after="0" w:afterAutospacing="0" w:line="460" w:lineRule="exact"/>
              <w:ind w:left="0" w:right="0"/>
              <w:jc w:val="left"/>
              <w:rPr>
                <w:rFonts w:hint="default" w:ascii="仿宋" w:hAnsi="仿宋" w:eastAsia="仿宋" w:cs="仿宋"/>
                <w:sz w:val="21"/>
                <w:szCs w:val="22"/>
                <w:highlight w:val="none"/>
              </w:rPr>
            </w:pPr>
            <w:r>
              <w:rPr>
                <w:rFonts w:hint="eastAsia" w:ascii="仿宋" w:hAnsi="仿宋" w:eastAsia="仿宋" w:cs="仿宋"/>
                <w:sz w:val="21"/>
                <w:szCs w:val="22"/>
                <w:highlight w:val="none"/>
              </w:rPr>
              <w:t>内容符合招标文件要求，并且按照要求</w:t>
            </w:r>
            <w:r>
              <w:rPr>
                <w:rFonts w:hint="eastAsia" w:ascii="仿宋" w:hAnsi="仿宋" w:eastAsia="仿宋" w:cs="仿宋"/>
                <w:sz w:val="21"/>
                <w:szCs w:val="21"/>
                <w:highlight w:val="none"/>
              </w:rPr>
              <w:t>签章/签字</w:t>
            </w:r>
          </w:p>
        </w:tc>
      </w:tr>
      <w:tr w14:paraId="4CAC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rPr>
        <w:tc>
          <w:tcPr>
            <w:tcW w:w="1395" w:type="dxa"/>
            <w:vMerge w:val="continue"/>
            <w:vAlign w:val="center"/>
          </w:tcPr>
          <w:p w14:paraId="5F3FF45A">
            <w:pPr>
              <w:keepNext w:val="0"/>
              <w:keepLines w:val="0"/>
              <w:suppressLineNumbers w:val="0"/>
              <w:spacing w:before="0" w:beforeAutospacing="0" w:after="0" w:afterAutospacing="0" w:line="460" w:lineRule="exact"/>
              <w:ind w:left="0" w:right="0"/>
              <w:jc w:val="center"/>
              <w:rPr>
                <w:rFonts w:hint="default" w:ascii="仿宋" w:hAnsi="仿宋" w:eastAsia="仿宋" w:cs="仿宋"/>
                <w:sz w:val="21"/>
                <w:szCs w:val="22"/>
                <w:highlight w:val="none"/>
              </w:rPr>
            </w:pPr>
          </w:p>
        </w:tc>
        <w:tc>
          <w:tcPr>
            <w:tcW w:w="2799" w:type="dxa"/>
            <w:vAlign w:val="center"/>
          </w:tcPr>
          <w:p w14:paraId="1F92039C">
            <w:pPr>
              <w:keepNext w:val="0"/>
              <w:keepLines w:val="0"/>
              <w:suppressLineNumbers w:val="0"/>
              <w:spacing w:before="0" w:beforeAutospacing="0" w:after="0" w:afterAutospacing="0" w:line="460" w:lineRule="exact"/>
              <w:ind w:left="0" w:right="0"/>
              <w:jc w:val="center"/>
              <w:rPr>
                <w:rFonts w:hint="default" w:ascii="仿宋" w:hAnsi="仿宋" w:eastAsia="仿宋" w:cs="仿宋"/>
                <w:sz w:val="21"/>
                <w:szCs w:val="22"/>
                <w:highlight w:val="none"/>
              </w:rPr>
            </w:pPr>
            <w:r>
              <w:rPr>
                <w:rFonts w:hint="eastAsia" w:ascii="仿宋" w:hAnsi="仿宋" w:eastAsia="仿宋" w:cs="仿宋"/>
                <w:sz w:val="21"/>
                <w:szCs w:val="22"/>
                <w:highlight w:val="none"/>
              </w:rPr>
              <w:t>法定代表人身份证明或法定代表人授权书</w:t>
            </w:r>
          </w:p>
        </w:tc>
        <w:tc>
          <w:tcPr>
            <w:tcW w:w="4848" w:type="dxa"/>
            <w:vAlign w:val="center"/>
          </w:tcPr>
          <w:p w14:paraId="651622FD">
            <w:pPr>
              <w:keepNext w:val="0"/>
              <w:keepLines w:val="0"/>
              <w:suppressLineNumbers w:val="0"/>
              <w:spacing w:before="0" w:beforeAutospacing="0" w:after="0" w:afterAutospacing="0" w:line="460" w:lineRule="exact"/>
              <w:ind w:left="0" w:right="0"/>
              <w:jc w:val="left"/>
              <w:rPr>
                <w:rFonts w:hint="default" w:ascii="仿宋" w:hAnsi="仿宋" w:eastAsia="仿宋" w:cs="仿宋"/>
                <w:sz w:val="21"/>
                <w:szCs w:val="22"/>
                <w:highlight w:val="none"/>
              </w:rPr>
            </w:pPr>
            <w:r>
              <w:rPr>
                <w:rFonts w:hint="eastAsia" w:ascii="仿宋" w:hAnsi="仿宋" w:eastAsia="仿宋" w:cs="仿宋"/>
                <w:sz w:val="21"/>
                <w:szCs w:val="22"/>
                <w:highlight w:val="none"/>
              </w:rPr>
              <w:t>内容符合招标文件要求，并且按照要求</w:t>
            </w:r>
            <w:r>
              <w:rPr>
                <w:rFonts w:hint="eastAsia" w:ascii="仿宋" w:hAnsi="仿宋" w:eastAsia="仿宋" w:cs="仿宋"/>
                <w:sz w:val="21"/>
                <w:szCs w:val="21"/>
                <w:highlight w:val="none"/>
              </w:rPr>
              <w:t>签章/签字</w:t>
            </w:r>
          </w:p>
        </w:tc>
      </w:tr>
      <w:tr w14:paraId="7F11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9" w:hRule="atLeast"/>
        </w:trPr>
        <w:tc>
          <w:tcPr>
            <w:tcW w:w="1395" w:type="dxa"/>
            <w:vMerge w:val="continue"/>
            <w:vAlign w:val="center"/>
          </w:tcPr>
          <w:p w14:paraId="1CC82446">
            <w:pPr>
              <w:keepNext w:val="0"/>
              <w:keepLines w:val="0"/>
              <w:suppressLineNumbers w:val="0"/>
              <w:spacing w:before="0" w:beforeAutospacing="0" w:after="0" w:afterAutospacing="0" w:line="460" w:lineRule="exact"/>
              <w:ind w:left="0" w:right="0"/>
              <w:jc w:val="center"/>
              <w:rPr>
                <w:rFonts w:hint="default" w:ascii="仿宋" w:hAnsi="仿宋" w:eastAsia="仿宋" w:cs="仿宋"/>
                <w:sz w:val="21"/>
                <w:szCs w:val="22"/>
                <w:highlight w:val="none"/>
              </w:rPr>
            </w:pPr>
          </w:p>
        </w:tc>
        <w:tc>
          <w:tcPr>
            <w:tcW w:w="2799" w:type="dxa"/>
            <w:shd w:val="clear" w:color="auto" w:fill="auto"/>
            <w:vAlign w:val="center"/>
          </w:tcPr>
          <w:p w14:paraId="265FFFE2">
            <w:pPr>
              <w:keepNext w:val="0"/>
              <w:keepLines w:val="0"/>
              <w:suppressLineNumbers w:val="0"/>
              <w:spacing w:before="0" w:beforeAutospacing="0" w:after="0" w:afterAutospacing="0" w:line="460" w:lineRule="exact"/>
              <w:ind w:left="0" w:right="0"/>
              <w:jc w:val="center"/>
              <w:rPr>
                <w:rFonts w:hint="default" w:ascii="仿宋" w:hAnsi="仿宋" w:eastAsia="仿宋" w:cs="仿宋"/>
                <w:sz w:val="21"/>
                <w:szCs w:val="22"/>
                <w:highlight w:val="none"/>
              </w:rPr>
            </w:pPr>
            <w:r>
              <w:rPr>
                <w:rFonts w:hint="eastAsia" w:ascii="仿宋" w:hAnsi="仿宋" w:eastAsia="仿宋" w:cs="仿宋"/>
                <w:sz w:val="21"/>
                <w:szCs w:val="22"/>
                <w:highlight w:val="none"/>
              </w:rPr>
              <w:t>投标文件签署、盖章齐全完整</w:t>
            </w:r>
          </w:p>
        </w:tc>
        <w:tc>
          <w:tcPr>
            <w:tcW w:w="4848" w:type="dxa"/>
            <w:shd w:val="clear" w:color="auto" w:fill="auto"/>
            <w:vAlign w:val="center"/>
          </w:tcPr>
          <w:p w14:paraId="702205DA">
            <w:pPr>
              <w:keepNext w:val="0"/>
              <w:keepLines w:val="0"/>
              <w:suppressLineNumbers w:val="0"/>
              <w:spacing w:before="0" w:beforeAutospacing="0" w:after="0" w:afterAutospacing="0" w:line="460" w:lineRule="exact"/>
              <w:ind w:left="0" w:right="0"/>
              <w:rPr>
                <w:rFonts w:hint="default" w:ascii="仿宋" w:hAnsi="仿宋" w:eastAsia="仿宋" w:cs="仿宋"/>
                <w:sz w:val="21"/>
                <w:szCs w:val="22"/>
                <w:highlight w:val="none"/>
              </w:rPr>
            </w:pPr>
            <w:r>
              <w:rPr>
                <w:rFonts w:hint="eastAsia" w:ascii="仿宋" w:hAnsi="仿宋" w:eastAsia="仿宋" w:cs="仿宋"/>
                <w:sz w:val="21"/>
                <w:szCs w:val="22"/>
                <w:highlight w:val="none"/>
              </w:rPr>
              <w:t>符合招标文件要求</w:t>
            </w:r>
          </w:p>
        </w:tc>
      </w:tr>
      <w:tr w14:paraId="08A0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rPr>
        <w:tc>
          <w:tcPr>
            <w:tcW w:w="1395" w:type="dxa"/>
            <w:vMerge w:val="continue"/>
            <w:vAlign w:val="center"/>
          </w:tcPr>
          <w:p w14:paraId="440744F2">
            <w:pPr>
              <w:keepNext w:val="0"/>
              <w:keepLines w:val="0"/>
              <w:suppressLineNumbers w:val="0"/>
              <w:spacing w:before="0" w:beforeAutospacing="0" w:after="0" w:afterAutospacing="0" w:line="460" w:lineRule="exact"/>
              <w:ind w:left="0" w:right="0"/>
              <w:jc w:val="center"/>
              <w:rPr>
                <w:rFonts w:hint="default" w:ascii="仿宋" w:hAnsi="仿宋" w:eastAsia="仿宋" w:cs="仿宋"/>
                <w:color w:val="auto"/>
                <w:sz w:val="21"/>
                <w:szCs w:val="22"/>
                <w:highlight w:val="none"/>
              </w:rPr>
            </w:pPr>
          </w:p>
        </w:tc>
        <w:tc>
          <w:tcPr>
            <w:tcW w:w="2799" w:type="dxa"/>
            <w:vAlign w:val="center"/>
          </w:tcPr>
          <w:p w14:paraId="582B30F5">
            <w:pPr>
              <w:keepNext w:val="0"/>
              <w:keepLines w:val="0"/>
              <w:suppressLineNumbers w:val="0"/>
              <w:spacing w:before="0" w:beforeAutospacing="0" w:after="0" w:afterAutospacing="0" w:line="460" w:lineRule="exact"/>
              <w:ind w:left="0" w:right="0"/>
              <w:jc w:val="center"/>
              <w:rPr>
                <w:rFonts w:hint="default" w:ascii="仿宋" w:hAnsi="仿宋" w:eastAsia="仿宋" w:cs="仿宋"/>
                <w:color w:val="auto"/>
                <w:sz w:val="21"/>
                <w:szCs w:val="22"/>
                <w:highlight w:val="none"/>
              </w:rPr>
            </w:pPr>
            <w:r>
              <w:rPr>
                <w:rFonts w:hint="eastAsia" w:ascii="仿宋" w:hAnsi="仿宋" w:eastAsia="仿宋" w:cs="仿宋"/>
                <w:color w:val="auto"/>
                <w:sz w:val="21"/>
                <w:szCs w:val="22"/>
                <w:highlight w:val="none"/>
              </w:rPr>
              <w:t>联合体投标</w:t>
            </w:r>
          </w:p>
        </w:tc>
        <w:tc>
          <w:tcPr>
            <w:tcW w:w="4848" w:type="dxa"/>
            <w:vAlign w:val="center"/>
          </w:tcPr>
          <w:p w14:paraId="3F92BCFC">
            <w:pPr>
              <w:keepNext w:val="0"/>
              <w:keepLines w:val="0"/>
              <w:suppressLineNumbers w:val="0"/>
              <w:spacing w:before="0" w:beforeAutospacing="0" w:after="0" w:afterAutospacing="0" w:line="460" w:lineRule="exact"/>
              <w:ind w:left="0" w:right="0"/>
              <w:jc w:val="left"/>
              <w:rPr>
                <w:rFonts w:hint="default" w:ascii="仿宋" w:hAnsi="仿宋" w:eastAsia="仿宋" w:cs="仿宋"/>
                <w:color w:val="auto"/>
                <w:sz w:val="21"/>
                <w:szCs w:val="22"/>
                <w:highlight w:val="none"/>
              </w:rPr>
            </w:pPr>
            <w:r>
              <w:rPr>
                <w:rFonts w:hint="eastAsia" w:ascii="仿宋" w:hAnsi="仿宋" w:eastAsia="仿宋" w:cs="仿宋"/>
                <w:color w:val="auto"/>
                <w:sz w:val="21"/>
                <w:szCs w:val="22"/>
                <w:highlight w:val="none"/>
                <w:lang w:val="en-US" w:eastAsia="zh-CN"/>
              </w:rPr>
              <w:t>本项目接受联合体投标，</w:t>
            </w:r>
            <w:r>
              <w:rPr>
                <w:rFonts w:hint="eastAsia" w:ascii="仿宋" w:hAnsi="仿宋" w:eastAsia="仿宋" w:cs="仿宋"/>
                <w:color w:val="auto"/>
                <w:sz w:val="21"/>
                <w:szCs w:val="22"/>
                <w:highlight w:val="none"/>
              </w:rPr>
              <w:t>允许最多2家单位组成联合体参加投标</w:t>
            </w:r>
          </w:p>
        </w:tc>
      </w:tr>
      <w:tr w14:paraId="23D6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rPr>
        <w:tc>
          <w:tcPr>
            <w:tcW w:w="1395" w:type="dxa"/>
            <w:vMerge w:val="continue"/>
            <w:vAlign w:val="center"/>
          </w:tcPr>
          <w:p w14:paraId="00290E96">
            <w:pPr>
              <w:keepNext w:val="0"/>
              <w:keepLines w:val="0"/>
              <w:suppressLineNumbers w:val="0"/>
              <w:spacing w:before="0" w:beforeAutospacing="0" w:after="0" w:afterAutospacing="0" w:line="460" w:lineRule="exact"/>
              <w:ind w:left="0" w:right="0"/>
              <w:jc w:val="center"/>
              <w:rPr>
                <w:rFonts w:hint="default" w:ascii="仿宋" w:hAnsi="仿宋" w:eastAsia="仿宋" w:cs="仿宋"/>
                <w:color w:val="auto"/>
                <w:sz w:val="21"/>
                <w:szCs w:val="22"/>
                <w:highlight w:val="none"/>
              </w:rPr>
            </w:pPr>
          </w:p>
        </w:tc>
        <w:tc>
          <w:tcPr>
            <w:tcW w:w="2799" w:type="dxa"/>
            <w:vAlign w:val="center"/>
          </w:tcPr>
          <w:p w14:paraId="3E6DDF1C">
            <w:pPr>
              <w:keepNext w:val="0"/>
              <w:keepLines w:val="0"/>
              <w:suppressLineNumbers w:val="0"/>
              <w:spacing w:before="0" w:beforeAutospacing="0" w:after="0" w:afterAutospacing="0" w:line="460" w:lineRule="exact"/>
              <w:ind w:left="0" w:right="0"/>
              <w:jc w:val="center"/>
              <w:rPr>
                <w:rFonts w:hint="default" w:ascii="仿宋" w:hAnsi="仿宋" w:eastAsia="仿宋" w:cs="仿宋"/>
                <w:color w:val="auto"/>
                <w:sz w:val="21"/>
                <w:szCs w:val="22"/>
                <w:highlight w:val="none"/>
              </w:rPr>
            </w:pPr>
            <w:r>
              <w:rPr>
                <w:rFonts w:hint="eastAsia" w:ascii="仿宋" w:hAnsi="仿宋" w:eastAsia="仿宋" w:cs="仿宋"/>
                <w:color w:val="auto"/>
                <w:sz w:val="21"/>
                <w:szCs w:val="22"/>
                <w:highlight w:val="none"/>
              </w:rPr>
              <w:t>投标有效期</w:t>
            </w:r>
          </w:p>
        </w:tc>
        <w:tc>
          <w:tcPr>
            <w:tcW w:w="4848" w:type="dxa"/>
            <w:vAlign w:val="center"/>
          </w:tcPr>
          <w:p w14:paraId="4ADD03D8">
            <w:pPr>
              <w:keepNext w:val="0"/>
              <w:keepLines w:val="0"/>
              <w:suppressLineNumbers w:val="0"/>
              <w:spacing w:before="0" w:beforeAutospacing="0" w:after="0" w:afterAutospacing="0" w:line="460" w:lineRule="exact"/>
              <w:ind w:left="0" w:right="0"/>
              <w:jc w:val="left"/>
              <w:rPr>
                <w:rFonts w:hint="default" w:ascii="仿宋" w:hAnsi="仿宋" w:eastAsia="仿宋" w:cs="仿宋"/>
                <w:color w:val="auto"/>
                <w:sz w:val="21"/>
                <w:szCs w:val="22"/>
                <w:highlight w:val="none"/>
              </w:rPr>
            </w:pPr>
            <w:r>
              <w:rPr>
                <w:rFonts w:hint="eastAsia" w:ascii="仿宋" w:hAnsi="仿宋" w:eastAsia="仿宋" w:cs="仿宋"/>
                <w:color w:val="auto"/>
                <w:sz w:val="21"/>
                <w:szCs w:val="22"/>
                <w:highlight w:val="none"/>
              </w:rPr>
              <w:t>符合招标文件要求</w:t>
            </w:r>
          </w:p>
        </w:tc>
      </w:tr>
      <w:tr w14:paraId="5D87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rPr>
        <w:tc>
          <w:tcPr>
            <w:tcW w:w="1395" w:type="dxa"/>
            <w:vMerge w:val="continue"/>
            <w:vAlign w:val="center"/>
          </w:tcPr>
          <w:p w14:paraId="4E7DB57B">
            <w:pPr>
              <w:keepNext w:val="0"/>
              <w:keepLines w:val="0"/>
              <w:suppressLineNumbers w:val="0"/>
              <w:spacing w:before="0" w:beforeAutospacing="0" w:after="0" w:afterAutospacing="0" w:line="460" w:lineRule="exact"/>
              <w:ind w:left="0" w:right="0"/>
              <w:jc w:val="center"/>
              <w:rPr>
                <w:rFonts w:hint="default" w:ascii="仿宋" w:hAnsi="仿宋" w:eastAsia="仿宋" w:cs="仿宋"/>
                <w:color w:val="auto"/>
                <w:sz w:val="21"/>
                <w:szCs w:val="22"/>
                <w:highlight w:val="none"/>
              </w:rPr>
            </w:pPr>
          </w:p>
        </w:tc>
        <w:tc>
          <w:tcPr>
            <w:tcW w:w="2799" w:type="dxa"/>
            <w:vAlign w:val="center"/>
          </w:tcPr>
          <w:p w14:paraId="20DE3C71">
            <w:pPr>
              <w:keepNext w:val="0"/>
              <w:keepLines w:val="0"/>
              <w:suppressLineNumbers w:val="0"/>
              <w:spacing w:before="0" w:beforeAutospacing="0" w:after="0" w:afterAutospacing="0" w:line="460" w:lineRule="exact"/>
              <w:ind w:left="0" w:right="0"/>
              <w:jc w:val="center"/>
              <w:rPr>
                <w:rFonts w:hint="eastAsia" w:ascii="仿宋" w:hAnsi="仿宋" w:eastAsia="仿宋" w:cs="仿宋"/>
                <w:color w:val="auto"/>
                <w:sz w:val="21"/>
                <w:szCs w:val="22"/>
                <w:highlight w:val="none"/>
              </w:rPr>
            </w:pPr>
            <w:r>
              <w:rPr>
                <w:rFonts w:hint="eastAsia" w:ascii="仿宋" w:hAnsi="仿宋" w:eastAsia="仿宋" w:cs="仿宋"/>
                <w:color w:val="auto"/>
                <w:sz w:val="21"/>
                <w:szCs w:val="22"/>
                <w:highlight w:val="none"/>
              </w:rPr>
              <w:t>商务要求响应</w:t>
            </w:r>
          </w:p>
        </w:tc>
        <w:tc>
          <w:tcPr>
            <w:tcW w:w="4848" w:type="dxa"/>
            <w:vAlign w:val="center"/>
          </w:tcPr>
          <w:p w14:paraId="02CA02DD">
            <w:pPr>
              <w:keepNext w:val="0"/>
              <w:keepLines w:val="0"/>
              <w:suppressLineNumbers w:val="0"/>
              <w:spacing w:before="0" w:beforeAutospacing="0" w:after="0" w:afterAutospacing="0" w:line="460" w:lineRule="exact"/>
              <w:ind w:left="0" w:right="0"/>
              <w:jc w:val="left"/>
              <w:rPr>
                <w:rFonts w:hint="eastAsia" w:ascii="仿宋" w:hAnsi="仿宋" w:eastAsia="仿宋" w:cs="仿宋"/>
                <w:color w:val="auto"/>
                <w:sz w:val="21"/>
                <w:szCs w:val="22"/>
                <w:highlight w:val="none"/>
              </w:rPr>
            </w:pPr>
            <w:r>
              <w:rPr>
                <w:rFonts w:hint="eastAsia" w:ascii="仿宋" w:hAnsi="仿宋" w:eastAsia="仿宋" w:cs="仿宋"/>
                <w:color w:val="auto"/>
                <w:sz w:val="21"/>
                <w:szCs w:val="22"/>
                <w:highlight w:val="none"/>
              </w:rPr>
              <w:t>填写符合招标文件要求，并且不存在负偏离</w:t>
            </w:r>
          </w:p>
        </w:tc>
      </w:tr>
      <w:tr w14:paraId="6C90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rPr>
        <w:tc>
          <w:tcPr>
            <w:tcW w:w="1395" w:type="dxa"/>
            <w:vMerge w:val="restart"/>
            <w:vAlign w:val="center"/>
          </w:tcPr>
          <w:p w14:paraId="796A0B23">
            <w:pPr>
              <w:keepNext w:val="0"/>
              <w:keepLines w:val="0"/>
              <w:suppressLineNumbers w:val="0"/>
              <w:spacing w:before="0" w:beforeAutospacing="0" w:after="0" w:afterAutospacing="0" w:line="460" w:lineRule="exact"/>
              <w:ind w:left="0" w:right="0"/>
              <w:jc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技术要求</w:t>
            </w:r>
          </w:p>
        </w:tc>
        <w:tc>
          <w:tcPr>
            <w:tcW w:w="2799" w:type="dxa"/>
            <w:vAlign w:val="center"/>
          </w:tcPr>
          <w:p w14:paraId="20A86877">
            <w:pPr>
              <w:keepNext w:val="0"/>
              <w:keepLines w:val="0"/>
              <w:suppressLineNumbers w:val="0"/>
              <w:spacing w:before="0" w:beforeAutospacing="0" w:after="0" w:afterAutospacing="0" w:line="460" w:lineRule="exact"/>
              <w:ind w:left="0" w:right="0"/>
              <w:jc w:val="center"/>
              <w:rPr>
                <w:rFonts w:hint="default" w:ascii="仿宋" w:hAnsi="仿宋" w:eastAsia="仿宋" w:cs="仿宋"/>
                <w:color w:val="auto"/>
                <w:sz w:val="21"/>
                <w:szCs w:val="22"/>
                <w:highlight w:val="none"/>
              </w:rPr>
            </w:pPr>
            <w:r>
              <w:rPr>
                <w:rFonts w:hint="eastAsia" w:ascii="仿宋" w:hAnsi="仿宋" w:eastAsia="仿宋" w:cs="仿宋"/>
                <w:color w:val="auto"/>
                <w:sz w:val="21"/>
                <w:szCs w:val="22"/>
                <w:highlight w:val="none"/>
              </w:rPr>
              <w:t>技术要求响应</w:t>
            </w:r>
          </w:p>
        </w:tc>
        <w:tc>
          <w:tcPr>
            <w:tcW w:w="4848" w:type="dxa"/>
            <w:vAlign w:val="center"/>
          </w:tcPr>
          <w:p w14:paraId="66E72847">
            <w:pPr>
              <w:keepNext w:val="0"/>
              <w:keepLines w:val="0"/>
              <w:suppressLineNumbers w:val="0"/>
              <w:spacing w:before="0" w:beforeAutospacing="0" w:after="0" w:afterAutospacing="0" w:line="460" w:lineRule="exact"/>
              <w:ind w:left="0" w:right="0"/>
              <w:jc w:val="left"/>
              <w:rPr>
                <w:rFonts w:hint="default" w:ascii="仿宋" w:hAnsi="仿宋" w:eastAsia="仿宋" w:cs="仿宋"/>
                <w:color w:val="auto"/>
                <w:sz w:val="21"/>
                <w:szCs w:val="22"/>
                <w:highlight w:val="none"/>
              </w:rPr>
            </w:pPr>
            <w:r>
              <w:rPr>
                <w:rFonts w:hint="eastAsia" w:ascii="仿宋" w:hAnsi="仿宋" w:eastAsia="仿宋" w:cs="仿宋"/>
                <w:color w:val="auto"/>
                <w:sz w:val="21"/>
                <w:szCs w:val="22"/>
                <w:highlight w:val="none"/>
              </w:rPr>
              <w:t>填写符合招标文件要求</w:t>
            </w:r>
          </w:p>
        </w:tc>
      </w:tr>
      <w:tr w14:paraId="1F1B6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trPr>
        <w:tc>
          <w:tcPr>
            <w:tcW w:w="1395" w:type="dxa"/>
            <w:vMerge w:val="continue"/>
            <w:vAlign w:val="center"/>
          </w:tcPr>
          <w:p w14:paraId="6B0125C9">
            <w:pPr>
              <w:keepNext w:val="0"/>
              <w:keepLines w:val="0"/>
              <w:suppressLineNumbers w:val="0"/>
              <w:spacing w:before="0" w:beforeAutospacing="0" w:after="0" w:afterAutospacing="0" w:line="460" w:lineRule="exact"/>
              <w:ind w:left="0" w:right="0"/>
              <w:jc w:val="center"/>
              <w:rPr>
                <w:rFonts w:hint="default" w:ascii="仿宋" w:hAnsi="仿宋" w:eastAsia="仿宋" w:cs="仿宋"/>
                <w:color w:val="auto"/>
                <w:sz w:val="21"/>
                <w:szCs w:val="21"/>
                <w:highlight w:val="none"/>
              </w:rPr>
            </w:pPr>
          </w:p>
        </w:tc>
        <w:tc>
          <w:tcPr>
            <w:tcW w:w="2799" w:type="dxa"/>
            <w:vAlign w:val="center"/>
          </w:tcPr>
          <w:p w14:paraId="1F47EDDC">
            <w:pPr>
              <w:keepNext w:val="0"/>
              <w:keepLines w:val="0"/>
              <w:suppressLineNumbers w:val="0"/>
              <w:spacing w:before="0" w:beforeAutospacing="0" w:after="0" w:afterAutospacing="0" w:line="460" w:lineRule="exact"/>
              <w:ind w:left="0" w:right="0"/>
              <w:jc w:val="center"/>
              <w:rPr>
                <w:rFonts w:hint="default" w:ascii="仿宋" w:hAnsi="仿宋" w:eastAsia="仿宋" w:cs="仿宋"/>
                <w:color w:val="auto"/>
                <w:sz w:val="21"/>
                <w:szCs w:val="22"/>
                <w:highlight w:val="none"/>
              </w:rPr>
            </w:pPr>
            <w:r>
              <w:rPr>
                <w:rFonts w:hint="default" w:ascii="仿宋" w:hAnsi="仿宋" w:eastAsia="仿宋" w:cs="仿宋"/>
                <w:color w:val="auto"/>
                <w:sz w:val="21"/>
                <w:szCs w:val="22"/>
                <w:highlight w:val="none"/>
              </w:rPr>
              <w:t>对实质性条款的响应性</w:t>
            </w:r>
          </w:p>
        </w:tc>
        <w:tc>
          <w:tcPr>
            <w:tcW w:w="4848" w:type="dxa"/>
            <w:vAlign w:val="center"/>
          </w:tcPr>
          <w:p w14:paraId="014444F5">
            <w:pPr>
              <w:keepNext w:val="0"/>
              <w:keepLines w:val="0"/>
              <w:suppressLineNumbers w:val="0"/>
              <w:spacing w:before="0" w:beforeAutospacing="0" w:after="0" w:afterAutospacing="0" w:line="460" w:lineRule="exact"/>
              <w:ind w:left="0" w:right="0"/>
              <w:jc w:val="left"/>
              <w:rPr>
                <w:rFonts w:hint="default" w:ascii="仿宋" w:hAnsi="仿宋" w:eastAsia="仿宋" w:cs="仿宋"/>
                <w:color w:val="auto"/>
                <w:sz w:val="21"/>
                <w:szCs w:val="22"/>
                <w:highlight w:val="none"/>
              </w:rPr>
            </w:pPr>
            <w:r>
              <w:rPr>
                <w:rFonts w:hint="eastAsia" w:ascii="仿宋" w:hAnsi="仿宋" w:eastAsia="仿宋" w:cs="仿宋"/>
                <w:color w:val="auto"/>
                <w:sz w:val="21"/>
                <w:szCs w:val="22"/>
                <w:highlight w:val="none"/>
              </w:rPr>
              <w:t>符合招标文件要求，并且不存在重大偏离</w:t>
            </w:r>
          </w:p>
        </w:tc>
      </w:tr>
    </w:tbl>
    <w:p w14:paraId="7F4178CC">
      <w:pPr>
        <w:numPr>
          <w:ilvl w:val="0"/>
          <w:numId w:val="6"/>
        </w:numPr>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详细评审</w:t>
      </w:r>
    </w:p>
    <w:p w14:paraId="75414079">
      <w:pPr>
        <w:spacing w:line="440" w:lineRule="exact"/>
        <w:ind w:firstLine="480"/>
        <w:jc w:val="left"/>
        <w:rPr>
          <w:rFonts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本项目采用综合评分法，评标委员会严格按招标文件规定的评分标准和要求，对各投标文件进行综合评审，按得分高低顺序推荐3名中标候选人。得分相同的，按报价从低到高顺序排列；得分且报价相同的，按需求响应优劣顺序排列。</w:t>
      </w:r>
    </w:p>
    <w:p w14:paraId="66798BE8">
      <w:pPr>
        <w:spacing w:line="440" w:lineRule="exact"/>
        <w:ind w:firstLine="480"/>
        <w:jc w:val="left"/>
        <w:rPr>
          <w:rFonts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w:t>
      </w:r>
      <w:r>
        <w:rPr>
          <w:rFonts w:hint="eastAsia" w:ascii="仿宋" w:hAnsi="仿宋" w:eastAsia="仿宋" w:cs="仿宋"/>
          <w:b/>
          <w:bCs/>
          <w:color w:val="auto"/>
          <w:highlight w:val="none"/>
        </w:rPr>
        <w:t>说明：所有以复印件/扫描件加盖公章作为依据的，原件标后备查。如为联合体</w:t>
      </w:r>
      <w:r>
        <w:rPr>
          <w:rFonts w:hint="eastAsia" w:ascii="仿宋" w:hAnsi="仿宋" w:eastAsia="仿宋" w:cs="仿宋"/>
          <w:b/>
          <w:bCs/>
          <w:color w:val="auto"/>
          <w:highlight w:val="none"/>
          <w:lang w:val="en-US" w:eastAsia="zh-CN"/>
        </w:rPr>
        <w:t>投标</w:t>
      </w:r>
      <w:r>
        <w:rPr>
          <w:rFonts w:hint="eastAsia" w:ascii="仿宋" w:hAnsi="仿宋" w:eastAsia="仿宋" w:cs="仿宋"/>
          <w:b/>
          <w:bCs/>
          <w:color w:val="auto"/>
          <w:highlight w:val="none"/>
        </w:rPr>
        <w:t>，以下评分内容中所有的证明材料联合体双方</w:t>
      </w:r>
      <w:r>
        <w:rPr>
          <w:rFonts w:hint="eastAsia" w:ascii="仿宋" w:hAnsi="仿宋" w:eastAsia="仿宋" w:cs="仿宋"/>
          <w:b/>
          <w:bCs/>
          <w:color w:val="auto"/>
          <w:highlight w:val="none"/>
          <w:lang w:val="en-US" w:eastAsia="zh-CN"/>
        </w:rPr>
        <w:t>任一方</w:t>
      </w:r>
      <w:r>
        <w:rPr>
          <w:rFonts w:hint="eastAsia" w:ascii="仿宋" w:hAnsi="仿宋" w:eastAsia="仿宋" w:cs="仿宋"/>
          <w:b/>
          <w:bCs/>
          <w:color w:val="auto"/>
          <w:highlight w:val="none"/>
        </w:rPr>
        <w:t>提供的证明资料均可作为评分依据。</w:t>
      </w:r>
    </w:p>
    <w:p w14:paraId="5ECDBAC6">
      <w:pPr>
        <w:spacing w:line="440" w:lineRule="exact"/>
        <w:outlineLvl w:val="1"/>
        <w:rPr>
          <w:rFonts w:hint="eastAsia" w:ascii="仿宋" w:hAnsi="仿宋" w:eastAsia="仿宋" w:cs="仿宋"/>
          <w:b/>
          <w:color w:val="auto"/>
          <w:highlight w:val="none"/>
          <w:lang w:eastAsia="zh-CN"/>
        </w:rPr>
      </w:pPr>
      <w:r>
        <w:rPr>
          <w:rFonts w:hint="eastAsia" w:ascii="仿宋" w:hAnsi="仿宋" w:eastAsia="仿宋" w:cs="仿宋"/>
          <w:b/>
          <w:color w:val="auto"/>
          <w:highlight w:val="none"/>
        </w:rPr>
        <w:br w:type="page" w:clear="all"/>
      </w:r>
      <w:r>
        <w:rPr>
          <w:rFonts w:hint="eastAsia" w:ascii="仿宋" w:hAnsi="仿宋" w:eastAsia="仿宋" w:cs="仿宋"/>
          <w:b/>
          <w:color w:val="auto"/>
          <w:highlight w:val="none"/>
        </w:rPr>
        <w:t>综合评分表</w:t>
      </w:r>
    </w:p>
    <w:tbl>
      <w:tblPr>
        <w:tblStyle w:val="38"/>
        <w:tblW w:w="9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506"/>
        <w:gridCol w:w="875"/>
        <w:gridCol w:w="6075"/>
      </w:tblGrid>
      <w:tr w14:paraId="6FF8C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99" w:type="dxa"/>
            <w:vAlign w:val="center"/>
          </w:tcPr>
          <w:p w14:paraId="48B272A9">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序号</w:t>
            </w:r>
          </w:p>
        </w:tc>
        <w:tc>
          <w:tcPr>
            <w:tcW w:w="1506" w:type="dxa"/>
            <w:vAlign w:val="center"/>
          </w:tcPr>
          <w:p w14:paraId="33DB401F">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评分因素</w:t>
            </w:r>
          </w:p>
        </w:tc>
        <w:tc>
          <w:tcPr>
            <w:tcW w:w="875" w:type="dxa"/>
            <w:vAlign w:val="center"/>
          </w:tcPr>
          <w:p w14:paraId="5CC05120">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分值</w:t>
            </w:r>
          </w:p>
        </w:tc>
        <w:tc>
          <w:tcPr>
            <w:tcW w:w="6075" w:type="dxa"/>
            <w:vAlign w:val="center"/>
          </w:tcPr>
          <w:p w14:paraId="566B5731">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评分依据</w:t>
            </w:r>
          </w:p>
        </w:tc>
      </w:tr>
      <w:tr w14:paraId="7D85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99" w:type="dxa"/>
            <w:vAlign w:val="center"/>
          </w:tcPr>
          <w:p w14:paraId="5C084D8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506" w:type="dxa"/>
            <w:shd w:val="clear" w:color="auto" w:fill="auto"/>
            <w:vAlign w:val="center"/>
          </w:tcPr>
          <w:p w14:paraId="15F4C86F">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价格</w:t>
            </w:r>
          </w:p>
        </w:tc>
        <w:tc>
          <w:tcPr>
            <w:tcW w:w="875" w:type="dxa"/>
            <w:vAlign w:val="center"/>
          </w:tcPr>
          <w:p w14:paraId="3F6BD128">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分</w:t>
            </w:r>
          </w:p>
        </w:tc>
        <w:tc>
          <w:tcPr>
            <w:tcW w:w="6075" w:type="dxa"/>
            <w:vAlign w:val="center"/>
          </w:tcPr>
          <w:p w14:paraId="1768E218">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highlight w:val="none"/>
              </w:rPr>
            </w:pPr>
            <w:r>
              <w:rPr>
                <w:rFonts w:hint="eastAsia" w:ascii="仿宋" w:hAnsi="仿宋" w:eastAsia="仿宋" w:cs="仿宋"/>
                <w:bCs w:val="0"/>
                <w:color w:val="auto"/>
                <w:kern w:val="0"/>
                <w:sz w:val="24"/>
                <w:szCs w:val="24"/>
                <w:highlight w:val="none"/>
              </w:rPr>
              <w:t>价格分采用低价优先法计算，即满足</w:t>
            </w:r>
            <w:r>
              <w:rPr>
                <w:rFonts w:hint="eastAsia" w:ascii="仿宋" w:hAnsi="仿宋" w:eastAsia="仿宋" w:cs="仿宋"/>
                <w:bCs w:val="0"/>
                <w:color w:val="auto"/>
                <w:kern w:val="0"/>
                <w:sz w:val="24"/>
                <w:szCs w:val="24"/>
                <w:highlight w:val="none"/>
                <w:lang w:val="en-US" w:eastAsia="zh-CN"/>
              </w:rPr>
              <w:t>招标</w:t>
            </w:r>
            <w:r>
              <w:rPr>
                <w:rFonts w:hint="eastAsia" w:ascii="仿宋" w:hAnsi="仿宋" w:eastAsia="仿宋" w:cs="仿宋"/>
                <w:bCs w:val="0"/>
                <w:color w:val="auto"/>
                <w:kern w:val="0"/>
                <w:sz w:val="24"/>
                <w:szCs w:val="24"/>
                <w:highlight w:val="none"/>
              </w:rPr>
              <w:t>文件要求且</w:t>
            </w:r>
            <w:r>
              <w:rPr>
                <w:rFonts w:hint="eastAsia" w:ascii="仿宋" w:hAnsi="仿宋" w:eastAsia="仿宋" w:cs="仿宋"/>
                <w:bCs w:val="0"/>
                <w:color w:val="auto"/>
                <w:kern w:val="0"/>
                <w:sz w:val="24"/>
                <w:szCs w:val="24"/>
                <w:highlight w:val="none"/>
                <w:lang w:val="en-US" w:eastAsia="zh-CN"/>
              </w:rPr>
              <w:t>报价</w:t>
            </w:r>
            <w:r>
              <w:rPr>
                <w:rFonts w:hint="eastAsia" w:ascii="仿宋" w:hAnsi="仿宋" w:eastAsia="仿宋" w:cs="仿宋"/>
                <w:bCs w:val="0"/>
                <w:color w:val="auto"/>
                <w:kern w:val="0"/>
                <w:sz w:val="24"/>
                <w:szCs w:val="24"/>
                <w:highlight w:val="none"/>
              </w:rPr>
              <w:t>最低的报价为评标基准价，其价格分为满分。其他</w:t>
            </w:r>
            <w:r>
              <w:rPr>
                <w:rFonts w:hint="eastAsia" w:ascii="仿宋" w:hAnsi="仿宋" w:eastAsia="仿宋" w:cs="仿宋"/>
                <w:bCs w:val="0"/>
                <w:color w:val="auto"/>
                <w:kern w:val="0"/>
                <w:sz w:val="24"/>
                <w:szCs w:val="24"/>
                <w:highlight w:val="none"/>
                <w:lang w:eastAsia="zh-CN"/>
              </w:rPr>
              <w:t>投标人</w:t>
            </w:r>
            <w:r>
              <w:rPr>
                <w:rFonts w:hint="eastAsia" w:ascii="仿宋" w:hAnsi="仿宋" w:eastAsia="仿宋" w:cs="仿宋"/>
                <w:bCs w:val="0"/>
                <w:color w:val="auto"/>
                <w:kern w:val="0"/>
                <w:sz w:val="24"/>
                <w:szCs w:val="24"/>
                <w:highlight w:val="none"/>
              </w:rPr>
              <w:t>的价格分按照下列公式计算，保留小数点后2位：报价得分=（评标基准价／报价）×</w:t>
            </w:r>
            <w:r>
              <w:rPr>
                <w:rFonts w:hint="eastAsia" w:ascii="仿宋" w:hAnsi="仿宋" w:eastAsia="仿宋" w:cs="仿宋"/>
                <w:bCs w:val="0"/>
                <w:color w:val="auto"/>
                <w:kern w:val="0"/>
                <w:sz w:val="24"/>
                <w:szCs w:val="24"/>
                <w:highlight w:val="none"/>
                <w:lang w:val="en-US" w:eastAsia="zh-CN"/>
              </w:rPr>
              <w:t>10</w:t>
            </w:r>
            <w:r>
              <w:rPr>
                <w:rFonts w:hint="eastAsia" w:ascii="仿宋" w:hAnsi="仿宋" w:eastAsia="仿宋" w:cs="仿宋"/>
                <w:bCs w:val="0"/>
                <w:color w:val="auto"/>
                <w:kern w:val="0"/>
                <w:sz w:val="24"/>
                <w:szCs w:val="24"/>
                <w:highlight w:val="none"/>
              </w:rPr>
              <w:t>。</w:t>
            </w:r>
          </w:p>
        </w:tc>
      </w:tr>
      <w:tr w14:paraId="695BA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99" w:type="dxa"/>
            <w:vAlign w:val="center"/>
          </w:tcPr>
          <w:p w14:paraId="6AEF2E97">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506" w:type="dxa"/>
            <w:shd w:val="clear" w:color="auto" w:fill="auto"/>
            <w:vAlign w:val="center"/>
          </w:tcPr>
          <w:p w14:paraId="541257A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需求响应</w:t>
            </w:r>
          </w:p>
        </w:tc>
        <w:tc>
          <w:tcPr>
            <w:tcW w:w="875" w:type="dxa"/>
            <w:vAlign w:val="center"/>
          </w:tcPr>
          <w:p w14:paraId="6A521A55">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23分</w:t>
            </w:r>
          </w:p>
        </w:tc>
        <w:tc>
          <w:tcPr>
            <w:tcW w:w="6075" w:type="dxa"/>
            <w:vAlign w:val="center"/>
          </w:tcPr>
          <w:p w14:paraId="7027FED5">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Cs w:val="0"/>
                <w:color w:val="auto"/>
                <w:kern w:val="0"/>
                <w:sz w:val="24"/>
                <w:szCs w:val="24"/>
                <w:highlight w:val="none"/>
              </w:rPr>
            </w:pPr>
            <w:r>
              <w:rPr>
                <w:rFonts w:hint="eastAsia" w:ascii="仿宋" w:hAnsi="仿宋" w:eastAsia="仿宋" w:cs="仿宋"/>
                <w:bCs w:val="0"/>
                <w:color w:val="auto"/>
                <w:kern w:val="0"/>
                <w:sz w:val="24"/>
                <w:szCs w:val="24"/>
                <w:highlight w:val="none"/>
              </w:rPr>
              <w:t>完全满足招标文件第四部分采购需求</w:t>
            </w:r>
            <w:r>
              <w:rPr>
                <w:rFonts w:hint="eastAsia" w:ascii="仿宋" w:hAnsi="仿宋" w:eastAsia="仿宋" w:cs="仿宋"/>
                <w:bCs w:val="0"/>
                <w:color w:val="auto"/>
                <w:kern w:val="0"/>
                <w:sz w:val="24"/>
                <w:szCs w:val="24"/>
                <w:highlight w:val="none"/>
                <w:lang w:val="en-US" w:eastAsia="zh-CN"/>
              </w:rPr>
              <w:t>三、项目需求</w:t>
            </w:r>
            <w:r>
              <w:rPr>
                <w:rFonts w:hint="eastAsia" w:ascii="仿宋" w:hAnsi="仿宋" w:eastAsia="仿宋" w:cs="仿宋"/>
                <w:bCs w:val="0"/>
                <w:color w:val="auto"/>
                <w:kern w:val="0"/>
                <w:sz w:val="24"/>
                <w:szCs w:val="24"/>
                <w:highlight w:val="none"/>
              </w:rPr>
              <w:t>的得满分，★参数为核心参数，不得出现负偏离，否则将作无效投标处理；其余参数为一般参数，每负偏离一项扣</w:t>
            </w:r>
            <w:r>
              <w:rPr>
                <w:rFonts w:hint="eastAsia" w:ascii="仿宋" w:hAnsi="仿宋" w:eastAsia="仿宋" w:cs="仿宋"/>
                <w:bCs w:val="0"/>
                <w:color w:val="auto"/>
                <w:kern w:val="0"/>
                <w:sz w:val="24"/>
                <w:szCs w:val="24"/>
                <w:highlight w:val="none"/>
                <w:lang w:val="en-US" w:eastAsia="zh-CN"/>
              </w:rPr>
              <w:t>0.25</w:t>
            </w:r>
            <w:r>
              <w:rPr>
                <w:rFonts w:hint="eastAsia" w:ascii="仿宋" w:hAnsi="仿宋" w:eastAsia="仿宋" w:cs="仿宋"/>
                <w:bCs w:val="0"/>
                <w:color w:val="auto"/>
                <w:kern w:val="0"/>
                <w:sz w:val="24"/>
                <w:szCs w:val="24"/>
                <w:highlight w:val="none"/>
              </w:rPr>
              <w:t>分，扣完为止。</w:t>
            </w:r>
          </w:p>
          <w:p w14:paraId="74546263">
            <w:pPr>
              <w:keepNext w:val="0"/>
              <w:keepLines w:val="0"/>
              <w:pageBreakBefore w:val="0"/>
              <w:kinsoku/>
              <w:wordWrap/>
              <w:overflowPunct/>
              <w:topLinePunct w:val="0"/>
              <w:autoSpaceDE/>
              <w:autoSpaceDN/>
              <w:bidi w:val="0"/>
              <w:adjustRightInd/>
              <w:snapToGrid/>
              <w:spacing w:line="440" w:lineRule="exact"/>
              <w:textAlignment w:val="auto"/>
              <w:rPr>
                <w:rFonts w:hint="default" w:ascii="仿宋" w:hAnsi="仿宋" w:eastAsia="仿宋" w:cs="仿宋"/>
                <w:bCs w:val="0"/>
                <w:color w:val="auto"/>
                <w:kern w:val="0"/>
                <w:sz w:val="24"/>
                <w:szCs w:val="24"/>
                <w:highlight w:val="none"/>
                <w:lang w:val="en-US" w:eastAsia="zh-CN"/>
              </w:rPr>
            </w:pPr>
            <w:r>
              <w:rPr>
                <w:rFonts w:hint="eastAsia" w:ascii="仿宋" w:hAnsi="仿宋" w:eastAsia="仿宋" w:cs="仿宋"/>
                <w:bCs w:val="0"/>
                <w:color w:val="auto"/>
                <w:kern w:val="0"/>
                <w:sz w:val="24"/>
                <w:szCs w:val="24"/>
                <w:highlight w:val="none"/>
              </w:rPr>
              <w:t>注：</w:t>
            </w:r>
            <w:r>
              <w:rPr>
                <w:rFonts w:hint="eastAsia" w:ascii="仿宋" w:hAnsi="仿宋" w:eastAsia="仿宋" w:cs="仿宋"/>
                <w:bCs w:val="0"/>
                <w:color w:val="auto"/>
                <w:kern w:val="0"/>
                <w:sz w:val="24"/>
                <w:szCs w:val="24"/>
                <w:highlight w:val="none"/>
                <w:lang w:val="en-US" w:eastAsia="zh-CN"/>
              </w:rPr>
              <w:t>项目需求中一段内容（以首行缩进2个字符为准，标题不计）或一个表格内的完整内容为一项，</w:t>
            </w:r>
            <w:r>
              <w:rPr>
                <w:rFonts w:hint="eastAsia" w:ascii="仿宋" w:hAnsi="仿宋" w:eastAsia="仿宋" w:cs="仿宋"/>
                <w:bCs w:val="0"/>
                <w:color w:val="auto"/>
                <w:kern w:val="0"/>
                <w:sz w:val="24"/>
                <w:szCs w:val="24"/>
                <w:highlight w:val="none"/>
              </w:rPr>
              <w:t>★参数以及采购需求中明确要求提供证明材料的，须按要求在投标文件中提供证明材料，且均须在技术响应偏差表详尽真实地提供偏差情况及证明材料页码，否则视为负偏离。</w:t>
            </w:r>
          </w:p>
        </w:tc>
      </w:tr>
      <w:tr w14:paraId="270C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99" w:type="dxa"/>
            <w:vAlign w:val="center"/>
          </w:tcPr>
          <w:p w14:paraId="5AB50020">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3</w:t>
            </w:r>
          </w:p>
        </w:tc>
        <w:tc>
          <w:tcPr>
            <w:tcW w:w="1506" w:type="dxa"/>
            <w:shd w:val="clear" w:color="auto" w:fill="auto"/>
            <w:vAlign w:val="center"/>
          </w:tcPr>
          <w:p w14:paraId="12FE0802">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企业实力</w:t>
            </w:r>
          </w:p>
        </w:tc>
        <w:tc>
          <w:tcPr>
            <w:tcW w:w="875" w:type="dxa"/>
            <w:vAlign w:val="center"/>
          </w:tcPr>
          <w:p w14:paraId="5BC195B6">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9分</w:t>
            </w:r>
          </w:p>
        </w:tc>
        <w:tc>
          <w:tcPr>
            <w:tcW w:w="6075" w:type="dxa"/>
            <w:vAlign w:val="center"/>
          </w:tcPr>
          <w:p w14:paraId="1F82F34A">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Cs w:val="0"/>
                <w:color w:val="auto"/>
                <w:kern w:val="0"/>
                <w:sz w:val="24"/>
                <w:szCs w:val="24"/>
                <w:highlight w:val="none"/>
              </w:rPr>
            </w:pPr>
            <w:r>
              <w:rPr>
                <w:rFonts w:hint="eastAsia" w:ascii="仿宋" w:hAnsi="仿宋" w:eastAsia="仿宋" w:cs="仿宋"/>
                <w:bCs w:val="0"/>
                <w:color w:val="auto"/>
                <w:kern w:val="0"/>
                <w:sz w:val="24"/>
                <w:szCs w:val="24"/>
                <w:highlight w:val="none"/>
                <w:lang w:val="en-US" w:eastAsia="zh-CN"/>
              </w:rPr>
              <w:t>①</w:t>
            </w:r>
            <w:r>
              <w:rPr>
                <w:rFonts w:hint="eastAsia" w:ascii="仿宋" w:hAnsi="仿宋" w:eastAsia="仿宋" w:cs="仿宋"/>
                <w:bCs w:val="0"/>
                <w:color w:val="auto"/>
                <w:kern w:val="0"/>
                <w:sz w:val="24"/>
                <w:szCs w:val="24"/>
                <w:highlight w:val="none"/>
              </w:rPr>
              <w:t>投标人拥有“合同能源管理服务认证证书”，AAAAA级得3分，AAAA得2分，AAA级得1分，其他不得分。</w:t>
            </w:r>
          </w:p>
          <w:p w14:paraId="247F1B47">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Cs w:val="0"/>
                <w:color w:val="auto"/>
                <w:kern w:val="0"/>
                <w:sz w:val="24"/>
                <w:szCs w:val="24"/>
                <w:highlight w:val="none"/>
              </w:rPr>
            </w:pPr>
            <w:r>
              <w:rPr>
                <w:rFonts w:hint="eastAsia" w:ascii="仿宋" w:hAnsi="仿宋" w:eastAsia="仿宋" w:cs="仿宋"/>
                <w:bCs w:val="0"/>
                <w:color w:val="auto"/>
                <w:kern w:val="0"/>
                <w:sz w:val="24"/>
                <w:szCs w:val="24"/>
                <w:highlight w:val="none"/>
                <w:lang w:val="en-US" w:eastAsia="zh-CN"/>
              </w:rPr>
              <w:t>②</w:t>
            </w:r>
            <w:r>
              <w:rPr>
                <w:rFonts w:hint="eastAsia" w:ascii="仿宋" w:hAnsi="仿宋" w:eastAsia="仿宋" w:cs="仿宋"/>
                <w:bCs w:val="0"/>
                <w:color w:val="auto"/>
                <w:kern w:val="0"/>
                <w:sz w:val="24"/>
                <w:szCs w:val="24"/>
                <w:highlight w:val="none"/>
              </w:rPr>
              <w:t>投标人拥有“节能技术服务认证证书”，AAAAA级得3分，AAAA得2分，AAA得1分，其他不得分。</w:t>
            </w:r>
          </w:p>
          <w:p w14:paraId="37FF78B8">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Cs w:val="0"/>
                <w:color w:val="auto"/>
                <w:kern w:val="0"/>
                <w:sz w:val="24"/>
                <w:szCs w:val="24"/>
                <w:highlight w:val="none"/>
              </w:rPr>
            </w:pPr>
            <w:r>
              <w:rPr>
                <w:rFonts w:hint="eastAsia" w:ascii="仿宋" w:hAnsi="仿宋" w:eastAsia="仿宋" w:cs="仿宋"/>
                <w:bCs w:val="0"/>
                <w:color w:val="auto"/>
                <w:kern w:val="0"/>
                <w:sz w:val="24"/>
                <w:szCs w:val="24"/>
                <w:highlight w:val="none"/>
                <w:lang w:val="en-US" w:eastAsia="zh-CN"/>
              </w:rPr>
              <w:t>③</w:t>
            </w:r>
            <w:r>
              <w:rPr>
                <w:rFonts w:hint="eastAsia" w:ascii="仿宋" w:hAnsi="仿宋" w:eastAsia="仿宋" w:cs="仿宋"/>
                <w:bCs w:val="0"/>
                <w:color w:val="auto"/>
                <w:kern w:val="0"/>
                <w:sz w:val="24"/>
                <w:szCs w:val="24"/>
                <w:highlight w:val="none"/>
              </w:rPr>
              <w:t>投标人拥有“综合能源服务认证证书”，AAAAA级得3分，AAAA得2分，AAA级得1分，其他不得分。</w:t>
            </w:r>
          </w:p>
          <w:p w14:paraId="4A551311">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Cs w:val="0"/>
                <w:color w:val="auto"/>
                <w:kern w:val="0"/>
                <w:sz w:val="24"/>
                <w:szCs w:val="24"/>
                <w:highlight w:val="none"/>
              </w:rPr>
            </w:pPr>
            <w:r>
              <w:rPr>
                <w:rFonts w:hint="eastAsia" w:ascii="仿宋" w:hAnsi="仿宋" w:eastAsia="仿宋" w:cs="仿宋"/>
                <w:bCs w:val="0"/>
                <w:color w:val="auto"/>
                <w:kern w:val="0"/>
                <w:sz w:val="24"/>
                <w:szCs w:val="24"/>
                <w:highlight w:val="none"/>
              </w:rPr>
              <w:t>注：颁发机构为具有认定资质的专业认定机构，可在监督管理委员会网站查询到：www.cnca.gov.cn。提供证书复印件加盖公章。</w:t>
            </w:r>
          </w:p>
        </w:tc>
      </w:tr>
      <w:tr w14:paraId="09B2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99" w:type="dxa"/>
            <w:vMerge w:val="restart"/>
            <w:vAlign w:val="center"/>
          </w:tcPr>
          <w:p w14:paraId="1BB44E04">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4</w:t>
            </w:r>
          </w:p>
        </w:tc>
        <w:tc>
          <w:tcPr>
            <w:tcW w:w="1506" w:type="dxa"/>
            <w:vMerge w:val="restart"/>
            <w:shd w:val="clear" w:color="auto" w:fill="auto"/>
            <w:vAlign w:val="center"/>
          </w:tcPr>
          <w:p w14:paraId="2A9F7A24">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项目团队</w:t>
            </w:r>
          </w:p>
        </w:tc>
        <w:tc>
          <w:tcPr>
            <w:tcW w:w="875" w:type="dxa"/>
            <w:vMerge w:val="restart"/>
            <w:vAlign w:val="center"/>
          </w:tcPr>
          <w:p w14:paraId="3F10727A">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6分</w:t>
            </w:r>
          </w:p>
        </w:tc>
        <w:tc>
          <w:tcPr>
            <w:tcW w:w="6075" w:type="dxa"/>
            <w:vAlign w:val="top"/>
          </w:tcPr>
          <w:p w14:paraId="09FDCC84">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Cs w:val="0"/>
                <w:color w:val="auto"/>
                <w:kern w:val="0"/>
                <w:sz w:val="24"/>
                <w:szCs w:val="24"/>
                <w:highlight w:val="none"/>
                <w:lang w:val="en-US" w:eastAsia="zh-CN"/>
              </w:rPr>
            </w:pPr>
            <w:r>
              <w:rPr>
                <w:rFonts w:hint="eastAsia" w:ascii="仿宋" w:hAnsi="仿宋" w:eastAsia="仿宋" w:cs="仿宋"/>
                <w:bCs w:val="0"/>
                <w:color w:val="auto"/>
                <w:kern w:val="0"/>
                <w:sz w:val="24"/>
                <w:szCs w:val="24"/>
                <w:highlight w:val="none"/>
              </w:rPr>
              <w:t>1）投标人</w:t>
            </w:r>
            <w:r>
              <w:rPr>
                <w:rFonts w:hint="eastAsia" w:ascii="仿宋" w:hAnsi="仿宋" w:eastAsia="仿宋" w:cs="仿宋"/>
                <w:bCs w:val="0"/>
                <w:color w:val="auto"/>
                <w:kern w:val="0"/>
                <w:sz w:val="24"/>
                <w:szCs w:val="24"/>
                <w:highlight w:val="none"/>
                <w:lang w:val="en-US" w:eastAsia="zh-CN"/>
              </w:rPr>
              <w:t>拟派</w:t>
            </w:r>
            <w:r>
              <w:rPr>
                <w:rFonts w:hint="eastAsia" w:ascii="仿宋" w:hAnsi="仿宋" w:eastAsia="仿宋" w:cs="仿宋"/>
                <w:bCs w:val="0"/>
                <w:color w:val="auto"/>
                <w:kern w:val="0"/>
                <w:sz w:val="24"/>
                <w:szCs w:val="24"/>
                <w:highlight w:val="none"/>
              </w:rPr>
              <w:t>项目负责人具有高级工程师职称的得2分；具有工程师职称的得1分；不提供不得分。注：须提供有效证书及近半年任意一个月缴纳社保的证明扫描件，</w:t>
            </w:r>
            <w:r>
              <w:rPr>
                <w:rFonts w:hint="eastAsia" w:ascii="仿宋" w:hAnsi="仿宋" w:eastAsia="仿宋" w:cs="仿宋"/>
                <w:bCs w:val="0"/>
                <w:color w:val="auto"/>
                <w:kern w:val="0"/>
                <w:sz w:val="24"/>
                <w:szCs w:val="24"/>
                <w:highlight w:val="none"/>
                <w:lang w:val="en-US" w:eastAsia="zh-CN"/>
              </w:rPr>
              <w:t>未提供或提供不全</w:t>
            </w:r>
            <w:r>
              <w:rPr>
                <w:rFonts w:hint="eastAsia" w:ascii="仿宋" w:hAnsi="仿宋" w:eastAsia="仿宋" w:cs="仿宋"/>
                <w:bCs w:val="0"/>
                <w:color w:val="auto"/>
                <w:kern w:val="0"/>
                <w:sz w:val="24"/>
                <w:szCs w:val="24"/>
                <w:highlight w:val="none"/>
              </w:rPr>
              <w:t>不得分。</w:t>
            </w:r>
          </w:p>
        </w:tc>
      </w:tr>
      <w:tr w14:paraId="59E0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99" w:type="dxa"/>
            <w:vMerge w:val="continue"/>
            <w:vAlign w:val="center"/>
          </w:tcPr>
          <w:p w14:paraId="100B306A">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lang w:val="en-US" w:eastAsia="zh-CN"/>
              </w:rPr>
            </w:pPr>
          </w:p>
        </w:tc>
        <w:tc>
          <w:tcPr>
            <w:tcW w:w="1506" w:type="dxa"/>
            <w:vMerge w:val="continue"/>
            <w:shd w:val="clear" w:color="auto" w:fill="auto"/>
            <w:vAlign w:val="center"/>
          </w:tcPr>
          <w:p w14:paraId="3D705682">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lang w:val="en-US" w:eastAsia="zh-CN"/>
              </w:rPr>
            </w:pPr>
          </w:p>
        </w:tc>
        <w:tc>
          <w:tcPr>
            <w:tcW w:w="875" w:type="dxa"/>
            <w:vMerge w:val="continue"/>
            <w:vAlign w:val="center"/>
          </w:tcPr>
          <w:p w14:paraId="2BCD5DCB">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lang w:val="en-US" w:eastAsia="zh-CN"/>
              </w:rPr>
            </w:pPr>
          </w:p>
        </w:tc>
        <w:tc>
          <w:tcPr>
            <w:tcW w:w="6075" w:type="dxa"/>
            <w:vAlign w:val="top"/>
          </w:tcPr>
          <w:p w14:paraId="7AC80389">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Cs w:val="0"/>
                <w:color w:val="auto"/>
                <w:kern w:val="0"/>
                <w:sz w:val="24"/>
                <w:szCs w:val="24"/>
                <w:highlight w:val="none"/>
                <w:lang w:val="en-US" w:eastAsia="zh-CN"/>
              </w:rPr>
            </w:pPr>
            <w:r>
              <w:rPr>
                <w:rFonts w:hint="eastAsia" w:ascii="仿宋" w:hAnsi="仿宋" w:eastAsia="仿宋" w:cs="仿宋"/>
                <w:bCs w:val="0"/>
                <w:color w:val="auto"/>
                <w:kern w:val="0"/>
                <w:sz w:val="24"/>
                <w:szCs w:val="24"/>
                <w:highlight w:val="none"/>
              </w:rPr>
              <w:t>2）投标人拟派项目负责人202</w:t>
            </w:r>
            <w:r>
              <w:rPr>
                <w:rFonts w:hint="eastAsia" w:ascii="仿宋" w:hAnsi="仿宋" w:eastAsia="仿宋" w:cs="仿宋"/>
                <w:bCs w:val="0"/>
                <w:color w:val="auto"/>
                <w:kern w:val="0"/>
                <w:sz w:val="24"/>
                <w:szCs w:val="24"/>
                <w:highlight w:val="none"/>
                <w:lang w:val="en-US" w:eastAsia="zh-CN"/>
              </w:rPr>
              <w:t>3</w:t>
            </w:r>
            <w:r>
              <w:rPr>
                <w:rFonts w:hint="eastAsia" w:ascii="仿宋" w:hAnsi="仿宋" w:eastAsia="仿宋" w:cs="仿宋"/>
                <w:bCs w:val="0"/>
                <w:color w:val="auto"/>
                <w:kern w:val="0"/>
                <w:sz w:val="24"/>
                <w:szCs w:val="24"/>
                <w:highlight w:val="none"/>
              </w:rPr>
              <w:t>年1月1日以来</w:t>
            </w:r>
            <w:r>
              <w:rPr>
                <w:rFonts w:hint="eastAsia" w:ascii="仿宋" w:hAnsi="仿宋" w:eastAsia="仿宋" w:cs="仿宋"/>
                <w:bCs w:val="0"/>
                <w:color w:val="auto"/>
                <w:kern w:val="0"/>
                <w:sz w:val="24"/>
                <w:szCs w:val="24"/>
                <w:highlight w:val="none"/>
                <w:lang w:eastAsia="zh-CN"/>
              </w:rPr>
              <w:t>（</w:t>
            </w:r>
            <w:r>
              <w:rPr>
                <w:rFonts w:hint="eastAsia" w:ascii="仿宋" w:hAnsi="仿宋" w:eastAsia="仿宋" w:cs="仿宋"/>
                <w:bCs w:val="0"/>
                <w:color w:val="auto"/>
                <w:kern w:val="0"/>
                <w:sz w:val="24"/>
                <w:szCs w:val="24"/>
                <w:highlight w:val="none"/>
                <w:lang w:val="en-US" w:eastAsia="zh-CN"/>
              </w:rPr>
              <w:t>以证明材料落款时间为准</w:t>
            </w:r>
            <w:r>
              <w:rPr>
                <w:rFonts w:hint="eastAsia" w:ascii="仿宋" w:hAnsi="仿宋" w:eastAsia="仿宋" w:cs="仿宋"/>
                <w:bCs w:val="0"/>
                <w:color w:val="auto"/>
                <w:kern w:val="0"/>
                <w:sz w:val="24"/>
                <w:szCs w:val="24"/>
                <w:highlight w:val="none"/>
                <w:lang w:eastAsia="zh-CN"/>
              </w:rPr>
              <w:t>）</w:t>
            </w:r>
            <w:r>
              <w:rPr>
                <w:rFonts w:hint="eastAsia" w:ascii="仿宋" w:hAnsi="仿宋" w:eastAsia="仿宋" w:cs="仿宋"/>
                <w:bCs w:val="0"/>
                <w:color w:val="auto"/>
                <w:kern w:val="0"/>
                <w:sz w:val="24"/>
                <w:szCs w:val="24"/>
                <w:highlight w:val="none"/>
              </w:rPr>
              <w:t>具有类似项目服务经验的</w:t>
            </w:r>
            <w:r>
              <w:rPr>
                <w:rFonts w:hint="eastAsia" w:ascii="仿宋" w:hAnsi="仿宋" w:eastAsia="仿宋" w:cs="仿宋"/>
                <w:bCs w:val="0"/>
                <w:color w:val="auto"/>
                <w:kern w:val="0"/>
                <w:sz w:val="24"/>
                <w:szCs w:val="24"/>
                <w:highlight w:val="none"/>
                <w:lang w:val="en-US" w:eastAsia="zh-CN"/>
              </w:rPr>
              <w:t>得1</w:t>
            </w:r>
            <w:r>
              <w:rPr>
                <w:rFonts w:hint="eastAsia" w:ascii="仿宋" w:hAnsi="仿宋" w:eastAsia="仿宋" w:cs="仿宋"/>
                <w:bCs w:val="0"/>
                <w:color w:val="auto"/>
                <w:kern w:val="0"/>
                <w:sz w:val="24"/>
                <w:szCs w:val="24"/>
                <w:highlight w:val="none"/>
              </w:rPr>
              <w:t>分，</w:t>
            </w:r>
            <w:r>
              <w:rPr>
                <w:rFonts w:hint="eastAsia" w:ascii="仿宋" w:hAnsi="仿宋" w:eastAsia="仿宋" w:cs="仿宋"/>
                <w:bCs w:val="0"/>
                <w:color w:val="auto"/>
                <w:kern w:val="0"/>
                <w:sz w:val="24"/>
                <w:szCs w:val="24"/>
                <w:highlight w:val="none"/>
                <w:lang w:val="en-US" w:eastAsia="zh-CN"/>
              </w:rPr>
              <w:t>未提供或提供不全</w:t>
            </w:r>
            <w:r>
              <w:rPr>
                <w:rFonts w:hint="eastAsia" w:ascii="仿宋" w:hAnsi="仿宋" w:eastAsia="仿宋" w:cs="仿宋"/>
                <w:bCs w:val="0"/>
                <w:color w:val="auto"/>
                <w:kern w:val="0"/>
                <w:sz w:val="24"/>
                <w:szCs w:val="24"/>
                <w:highlight w:val="none"/>
              </w:rPr>
              <w:t>不得分。（须提供合同或其他证明材料</w:t>
            </w:r>
            <w:r>
              <w:rPr>
                <w:rFonts w:hint="eastAsia" w:ascii="仿宋" w:hAnsi="仿宋" w:eastAsia="仿宋" w:cs="仿宋"/>
                <w:bCs w:val="0"/>
                <w:color w:val="auto"/>
                <w:kern w:val="0"/>
                <w:sz w:val="24"/>
                <w:szCs w:val="24"/>
                <w:highlight w:val="none"/>
                <w:lang w:val="en-US" w:eastAsia="zh-CN"/>
              </w:rPr>
              <w:t>及</w:t>
            </w:r>
            <w:r>
              <w:rPr>
                <w:rFonts w:hint="eastAsia" w:ascii="仿宋" w:hAnsi="仿宋" w:eastAsia="仿宋" w:cs="仿宋"/>
                <w:bCs w:val="0"/>
                <w:color w:val="auto"/>
                <w:kern w:val="0"/>
                <w:sz w:val="24"/>
                <w:szCs w:val="24"/>
                <w:highlight w:val="none"/>
              </w:rPr>
              <w:t>供应商近半年任意一个月为其缴纳社保的证明</w:t>
            </w:r>
            <w:r>
              <w:rPr>
                <w:rFonts w:hint="eastAsia" w:ascii="仿宋" w:hAnsi="仿宋" w:eastAsia="仿宋" w:cs="仿宋"/>
                <w:bCs w:val="0"/>
                <w:color w:val="auto"/>
                <w:kern w:val="0"/>
                <w:sz w:val="24"/>
                <w:szCs w:val="24"/>
                <w:highlight w:val="none"/>
                <w:lang w:val="en-US" w:eastAsia="zh-CN"/>
              </w:rPr>
              <w:t>扫描件</w:t>
            </w:r>
            <w:r>
              <w:rPr>
                <w:rFonts w:hint="eastAsia" w:ascii="仿宋" w:hAnsi="仿宋" w:eastAsia="仿宋" w:cs="仿宋"/>
                <w:bCs w:val="0"/>
                <w:color w:val="auto"/>
                <w:kern w:val="0"/>
                <w:sz w:val="24"/>
                <w:szCs w:val="24"/>
                <w:highlight w:val="none"/>
              </w:rPr>
              <w:t>）</w:t>
            </w:r>
          </w:p>
        </w:tc>
      </w:tr>
      <w:tr w14:paraId="5C59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99" w:type="dxa"/>
            <w:vMerge w:val="continue"/>
            <w:vAlign w:val="center"/>
          </w:tcPr>
          <w:p w14:paraId="3DBF98BD">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lang w:val="en-US" w:eastAsia="zh-CN"/>
              </w:rPr>
            </w:pPr>
          </w:p>
        </w:tc>
        <w:tc>
          <w:tcPr>
            <w:tcW w:w="1506" w:type="dxa"/>
            <w:vMerge w:val="continue"/>
            <w:shd w:val="clear" w:color="auto" w:fill="auto"/>
            <w:vAlign w:val="center"/>
          </w:tcPr>
          <w:p w14:paraId="34ECF027">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lang w:val="en-US" w:eastAsia="zh-CN"/>
              </w:rPr>
            </w:pPr>
          </w:p>
        </w:tc>
        <w:tc>
          <w:tcPr>
            <w:tcW w:w="875" w:type="dxa"/>
            <w:vMerge w:val="continue"/>
            <w:vAlign w:val="center"/>
          </w:tcPr>
          <w:p w14:paraId="26A7F4D4">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lang w:val="en-US" w:eastAsia="zh-CN"/>
              </w:rPr>
            </w:pPr>
          </w:p>
        </w:tc>
        <w:tc>
          <w:tcPr>
            <w:tcW w:w="6075" w:type="dxa"/>
            <w:vAlign w:val="top"/>
          </w:tcPr>
          <w:p w14:paraId="12059383">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Cs w:val="0"/>
                <w:color w:val="auto"/>
                <w:kern w:val="0"/>
                <w:sz w:val="24"/>
                <w:szCs w:val="24"/>
                <w:highlight w:val="none"/>
                <w:lang w:val="en-US" w:eastAsia="zh-CN"/>
              </w:rPr>
            </w:pPr>
            <w:r>
              <w:rPr>
                <w:rFonts w:hint="eastAsia" w:ascii="仿宋" w:hAnsi="仿宋" w:eastAsia="仿宋" w:cs="仿宋"/>
                <w:bCs w:val="0"/>
                <w:color w:val="auto"/>
                <w:kern w:val="0"/>
                <w:sz w:val="24"/>
                <w:szCs w:val="24"/>
                <w:highlight w:val="none"/>
              </w:rPr>
              <w:t>3）投标人拟派的其他团队成员（除项目负责人外）持有包括电工作业、制冷与空调作业、高处作业等作业范围的特种作业操作证的，每提供一类得1分，满分3分。注:须提供有效证书及近半年内任意一个月缴纳社保的证明扫描件，</w:t>
            </w:r>
            <w:r>
              <w:rPr>
                <w:rFonts w:hint="eastAsia" w:ascii="仿宋" w:hAnsi="仿宋" w:eastAsia="仿宋" w:cs="仿宋"/>
                <w:bCs w:val="0"/>
                <w:color w:val="auto"/>
                <w:kern w:val="0"/>
                <w:sz w:val="24"/>
                <w:szCs w:val="24"/>
                <w:highlight w:val="none"/>
                <w:lang w:val="en-US" w:eastAsia="zh-CN"/>
              </w:rPr>
              <w:t>未提供或提供不全</w:t>
            </w:r>
            <w:r>
              <w:rPr>
                <w:rFonts w:hint="eastAsia" w:ascii="仿宋" w:hAnsi="仿宋" w:eastAsia="仿宋" w:cs="仿宋"/>
                <w:bCs w:val="0"/>
                <w:color w:val="auto"/>
                <w:kern w:val="0"/>
                <w:sz w:val="24"/>
                <w:szCs w:val="24"/>
                <w:highlight w:val="none"/>
              </w:rPr>
              <w:t>不得分。</w:t>
            </w:r>
          </w:p>
        </w:tc>
      </w:tr>
      <w:tr w14:paraId="08D2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99" w:type="dxa"/>
            <w:shd w:val="clear" w:color="auto" w:fill="auto"/>
            <w:vAlign w:val="center"/>
          </w:tcPr>
          <w:p w14:paraId="704EFE21">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val="en-US" w:eastAsia="zh-CN"/>
              </w:rPr>
              <w:t>5</w:t>
            </w:r>
          </w:p>
        </w:tc>
        <w:tc>
          <w:tcPr>
            <w:tcW w:w="1506" w:type="dxa"/>
            <w:shd w:val="clear" w:color="auto" w:fill="auto"/>
            <w:vAlign w:val="center"/>
          </w:tcPr>
          <w:p w14:paraId="762D13F4">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项目现状分析与测算方案</w:t>
            </w:r>
          </w:p>
        </w:tc>
        <w:tc>
          <w:tcPr>
            <w:tcW w:w="875" w:type="dxa"/>
            <w:vAlign w:val="center"/>
          </w:tcPr>
          <w:p w14:paraId="7EDFBFB6">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7分</w:t>
            </w:r>
          </w:p>
        </w:tc>
        <w:tc>
          <w:tcPr>
            <w:tcW w:w="6075" w:type="dxa"/>
            <w:vAlign w:val="center"/>
          </w:tcPr>
          <w:p w14:paraId="267C592F">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Cs w:val="0"/>
                <w:color w:val="auto"/>
                <w:kern w:val="0"/>
                <w:sz w:val="24"/>
                <w:szCs w:val="24"/>
                <w:highlight w:val="none"/>
              </w:rPr>
            </w:pPr>
            <w:r>
              <w:rPr>
                <w:rFonts w:hint="eastAsia" w:ascii="仿宋" w:hAnsi="仿宋" w:eastAsia="仿宋" w:cs="仿宋"/>
                <w:bCs w:val="0"/>
                <w:color w:val="auto"/>
                <w:kern w:val="0"/>
                <w:sz w:val="24"/>
                <w:szCs w:val="24"/>
                <w:highlight w:val="none"/>
                <w:lang w:val="en-US" w:eastAsia="zh-CN"/>
              </w:rPr>
              <w:t>根据投标人针对本项目提供的项目现状分析及相关测算方案进行评分，包括但不限于对项目现有设施设备状况、运行维护历史数据、当前存在问题及潜在风险的分析，以及基于现状制定的成本测算、资源需求测算、效益测算等内容。分析全面深入、数据准确详实、问题定位精准，测算依据充分可靠、方法科学合理、过程清晰透明、结果客观准确，方案前瞻性和可操作性强，优于采购需求的得7分；现状分析比较全面、数据基本准确、问题定位较准，测算依据较充分、方法较合理、过程较清晰、结果基本客观，满足采购需求的得4分；现状分析不够全面、数据略有欠缺、问题定位不够精准，测算依据和方法有一定合理性、过程和结果基本可行，基本满足采购需求或经过优化可以满足采购需求的得1分；与本项目不符合或不提供不得分。</w:t>
            </w:r>
          </w:p>
        </w:tc>
      </w:tr>
      <w:tr w14:paraId="4CA2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99" w:type="dxa"/>
            <w:shd w:val="clear" w:color="auto" w:fill="auto"/>
            <w:vAlign w:val="center"/>
          </w:tcPr>
          <w:p w14:paraId="00B7A392">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val="en-US" w:eastAsia="zh-CN"/>
              </w:rPr>
              <w:t>6</w:t>
            </w:r>
          </w:p>
        </w:tc>
        <w:tc>
          <w:tcPr>
            <w:tcW w:w="1506" w:type="dxa"/>
            <w:shd w:val="clear" w:color="auto" w:fill="auto"/>
            <w:vAlign w:val="center"/>
          </w:tcPr>
          <w:p w14:paraId="537CB72E">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节能改造方案</w:t>
            </w:r>
          </w:p>
        </w:tc>
        <w:tc>
          <w:tcPr>
            <w:tcW w:w="875" w:type="dxa"/>
            <w:vAlign w:val="center"/>
          </w:tcPr>
          <w:p w14:paraId="40C58370">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7分</w:t>
            </w:r>
          </w:p>
        </w:tc>
        <w:tc>
          <w:tcPr>
            <w:tcW w:w="6075" w:type="dxa"/>
            <w:vAlign w:val="center"/>
          </w:tcPr>
          <w:p w14:paraId="79534715">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Cs w:val="0"/>
                <w:color w:val="auto"/>
                <w:kern w:val="0"/>
                <w:sz w:val="24"/>
                <w:szCs w:val="24"/>
                <w:highlight w:val="none"/>
              </w:rPr>
            </w:pPr>
            <w:r>
              <w:rPr>
                <w:rFonts w:hint="eastAsia" w:ascii="仿宋" w:hAnsi="仿宋" w:eastAsia="仿宋" w:cs="仿宋"/>
                <w:bCs w:val="0"/>
                <w:color w:val="auto"/>
                <w:kern w:val="0"/>
                <w:sz w:val="24"/>
                <w:szCs w:val="24"/>
                <w:highlight w:val="none"/>
                <w:lang w:val="en-US" w:eastAsia="zh-CN"/>
              </w:rPr>
              <w:t>根据投标人针对本项目提供的节能改造方案进行评分，包括但不限于改造目标、改造范围、改造内容（如主要设施设备性能、系统优化、工艺改进等）、主要工序施工工艺、节能措施、改造过程中的质量控制及安全保障措施等内容。方案改造目标明确且与需求高度契合，范围清晰全面，内容针对性强且技术先进，施工工艺成熟高效，节能措施多元有效并符合标准，质量控制和安全保障体系完善到位，优于采购需求的得7分；改造目标明确、与需求契合，范围清晰、覆盖较全面，内容有针对性、技术可行，施工工艺规范、流程合理，节能措施有效、符合标准，质量控制和安全保障措施完善，满足采购需求的得4分；改造目标基本明确、与需求基本契合，范围界定基本清晰、覆盖存在一定局限性，内容有一定针对性、技术路线基本可行，施工工艺基本规范，节能措施有一定效果，质量控制和安全保障措施基本具备，基本满足采购需求或经过优化可以满足采购需求的得1分；与本项目不符合或不提供不得分。</w:t>
            </w:r>
          </w:p>
        </w:tc>
      </w:tr>
      <w:tr w14:paraId="4529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99" w:type="dxa"/>
            <w:shd w:val="clear" w:color="auto" w:fill="auto"/>
            <w:vAlign w:val="center"/>
          </w:tcPr>
          <w:p w14:paraId="0C02DC42">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val="en-US" w:eastAsia="zh-CN"/>
              </w:rPr>
              <w:t>7</w:t>
            </w:r>
          </w:p>
        </w:tc>
        <w:tc>
          <w:tcPr>
            <w:tcW w:w="1506" w:type="dxa"/>
            <w:shd w:val="clear" w:color="auto" w:fill="auto"/>
            <w:vAlign w:val="center"/>
          </w:tcPr>
          <w:p w14:paraId="3C0C02C1">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信息智慧平台建设方案</w:t>
            </w:r>
          </w:p>
        </w:tc>
        <w:tc>
          <w:tcPr>
            <w:tcW w:w="875" w:type="dxa"/>
            <w:vAlign w:val="center"/>
          </w:tcPr>
          <w:p w14:paraId="5E6644ED">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7分</w:t>
            </w:r>
          </w:p>
        </w:tc>
        <w:tc>
          <w:tcPr>
            <w:tcW w:w="6075" w:type="dxa"/>
            <w:vAlign w:val="center"/>
          </w:tcPr>
          <w:p w14:paraId="03F13C0C">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Cs w:val="0"/>
                <w:color w:val="auto"/>
                <w:kern w:val="0"/>
                <w:sz w:val="24"/>
                <w:szCs w:val="24"/>
                <w:highlight w:val="none"/>
                <w:lang w:val="en-US" w:eastAsia="zh-CN"/>
              </w:rPr>
            </w:pPr>
            <w:r>
              <w:rPr>
                <w:rFonts w:hint="eastAsia" w:ascii="仿宋" w:hAnsi="仿宋" w:eastAsia="仿宋" w:cs="仿宋"/>
                <w:bCs w:val="0"/>
                <w:color w:val="auto"/>
                <w:kern w:val="0"/>
                <w:sz w:val="24"/>
                <w:szCs w:val="24"/>
                <w:highlight w:val="none"/>
                <w:lang w:val="en-US" w:eastAsia="zh-CN"/>
              </w:rPr>
              <w:t>根据投标人针对本项目提供的信息智慧平台建设方案进行评分，包括但不限于平台建设目标、总体架构设计、软件功能设计、能源监测点位设计、数据安全措施、培训与技术支持等内容。</w:t>
            </w:r>
          </w:p>
          <w:p w14:paraId="2D928432">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highlight w:val="none"/>
              </w:rPr>
            </w:pPr>
            <w:r>
              <w:rPr>
                <w:rFonts w:hint="eastAsia" w:ascii="仿宋" w:hAnsi="仿宋" w:eastAsia="仿宋" w:cs="仿宋"/>
                <w:bCs w:val="0"/>
                <w:color w:val="auto"/>
                <w:kern w:val="0"/>
                <w:sz w:val="24"/>
                <w:szCs w:val="24"/>
                <w:highlight w:val="none"/>
                <w:lang w:val="en-US" w:eastAsia="zh-CN"/>
              </w:rPr>
              <w:t>方案建设目标与需求高度匹配且具有前瞻性，总体架构设计科学合理、技术路线先进成熟，软件功能模块完整、满足智慧化管理需求，监测点位布设全面精准、数据采集实时可靠，数据安全措施严密、符合国家相关标准，培训与技术支持体系完善，优于采购需求的得7分；建设目标明确、与需求匹配，架构设计合理、技术路线可行，功能模块基本完整、满足核心需求，监测点位布设合理、数据采集稳定，数据安全措施到位，培训与技术支持机制健全，满足采购需求的得4分；建设目标基本明确、与需求基本匹配，架构设计基本合理、技术路线存在一定局限性，功能模块覆盖不全但核心功能具备，监测点位布设存在不足，数据安全措施基本具备，培训与技术支持机制基本建立，基本满足采购需求或经过优化可以满足采购需求的得1分；与本项目不符合或不提供不得分。</w:t>
            </w:r>
          </w:p>
        </w:tc>
      </w:tr>
      <w:tr w14:paraId="5EFF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99" w:type="dxa"/>
            <w:shd w:val="clear" w:color="auto" w:fill="auto"/>
            <w:vAlign w:val="center"/>
          </w:tcPr>
          <w:p w14:paraId="3FA8207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val="en-US" w:eastAsia="zh-CN"/>
              </w:rPr>
              <w:t>8</w:t>
            </w:r>
          </w:p>
        </w:tc>
        <w:tc>
          <w:tcPr>
            <w:tcW w:w="1506" w:type="dxa"/>
            <w:shd w:val="clear" w:color="auto" w:fill="auto"/>
            <w:vAlign w:val="center"/>
          </w:tcPr>
          <w:p w14:paraId="5F0A7544">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拟派人员的管理制度及安全管理方案</w:t>
            </w:r>
          </w:p>
        </w:tc>
        <w:tc>
          <w:tcPr>
            <w:tcW w:w="875" w:type="dxa"/>
            <w:vAlign w:val="center"/>
          </w:tcPr>
          <w:p w14:paraId="1ADEFF17">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lang w:val="en-US" w:eastAsia="zh-CN"/>
              </w:rPr>
            </w:pPr>
            <w:r>
              <w:rPr>
                <w:rFonts w:hint="eastAsia" w:ascii="仿宋" w:hAnsi="仿宋" w:eastAsia="仿宋" w:cs="仿宋"/>
                <w:lang w:eastAsia="zh-CN"/>
              </w:rPr>
              <w:t>7分</w:t>
            </w:r>
          </w:p>
        </w:tc>
        <w:tc>
          <w:tcPr>
            <w:tcW w:w="6075" w:type="dxa"/>
            <w:vAlign w:val="center"/>
          </w:tcPr>
          <w:p w14:paraId="0E6C1DD7">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highlight w:val="none"/>
              </w:rPr>
            </w:pPr>
            <w:r>
              <w:rPr>
                <w:rFonts w:hint="eastAsia" w:ascii="仿宋" w:hAnsi="仿宋" w:eastAsia="仿宋" w:cs="仿宋"/>
              </w:rPr>
              <w:t>根据投标人针对本项目制定的拟派人员的管理制度及安全管理方案，管理制度、人员培训、人员资质、人员安排、人员服务能力、人员安全管理的方案（包含但不限于）。根据其方案的内容非常完善具体，人员安排非常合理，分工非常明确，人员管理措施非常有效，人员资质非常强且服务经验非常丰富，人员培训定期有效，人员安全保障能力非常好，优于采购需求的得</w:t>
            </w:r>
            <w:r>
              <w:rPr>
                <w:rFonts w:hint="eastAsia" w:ascii="仿宋" w:hAnsi="仿宋" w:eastAsia="仿宋" w:cs="仿宋"/>
                <w:lang w:eastAsia="zh-CN"/>
              </w:rPr>
              <w:t>7分</w:t>
            </w:r>
            <w:r>
              <w:rPr>
                <w:rFonts w:hint="eastAsia" w:ascii="仿宋" w:hAnsi="仿宋" w:eastAsia="仿宋" w:cs="仿宋"/>
              </w:rPr>
              <w:t>；方案的内容完善具体，人员安排合理，分工明确，人员管理措施有效，人员资质强且服务经验丰富，人员培训定期有效，人员安全保障能力好，满足采购需求的得</w:t>
            </w:r>
            <w:r>
              <w:rPr>
                <w:rFonts w:hint="eastAsia" w:ascii="仿宋" w:hAnsi="仿宋" w:eastAsia="仿宋" w:cs="仿宋"/>
                <w:lang w:eastAsia="zh-CN"/>
              </w:rPr>
              <w:t>4分</w:t>
            </w:r>
            <w:r>
              <w:rPr>
                <w:rFonts w:hint="eastAsia" w:ascii="仿宋" w:hAnsi="仿宋" w:eastAsia="仿宋" w:cs="仿宋"/>
              </w:rPr>
              <w:t>；方案的内容比较完善具体，人员安排比较合理，分工比较明确，人员管理措施比较有效，人员资质较强且服务经验比较丰富，人员培训规律有效，人员安全保障能力较好，基本满足采购需求或经过优化可以满足采购需求的得</w:t>
            </w:r>
            <w:r>
              <w:rPr>
                <w:rFonts w:hint="eastAsia" w:ascii="仿宋" w:hAnsi="仿宋" w:eastAsia="仿宋" w:cs="仿宋"/>
                <w:lang w:eastAsia="zh-CN"/>
              </w:rPr>
              <w:t>1分</w:t>
            </w:r>
            <w:r>
              <w:rPr>
                <w:rFonts w:hint="eastAsia" w:ascii="仿宋" w:hAnsi="仿宋" w:eastAsia="仿宋" w:cs="仿宋"/>
              </w:rPr>
              <w:t>；与本项目不符合或不提供不得分。</w:t>
            </w:r>
          </w:p>
        </w:tc>
      </w:tr>
      <w:tr w14:paraId="4540E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99" w:type="dxa"/>
            <w:shd w:val="clear" w:color="auto" w:fill="auto"/>
            <w:vAlign w:val="center"/>
          </w:tcPr>
          <w:p w14:paraId="27676291">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val="en-US" w:eastAsia="zh-CN"/>
              </w:rPr>
              <w:t>9</w:t>
            </w:r>
          </w:p>
        </w:tc>
        <w:tc>
          <w:tcPr>
            <w:tcW w:w="1506" w:type="dxa"/>
            <w:shd w:val="clear" w:color="auto" w:fill="auto"/>
            <w:vAlign w:val="center"/>
          </w:tcPr>
          <w:p w14:paraId="3CA966D1">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应急方案</w:t>
            </w:r>
          </w:p>
        </w:tc>
        <w:tc>
          <w:tcPr>
            <w:tcW w:w="875" w:type="dxa"/>
            <w:vAlign w:val="center"/>
          </w:tcPr>
          <w:p w14:paraId="69256459">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lang w:val="en-US" w:eastAsia="zh-CN"/>
              </w:rPr>
            </w:pPr>
            <w:r>
              <w:rPr>
                <w:rFonts w:hint="eastAsia" w:ascii="仿宋" w:hAnsi="仿宋" w:eastAsia="仿宋" w:cs="仿宋"/>
                <w:lang w:eastAsia="zh-CN"/>
              </w:rPr>
              <w:t>7分</w:t>
            </w:r>
          </w:p>
        </w:tc>
        <w:tc>
          <w:tcPr>
            <w:tcW w:w="6075" w:type="dxa"/>
            <w:vAlign w:val="center"/>
          </w:tcPr>
          <w:p w14:paraId="7DD1D95F">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highlight w:val="none"/>
              </w:rPr>
            </w:pPr>
            <w:r>
              <w:rPr>
                <w:rFonts w:hint="eastAsia" w:ascii="仿宋" w:hAnsi="仿宋" w:eastAsia="仿宋" w:cs="仿宋"/>
              </w:rPr>
              <w:t>根据应急方案的应急预案、应急处理、应急人员安排、时效性、与采购人配合应急处理措施等方面，对紧急事故做出快速、正确的反应、应急处理后确保工作正常开展的方案（包含但不限于）。应急预案全面、应急处理迅速有效、应急人员安排充分、时效性短、与采购人配合应急处理措施科学有效，对紧急事故能够做出快速、正确的反应，应急处理后完全能确保工作的正常开展，优于采购需求得</w:t>
            </w:r>
            <w:r>
              <w:rPr>
                <w:rFonts w:hint="eastAsia" w:ascii="仿宋" w:hAnsi="仿宋" w:eastAsia="仿宋" w:cs="仿宋"/>
                <w:lang w:eastAsia="zh-CN"/>
              </w:rPr>
              <w:t>7分</w:t>
            </w:r>
            <w:r>
              <w:rPr>
                <w:rFonts w:hint="eastAsia" w:ascii="仿宋" w:hAnsi="仿宋" w:eastAsia="仿宋" w:cs="仿宋"/>
              </w:rPr>
              <w:t>；应急预案比较全面、应急处理比较迅速有效、应急人员安排比较充分、时效性较短、与采购人配合应急处理措施比较科学有效，对紧急事故能够做出比较快速、正确的反应，应急处理后能确保工作的正常开展，满足采购需求得</w:t>
            </w:r>
            <w:r>
              <w:rPr>
                <w:rFonts w:hint="eastAsia" w:ascii="仿宋" w:hAnsi="仿宋" w:eastAsia="仿宋" w:cs="仿宋"/>
                <w:lang w:eastAsia="zh-CN"/>
              </w:rPr>
              <w:t>4分</w:t>
            </w:r>
            <w:r>
              <w:rPr>
                <w:rFonts w:hint="eastAsia" w:ascii="仿宋" w:hAnsi="仿宋" w:eastAsia="仿宋" w:cs="仿宋"/>
              </w:rPr>
              <w:t>；应急预案不太全面、应急处理较慢或不太有效、应急人员安排不太充分、时效性较长、与采购人配合应急处理措施不太有效，对紧急事故能够做出的反应较慢，应急处理后基本能确保工作的正常开展，基本满足采购需求或经过优化可以满足采购需求得</w:t>
            </w:r>
            <w:r>
              <w:rPr>
                <w:rFonts w:hint="eastAsia" w:ascii="仿宋" w:hAnsi="仿宋" w:eastAsia="仿宋" w:cs="仿宋"/>
                <w:lang w:eastAsia="zh-CN"/>
              </w:rPr>
              <w:t>1分</w:t>
            </w:r>
            <w:r>
              <w:rPr>
                <w:rFonts w:hint="eastAsia" w:ascii="仿宋" w:hAnsi="仿宋" w:eastAsia="仿宋" w:cs="仿宋"/>
              </w:rPr>
              <w:t>；与本项目不符合或不提供不得分。</w:t>
            </w:r>
          </w:p>
        </w:tc>
      </w:tr>
      <w:tr w14:paraId="5FA8C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99" w:type="dxa"/>
            <w:shd w:val="clear" w:color="auto" w:fill="auto"/>
            <w:vAlign w:val="center"/>
          </w:tcPr>
          <w:p w14:paraId="42C77420">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val="en-US" w:eastAsia="zh-CN"/>
              </w:rPr>
              <w:t>10</w:t>
            </w:r>
          </w:p>
        </w:tc>
        <w:tc>
          <w:tcPr>
            <w:tcW w:w="1506" w:type="dxa"/>
            <w:shd w:val="clear" w:color="auto" w:fill="auto"/>
            <w:vAlign w:val="center"/>
          </w:tcPr>
          <w:p w14:paraId="4107E365">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安全文明保障方案</w:t>
            </w:r>
          </w:p>
        </w:tc>
        <w:tc>
          <w:tcPr>
            <w:tcW w:w="875" w:type="dxa"/>
            <w:vAlign w:val="center"/>
          </w:tcPr>
          <w:p w14:paraId="5993F9F4">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7分</w:t>
            </w:r>
          </w:p>
        </w:tc>
        <w:tc>
          <w:tcPr>
            <w:tcW w:w="6075" w:type="dxa"/>
            <w:vAlign w:val="center"/>
          </w:tcPr>
          <w:p w14:paraId="4770893E">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highlight w:val="none"/>
              </w:rPr>
            </w:pP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rPr>
              <w:t>根据项目需求提供安全文明保障方案，包括但不限于现场安全保障、文明保障、环境保护等</w:t>
            </w:r>
            <w:r>
              <w:rPr>
                <w:rFonts w:hint="eastAsia" w:ascii="仿宋" w:hAnsi="仿宋" w:eastAsia="仿宋" w:cs="仿宋"/>
                <w:color w:val="auto"/>
                <w:highlight w:val="none"/>
                <w:lang w:val="en-US" w:eastAsia="zh-CN"/>
              </w:rPr>
              <w:t>内容</w:t>
            </w:r>
            <w:r>
              <w:rPr>
                <w:rFonts w:hint="eastAsia" w:ascii="仿宋" w:hAnsi="仿宋" w:eastAsia="仿宋" w:cs="仿宋"/>
                <w:color w:val="auto"/>
                <w:highlight w:val="none"/>
              </w:rPr>
              <w:t>。针对本项目特点，对现场文明</w:t>
            </w:r>
            <w:r>
              <w:rPr>
                <w:rFonts w:hint="eastAsia" w:ascii="仿宋" w:hAnsi="仿宋" w:eastAsia="仿宋" w:cs="仿宋"/>
                <w:color w:val="auto"/>
                <w:highlight w:val="none"/>
                <w:lang w:val="en-US" w:eastAsia="zh-CN"/>
              </w:rPr>
              <w:t>改造建设</w:t>
            </w:r>
            <w:r>
              <w:rPr>
                <w:rFonts w:hint="eastAsia" w:ascii="仿宋" w:hAnsi="仿宋" w:eastAsia="仿宋" w:cs="仿宋"/>
                <w:color w:val="auto"/>
                <w:highlight w:val="none"/>
              </w:rPr>
              <w:t>，环境保护措施，周全、具体、有效的得</w:t>
            </w:r>
            <w:r>
              <w:rPr>
                <w:rFonts w:hint="eastAsia" w:ascii="仿宋" w:hAnsi="仿宋" w:eastAsia="仿宋" w:cs="仿宋"/>
                <w:color w:val="auto"/>
                <w:highlight w:val="none"/>
                <w:lang w:val="en-US" w:eastAsia="zh-CN"/>
              </w:rPr>
              <w:t>7分</w:t>
            </w:r>
            <w:r>
              <w:rPr>
                <w:rFonts w:hint="eastAsia" w:ascii="仿宋" w:hAnsi="仿宋" w:eastAsia="仿宋" w:cs="仿宋"/>
                <w:color w:val="auto"/>
                <w:highlight w:val="none"/>
              </w:rPr>
              <w:t>；针对本项目特点，对现场文明</w:t>
            </w:r>
            <w:r>
              <w:rPr>
                <w:rFonts w:hint="eastAsia" w:ascii="仿宋" w:hAnsi="仿宋" w:eastAsia="仿宋" w:cs="仿宋"/>
                <w:color w:val="auto"/>
                <w:highlight w:val="none"/>
                <w:lang w:val="en-US" w:eastAsia="zh-CN"/>
              </w:rPr>
              <w:t>改造建设</w:t>
            </w:r>
            <w:r>
              <w:rPr>
                <w:rFonts w:hint="eastAsia" w:ascii="仿宋" w:hAnsi="仿宋" w:eastAsia="仿宋" w:cs="仿宋"/>
                <w:color w:val="auto"/>
                <w:highlight w:val="none"/>
              </w:rPr>
              <w:t>，环境保护有措施</w:t>
            </w:r>
            <w:r>
              <w:rPr>
                <w:rFonts w:hint="eastAsia" w:ascii="仿宋" w:hAnsi="仿宋" w:eastAsia="仿宋" w:cs="仿宋"/>
                <w:color w:val="auto"/>
                <w:highlight w:val="none"/>
                <w:lang w:val="en-US" w:eastAsia="zh-CN"/>
              </w:rPr>
              <w:t>但不太</w:t>
            </w:r>
            <w:r>
              <w:rPr>
                <w:rFonts w:hint="eastAsia" w:ascii="仿宋" w:hAnsi="仿宋" w:eastAsia="仿宋" w:cs="仿宋"/>
                <w:color w:val="auto"/>
                <w:highlight w:val="none"/>
              </w:rPr>
              <w:t>周全</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有效</w:t>
            </w:r>
            <w:r>
              <w:rPr>
                <w:rFonts w:hint="eastAsia" w:ascii="仿宋" w:hAnsi="仿宋" w:eastAsia="仿宋" w:cs="仿宋"/>
                <w:color w:val="auto"/>
                <w:highlight w:val="none"/>
                <w:lang w:val="en-US" w:eastAsia="zh-CN"/>
              </w:rPr>
              <w:t>性欠佳</w:t>
            </w:r>
            <w:r>
              <w:rPr>
                <w:rFonts w:hint="eastAsia" w:ascii="仿宋" w:hAnsi="仿宋" w:eastAsia="仿宋" w:cs="仿宋"/>
                <w:color w:val="auto"/>
                <w:highlight w:val="none"/>
              </w:rPr>
              <w:t>的得</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分；针对本项目特点，对现场文明</w:t>
            </w:r>
            <w:r>
              <w:rPr>
                <w:rFonts w:hint="eastAsia" w:ascii="仿宋" w:hAnsi="仿宋" w:eastAsia="仿宋" w:cs="仿宋"/>
                <w:color w:val="auto"/>
                <w:highlight w:val="none"/>
                <w:lang w:val="en-US" w:eastAsia="zh-CN"/>
              </w:rPr>
              <w:t>改造建设</w:t>
            </w:r>
            <w:r>
              <w:rPr>
                <w:rFonts w:hint="eastAsia" w:ascii="仿宋" w:hAnsi="仿宋" w:eastAsia="仿宋" w:cs="仿宋"/>
                <w:color w:val="auto"/>
                <w:highlight w:val="none"/>
              </w:rPr>
              <w:t>，环境保护有一定的措施但</w:t>
            </w:r>
            <w:r>
              <w:rPr>
                <w:rFonts w:hint="eastAsia" w:ascii="仿宋" w:hAnsi="仿宋" w:eastAsia="仿宋" w:cs="仿宋"/>
                <w:color w:val="auto"/>
                <w:highlight w:val="none"/>
                <w:lang w:val="en-US" w:eastAsia="zh-CN"/>
              </w:rPr>
              <w:t>保障能力低</w:t>
            </w:r>
            <w:r>
              <w:rPr>
                <w:rFonts w:hint="eastAsia" w:ascii="仿宋" w:hAnsi="仿宋" w:eastAsia="仿宋" w:cs="仿宋"/>
                <w:color w:val="auto"/>
                <w:highlight w:val="none"/>
              </w:rPr>
              <w:t>的得</w:t>
            </w:r>
            <w:r>
              <w:rPr>
                <w:rFonts w:hint="eastAsia" w:ascii="仿宋" w:hAnsi="仿宋" w:eastAsia="仿宋" w:cs="仿宋"/>
                <w:color w:val="auto"/>
                <w:highlight w:val="none"/>
                <w:lang w:val="en-US" w:eastAsia="zh-CN"/>
              </w:rPr>
              <w:t>1分</w:t>
            </w:r>
            <w:r>
              <w:rPr>
                <w:rFonts w:hint="eastAsia" w:ascii="仿宋" w:hAnsi="仿宋" w:eastAsia="仿宋" w:cs="仿宋"/>
                <w:color w:val="auto"/>
                <w:highlight w:val="none"/>
              </w:rPr>
              <w:t>；其余或不提供不得分。</w:t>
            </w:r>
          </w:p>
        </w:tc>
      </w:tr>
      <w:tr w14:paraId="3D67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99" w:type="dxa"/>
            <w:vAlign w:val="center"/>
          </w:tcPr>
          <w:p w14:paraId="50E8888E">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11</w:t>
            </w:r>
          </w:p>
        </w:tc>
        <w:tc>
          <w:tcPr>
            <w:tcW w:w="1506" w:type="dxa"/>
            <w:shd w:val="clear" w:color="auto" w:fill="auto"/>
            <w:vAlign w:val="center"/>
          </w:tcPr>
          <w:p w14:paraId="039A8853">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业绩</w:t>
            </w:r>
          </w:p>
        </w:tc>
        <w:tc>
          <w:tcPr>
            <w:tcW w:w="875" w:type="dxa"/>
            <w:vAlign w:val="center"/>
          </w:tcPr>
          <w:p w14:paraId="64AFF8DC">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10分</w:t>
            </w:r>
          </w:p>
        </w:tc>
        <w:tc>
          <w:tcPr>
            <w:tcW w:w="6075" w:type="dxa"/>
            <w:vAlign w:val="center"/>
          </w:tcPr>
          <w:p w14:paraId="5C8F7EC5">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highlight w:val="none"/>
              </w:rPr>
            </w:pPr>
            <w:r>
              <w:rPr>
                <w:rFonts w:hint="eastAsia" w:ascii="仿宋" w:hAnsi="仿宋" w:eastAsia="仿宋" w:cs="仿宋"/>
                <w:color w:val="auto"/>
                <w:highlight w:val="none"/>
                <w:lang w:val="en-US" w:eastAsia="zh-CN"/>
              </w:rPr>
              <w:t>投标人自2023年1月1日以来（以合同签订时间为准）承接过类似项目（合同能源管理，业绩合同服务范围至少包含空调系统改造、生活热水系统改造、能源管理平台）业绩的。每提供一个有效的项目业绩得2分，此项最高得10分；</w:t>
            </w:r>
            <w:r>
              <w:rPr>
                <w:rFonts w:hint="eastAsia" w:ascii="仿宋" w:hAnsi="仿宋" w:eastAsia="仿宋" w:cs="仿宋"/>
                <w:bCs/>
                <w:sz w:val="24"/>
                <w:szCs w:val="24"/>
                <w:highlight w:val="none"/>
                <w:lang w:val="en-US" w:eastAsia="zh-CN" w:bidi="ar-SA"/>
              </w:rPr>
              <w:t>提供合同复印件，合同须明确显示</w:t>
            </w:r>
            <w:bookmarkStart w:id="82" w:name="_GoBack"/>
            <w:bookmarkEnd w:id="82"/>
            <w:r>
              <w:rPr>
                <w:rFonts w:hint="eastAsia" w:ascii="仿宋" w:hAnsi="仿宋" w:eastAsia="仿宋" w:cs="仿宋"/>
                <w:bCs/>
                <w:sz w:val="24"/>
                <w:szCs w:val="24"/>
                <w:highlight w:val="none"/>
                <w:lang w:val="en-US" w:eastAsia="zh-CN" w:bidi="ar-SA"/>
              </w:rPr>
              <w:t>双方签章，提供不全的不得分。</w:t>
            </w:r>
          </w:p>
        </w:tc>
      </w:tr>
    </w:tbl>
    <w:p w14:paraId="0FF3616F">
      <w:pPr>
        <w:spacing w:line="440" w:lineRule="exact"/>
        <w:rPr>
          <w:rFonts w:hint="default" w:ascii="仿宋" w:hAnsi="仿宋" w:eastAsia="仿宋" w:cs="仿宋"/>
          <w:highlight w:val="none"/>
        </w:rPr>
      </w:pPr>
      <w:r>
        <w:rPr>
          <w:rFonts w:hint="eastAsia" w:ascii="仿宋" w:hAnsi="仿宋" w:eastAsia="仿宋" w:cs="仿宋"/>
          <w:highlight w:val="none"/>
        </w:rPr>
        <w:t>说明：</w:t>
      </w:r>
    </w:p>
    <w:p w14:paraId="4342D361">
      <w:pPr>
        <w:spacing w:line="440" w:lineRule="exact"/>
        <w:ind w:firstLine="480"/>
        <w:rPr>
          <w:rFonts w:hint="default" w:ascii="仿宋" w:hAnsi="仿宋" w:eastAsia="仿宋" w:cs="仿宋"/>
          <w:highlight w:val="none"/>
        </w:rPr>
      </w:pPr>
      <w:r>
        <w:rPr>
          <w:rFonts w:hint="eastAsia" w:ascii="仿宋" w:hAnsi="仿宋" w:eastAsia="仿宋" w:cs="仿宋"/>
          <w:highlight w:val="none"/>
        </w:rPr>
        <w:t>1.小微企业的价格扣除</w:t>
      </w:r>
    </w:p>
    <w:p w14:paraId="4711C0E4">
      <w:pPr>
        <w:spacing w:line="440" w:lineRule="exact"/>
        <w:ind w:firstLine="480"/>
        <w:rPr>
          <w:rFonts w:hint="default" w:ascii="仿宋" w:hAnsi="仿宋" w:eastAsia="仿宋" w:cs="仿宋"/>
          <w:highlight w:val="none"/>
        </w:rPr>
      </w:pPr>
      <w:r>
        <w:rPr>
          <w:rFonts w:hint="eastAsia" w:ascii="仿宋" w:hAnsi="仿宋" w:eastAsia="仿宋" w:cs="仿宋"/>
          <w:highlight w:val="none"/>
        </w:rPr>
        <w:t>1.1对于未预留份额专门面向中小企业采购的采购项目或预留份额项目中的非预留部分采购包，给予小微企业报价</w:t>
      </w:r>
      <w:r>
        <w:rPr>
          <w:rFonts w:hint="eastAsia" w:ascii="仿宋" w:hAnsi="仿宋" w:eastAsia="仿宋" w:cs="仿宋"/>
          <w:highlight w:val="none"/>
          <w:lang w:val="en-US" w:eastAsia="zh-CN"/>
        </w:rPr>
        <w:t>20</w:t>
      </w:r>
      <w:r>
        <w:rPr>
          <w:rFonts w:hint="eastAsia" w:ascii="仿宋" w:hAnsi="仿宋" w:eastAsia="仿宋" w:cs="仿宋"/>
          <w:highlight w:val="none"/>
        </w:rPr>
        <w:t>%的扣除，用扣除后的价格参加评审。其中，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ascii="仿宋" w:hAnsi="仿宋" w:eastAsia="仿宋" w:cs="仿宋"/>
          <w:highlight w:val="none"/>
          <w:lang w:val="en-US" w:eastAsia="zh-CN"/>
        </w:rPr>
        <w:t>6</w:t>
      </w:r>
      <w:r>
        <w:rPr>
          <w:rFonts w:hint="eastAsia" w:ascii="仿宋" w:hAnsi="仿宋" w:eastAsia="仿宋" w:cs="仿宋"/>
          <w:highlight w:val="none"/>
        </w:rPr>
        <w:t>%的扣除，用扣除后的价格参加评审。联合体各方均为小微企业的，联合体视同为小微企业，享受</w:t>
      </w:r>
      <w:r>
        <w:rPr>
          <w:rFonts w:hint="eastAsia" w:ascii="仿宋" w:hAnsi="仿宋" w:eastAsia="仿宋" w:cs="仿宋"/>
          <w:highlight w:val="none"/>
          <w:lang w:val="en-US" w:eastAsia="zh-CN"/>
        </w:rPr>
        <w:t>20</w:t>
      </w:r>
      <w:r>
        <w:rPr>
          <w:rFonts w:hint="eastAsia" w:ascii="仿宋" w:hAnsi="仿宋" w:eastAsia="仿宋" w:cs="仿宋"/>
          <w:highlight w:val="none"/>
        </w:rPr>
        <w:t>%的价格扣除。</w:t>
      </w:r>
    </w:p>
    <w:p w14:paraId="08842AF7">
      <w:pPr>
        <w:spacing w:line="440" w:lineRule="exact"/>
        <w:ind w:firstLine="480"/>
        <w:rPr>
          <w:rFonts w:hint="default" w:ascii="仿宋" w:hAnsi="仿宋" w:eastAsia="仿宋" w:cs="仿宋"/>
          <w:highlight w:val="none"/>
        </w:rPr>
      </w:pPr>
      <w:r>
        <w:rPr>
          <w:rFonts w:hint="eastAsia" w:ascii="仿宋" w:hAnsi="仿宋" w:eastAsia="仿宋" w:cs="仿宋"/>
          <w:highlight w:val="none"/>
        </w:rPr>
        <w:t>1.2价格扣除比例或者价格分加分比例对小型企业和微型企业同等对待，不作区分。</w:t>
      </w:r>
    </w:p>
    <w:p w14:paraId="5225397F">
      <w:pPr>
        <w:spacing w:line="440" w:lineRule="exact"/>
        <w:ind w:firstLine="480"/>
        <w:rPr>
          <w:rFonts w:hint="default" w:ascii="仿宋" w:hAnsi="仿宋" w:eastAsia="仿宋" w:cs="仿宋"/>
          <w:highlight w:val="none"/>
        </w:rPr>
      </w:pPr>
      <w:r>
        <w:rPr>
          <w:rFonts w:hint="eastAsia" w:ascii="仿宋" w:hAnsi="仿宋" w:eastAsia="仿宋" w:cs="仿宋"/>
          <w:highlight w:val="none"/>
        </w:rPr>
        <w:t>2.监狱和戒毒企业的价格扣除</w:t>
      </w:r>
    </w:p>
    <w:p w14:paraId="22ACA758">
      <w:pPr>
        <w:spacing w:line="440" w:lineRule="exact"/>
        <w:ind w:firstLine="480"/>
        <w:rPr>
          <w:rFonts w:hint="default" w:ascii="仿宋" w:hAnsi="仿宋" w:eastAsia="仿宋" w:cs="仿宋"/>
          <w:highlight w:val="none"/>
        </w:rPr>
      </w:pPr>
      <w:r>
        <w:rPr>
          <w:rFonts w:hint="eastAsia" w:ascii="仿宋" w:hAnsi="仿宋" w:eastAsia="仿宋" w:cs="仿宋"/>
          <w:highlight w:val="none"/>
        </w:rPr>
        <w:t>2.1对监狱和戒毒企业（简称监狱企业），给予</w:t>
      </w:r>
      <w:r>
        <w:rPr>
          <w:rFonts w:hint="eastAsia" w:ascii="仿宋" w:hAnsi="仿宋" w:eastAsia="仿宋" w:cs="仿宋"/>
          <w:highlight w:val="none"/>
          <w:lang w:val="en-US" w:eastAsia="zh-CN"/>
        </w:rPr>
        <w:t>20</w:t>
      </w:r>
      <w:r>
        <w:rPr>
          <w:rFonts w:hint="eastAsia" w:ascii="仿宋" w:hAnsi="仿宋" w:eastAsia="仿宋" w:cs="仿宋"/>
          <w:highlight w:val="none"/>
        </w:rPr>
        <w:t>%的价格扣除，用扣除后的价格参与评审。</w:t>
      </w:r>
    </w:p>
    <w:p w14:paraId="48976B9D">
      <w:pPr>
        <w:spacing w:line="440" w:lineRule="exact"/>
        <w:ind w:firstLine="480"/>
        <w:rPr>
          <w:rFonts w:hint="default" w:ascii="仿宋" w:hAnsi="仿宋" w:eastAsia="仿宋" w:cs="仿宋"/>
          <w:highlight w:val="none"/>
        </w:rPr>
      </w:pPr>
      <w:r>
        <w:rPr>
          <w:rFonts w:hint="eastAsia" w:ascii="仿宋" w:hAnsi="仿宋" w:eastAsia="仿宋" w:cs="仿宋"/>
          <w:highlight w:val="none"/>
        </w:rPr>
        <w:t>2.2监狱企业需提供由省级以上监狱管理局、戒毒管理局（含新疆生产建设兵团）出具的属于监狱企业的证明文件。</w:t>
      </w:r>
    </w:p>
    <w:p w14:paraId="45A85EE0">
      <w:pPr>
        <w:spacing w:line="440" w:lineRule="exact"/>
        <w:ind w:firstLine="480"/>
        <w:rPr>
          <w:rFonts w:hint="default" w:ascii="仿宋" w:hAnsi="仿宋" w:eastAsia="仿宋" w:cs="仿宋"/>
          <w:highlight w:val="none"/>
        </w:rPr>
      </w:pPr>
      <w:r>
        <w:rPr>
          <w:rFonts w:hint="eastAsia" w:ascii="仿宋" w:hAnsi="仿宋" w:eastAsia="仿宋" w:cs="仿宋"/>
          <w:highlight w:val="none"/>
        </w:rPr>
        <w:t>2.3监狱企业标准请参照《关于政府采购支持监狱企业发展有关问题的通知》（财库</w:t>
      </w:r>
      <w:r>
        <w:rPr>
          <w:rFonts w:hint="eastAsia" w:ascii="仿宋" w:hAnsi="仿宋" w:eastAsia="仿宋" w:cs="仿宋"/>
          <w:highlight w:val="none"/>
          <w:lang w:eastAsia="zh-CN"/>
        </w:rPr>
        <w:t>〔2014〕68号</w:t>
      </w:r>
      <w:r>
        <w:rPr>
          <w:rFonts w:hint="eastAsia" w:ascii="仿宋" w:hAnsi="仿宋" w:eastAsia="仿宋" w:cs="仿宋"/>
          <w:highlight w:val="none"/>
        </w:rPr>
        <w:t>）。</w:t>
      </w:r>
    </w:p>
    <w:p w14:paraId="06BE9658">
      <w:pPr>
        <w:spacing w:line="440" w:lineRule="exact"/>
        <w:ind w:firstLine="480"/>
        <w:rPr>
          <w:rFonts w:hint="default" w:ascii="仿宋" w:hAnsi="仿宋" w:eastAsia="仿宋" w:cs="仿宋"/>
          <w:highlight w:val="none"/>
        </w:rPr>
      </w:pPr>
      <w:r>
        <w:rPr>
          <w:rFonts w:hint="eastAsia" w:ascii="仿宋" w:hAnsi="仿宋" w:eastAsia="仿宋" w:cs="仿宋"/>
          <w:highlight w:val="none"/>
        </w:rPr>
        <w:t>3.残疾人福利性单位的价格扣除</w:t>
      </w:r>
    </w:p>
    <w:p w14:paraId="32423339">
      <w:pPr>
        <w:spacing w:line="440" w:lineRule="exact"/>
        <w:ind w:firstLine="480"/>
        <w:rPr>
          <w:rFonts w:hint="default" w:ascii="仿宋" w:hAnsi="仿宋" w:eastAsia="仿宋" w:cs="仿宋"/>
          <w:highlight w:val="none"/>
        </w:rPr>
      </w:pPr>
      <w:r>
        <w:rPr>
          <w:rFonts w:hint="eastAsia" w:ascii="仿宋" w:hAnsi="仿宋" w:eastAsia="仿宋" w:cs="仿宋"/>
          <w:highlight w:val="none"/>
        </w:rPr>
        <w:t>3.1对残疾人福利性单位，给予</w:t>
      </w:r>
      <w:r>
        <w:rPr>
          <w:rFonts w:hint="eastAsia" w:ascii="仿宋" w:hAnsi="仿宋" w:eastAsia="仿宋" w:cs="仿宋"/>
          <w:highlight w:val="none"/>
          <w:lang w:val="en-US" w:eastAsia="zh-CN"/>
        </w:rPr>
        <w:t>20</w:t>
      </w:r>
      <w:r>
        <w:rPr>
          <w:rFonts w:hint="eastAsia" w:ascii="仿宋" w:hAnsi="仿宋" w:eastAsia="仿宋" w:cs="仿宋"/>
          <w:highlight w:val="none"/>
        </w:rPr>
        <w:t>%的价格扣除，用扣除后的价格参与评审。</w:t>
      </w:r>
    </w:p>
    <w:p w14:paraId="0F1A0F7C">
      <w:pPr>
        <w:spacing w:line="440" w:lineRule="exact"/>
        <w:ind w:firstLine="480"/>
        <w:rPr>
          <w:rFonts w:hint="default" w:ascii="仿宋" w:hAnsi="仿宋" w:eastAsia="仿宋" w:cs="仿宋"/>
          <w:highlight w:val="none"/>
        </w:rPr>
      </w:pPr>
      <w:r>
        <w:rPr>
          <w:rFonts w:hint="eastAsia" w:ascii="仿宋" w:hAnsi="仿宋" w:eastAsia="仿宋" w:cs="仿宋"/>
          <w:highlight w:val="none"/>
        </w:rPr>
        <w:t>3.2残疾人福利单位需按照招标文件的要求提供《残疾人福利性单位声明函》。</w:t>
      </w:r>
    </w:p>
    <w:p w14:paraId="647DF41A">
      <w:pPr>
        <w:spacing w:line="440" w:lineRule="exact"/>
        <w:ind w:firstLine="480"/>
        <w:rPr>
          <w:rFonts w:hint="eastAsia" w:ascii="仿宋" w:hAnsi="仿宋" w:eastAsia="仿宋" w:cs="仿宋"/>
          <w:highlight w:val="none"/>
        </w:rPr>
      </w:pPr>
      <w:r>
        <w:rPr>
          <w:rFonts w:hint="eastAsia" w:ascii="仿宋" w:hAnsi="仿宋" w:eastAsia="仿宋" w:cs="仿宋"/>
          <w:highlight w:val="none"/>
        </w:rPr>
        <w:t>3.3残疾人福利单位标准请参照《关于促进残疾人就业政府采购政策的通知》（财库〔2017〕141号）。</w:t>
      </w:r>
    </w:p>
    <w:p w14:paraId="19D9473E">
      <w:pPr>
        <w:numPr>
          <w:ilvl w:val="0"/>
          <w:numId w:val="0"/>
        </w:numPr>
        <w:spacing w:line="440" w:lineRule="exact"/>
        <w:ind w:firstLine="480" w:firstLineChars="200"/>
        <w:rPr>
          <w:rFonts w:hint="eastAsia" w:ascii="仿宋" w:hAnsi="仿宋" w:eastAsia="仿宋" w:cs="仿宋"/>
          <w:highlight w:val="none"/>
        </w:rPr>
      </w:pPr>
      <w:r>
        <w:rPr>
          <w:rFonts w:hint="eastAsia" w:ascii="仿宋" w:hAnsi="仿宋" w:eastAsia="仿宋" w:cs="仿宋"/>
          <w:sz w:val="24"/>
          <w:szCs w:val="24"/>
          <w:highlight w:val="none"/>
          <w:lang w:val="en-US" w:eastAsia="zh-CN" w:bidi="ar-SA"/>
        </w:rPr>
        <w:t>4</w:t>
      </w:r>
      <w:r>
        <w:rPr>
          <w:rFonts w:hint="default" w:ascii="仿宋" w:hAnsi="仿宋" w:eastAsia="仿宋" w:cs="仿宋"/>
          <w:sz w:val="24"/>
          <w:szCs w:val="24"/>
          <w:highlight w:val="none"/>
          <w:lang w:val="en-US" w:eastAsia="zh-CN" w:bidi="ar-SA"/>
        </w:rPr>
        <w:t>.</w:t>
      </w:r>
      <w:r>
        <w:rPr>
          <w:rFonts w:hint="eastAsia" w:ascii="仿宋" w:hAnsi="仿宋" w:eastAsia="仿宋" w:cs="仿宋"/>
          <w:highlight w:val="none"/>
        </w:rPr>
        <w:t>监狱企业、残疾人福利单位属于小型、微型企业的，不重复享受政策。对本国产品的支持政策与政府采购支持中小企业、节能环保等优惠政策叠加适用，对应执行价格扣除政策的项目，统一在原报价的基础上给予价格扣除。</w:t>
      </w:r>
    </w:p>
    <w:p w14:paraId="6D425D0C">
      <w:pPr>
        <w:spacing w:line="440" w:lineRule="exact"/>
        <w:ind w:firstLine="480"/>
        <w:rPr>
          <w:rFonts w:hint="default" w:ascii="仿宋" w:hAnsi="仿宋" w:eastAsia="仿宋" w:cs="仿宋"/>
          <w:highlight w:val="none"/>
        </w:rPr>
      </w:pPr>
      <w:r>
        <w:rPr>
          <w:rFonts w:hint="eastAsia" w:ascii="仿宋" w:hAnsi="仿宋" w:eastAsia="仿宋" w:cs="仿宋"/>
          <w:highlight w:val="none"/>
          <w:lang w:val="en-US" w:eastAsia="zh-CN"/>
        </w:rPr>
        <w:t>5</w:t>
      </w:r>
      <w:r>
        <w:rPr>
          <w:rFonts w:hint="eastAsia" w:ascii="仿宋" w:hAnsi="仿宋" w:eastAsia="仿宋" w:cs="仿宋"/>
          <w:highlight w:val="none"/>
        </w:rPr>
        <w:t>.专门面向中小企业采购的项目，不再执行价格评审优惠的扶持政策。</w:t>
      </w:r>
    </w:p>
    <w:p w14:paraId="2DFB259E">
      <w:pPr>
        <w:spacing w:line="440" w:lineRule="exact"/>
        <w:ind w:firstLine="480"/>
        <w:rPr>
          <w:rFonts w:hint="eastAsia" w:ascii="仿宋" w:hAnsi="仿宋" w:eastAsia="仿宋" w:cs="仿宋"/>
          <w:highlight w:val="none"/>
        </w:rPr>
      </w:pPr>
      <w:r>
        <w:rPr>
          <w:rFonts w:hint="eastAsia" w:ascii="仿宋" w:hAnsi="仿宋" w:eastAsia="仿宋" w:cs="仿宋"/>
          <w:highlight w:val="none"/>
          <w:lang w:val="en-US" w:eastAsia="zh-CN"/>
        </w:rPr>
        <w:t>6</w:t>
      </w:r>
      <w:r>
        <w:rPr>
          <w:rFonts w:hint="eastAsia" w:ascii="仿宋" w:hAnsi="仿宋" w:eastAsia="仿宋" w:cs="仿宋"/>
          <w:highlight w:val="none"/>
        </w:rPr>
        <w:t>.中标</w:t>
      </w:r>
      <w:r>
        <w:rPr>
          <w:rFonts w:hint="eastAsia" w:ascii="仿宋" w:hAnsi="仿宋" w:eastAsia="仿宋" w:cs="仿宋"/>
          <w:highlight w:val="none"/>
          <w:lang w:eastAsia="zh-CN"/>
        </w:rPr>
        <w:t>（</w:t>
      </w:r>
      <w:r>
        <w:rPr>
          <w:rFonts w:hint="eastAsia" w:ascii="仿宋" w:hAnsi="仿宋" w:eastAsia="仿宋" w:cs="仿宋"/>
          <w:highlight w:val="none"/>
        </w:rPr>
        <w:t>成交</w:t>
      </w:r>
      <w:r>
        <w:rPr>
          <w:rFonts w:hint="eastAsia" w:ascii="仿宋" w:hAnsi="仿宋" w:eastAsia="仿宋" w:cs="仿宋"/>
          <w:highlight w:val="none"/>
          <w:lang w:eastAsia="zh-CN"/>
        </w:rPr>
        <w:t>）</w:t>
      </w:r>
      <w:r>
        <w:rPr>
          <w:rFonts w:hint="eastAsia" w:ascii="仿宋" w:hAnsi="仿宋" w:eastAsia="仿宋" w:cs="仿宋"/>
          <w:highlight w:val="none"/>
        </w:rPr>
        <w:t>供应商提供的《声明函》或有关证明文件</w:t>
      </w:r>
      <w:r>
        <w:rPr>
          <w:rFonts w:hint="eastAsia" w:ascii="仿宋" w:hAnsi="仿宋" w:eastAsia="仿宋" w:cs="仿宋"/>
          <w:highlight w:val="none"/>
          <w:lang w:val="en-US" w:eastAsia="zh-CN"/>
        </w:rPr>
        <w:t>将</w:t>
      </w:r>
      <w:r>
        <w:rPr>
          <w:rFonts w:hint="eastAsia" w:ascii="仿宋" w:hAnsi="仿宋" w:eastAsia="仿宋" w:cs="仿宋"/>
          <w:highlight w:val="none"/>
        </w:rPr>
        <w:t>随中标、成交结果同时公告。</w:t>
      </w:r>
    </w:p>
    <w:p w14:paraId="335763D8">
      <w:pPr>
        <w:spacing w:line="440" w:lineRule="exact"/>
        <w:ind w:firstLine="480"/>
        <w:rPr>
          <w:rFonts w:hint="eastAsia" w:ascii="仿宋" w:hAnsi="仿宋" w:eastAsia="仿宋" w:cs="仿宋"/>
          <w:highlight w:val="none"/>
        </w:rPr>
      </w:pPr>
      <w:r>
        <w:rPr>
          <w:rFonts w:hint="eastAsia" w:ascii="仿宋" w:hAnsi="仿宋" w:eastAsia="仿宋" w:cs="仿宋"/>
          <w:highlight w:val="none"/>
          <w:lang w:val="en-US" w:eastAsia="zh-CN"/>
        </w:rPr>
        <w:t>7.投标人</w:t>
      </w:r>
      <w:r>
        <w:rPr>
          <w:rFonts w:hint="eastAsia" w:ascii="仿宋" w:hAnsi="仿宋" w:eastAsia="仿宋" w:cs="仿宋"/>
          <w:highlight w:val="none"/>
        </w:rPr>
        <w:t>提供虚假《声明函》、虚假证明文件谋取中标、成交的，依照《中华人民共和国政府采购法》等法律法规规定追究相应责任。</w:t>
      </w:r>
    </w:p>
    <w:p w14:paraId="3AB2C323">
      <w:pPr>
        <w:spacing w:line="440" w:lineRule="exact"/>
        <w:ind w:firstLine="480"/>
        <w:rPr>
          <w:rFonts w:hint="eastAsia" w:ascii="仿宋" w:hAnsi="仿宋" w:eastAsia="仿宋" w:cs="仿宋"/>
          <w:highlight w:val="none"/>
          <w:lang w:eastAsia="zh-CN"/>
        </w:rPr>
      </w:pPr>
      <w:r>
        <w:rPr>
          <w:rFonts w:hint="eastAsia" w:ascii="仿宋" w:hAnsi="仿宋" w:eastAsia="仿宋" w:cs="仿宋"/>
          <w:highlight w:val="none"/>
          <w:lang w:val="en-US" w:eastAsia="zh-CN"/>
        </w:rPr>
        <w:t>8.</w:t>
      </w:r>
      <w:r>
        <w:rPr>
          <w:rFonts w:hint="eastAsia" w:ascii="仿宋" w:hAnsi="仿宋" w:eastAsia="仿宋" w:cs="仿宋"/>
          <w:highlight w:val="none"/>
        </w:rPr>
        <w:t>实质性要求不得负偏离；否则，按照无效投标处理</w:t>
      </w:r>
      <w:r>
        <w:rPr>
          <w:rFonts w:hint="eastAsia" w:ascii="仿宋" w:hAnsi="仿宋" w:eastAsia="仿宋" w:cs="仿宋"/>
          <w:highlight w:val="none"/>
          <w:lang w:eastAsia="zh-CN"/>
        </w:rPr>
        <w:t>。</w:t>
      </w:r>
    </w:p>
    <w:p w14:paraId="6729F04F">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ascii="仿宋" w:hAnsi="仿宋" w:eastAsia="仿宋" w:cs="仿宋"/>
          <w:color w:val="auto"/>
          <w:highlight w:val="none"/>
        </w:rPr>
      </w:pPr>
      <w:r>
        <w:rPr>
          <w:rFonts w:hint="eastAsia" w:ascii="仿宋" w:hAnsi="仿宋" w:eastAsia="仿宋" w:cs="仿宋"/>
          <w:b/>
          <w:color w:val="auto"/>
          <w:highlight w:val="none"/>
        </w:rPr>
        <w:t>四、评标结果。</w:t>
      </w:r>
      <w:r>
        <w:rPr>
          <w:rFonts w:hint="eastAsia" w:ascii="仿宋" w:hAnsi="仿宋" w:eastAsia="仿宋" w:cs="仿宋"/>
          <w:color w:val="auto"/>
          <w:highlight w:val="none"/>
        </w:rPr>
        <w:t>评标委员会按照本</w:t>
      </w:r>
      <w:r>
        <w:rPr>
          <w:rFonts w:hint="eastAsia" w:ascii="仿宋" w:hAnsi="仿宋" w:eastAsia="仿宋" w:cs="仿宋"/>
          <w:color w:val="auto"/>
          <w:highlight w:val="none"/>
          <w:lang w:val="en-US" w:eastAsia="zh-CN"/>
        </w:rPr>
        <w:t>评标方法和标准</w:t>
      </w:r>
      <w:r>
        <w:rPr>
          <w:rFonts w:hint="eastAsia" w:ascii="仿宋" w:hAnsi="仿宋" w:eastAsia="仿宋" w:cs="仿宋"/>
          <w:color w:val="auto"/>
          <w:highlight w:val="none"/>
        </w:rPr>
        <w:t>规定推荐中标候选人，并形成评标报告。</w:t>
      </w:r>
    </w:p>
    <w:p w14:paraId="0B8DE080">
      <w:pPr>
        <w:rPr>
          <w:rFonts w:hint="eastAsia" w:ascii="仿宋" w:hAnsi="仿宋" w:eastAsia="仿宋" w:cs="仿宋"/>
          <w:highlight w:val="none"/>
          <w:lang w:eastAsia="zh-CN"/>
        </w:rPr>
      </w:pPr>
      <w:r>
        <w:rPr>
          <w:rFonts w:hint="eastAsia" w:ascii="仿宋" w:hAnsi="仿宋" w:eastAsia="仿宋" w:cs="仿宋"/>
          <w:highlight w:val="none"/>
          <w:lang w:eastAsia="zh-CN"/>
        </w:rPr>
        <w:br w:type="page"/>
      </w:r>
    </w:p>
    <w:p w14:paraId="75536528">
      <w:pPr>
        <w:pStyle w:val="228"/>
        <w:spacing w:line="240" w:lineRule="auto"/>
        <w:jc w:val="center"/>
        <w:rPr>
          <w:color w:val="auto"/>
          <w:highlight w:val="none"/>
        </w:rPr>
      </w:pPr>
      <w:bookmarkStart w:id="56" w:name="_Toc477287606"/>
      <w:bookmarkStart w:id="57" w:name="_Toc18639"/>
      <w:bookmarkStart w:id="58" w:name="_Toc1493"/>
      <w:r>
        <w:rPr>
          <w:rFonts w:hint="eastAsia"/>
          <w:color w:val="auto"/>
          <w:highlight w:val="none"/>
        </w:rPr>
        <w:t>第六部分  投标文件格式</w:t>
      </w:r>
      <w:bookmarkEnd w:id="56"/>
      <w:bookmarkEnd w:id="57"/>
      <w:bookmarkEnd w:id="58"/>
    </w:p>
    <w:p w14:paraId="41DF8429">
      <w:pPr>
        <w:rPr>
          <w:rFonts w:ascii="仿宋" w:hAnsi="仿宋" w:eastAsia="仿宋" w:cs="仿宋"/>
          <w:color w:val="auto"/>
          <w:highlight w:val="none"/>
        </w:rPr>
      </w:pPr>
      <w:bookmarkStart w:id="59" w:name="_Toc8423"/>
    </w:p>
    <w:p w14:paraId="2BA42F0E">
      <w:pP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投标文件格式使用注意事项：</w:t>
      </w:r>
    </w:p>
    <w:p w14:paraId="71BE1B53">
      <w:pPr>
        <w:keepNext w:val="0"/>
        <w:keepLines w:val="0"/>
        <w:pageBreakBefore w:val="0"/>
        <w:widowControl w:val="0"/>
        <w:numPr>
          <w:ilvl w:val="0"/>
          <w:numId w:val="7"/>
        </w:numPr>
        <w:ind w:left="0" w:firstLine="0"/>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投标文件编制时应使用的模板已在本部分列明，招标文件要求提供但未提供模板的，格式自拟。</w:t>
      </w:r>
    </w:p>
    <w:p w14:paraId="42D0FF81">
      <w:pPr>
        <w:keepNext w:val="0"/>
        <w:keepLines w:val="0"/>
        <w:pageBreakBefore w:val="0"/>
        <w:widowControl w:val="0"/>
        <w:numPr>
          <w:ilvl w:val="0"/>
          <w:numId w:val="7"/>
        </w:numPr>
        <w:ind w:left="0" w:firstLine="0"/>
        <w:rPr>
          <w:rFonts w:hint="default"/>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模板没有先后顺序，在使用模板时模板名称对应苏采云系统目录名称。</w:t>
      </w:r>
    </w:p>
    <w:p w14:paraId="3964AF06">
      <w:pPr>
        <w:pStyle w:val="16"/>
        <w:numPr>
          <w:ilvl w:val="0"/>
          <w:numId w:val="7"/>
        </w:numPr>
        <w:ind w:left="0" w:firstLine="0"/>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bidi="ar-SA"/>
        </w:rPr>
        <w:t>模板中左上角的名称是为了投标人方便识别和查找，制作投标文件时可以无需使用，例如“（一）基本目录”“封面”等。</w:t>
      </w:r>
    </w:p>
    <w:p w14:paraId="2B9207A2">
      <w:pPr>
        <w:pStyle w:val="16"/>
        <w:numPr>
          <w:ilvl w:val="0"/>
          <w:numId w:val="7"/>
        </w:numPr>
        <w:ind w:left="0" w:firstLine="0"/>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招标文件中提供的投标文件格式与苏采云系统内不一致的，以苏采云系统的格式为准。</w:t>
      </w:r>
    </w:p>
    <w:p w14:paraId="7D6A8026">
      <w:pPr>
        <w:rPr>
          <w:rFonts w:hint="default"/>
          <w:highlight w:val="none"/>
          <w:lang w:val="en-US" w:eastAsia="zh-CN"/>
        </w:rPr>
      </w:pPr>
    </w:p>
    <w:p w14:paraId="63D3ECF9">
      <w:pPr>
        <w:rPr>
          <w:rFonts w:ascii="仿宋" w:hAnsi="仿宋" w:eastAsia="仿宋" w:cs="仿宋"/>
          <w:color w:val="auto"/>
          <w:highlight w:val="none"/>
        </w:rPr>
      </w:pPr>
    </w:p>
    <w:p w14:paraId="374836B3">
      <w:pPr>
        <w:rPr>
          <w:rFonts w:hint="eastAsia" w:ascii="仿宋" w:hAnsi="仿宋" w:eastAsia="仿宋" w:cs="仿宋"/>
          <w:color w:val="auto"/>
          <w:highlight w:val="none"/>
        </w:rPr>
      </w:pPr>
      <w:r>
        <w:rPr>
          <w:rFonts w:hint="eastAsia" w:ascii="仿宋" w:hAnsi="仿宋" w:eastAsia="仿宋" w:cs="仿宋"/>
          <w:color w:val="auto"/>
          <w:highlight w:val="none"/>
        </w:rPr>
        <w:br w:type="page" w:clear="all"/>
      </w:r>
    </w:p>
    <w:p w14:paraId="04AD68E6">
      <w:pPr>
        <w:pStyle w:val="324"/>
        <w:outlineLvl w:val="1"/>
        <w:rPr>
          <w:rFonts w:hint="default" w:ascii="仿宋" w:hAnsi="仿宋" w:eastAsia="仿宋" w:cs="仿宋"/>
          <w:color w:val="auto"/>
          <w:highlight w:val="none"/>
          <w:lang w:val="en-US" w:eastAsia="zh-CN"/>
        </w:rPr>
      </w:pPr>
      <w:bookmarkStart w:id="60" w:name="_Toc11830"/>
      <w:bookmarkStart w:id="61" w:name="_Toc5114"/>
      <w:bookmarkStart w:id="62" w:name="_Toc16548"/>
      <w:bookmarkStart w:id="63" w:name="_Toc11020"/>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一）基本目录</w:t>
      </w:r>
      <w:bookmarkEnd w:id="60"/>
      <w:bookmarkEnd w:id="61"/>
      <w:bookmarkEnd w:id="62"/>
      <w:bookmarkEnd w:id="63"/>
    </w:p>
    <w:p w14:paraId="0877E05D">
      <w:pPr>
        <w:pStyle w:val="313"/>
        <w:outlineLvl w:val="2"/>
        <w:rPr>
          <w:rFonts w:ascii="仿宋" w:hAnsi="仿宋" w:eastAsia="仿宋" w:cs="仿宋"/>
          <w:color w:val="auto"/>
          <w:highlight w:val="none"/>
        </w:rPr>
      </w:pPr>
      <w:r>
        <w:rPr>
          <w:rFonts w:hint="eastAsia" w:ascii="仿宋" w:hAnsi="仿宋" w:eastAsia="仿宋" w:cs="仿宋"/>
          <w:color w:val="auto"/>
          <w:highlight w:val="none"/>
        </w:rPr>
        <w:t>封面</w:t>
      </w:r>
    </w:p>
    <w:p w14:paraId="45FE153C">
      <w:pPr>
        <w:pStyle w:val="314"/>
        <w:jc w:val="center"/>
        <w:rPr>
          <w:rFonts w:ascii="仿宋" w:hAnsi="仿宋" w:eastAsia="仿宋" w:cs="仿宋"/>
          <w:color w:val="auto"/>
          <w:sz w:val="32"/>
          <w:szCs w:val="32"/>
          <w:highlight w:val="none"/>
        </w:rPr>
      </w:pPr>
    </w:p>
    <w:p w14:paraId="349CF5D4">
      <w:pPr>
        <w:pStyle w:val="314"/>
        <w:jc w:val="center"/>
        <w:rPr>
          <w:rFonts w:ascii="仿宋" w:hAnsi="仿宋" w:eastAsia="仿宋" w:cs="仿宋"/>
          <w:color w:val="auto"/>
          <w:sz w:val="32"/>
          <w:szCs w:val="32"/>
          <w:highlight w:val="none"/>
        </w:rPr>
      </w:pPr>
    </w:p>
    <w:p w14:paraId="0F942F00">
      <w:pPr>
        <w:pStyle w:val="34"/>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ind w:left="0" w:right="0"/>
        <w:jc w:val="center"/>
        <w:rPr>
          <w:color w:val="auto"/>
          <w:highlight w:val="none"/>
        </w:rPr>
      </w:pPr>
      <w:r>
        <w:rPr>
          <w:rFonts w:ascii="宋体" w:hAnsi="宋体" w:eastAsia="宋体" w:cs="宋体"/>
          <w:b/>
          <w:bCs/>
          <w:color w:val="auto"/>
          <w:sz w:val="72"/>
          <w:szCs w:val="72"/>
          <w:highlight w:val="none"/>
        </w:rPr>
        <w:t>投标文件</w:t>
      </w:r>
    </w:p>
    <w:p w14:paraId="04E968DD">
      <w:pPr>
        <w:pStyle w:val="34"/>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color w:val="auto"/>
          <w:highlight w:val="none"/>
        </w:rPr>
      </w:pPr>
      <w:r>
        <w:rPr>
          <w:rFonts w:ascii="宋体" w:hAnsi="宋体" w:eastAsia="宋体" w:cs="宋体"/>
          <w:b/>
          <w:bCs/>
          <w:color w:val="auto"/>
          <w:sz w:val="72"/>
          <w:szCs w:val="72"/>
          <w:highlight w:val="none"/>
        </w:rPr>
        <w:t> </w:t>
      </w:r>
    </w:p>
    <w:p w14:paraId="2A4C1B3A">
      <w:pPr>
        <w:pStyle w:val="34"/>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color w:val="auto"/>
          <w:highlight w:val="none"/>
        </w:rPr>
      </w:pPr>
      <w:r>
        <w:rPr>
          <w:rFonts w:ascii="宋体" w:hAnsi="宋体" w:eastAsia="宋体" w:cs="宋体"/>
          <w:b/>
          <w:bCs/>
          <w:color w:val="auto"/>
          <w:sz w:val="72"/>
          <w:szCs w:val="72"/>
          <w:highlight w:val="none"/>
        </w:rPr>
        <w:t> </w:t>
      </w:r>
    </w:p>
    <w:p w14:paraId="1EBE3D90">
      <w:pPr>
        <w:pStyle w:val="34"/>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color w:val="auto"/>
          <w:highlight w:val="none"/>
        </w:rPr>
      </w:pPr>
      <w:r>
        <w:rPr>
          <w:rFonts w:ascii="宋体" w:hAnsi="宋体" w:eastAsia="宋体" w:cs="宋体"/>
          <w:b/>
          <w:bCs/>
          <w:color w:val="auto"/>
          <w:sz w:val="36"/>
          <w:szCs w:val="36"/>
          <w:highlight w:val="none"/>
        </w:rPr>
        <w:t> </w:t>
      </w:r>
    </w:p>
    <w:p w14:paraId="20E92102">
      <w:pPr>
        <w:pStyle w:val="34"/>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color w:val="auto"/>
          <w:highlight w:val="none"/>
        </w:rPr>
      </w:pPr>
      <w:r>
        <w:rPr>
          <w:rFonts w:ascii="宋体" w:hAnsi="宋体" w:eastAsia="宋体" w:cs="宋体"/>
          <w:b/>
          <w:bCs/>
          <w:color w:val="auto"/>
          <w:sz w:val="36"/>
          <w:szCs w:val="36"/>
          <w:highlight w:val="none"/>
        </w:rPr>
        <w:t> </w:t>
      </w:r>
    </w:p>
    <w:p w14:paraId="47466D4C">
      <w:pPr>
        <w:pStyle w:val="34"/>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color w:val="auto"/>
          <w:highlight w:val="none"/>
        </w:rPr>
      </w:pPr>
      <w:r>
        <w:rPr>
          <w:rFonts w:ascii="宋体" w:hAnsi="宋体" w:eastAsia="宋体" w:cs="宋体"/>
          <w:b/>
          <w:bCs/>
          <w:color w:val="auto"/>
          <w:sz w:val="36"/>
          <w:szCs w:val="36"/>
          <w:highlight w:val="none"/>
        </w:rPr>
        <w:t> </w:t>
      </w:r>
    </w:p>
    <w:p w14:paraId="52566E19">
      <w:pPr>
        <w:pStyle w:val="34"/>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color w:val="auto"/>
          <w:highlight w:val="none"/>
        </w:rPr>
      </w:pPr>
      <w:r>
        <w:rPr>
          <w:rFonts w:ascii="宋体" w:hAnsi="宋体" w:eastAsia="宋体" w:cs="宋体"/>
          <w:b/>
          <w:bCs/>
          <w:color w:val="auto"/>
          <w:sz w:val="36"/>
          <w:szCs w:val="36"/>
          <w:highlight w:val="none"/>
        </w:rPr>
        <w:t>项 目 名 称：</w:t>
      </w:r>
      <w:r>
        <w:rPr>
          <w:rFonts w:ascii="宋体" w:hAnsi="宋体" w:eastAsia="宋体" w:cs="宋体"/>
          <w:b/>
          <w:bCs/>
          <w:color w:val="auto"/>
          <w:sz w:val="36"/>
          <w:szCs w:val="36"/>
          <w:highlight w:val="none"/>
          <w:u w:val="single"/>
        </w:rPr>
        <w:t>               </w:t>
      </w:r>
    </w:p>
    <w:p w14:paraId="4F22DDA0">
      <w:pPr>
        <w:pStyle w:val="34"/>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color w:val="auto"/>
          <w:highlight w:val="none"/>
        </w:rPr>
      </w:pPr>
      <w:r>
        <w:rPr>
          <w:rFonts w:ascii="宋体" w:hAnsi="宋体" w:eastAsia="宋体" w:cs="宋体"/>
          <w:b/>
          <w:bCs/>
          <w:color w:val="auto"/>
          <w:sz w:val="36"/>
          <w:szCs w:val="36"/>
          <w:highlight w:val="none"/>
        </w:rPr>
        <w:t>招 标 编 号：</w:t>
      </w:r>
      <w:r>
        <w:rPr>
          <w:rFonts w:ascii="宋体" w:hAnsi="宋体" w:eastAsia="宋体" w:cs="宋体"/>
          <w:b/>
          <w:bCs/>
          <w:color w:val="auto"/>
          <w:sz w:val="36"/>
          <w:szCs w:val="36"/>
          <w:highlight w:val="none"/>
          <w:u w:val="single"/>
        </w:rPr>
        <w:t>               </w:t>
      </w:r>
    </w:p>
    <w:p w14:paraId="5731352C">
      <w:pPr>
        <w:pStyle w:val="34"/>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rFonts w:hint="default" w:eastAsia="宋体"/>
          <w:color w:val="auto"/>
          <w:highlight w:val="none"/>
          <w:lang w:val="en-US" w:eastAsia="zh-CN"/>
        </w:rPr>
      </w:pPr>
      <w:r>
        <w:rPr>
          <w:rFonts w:ascii="宋体" w:hAnsi="宋体" w:eastAsia="宋体" w:cs="宋体"/>
          <w:b/>
          <w:bCs/>
          <w:color w:val="auto"/>
          <w:spacing w:val="18"/>
          <w:sz w:val="36"/>
          <w:szCs w:val="36"/>
          <w:highlight w:val="none"/>
        </w:rPr>
        <w:t>投标人名称</w:t>
      </w:r>
      <w:r>
        <w:rPr>
          <w:rFonts w:ascii="宋体" w:hAnsi="宋体" w:eastAsia="宋体" w:cs="宋体"/>
          <w:b/>
          <w:bCs/>
          <w:color w:val="auto"/>
          <w:spacing w:val="0"/>
          <w:sz w:val="36"/>
          <w:szCs w:val="36"/>
          <w:highlight w:val="none"/>
        </w:rPr>
        <w:t>：</w:t>
      </w:r>
      <w:r>
        <w:rPr>
          <w:rFonts w:ascii="宋体" w:hAnsi="宋体" w:eastAsia="宋体" w:cs="宋体"/>
          <w:b/>
          <w:bCs/>
          <w:color w:val="auto"/>
          <w:sz w:val="36"/>
          <w:szCs w:val="36"/>
          <w:highlight w:val="none"/>
          <w:u w:val="single"/>
        </w:rPr>
        <w:t>（加盖CA电子公章）</w:t>
      </w:r>
      <w:r>
        <w:rPr>
          <w:rFonts w:hint="eastAsia" w:ascii="宋体" w:hAnsi="宋体" w:eastAsia="宋体" w:cs="宋体"/>
          <w:b/>
          <w:bCs/>
          <w:color w:val="auto"/>
          <w:sz w:val="36"/>
          <w:szCs w:val="36"/>
          <w:highlight w:val="none"/>
          <w:u w:val="single"/>
          <w:lang w:val="en-US" w:eastAsia="zh-CN"/>
        </w:rPr>
        <w:t xml:space="preserve">           </w:t>
      </w:r>
    </w:p>
    <w:p w14:paraId="6EA9DAEA">
      <w:pPr>
        <w:pStyle w:val="34"/>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color w:val="auto"/>
          <w:highlight w:val="none"/>
        </w:rPr>
      </w:pPr>
      <w:r>
        <w:rPr>
          <w:rFonts w:ascii="宋体" w:hAnsi="宋体" w:eastAsia="宋体" w:cs="宋体"/>
          <w:b/>
          <w:bCs/>
          <w:color w:val="auto"/>
          <w:sz w:val="36"/>
          <w:szCs w:val="36"/>
          <w:highlight w:val="none"/>
        </w:rPr>
        <w:t>日  </w:t>
      </w:r>
      <w:r>
        <w:rPr>
          <w:rFonts w:hint="eastAsia" w:ascii="宋体" w:hAnsi="宋体" w:eastAsia="宋体" w:cs="宋体"/>
          <w:b/>
          <w:bCs/>
          <w:color w:val="auto"/>
          <w:sz w:val="36"/>
          <w:szCs w:val="36"/>
          <w:highlight w:val="none"/>
          <w:lang w:val="en-US" w:eastAsia="zh-CN"/>
        </w:rPr>
        <w:t xml:space="preserve"> </w:t>
      </w:r>
      <w:r>
        <w:rPr>
          <w:rFonts w:ascii="宋体" w:hAnsi="宋体" w:eastAsia="宋体" w:cs="宋体"/>
          <w:b/>
          <w:bCs/>
          <w:color w:val="auto"/>
          <w:sz w:val="36"/>
          <w:szCs w:val="36"/>
          <w:highlight w:val="none"/>
        </w:rPr>
        <w:t> 期：</w:t>
      </w:r>
      <w:r>
        <w:rPr>
          <w:rFonts w:ascii="宋体" w:hAnsi="宋体" w:eastAsia="宋体" w:cs="宋体"/>
          <w:b/>
          <w:bCs/>
          <w:color w:val="auto"/>
          <w:sz w:val="36"/>
          <w:szCs w:val="36"/>
          <w:highlight w:val="none"/>
          <w:u w:val="single"/>
        </w:rPr>
        <w:t>               </w:t>
      </w:r>
    </w:p>
    <w:p w14:paraId="58166FB5">
      <w:pPr>
        <w:rPr>
          <w:rFonts w:ascii="仿宋" w:hAnsi="仿宋" w:eastAsia="仿宋" w:cs="仿宋"/>
          <w:color w:val="auto"/>
          <w:highlight w:val="none"/>
        </w:rPr>
      </w:pPr>
    </w:p>
    <w:p w14:paraId="6D0D707C">
      <w:pPr>
        <w:pStyle w:val="315"/>
        <w:ind w:firstLine="482"/>
        <w:rPr>
          <w:rFonts w:ascii="仿宋" w:hAnsi="仿宋" w:eastAsia="仿宋" w:cs="仿宋"/>
          <w:b/>
          <w:bCs/>
          <w:color w:val="auto"/>
          <w:sz w:val="24"/>
          <w:szCs w:val="28"/>
          <w:highlight w:val="none"/>
        </w:rPr>
      </w:pPr>
      <w:r>
        <w:rPr>
          <w:rFonts w:hint="eastAsia" w:ascii="仿宋" w:hAnsi="仿宋" w:eastAsia="仿宋" w:cs="仿宋"/>
          <w:color w:val="auto"/>
          <w:highlight w:val="none"/>
        </w:rPr>
        <w:br w:type="page" w:clear="all"/>
      </w:r>
    </w:p>
    <w:p w14:paraId="279B6630">
      <w:pPr>
        <w:pStyle w:val="327"/>
        <w:outlineLvl w:val="2"/>
        <w:rPr>
          <w:rFonts w:ascii="仿宋" w:hAnsi="仿宋" w:eastAsia="仿宋" w:cs="仿宋"/>
          <w:b/>
          <w:color w:val="auto"/>
          <w:sz w:val="32"/>
          <w:szCs w:val="24"/>
          <w:highlight w:val="none"/>
        </w:rPr>
      </w:pPr>
      <w:bookmarkStart w:id="64" w:name="_Toc21718"/>
      <w:r>
        <w:rPr>
          <w:rFonts w:hint="eastAsia" w:ascii="仿宋" w:hAnsi="仿宋" w:eastAsia="仿宋" w:cs="仿宋"/>
          <w:b/>
          <w:color w:val="auto"/>
          <w:sz w:val="32"/>
          <w:szCs w:val="24"/>
          <w:highlight w:val="none"/>
        </w:rPr>
        <w:t>开标一览表</w:t>
      </w:r>
    </w:p>
    <w:bookmarkEnd w:id="64"/>
    <w:p w14:paraId="24546BAE">
      <w:pPr>
        <w:widowControl/>
        <w:spacing w:line="520" w:lineRule="exact"/>
        <w:jc w:val="center"/>
        <w:rPr>
          <w:rFonts w:ascii="仿宋" w:hAnsi="仿宋" w:eastAsia="仿宋" w:cs="仿宋"/>
          <w:highlight w:val="none"/>
        </w:rPr>
      </w:pPr>
      <w:r>
        <w:rPr>
          <w:rFonts w:hint="eastAsia" w:ascii="仿宋" w:hAnsi="仿宋" w:eastAsia="仿宋" w:cs="仿宋"/>
          <w:b/>
          <w:sz w:val="32"/>
          <w:highlight w:val="none"/>
        </w:rPr>
        <w:t>开标一览表（总价）</w:t>
      </w:r>
    </w:p>
    <w:p w14:paraId="134EAC9C">
      <w:pPr>
        <w:widowControl/>
        <w:spacing w:beforeAutospacing="1" w:afterAutospacing="1"/>
        <w:jc w:val="left"/>
        <w:rPr>
          <w:rFonts w:ascii="仿宋" w:hAnsi="仿宋" w:eastAsia="仿宋" w:cs="仿宋"/>
          <w:highlight w:val="none"/>
        </w:rPr>
      </w:pPr>
      <w:r>
        <w:rPr>
          <w:rFonts w:hint="eastAsia" w:ascii="仿宋" w:hAnsi="仿宋" w:eastAsia="仿宋" w:cs="仿宋"/>
          <w:highlight w:val="none"/>
        </w:rPr>
        <w:t>投标人全称（CA公章）：</w:t>
      </w:r>
    </w:p>
    <w:p w14:paraId="7897577C">
      <w:pPr>
        <w:widowControl/>
        <w:spacing w:beforeAutospacing="1" w:afterAutospacing="1"/>
        <w:jc w:val="left"/>
        <w:rPr>
          <w:rFonts w:ascii="仿宋" w:hAnsi="仿宋" w:eastAsia="仿宋" w:cs="仿宋"/>
          <w:highlight w:val="none"/>
        </w:rPr>
      </w:pPr>
      <w:r>
        <w:rPr>
          <w:rFonts w:hint="eastAsia" w:ascii="仿宋" w:hAnsi="仿宋" w:eastAsia="仿宋" w:cs="仿宋"/>
          <w:highlight w:val="none"/>
        </w:rPr>
        <w:t>项目名称：</w:t>
      </w:r>
    </w:p>
    <w:p w14:paraId="47D8D330">
      <w:pPr>
        <w:widowControl/>
        <w:spacing w:beforeAutospacing="1" w:afterAutospacing="1"/>
        <w:jc w:val="left"/>
        <w:rPr>
          <w:rFonts w:ascii="仿宋" w:hAnsi="仿宋" w:eastAsia="仿宋" w:cs="仿宋"/>
          <w:highlight w:val="none"/>
        </w:rPr>
      </w:pPr>
      <w:r>
        <w:rPr>
          <w:rFonts w:hint="eastAsia" w:ascii="仿宋" w:hAnsi="仿宋" w:eastAsia="仿宋" w:cs="仿宋"/>
          <w:highlight w:val="none"/>
        </w:rPr>
        <w:t>项目编号： </w:t>
      </w:r>
    </w:p>
    <w:p w14:paraId="5FB0CFEC">
      <w:pPr>
        <w:widowControl/>
        <w:spacing w:beforeAutospacing="1" w:afterAutospacing="1"/>
        <w:jc w:val="left"/>
        <w:rPr>
          <w:rFonts w:ascii="仿宋" w:hAnsi="仿宋" w:eastAsia="仿宋" w:cs="仿宋"/>
          <w:highlight w:val="none"/>
        </w:rPr>
      </w:pPr>
      <w:r>
        <w:rPr>
          <w:rFonts w:hint="eastAsia" w:ascii="仿宋" w:hAnsi="仿宋" w:eastAsia="仿宋" w:cs="仿宋"/>
          <w:highlight w:val="none"/>
        </w:rPr>
        <w:t>分包号：</w:t>
      </w:r>
    </w:p>
    <w:tbl>
      <w:tblPr>
        <w:tblStyle w:val="3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08" w:type="dxa"/>
          <w:bottom w:w="100" w:type="dxa"/>
          <w:right w:w="108" w:type="dxa"/>
        </w:tblCellMar>
      </w:tblPr>
      <w:tblGrid>
        <w:gridCol w:w="3473"/>
        <w:gridCol w:w="5587"/>
      </w:tblGrid>
      <w:tr w14:paraId="67D76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8" w:type="dxa"/>
            <w:bottom w:w="100" w:type="dxa"/>
            <w:right w:w="108" w:type="dxa"/>
          </w:tblCellMar>
        </w:tblPrEx>
        <w:trPr>
          <w:tblHeader/>
        </w:trPr>
        <w:tc>
          <w:tcPr>
            <w:tcW w:w="3473" w:type="dxa"/>
            <w:tcMar>
              <w:top w:w="100" w:type="dxa"/>
              <w:bottom w:w="100" w:type="dxa"/>
            </w:tcMar>
            <w:vAlign w:val="center"/>
          </w:tcPr>
          <w:p w14:paraId="6627F869">
            <w:pPr>
              <w:pStyle w:val="334"/>
              <w:keepNext w:val="0"/>
              <w:keepLines w:val="0"/>
              <w:widowControl/>
              <w:suppressLineNumbers w:val="0"/>
              <w:spacing w:before="0" w:beforeAutospacing="0" w:after="0" w:afterAutospacing="0" w:line="440" w:lineRule="exact"/>
              <w:ind w:left="0" w:right="0"/>
              <w:jc w:val="center"/>
              <w:rPr>
                <w:rFonts w:hint="default" w:ascii="仿宋" w:hAnsi="仿宋" w:eastAsia="仿宋" w:cs="仿宋"/>
                <w:b/>
                <w:highlight w:val="none"/>
              </w:rPr>
            </w:pPr>
            <w:r>
              <w:rPr>
                <w:rFonts w:hint="eastAsia" w:ascii="仿宋" w:hAnsi="仿宋" w:eastAsia="仿宋" w:cs="仿宋"/>
                <w:b/>
                <w:highlight w:val="none"/>
              </w:rPr>
              <w:t>投标服务名称</w:t>
            </w:r>
          </w:p>
        </w:tc>
        <w:tc>
          <w:tcPr>
            <w:tcW w:w="5587" w:type="dxa"/>
            <w:tcMar>
              <w:top w:w="100" w:type="dxa"/>
              <w:bottom w:w="100" w:type="dxa"/>
            </w:tcMar>
            <w:vAlign w:val="center"/>
          </w:tcPr>
          <w:p w14:paraId="23C33BFD">
            <w:pPr>
              <w:pStyle w:val="334"/>
              <w:keepNext w:val="0"/>
              <w:keepLines w:val="0"/>
              <w:widowControl/>
              <w:suppressLineNumbers w:val="0"/>
              <w:spacing w:before="0" w:beforeAutospacing="0" w:after="0" w:afterAutospacing="0" w:line="440" w:lineRule="exact"/>
              <w:ind w:left="0" w:right="0"/>
              <w:jc w:val="center"/>
              <w:rPr>
                <w:rFonts w:hint="default" w:ascii="仿宋" w:hAnsi="仿宋" w:eastAsia="仿宋" w:cs="仿宋"/>
                <w:b/>
                <w:highlight w:val="none"/>
              </w:rPr>
            </w:pPr>
            <w:r>
              <w:rPr>
                <w:rFonts w:hint="eastAsia" w:ascii="仿宋" w:hAnsi="仿宋" w:eastAsia="仿宋" w:cs="仿宋"/>
                <w:b/>
                <w:highlight w:val="none"/>
              </w:rPr>
              <w:t>总价（小写）</w:t>
            </w:r>
          </w:p>
        </w:tc>
      </w:tr>
      <w:tr w14:paraId="7749C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8" w:type="dxa"/>
            <w:bottom w:w="100" w:type="dxa"/>
            <w:right w:w="108" w:type="dxa"/>
          </w:tblCellMar>
        </w:tblPrEx>
        <w:trPr>
          <w:trHeight w:val="1264" w:hRule="atLeast"/>
          <w:tblHeader/>
        </w:trPr>
        <w:tc>
          <w:tcPr>
            <w:tcW w:w="3473" w:type="dxa"/>
            <w:tcMar>
              <w:top w:w="100" w:type="dxa"/>
              <w:bottom w:w="100" w:type="dxa"/>
            </w:tcMar>
            <w:vAlign w:val="center"/>
          </w:tcPr>
          <w:p w14:paraId="65C78C61">
            <w:pPr>
              <w:pStyle w:val="334"/>
              <w:keepNext w:val="0"/>
              <w:keepLines w:val="0"/>
              <w:widowControl/>
              <w:suppressLineNumbers w:val="0"/>
              <w:spacing w:before="0" w:beforeAutospacing="0" w:after="0" w:afterAutospacing="0" w:line="440" w:lineRule="exact"/>
              <w:ind w:left="0" w:right="0"/>
              <w:rPr>
                <w:rFonts w:hint="default" w:ascii="仿宋" w:hAnsi="仿宋" w:eastAsia="仿宋" w:cs="仿宋"/>
                <w:bCs/>
                <w:highlight w:val="none"/>
              </w:rPr>
            </w:pPr>
            <w:r>
              <w:rPr>
                <w:rFonts w:hint="eastAsia" w:ascii="仿宋" w:hAnsi="仿宋" w:eastAsia="仿宋" w:cs="仿宋"/>
                <w:bCs/>
                <w:highlight w:val="none"/>
              </w:rPr>
              <w:t>（投标服务名称）</w:t>
            </w:r>
          </w:p>
        </w:tc>
        <w:tc>
          <w:tcPr>
            <w:tcW w:w="5587" w:type="dxa"/>
            <w:tcMar>
              <w:top w:w="100" w:type="dxa"/>
              <w:bottom w:w="100" w:type="dxa"/>
            </w:tcMar>
            <w:vAlign w:val="center"/>
          </w:tcPr>
          <w:p w14:paraId="1EA80504">
            <w:pPr>
              <w:pStyle w:val="334"/>
              <w:keepNext w:val="0"/>
              <w:keepLines w:val="0"/>
              <w:widowControl/>
              <w:suppressLineNumbers w:val="0"/>
              <w:spacing w:before="0" w:beforeAutospacing="0" w:after="0" w:afterAutospacing="0" w:line="440" w:lineRule="exact"/>
              <w:ind w:left="0" w:right="0"/>
              <w:rPr>
                <w:rFonts w:hint="default" w:ascii="仿宋" w:hAnsi="仿宋" w:eastAsia="仿宋" w:cs="仿宋"/>
                <w:bCs/>
                <w:highlight w:val="none"/>
              </w:rPr>
            </w:pPr>
            <w:r>
              <w:rPr>
                <w:rFonts w:hint="eastAsia" w:ascii="仿宋" w:hAnsi="仿宋" w:eastAsia="仿宋" w:cs="仿宋"/>
                <w:bCs/>
                <w:highlight w:val="none"/>
                <w:u w:val="single"/>
              </w:rPr>
              <w:t xml:space="preserve">             </w:t>
            </w:r>
            <w:r>
              <w:rPr>
                <w:rFonts w:hint="eastAsia" w:ascii="仿宋" w:hAnsi="仿宋" w:eastAsia="仿宋" w:cs="仿宋"/>
                <w:bCs/>
                <w:highlight w:val="none"/>
              </w:rPr>
              <w:t>元</w:t>
            </w:r>
          </w:p>
        </w:tc>
      </w:tr>
      <w:tr w14:paraId="45561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08" w:type="dxa"/>
            <w:bottom w:w="100" w:type="dxa"/>
            <w:right w:w="108" w:type="dxa"/>
          </w:tblCellMar>
        </w:tblPrEx>
        <w:trPr>
          <w:trHeight w:val="1264" w:hRule="atLeast"/>
          <w:tblHeader/>
        </w:trPr>
        <w:tc>
          <w:tcPr>
            <w:tcW w:w="9060" w:type="dxa"/>
            <w:gridSpan w:val="2"/>
            <w:tcMar>
              <w:top w:w="100" w:type="dxa"/>
              <w:bottom w:w="100" w:type="dxa"/>
            </w:tcMar>
            <w:vAlign w:val="center"/>
          </w:tcPr>
          <w:p w14:paraId="3BD53748">
            <w:pPr>
              <w:pStyle w:val="334"/>
              <w:keepNext w:val="0"/>
              <w:keepLines w:val="0"/>
              <w:widowControl/>
              <w:suppressLineNumbers w:val="0"/>
              <w:spacing w:before="0" w:beforeAutospacing="0" w:after="0" w:afterAutospacing="0" w:line="440" w:lineRule="exact"/>
              <w:ind w:left="0" w:right="0"/>
              <w:rPr>
                <w:rFonts w:hint="eastAsia" w:ascii="仿宋" w:hAnsi="仿宋" w:eastAsia="仿宋" w:cs="仿宋"/>
                <w:bCs/>
                <w:color w:val="FF0000"/>
                <w:highlight w:val="none"/>
                <w:u w:val="none"/>
              </w:rPr>
            </w:pPr>
            <w:r>
              <w:rPr>
                <w:rFonts w:hint="eastAsia" w:ascii="仿宋" w:hAnsi="仿宋" w:eastAsia="仿宋" w:cs="仿宋"/>
                <w:bCs/>
                <w:color w:val="FF0000"/>
                <w:highlight w:val="none"/>
                <w:u w:val="none"/>
              </w:rPr>
              <w:t>注：</w:t>
            </w:r>
            <w:r>
              <w:rPr>
                <w:rFonts w:hint="eastAsia" w:ascii="仿宋" w:hAnsi="仿宋" w:eastAsia="仿宋" w:cs="仿宋"/>
                <w:bCs/>
                <w:color w:val="FF0000"/>
                <w:highlight w:val="none"/>
                <w:u w:val="none"/>
                <w:lang w:val="en-US" w:eastAsia="zh-CN"/>
              </w:rPr>
              <w:t>1.</w:t>
            </w:r>
            <w:r>
              <w:rPr>
                <w:rFonts w:hint="eastAsia" w:ascii="仿宋" w:hAnsi="仿宋" w:eastAsia="仿宋" w:cs="仿宋"/>
                <w:bCs/>
                <w:color w:val="FF0000"/>
                <w:highlight w:val="none"/>
                <w:u w:val="none"/>
              </w:rPr>
              <w:t>本开标一览表的格式以苏采云系统中为准。</w:t>
            </w:r>
          </w:p>
          <w:p w14:paraId="6B0F8FBD">
            <w:pPr>
              <w:pStyle w:val="334"/>
              <w:keepNext w:val="0"/>
              <w:keepLines w:val="0"/>
              <w:widowControl/>
              <w:suppressLineNumbers w:val="0"/>
              <w:spacing w:before="0" w:beforeAutospacing="0" w:after="0" w:afterAutospacing="0" w:line="440" w:lineRule="exact"/>
              <w:ind w:left="0" w:right="0" w:firstLine="480" w:firstLineChars="200"/>
              <w:rPr>
                <w:rFonts w:hint="default" w:ascii="仿宋" w:hAnsi="仿宋" w:eastAsia="仿宋" w:cs="仿宋"/>
                <w:bCs/>
                <w:highlight w:val="none"/>
                <w:u w:val="single"/>
                <w:lang w:val="en-US" w:eastAsia="zh-CN"/>
              </w:rPr>
            </w:pPr>
            <w:r>
              <w:rPr>
                <w:rFonts w:hint="eastAsia" w:ascii="仿宋" w:hAnsi="仿宋" w:eastAsia="仿宋" w:cs="仿宋"/>
                <w:bCs/>
                <w:color w:val="FF0000"/>
                <w:highlight w:val="none"/>
                <w:u w:val="none"/>
                <w:lang w:val="en-US" w:eastAsia="zh-CN"/>
              </w:rPr>
              <w:t>2.以上价格指十年服务总价。</w:t>
            </w:r>
          </w:p>
        </w:tc>
      </w:tr>
    </w:tbl>
    <w:p w14:paraId="2A08C2A0">
      <w:pPr>
        <w:rPr>
          <w:rFonts w:ascii="仿宋" w:hAnsi="仿宋" w:eastAsia="仿宋" w:cs="仿宋"/>
          <w:sz w:val="21"/>
          <w:szCs w:val="22"/>
          <w:highlight w:val="none"/>
        </w:rPr>
      </w:pPr>
    </w:p>
    <w:p w14:paraId="3355C774">
      <w:pPr>
        <w:pStyle w:val="334"/>
        <w:spacing w:line="520" w:lineRule="exact"/>
        <w:ind w:firstLine="964"/>
        <w:rPr>
          <w:rFonts w:ascii="仿宋" w:hAnsi="仿宋" w:eastAsia="仿宋" w:cs="仿宋"/>
          <w:b/>
          <w:szCs w:val="20"/>
          <w:highlight w:val="none"/>
        </w:rPr>
      </w:pPr>
    </w:p>
    <w:p w14:paraId="4A4BE007">
      <w:pPr>
        <w:pStyle w:val="327"/>
        <w:tabs>
          <w:tab w:val="left" w:pos="1498"/>
        </w:tabs>
        <w:spacing w:line="580" w:lineRule="exact"/>
        <w:jc w:val="left"/>
        <w:rPr>
          <w:rFonts w:hint="eastAsia" w:ascii="仿宋" w:hAnsi="仿宋" w:eastAsia="仿宋" w:cs="仿宋"/>
          <w:b/>
          <w:sz w:val="24"/>
          <w:szCs w:val="20"/>
          <w:highlight w:val="none"/>
        </w:rPr>
      </w:pPr>
      <w:r>
        <w:rPr>
          <w:rFonts w:hint="eastAsia" w:ascii="仿宋" w:hAnsi="仿宋" w:eastAsia="仿宋" w:cs="仿宋"/>
          <w:b/>
          <w:sz w:val="24"/>
          <w:szCs w:val="20"/>
          <w:highlight w:val="none"/>
        </w:rPr>
        <w:t>年    月    日</w:t>
      </w:r>
    </w:p>
    <w:p w14:paraId="4E65A2CF">
      <w:pPr>
        <w:rPr>
          <w:rFonts w:hint="eastAsia" w:ascii="仿宋" w:hAnsi="仿宋" w:eastAsia="仿宋" w:cs="仿宋"/>
          <w:b/>
          <w:color w:val="auto"/>
          <w:sz w:val="32"/>
          <w:highlight w:val="none"/>
        </w:rPr>
      </w:pPr>
      <w:r>
        <w:rPr>
          <w:rFonts w:hint="eastAsia" w:ascii="仿宋" w:hAnsi="仿宋" w:eastAsia="仿宋" w:cs="仿宋"/>
          <w:b/>
          <w:color w:val="auto"/>
          <w:sz w:val="32"/>
          <w:highlight w:val="none"/>
        </w:rPr>
        <w:br w:type="page"/>
      </w:r>
    </w:p>
    <w:p w14:paraId="78CFA79A">
      <w:pPr>
        <w:pStyle w:val="334"/>
        <w:keepNext w:val="0"/>
        <w:keepLines w:val="0"/>
        <w:pageBreakBefore w:val="0"/>
        <w:spacing w:line="520" w:lineRule="exact"/>
        <w:ind w:firstLine="0"/>
        <w:outlineLvl w:val="2"/>
        <w:rPr>
          <w:rFonts w:hint="eastAsia" w:ascii="仿宋" w:hAnsi="仿宋" w:eastAsia="仿宋" w:cs="仿宋"/>
          <w:b/>
          <w:color w:val="auto"/>
          <w:sz w:val="32"/>
          <w:highlight w:val="none"/>
        </w:rPr>
        <w:sectPr>
          <w:headerReference r:id="rId6" w:type="default"/>
          <w:footerReference r:id="rId7" w:type="default"/>
          <w:pgSz w:w="11906" w:h="16838"/>
          <w:pgMar w:top="1440" w:right="1474" w:bottom="1440" w:left="1588" w:header="851" w:footer="992" w:gutter="0"/>
          <w:pgNumType w:fmt="decimal"/>
          <w:cols w:space="1701" w:num="1"/>
          <w:docGrid w:linePitch="360" w:charSpace="0"/>
        </w:sectPr>
      </w:pPr>
    </w:p>
    <w:p w14:paraId="61854CD2">
      <w:pPr>
        <w:pStyle w:val="334"/>
        <w:keepNext w:val="0"/>
        <w:keepLines w:val="0"/>
        <w:pageBreakBefore w:val="0"/>
        <w:spacing w:line="520" w:lineRule="exact"/>
        <w:ind w:firstLine="0"/>
        <w:outlineLvl w:val="2"/>
        <w:rPr>
          <w:rFonts w:ascii="仿宋" w:hAnsi="仿宋" w:eastAsia="仿宋" w:cs="仿宋"/>
          <w:b/>
          <w:color w:val="auto"/>
          <w:sz w:val="32"/>
          <w:highlight w:val="none"/>
        </w:rPr>
      </w:pPr>
      <w:r>
        <w:rPr>
          <w:rFonts w:hint="eastAsia" w:ascii="仿宋" w:hAnsi="仿宋" w:eastAsia="仿宋" w:cs="仿宋"/>
          <w:b/>
          <w:color w:val="auto"/>
          <w:sz w:val="32"/>
          <w:highlight w:val="none"/>
        </w:rPr>
        <w:t>明细报价表</w:t>
      </w:r>
    </w:p>
    <w:p w14:paraId="1F7CFED6">
      <w:pPr>
        <w:spacing w:line="600" w:lineRule="exact"/>
        <w:jc w:val="center"/>
        <w:rPr>
          <w:rFonts w:hint="eastAsia" w:ascii="仿宋" w:hAnsi="仿宋" w:eastAsia="仿宋" w:cs="仿宋"/>
          <w:bCs/>
          <w:color w:val="auto"/>
          <w:sz w:val="36"/>
          <w:szCs w:val="36"/>
          <w:highlight w:val="none"/>
          <w:lang w:eastAsia="zh-CN"/>
        </w:rPr>
      </w:pPr>
      <w:r>
        <w:rPr>
          <w:rFonts w:hint="eastAsia" w:ascii="仿宋" w:hAnsi="仿宋" w:eastAsia="仿宋" w:cs="仿宋"/>
          <w:bCs/>
          <w:color w:val="auto"/>
          <w:sz w:val="36"/>
          <w:szCs w:val="36"/>
          <w:highlight w:val="none"/>
        </w:rPr>
        <w:t>明细报价表</w:t>
      </w:r>
    </w:p>
    <w:tbl>
      <w:tblPr>
        <w:tblStyle w:val="38"/>
        <w:tblpPr w:leftFromText="180" w:rightFromText="180" w:vertAnchor="text" w:tblpX="1" w:tblpY="1"/>
        <w:tblW w:w="15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108"/>
        <w:gridCol w:w="1087"/>
        <w:gridCol w:w="1113"/>
        <w:gridCol w:w="1537"/>
        <w:gridCol w:w="1208"/>
        <w:gridCol w:w="980"/>
        <w:gridCol w:w="975"/>
        <w:gridCol w:w="1312"/>
        <w:gridCol w:w="957"/>
        <w:gridCol w:w="1118"/>
        <w:gridCol w:w="1175"/>
        <w:gridCol w:w="1075"/>
        <w:gridCol w:w="984"/>
      </w:tblGrid>
      <w:tr w14:paraId="0368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28" w:type="dxa"/>
            <w:vMerge w:val="restart"/>
            <w:tcBorders>
              <w:top w:val="single" w:color="auto" w:sz="4" w:space="0"/>
              <w:left w:val="single" w:color="auto" w:sz="4" w:space="0"/>
              <w:right w:val="single" w:color="auto" w:sz="4" w:space="0"/>
            </w:tcBorders>
            <w:noWrap w:val="0"/>
            <w:vAlign w:val="center"/>
          </w:tcPr>
          <w:p w14:paraId="6B331873">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序号</w:t>
            </w:r>
          </w:p>
        </w:tc>
        <w:tc>
          <w:tcPr>
            <w:tcW w:w="1108" w:type="dxa"/>
            <w:vMerge w:val="restart"/>
            <w:tcBorders>
              <w:top w:val="single" w:color="auto" w:sz="4" w:space="0"/>
              <w:left w:val="single" w:color="auto" w:sz="4" w:space="0"/>
              <w:right w:val="single" w:color="auto" w:sz="4" w:space="0"/>
            </w:tcBorders>
            <w:noWrap w:val="0"/>
            <w:vAlign w:val="center"/>
          </w:tcPr>
          <w:p w14:paraId="6D93BD34">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000000"/>
                <w:kern w:val="0"/>
                <w:sz w:val="24"/>
                <w:szCs w:val="24"/>
                <w:u w:val="none"/>
                <w:lang w:val="en-US" w:eastAsia="zh-CN" w:bidi="ar"/>
              </w:rPr>
              <w:t>月份</w:t>
            </w:r>
          </w:p>
        </w:tc>
        <w:tc>
          <w:tcPr>
            <w:tcW w:w="4945" w:type="dxa"/>
            <w:gridSpan w:val="4"/>
            <w:tcBorders>
              <w:top w:val="single" w:color="auto" w:sz="4" w:space="0"/>
              <w:left w:val="single" w:color="auto" w:sz="4" w:space="0"/>
              <w:bottom w:val="single" w:color="auto" w:sz="4" w:space="0"/>
              <w:right w:val="single" w:color="auto" w:sz="4" w:space="0"/>
            </w:tcBorders>
            <w:noWrap w:val="0"/>
            <w:vAlign w:val="center"/>
          </w:tcPr>
          <w:p w14:paraId="0AB3C3DF">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电</w:t>
            </w:r>
          </w:p>
        </w:tc>
        <w:tc>
          <w:tcPr>
            <w:tcW w:w="4224" w:type="dxa"/>
            <w:gridSpan w:val="4"/>
            <w:tcBorders>
              <w:top w:val="single" w:color="auto" w:sz="4" w:space="0"/>
              <w:left w:val="single" w:color="auto" w:sz="4" w:space="0"/>
              <w:bottom w:val="single" w:color="auto" w:sz="4" w:space="0"/>
              <w:right w:val="single" w:color="auto" w:sz="4" w:space="0"/>
            </w:tcBorders>
            <w:noWrap w:val="0"/>
            <w:vAlign w:val="center"/>
          </w:tcPr>
          <w:p w14:paraId="61D7D9F0">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蒸汽</w:t>
            </w:r>
          </w:p>
        </w:tc>
        <w:tc>
          <w:tcPr>
            <w:tcW w:w="4352" w:type="dxa"/>
            <w:gridSpan w:val="4"/>
            <w:tcBorders>
              <w:top w:val="single" w:color="auto" w:sz="4" w:space="0"/>
              <w:left w:val="single" w:color="auto" w:sz="4" w:space="0"/>
              <w:bottom w:val="single" w:color="auto" w:sz="4" w:space="0"/>
              <w:right w:val="single" w:color="auto" w:sz="4" w:space="0"/>
            </w:tcBorders>
            <w:noWrap w:val="0"/>
            <w:vAlign w:val="center"/>
          </w:tcPr>
          <w:p w14:paraId="78C40D87">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水</w:t>
            </w:r>
          </w:p>
        </w:tc>
      </w:tr>
      <w:tr w14:paraId="5FEB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trPr>
        <w:tc>
          <w:tcPr>
            <w:tcW w:w="728" w:type="dxa"/>
            <w:vMerge w:val="continue"/>
            <w:tcBorders>
              <w:left w:val="single" w:color="auto" w:sz="4" w:space="0"/>
              <w:bottom w:val="single" w:color="auto" w:sz="4" w:space="0"/>
              <w:right w:val="single" w:color="auto" w:sz="4" w:space="0"/>
            </w:tcBorders>
            <w:noWrap w:val="0"/>
            <w:vAlign w:val="center"/>
          </w:tcPr>
          <w:p w14:paraId="3D992C70">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c>
          <w:tcPr>
            <w:tcW w:w="1108" w:type="dxa"/>
            <w:vMerge w:val="continue"/>
            <w:tcBorders>
              <w:left w:val="single" w:color="auto" w:sz="4" w:space="0"/>
              <w:bottom w:val="single" w:color="auto" w:sz="4" w:space="0"/>
              <w:right w:val="single" w:color="auto" w:sz="4" w:space="0"/>
            </w:tcBorders>
            <w:noWrap w:val="0"/>
            <w:vAlign w:val="center"/>
          </w:tcPr>
          <w:p w14:paraId="70293909">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c>
          <w:tcPr>
            <w:tcW w:w="1087" w:type="dxa"/>
            <w:tcBorders>
              <w:top w:val="single" w:color="auto" w:sz="4" w:space="0"/>
              <w:left w:val="single" w:color="auto" w:sz="4" w:space="0"/>
              <w:bottom w:val="single" w:color="auto" w:sz="4" w:space="0"/>
              <w:right w:val="single" w:color="auto" w:sz="4" w:space="0"/>
            </w:tcBorders>
            <w:noWrap w:val="0"/>
            <w:vAlign w:val="center"/>
          </w:tcPr>
          <w:p w14:paraId="0E4788E2">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000000"/>
                <w:kern w:val="0"/>
                <w:sz w:val="24"/>
                <w:szCs w:val="24"/>
                <w:u w:val="none"/>
                <w:lang w:val="en-US" w:eastAsia="zh-CN" w:bidi="ar"/>
              </w:rPr>
              <w:t>基准量（kWh）</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46050694">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投标量（kWh）</w:t>
            </w:r>
          </w:p>
        </w:tc>
        <w:tc>
          <w:tcPr>
            <w:tcW w:w="1537" w:type="dxa"/>
            <w:tcBorders>
              <w:top w:val="single" w:color="auto" w:sz="4" w:space="0"/>
              <w:left w:val="single" w:color="auto" w:sz="4" w:space="0"/>
              <w:bottom w:val="single" w:color="auto" w:sz="4" w:space="0"/>
              <w:right w:val="single" w:color="auto" w:sz="4" w:space="0"/>
            </w:tcBorders>
            <w:noWrap w:val="0"/>
            <w:vAlign w:val="center"/>
          </w:tcPr>
          <w:p w14:paraId="0D52365A">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基准</w:t>
            </w:r>
          </w:p>
          <w:p w14:paraId="3FB60972">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单价</w:t>
            </w:r>
          </w:p>
          <w:p w14:paraId="70CFBDFB">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（元）</w:t>
            </w:r>
          </w:p>
        </w:tc>
        <w:tc>
          <w:tcPr>
            <w:tcW w:w="1208" w:type="dxa"/>
            <w:tcBorders>
              <w:top w:val="single" w:color="auto" w:sz="4" w:space="0"/>
              <w:left w:val="single" w:color="auto" w:sz="4" w:space="0"/>
              <w:bottom w:val="single" w:color="auto" w:sz="4" w:space="0"/>
              <w:right w:val="single" w:color="auto" w:sz="4" w:space="0"/>
            </w:tcBorders>
            <w:noWrap w:val="0"/>
            <w:vAlign w:val="center"/>
          </w:tcPr>
          <w:p w14:paraId="0F01806D">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投标价（元）</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489C4FE3">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000000"/>
                <w:kern w:val="0"/>
                <w:sz w:val="24"/>
                <w:szCs w:val="24"/>
                <w:u w:val="none"/>
                <w:lang w:val="en-US" w:eastAsia="zh-CN" w:bidi="ar"/>
              </w:rPr>
              <w:t>基准量（t）</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175CEB99">
            <w:pPr>
              <w:keepNext w:val="0"/>
              <w:keepLines w:val="0"/>
              <w:widowControl/>
              <w:suppressLineNumbers w:val="0"/>
              <w:spacing w:before="0" w:beforeAutospacing="0" w:after="0" w:afterAutospacing="0" w:line="360" w:lineRule="exact"/>
              <w:ind w:left="0" w:leftChars="0" w:right="0" w:right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投标量（t）</w:t>
            </w:r>
          </w:p>
        </w:tc>
        <w:tc>
          <w:tcPr>
            <w:tcW w:w="1312" w:type="dxa"/>
            <w:tcBorders>
              <w:top w:val="single" w:color="auto" w:sz="4" w:space="0"/>
              <w:left w:val="single" w:color="auto" w:sz="4" w:space="0"/>
              <w:bottom w:val="single" w:color="auto" w:sz="4" w:space="0"/>
              <w:right w:val="single" w:color="auto" w:sz="4" w:space="0"/>
            </w:tcBorders>
            <w:noWrap w:val="0"/>
            <w:vAlign w:val="center"/>
          </w:tcPr>
          <w:p w14:paraId="6A8E242A">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基准</w:t>
            </w:r>
          </w:p>
          <w:p w14:paraId="4B8E2D74">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单价</w:t>
            </w:r>
          </w:p>
          <w:p w14:paraId="69CA0C8B">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（元）</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148ED17C">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投标价（元）</w:t>
            </w:r>
          </w:p>
        </w:tc>
        <w:tc>
          <w:tcPr>
            <w:tcW w:w="1118" w:type="dxa"/>
            <w:tcBorders>
              <w:top w:val="single" w:color="auto" w:sz="4" w:space="0"/>
              <w:left w:val="single" w:color="auto" w:sz="4" w:space="0"/>
              <w:bottom w:val="single" w:color="auto" w:sz="4" w:space="0"/>
              <w:right w:val="single" w:color="auto" w:sz="4" w:space="0"/>
            </w:tcBorders>
            <w:noWrap w:val="0"/>
            <w:vAlign w:val="center"/>
          </w:tcPr>
          <w:p w14:paraId="37C07C14">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000000"/>
                <w:kern w:val="0"/>
                <w:sz w:val="24"/>
                <w:szCs w:val="24"/>
                <w:u w:val="none"/>
                <w:lang w:val="en-US" w:eastAsia="zh-CN" w:bidi="ar"/>
              </w:rPr>
              <w:t>基准量（m³）</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63427486">
            <w:pPr>
              <w:keepNext w:val="0"/>
              <w:keepLines w:val="0"/>
              <w:widowControl/>
              <w:suppressLineNumbers w:val="0"/>
              <w:spacing w:before="0" w:beforeAutospacing="0" w:after="0" w:afterAutospacing="0" w:line="360" w:lineRule="exact"/>
              <w:ind w:left="0" w:leftChars="0" w:right="0" w:right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投标量（m³）</w:t>
            </w:r>
          </w:p>
        </w:tc>
        <w:tc>
          <w:tcPr>
            <w:tcW w:w="1075" w:type="dxa"/>
            <w:tcBorders>
              <w:top w:val="single" w:color="auto" w:sz="4" w:space="0"/>
              <w:left w:val="single" w:color="auto" w:sz="4" w:space="0"/>
              <w:bottom w:val="single" w:color="auto" w:sz="4" w:space="0"/>
              <w:right w:val="single" w:color="auto" w:sz="4" w:space="0"/>
            </w:tcBorders>
            <w:noWrap w:val="0"/>
            <w:vAlign w:val="center"/>
          </w:tcPr>
          <w:p w14:paraId="49C52820">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基准</w:t>
            </w:r>
          </w:p>
          <w:p w14:paraId="03A74CDE">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单价</w:t>
            </w:r>
          </w:p>
          <w:p w14:paraId="56AB8C20">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（元）</w:t>
            </w:r>
          </w:p>
        </w:tc>
        <w:tc>
          <w:tcPr>
            <w:tcW w:w="984" w:type="dxa"/>
            <w:tcBorders>
              <w:top w:val="single" w:color="auto" w:sz="4" w:space="0"/>
              <w:left w:val="single" w:color="auto" w:sz="4" w:space="0"/>
              <w:bottom w:val="single" w:color="auto" w:sz="4" w:space="0"/>
              <w:right w:val="single" w:color="auto" w:sz="4" w:space="0"/>
            </w:tcBorders>
            <w:noWrap w:val="0"/>
            <w:vAlign w:val="center"/>
          </w:tcPr>
          <w:p w14:paraId="3F2FBC40">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投标价（元）</w:t>
            </w:r>
          </w:p>
        </w:tc>
      </w:tr>
      <w:tr w14:paraId="6D0D4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0BA7886C">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745A3AFC">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000000"/>
                <w:kern w:val="0"/>
                <w:sz w:val="24"/>
                <w:szCs w:val="24"/>
                <w:u w:val="none"/>
                <w:lang w:val="en-US" w:eastAsia="zh-CN" w:bidi="ar"/>
              </w:rPr>
              <w:t>1月</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0944EA2B">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471009</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7A1A99AE">
            <w:pPr>
              <w:widowControl/>
              <w:jc w:val="center"/>
              <w:rPr>
                <w:rFonts w:hint="eastAsia" w:ascii="仿宋" w:hAnsi="仿宋" w:eastAsia="仿宋" w:cs="仿宋"/>
                <w:i w:val="0"/>
                <w:iCs w:val="0"/>
                <w:color w:val="auto"/>
                <w:kern w:val="2"/>
                <w:sz w:val="24"/>
                <w:szCs w:val="24"/>
                <w:highlight w:val="none"/>
                <w:u w:val="none"/>
                <w:lang w:val="en-US" w:eastAsia="zh-CN" w:bidi="ar-SA"/>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14:paraId="304ED45D">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0.717122237</w:t>
            </w:r>
          </w:p>
        </w:tc>
        <w:tc>
          <w:tcPr>
            <w:tcW w:w="1208" w:type="dxa"/>
            <w:tcBorders>
              <w:top w:val="single" w:color="auto" w:sz="4" w:space="0"/>
              <w:left w:val="single" w:color="auto" w:sz="4" w:space="0"/>
              <w:bottom w:val="single" w:color="auto" w:sz="4" w:space="0"/>
              <w:right w:val="single" w:color="auto" w:sz="4" w:space="0"/>
            </w:tcBorders>
            <w:noWrap w:val="0"/>
            <w:vAlign w:val="center"/>
          </w:tcPr>
          <w:p w14:paraId="70FD95A9">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0E6855ED">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732</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5C7EC956">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312" w:type="dxa"/>
            <w:tcBorders>
              <w:top w:val="single" w:color="auto" w:sz="4" w:space="0"/>
              <w:left w:val="single" w:color="auto" w:sz="4" w:space="0"/>
              <w:bottom w:val="single" w:color="auto" w:sz="4" w:space="0"/>
              <w:right w:val="single" w:color="auto" w:sz="4" w:space="0"/>
            </w:tcBorders>
            <w:noWrap w:val="0"/>
            <w:vAlign w:val="center"/>
          </w:tcPr>
          <w:p w14:paraId="64A43BE6">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240.98674</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38D9F55C">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36CBE321">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10051</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71A8F113">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5EE24043">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3.43</w:t>
            </w:r>
          </w:p>
        </w:tc>
        <w:tc>
          <w:tcPr>
            <w:tcW w:w="984" w:type="dxa"/>
            <w:tcBorders>
              <w:top w:val="single" w:color="auto" w:sz="4" w:space="0"/>
              <w:left w:val="single" w:color="auto" w:sz="4" w:space="0"/>
              <w:bottom w:val="single" w:color="auto" w:sz="4" w:space="0"/>
              <w:right w:val="single" w:color="auto" w:sz="4" w:space="0"/>
            </w:tcBorders>
            <w:noWrap w:val="0"/>
            <w:vAlign w:val="center"/>
          </w:tcPr>
          <w:p w14:paraId="1C25DA46">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r>
      <w:tr w14:paraId="3D151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6CA93639">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77992C5E">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000000"/>
                <w:kern w:val="0"/>
                <w:sz w:val="24"/>
                <w:szCs w:val="24"/>
                <w:u w:val="none"/>
                <w:lang w:val="en-US" w:eastAsia="zh-CN" w:bidi="ar"/>
              </w:rPr>
              <w:t>2月</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647778CE">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445899</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51D2C744">
            <w:pPr>
              <w:widowControl/>
              <w:jc w:val="center"/>
              <w:rPr>
                <w:rFonts w:hint="eastAsia" w:ascii="仿宋" w:hAnsi="仿宋" w:eastAsia="仿宋" w:cs="仿宋"/>
                <w:i w:val="0"/>
                <w:iCs w:val="0"/>
                <w:color w:val="auto"/>
                <w:kern w:val="2"/>
                <w:sz w:val="24"/>
                <w:szCs w:val="24"/>
                <w:highlight w:val="none"/>
                <w:u w:val="none"/>
                <w:lang w:val="en-US" w:eastAsia="zh-CN" w:bidi="ar-SA"/>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14:paraId="00411C74">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0.717122237</w:t>
            </w:r>
          </w:p>
        </w:tc>
        <w:tc>
          <w:tcPr>
            <w:tcW w:w="1208" w:type="dxa"/>
            <w:tcBorders>
              <w:top w:val="single" w:color="auto" w:sz="4" w:space="0"/>
              <w:left w:val="single" w:color="auto" w:sz="4" w:space="0"/>
              <w:bottom w:val="single" w:color="auto" w:sz="4" w:space="0"/>
              <w:right w:val="single" w:color="auto" w:sz="4" w:space="0"/>
            </w:tcBorders>
            <w:noWrap w:val="0"/>
            <w:vAlign w:val="center"/>
          </w:tcPr>
          <w:p w14:paraId="129D8E84">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2695EA5A">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746</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5736E10D">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312" w:type="dxa"/>
            <w:tcBorders>
              <w:top w:val="single" w:color="auto" w:sz="4" w:space="0"/>
              <w:left w:val="single" w:color="auto" w:sz="4" w:space="0"/>
              <w:bottom w:val="single" w:color="auto" w:sz="4" w:space="0"/>
              <w:right w:val="single" w:color="auto" w:sz="4" w:space="0"/>
            </w:tcBorders>
            <w:noWrap w:val="0"/>
            <w:vAlign w:val="center"/>
          </w:tcPr>
          <w:p w14:paraId="44CC5D32">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240.98674</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7B72C722">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1E86B45B">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12741</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09307923">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6F673040">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3.43</w:t>
            </w:r>
          </w:p>
        </w:tc>
        <w:tc>
          <w:tcPr>
            <w:tcW w:w="984" w:type="dxa"/>
            <w:tcBorders>
              <w:top w:val="single" w:color="auto" w:sz="4" w:space="0"/>
              <w:left w:val="single" w:color="auto" w:sz="4" w:space="0"/>
              <w:bottom w:val="single" w:color="auto" w:sz="4" w:space="0"/>
              <w:right w:val="single" w:color="auto" w:sz="4" w:space="0"/>
            </w:tcBorders>
            <w:noWrap w:val="0"/>
            <w:vAlign w:val="center"/>
          </w:tcPr>
          <w:p w14:paraId="3739AE65">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r>
      <w:tr w14:paraId="092B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0B38DD84">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4C2C2F8F">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000000"/>
                <w:kern w:val="0"/>
                <w:sz w:val="24"/>
                <w:szCs w:val="24"/>
                <w:u w:val="none"/>
                <w:lang w:val="en-US" w:eastAsia="zh-CN" w:bidi="ar"/>
              </w:rPr>
              <w:t>3月</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54DD6B59">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407814</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467CCECE">
            <w:pPr>
              <w:widowControl/>
              <w:jc w:val="center"/>
              <w:rPr>
                <w:rFonts w:hint="eastAsia" w:ascii="仿宋" w:hAnsi="仿宋" w:eastAsia="仿宋" w:cs="仿宋"/>
                <w:i w:val="0"/>
                <w:iCs w:val="0"/>
                <w:color w:val="auto"/>
                <w:kern w:val="2"/>
                <w:sz w:val="24"/>
                <w:szCs w:val="24"/>
                <w:highlight w:val="none"/>
                <w:u w:val="none"/>
                <w:lang w:val="en-US" w:eastAsia="zh-CN" w:bidi="ar-SA"/>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14:paraId="541DF120">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0.717122237</w:t>
            </w:r>
          </w:p>
        </w:tc>
        <w:tc>
          <w:tcPr>
            <w:tcW w:w="1208" w:type="dxa"/>
            <w:tcBorders>
              <w:top w:val="single" w:color="auto" w:sz="4" w:space="0"/>
              <w:left w:val="single" w:color="auto" w:sz="4" w:space="0"/>
              <w:bottom w:val="single" w:color="auto" w:sz="4" w:space="0"/>
              <w:right w:val="single" w:color="auto" w:sz="4" w:space="0"/>
            </w:tcBorders>
            <w:noWrap w:val="0"/>
            <w:vAlign w:val="center"/>
          </w:tcPr>
          <w:p w14:paraId="56DFE987">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544A470C">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396</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7298BBCB">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312" w:type="dxa"/>
            <w:tcBorders>
              <w:top w:val="single" w:color="auto" w:sz="4" w:space="0"/>
              <w:left w:val="single" w:color="auto" w:sz="4" w:space="0"/>
              <w:bottom w:val="single" w:color="auto" w:sz="4" w:space="0"/>
              <w:right w:val="single" w:color="auto" w:sz="4" w:space="0"/>
            </w:tcBorders>
            <w:noWrap w:val="0"/>
            <w:vAlign w:val="center"/>
          </w:tcPr>
          <w:p w14:paraId="45768725">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240.98674</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46691FA7">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35BBEA5C">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13371</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7159E592">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77B36293">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3.43</w:t>
            </w:r>
          </w:p>
        </w:tc>
        <w:tc>
          <w:tcPr>
            <w:tcW w:w="984" w:type="dxa"/>
            <w:tcBorders>
              <w:top w:val="single" w:color="auto" w:sz="4" w:space="0"/>
              <w:left w:val="single" w:color="auto" w:sz="4" w:space="0"/>
              <w:bottom w:val="single" w:color="auto" w:sz="4" w:space="0"/>
              <w:right w:val="single" w:color="auto" w:sz="4" w:space="0"/>
            </w:tcBorders>
            <w:noWrap w:val="0"/>
            <w:vAlign w:val="center"/>
          </w:tcPr>
          <w:p w14:paraId="22556FF3">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r>
      <w:tr w14:paraId="63E6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147D8B60">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068B18F2">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000000"/>
                <w:kern w:val="0"/>
                <w:sz w:val="24"/>
                <w:szCs w:val="24"/>
                <w:u w:val="none"/>
                <w:lang w:val="en-US" w:eastAsia="zh-CN" w:bidi="ar"/>
              </w:rPr>
              <w:t>4月</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21A73368">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333459</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578FE53F">
            <w:pPr>
              <w:widowControl/>
              <w:jc w:val="center"/>
              <w:rPr>
                <w:rFonts w:hint="eastAsia" w:ascii="仿宋" w:hAnsi="仿宋" w:eastAsia="仿宋" w:cs="仿宋"/>
                <w:i w:val="0"/>
                <w:iCs w:val="0"/>
                <w:color w:val="auto"/>
                <w:kern w:val="2"/>
                <w:sz w:val="24"/>
                <w:szCs w:val="24"/>
                <w:highlight w:val="none"/>
                <w:u w:val="none"/>
                <w:lang w:val="en-US" w:eastAsia="zh-CN" w:bidi="ar-SA"/>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14:paraId="4CAF9147">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0.717122237</w:t>
            </w:r>
          </w:p>
        </w:tc>
        <w:tc>
          <w:tcPr>
            <w:tcW w:w="1208" w:type="dxa"/>
            <w:tcBorders>
              <w:top w:val="single" w:color="auto" w:sz="4" w:space="0"/>
              <w:left w:val="single" w:color="auto" w:sz="4" w:space="0"/>
              <w:bottom w:val="single" w:color="auto" w:sz="4" w:space="0"/>
              <w:right w:val="single" w:color="auto" w:sz="4" w:space="0"/>
            </w:tcBorders>
            <w:noWrap w:val="0"/>
            <w:vAlign w:val="center"/>
          </w:tcPr>
          <w:p w14:paraId="299E3E58">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0FEFDE4B">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283</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44A74B17">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312" w:type="dxa"/>
            <w:tcBorders>
              <w:top w:val="single" w:color="auto" w:sz="4" w:space="0"/>
              <w:left w:val="single" w:color="auto" w:sz="4" w:space="0"/>
              <w:bottom w:val="single" w:color="auto" w:sz="4" w:space="0"/>
              <w:right w:val="single" w:color="auto" w:sz="4" w:space="0"/>
            </w:tcBorders>
            <w:noWrap w:val="0"/>
            <w:vAlign w:val="center"/>
          </w:tcPr>
          <w:p w14:paraId="41E8F504">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240.98674</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5417D2B4">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7F96AA6E">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12251</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7AF043A6">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078505C4">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3.43</w:t>
            </w:r>
          </w:p>
        </w:tc>
        <w:tc>
          <w:tcPr>
            <w:tcW w:w="984" w:type="dxa"/>
            <w:tcBorders>
              <w:top w:val="single" w:color="auto" w:sz="4" w:space="0"/>
              <w:left w:val="single" w:color="auto" w:sz="4" w:space="0"/>
              <w:bottom w:val="single" w:color="auto" w:sz="4" w:space="0"/>
              <w:right w:val="single" w:color="auto" w:sz="4" w:space="0"/>
            </w:tcBorders>
            <w:noWrap w:val="0"/>
            <w:vAlign w:val="center"/>
          </w:tcPr>
          <w:p w14:paraId="48E44B76">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r>
      <w:tr w14:paraId="36722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4EC35524">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0902B575">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000000"/>
                <w:kern w:val="0"/>
                <w:sz w:val="24"/>
                <w:szCs w:val="24"/>
                <w:u w:val="none"/>
                <w:lang w:val="en-US" w:eastAsia="zh-CN" w:bidi="ar"/>
              </w:rPr>
              <w:t>5月</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2044FDA9">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407589</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64A91DA0">
            <w:pPr>
              <w:widowControl/>
              <w:jc w:val="center"/>
              <w:rPr>
                <w:rFonts w:hint="eastAsia" w:ascii="仿宋" w:hAnsi="仿宋" w:eastAsia="仿宋" w:cs="仿宋"/>
                <w:i w:val="0"/>
                <w:iCs w:val="0"/>
                <w:color w:val="auto"/>
                <w:kern w:val="2"/>
                <w:sz w:val="24"/>
                <w:szCs w:val="24"/>
                <w:highlight w:val="none"/>
                <w:u w:val="none"/>
                <w:lang w:val="en-US" w:eastAsia="zh-CN" w:bidi="ar-SA"/>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14:paraId="0C770B67">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0.717122237</w:t>
            </w:r>
          </w:p>
        </w:tc>
        <w:tc>
          <w:tcPr>
            <w:tcW w:w="1208" w:type="dxa"/>
            <w:tcBorders>
              <w:top w:val="single" w:color="auto" w:sz="4" w:space="0"/>
              <w:left w:val="single" w:color="auto" w:sz="4" w:space="0"/>
              <w:bottom w:val="single" w:color="auto" w:sz="4" w:space="0"/>
              <w:right w:val="single" w:color="auto" w:sz="4" w:space="0"/>
            </w:tcBorders>
            <w:noWrap w:val="0"/>
            <w:vAlign w:val="center"/>
          </w:tcPr>
          <w:p w14:paraId="0984C127">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1F314957">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260</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62354544">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312" w:type="dxa"/>
            <w:tcBorders>
              <w:top w:val="single" w:color="auto" w:sz="4" w:space="0"/>
              <w:left w:val="single" w:color="auto" w:sz="4" w:space="0"/>
              <w:bottom w:val="single" w:color="auto" w:sz="4" w:space="0"/>
              <w:right w:val="single" w:color="auto" w:sz="4" w:space="0"/>
            </w:tcBorders>
            <w:noWrap w:val="0"/>
            <w:vAlign w:val="center"/>
          </w:tcPr>
          <w:p w14:paraId="6BCD197F">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240.98674</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440FD0D7">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645C1561">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13021</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0CF957F0">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6768FC2F">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3.43</w:t>
            </w:r>
          </w:p>
        </w:tc>
        <w:tc>
          <w:tcPr>
            <w:tcW w:w="984" w:type="dxa"/>
            <w:tcBorders>
              <w:top w:val="single" w:color="auto" w:sz="4" w:space="0"/>
              <w:left w:val="single" w:color="auto" w:sz="4" w:space="0"/>
              <w:bottom w:val="single" w:color="auto" w:sz="4" w:space="0"/>
              <w:right w:val="single" w:color="auto" w:sz="4" w:space="0"/>
            </w:tcBorders>
            <w:noWrap w:val="0"/>
            <w:vAlign w:val="center"/>
          </w:tcPr>
          <w:p w14:paraId="3D660FA1">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r>
      <w:tr w14:paraId="7C658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3BED46FE">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07807CBA">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000000"/>
                <w:kern w:val="0"/>
                <w:sz w:val="24"/>
                <w:szCs w:val="24"/>
                <w:u w:val="none"/>
                <w:lang w:val="en-US" w:eastAsia="zh-CN" w:bidi="ar"/>
              </w:rPr>
              <w:t>6月</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383CE1AE">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552609</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1D068FF8">
            <w:pPr>
              <w:widowControl/>
              <w:jc w:val="center"/>
              <w:rPr>
                <w:rFonts w:hint="eastAsia" w:ascii="仿宋" w:hAnsi="仿宋" w:eastAsia="仿宋" w:cs="仿宋"/>
                <w:i w:val="0"/>
                <w:iCs w:val="0"/>
                <w:color w:val="auto"/>
                <w:kern w:val="2"/>
                <w:sz w:val="24"/>
                <w:szCs w:val="24"/>
                <w:highlight w:val="none"/>
                <w:u w:val="none"/>
                <w:lang w:val="en-US" w:eastAsia="zh-CN" w:bidi="ar-SA"/>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14:paraId="7FB04410">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0.717122237</w:t>
            </w:r>
          </w:p>
        </w:tc>
        <w:tc>
          <w:tcPr>
            <w:tcW w:w="1208" w:type="dxa"/>
            <w:tcBorders>
              <w:top w:val="single" w:color="auto" w:sz="4" w:space="0"/>
              <w:left w:val="single" w:color="auto" w:sz="4" w:space="0"/>
              <w:bottom w:val="single" w:color="auto" w:sz="4" w:space="0"/>
              <w:right w:val="single" w:color="auto" w:sz="4" w:space="0"/>
            </w:tcBorders>
            <w:noWrap w:val="0"/>
            <w:vAlign w:val="center"/>
          </w:tcPr>
          <w:p w14:paraId="273D1693">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0797B54C">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274</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2222FC2F">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312" w:type="dxa"/>
            <w:tcBorders>
              <w:top w:val="single" w:color="auto" w:sz="4" w:space="0"/>
              <w:left w:val="single" w:color="auto" w:sz="4" w:space="0"/>
              <w:bottom w:val="single" w:color="auto" w:sz="4" w:space="0"/>
              <w:right w:val="single" w:color="auto" w:sz="4" w:space="0"/>
            </w:tcBorders>
            <w:noWrap w:val="0"/>
            <w:vAlign w:val="center"/>
          </w:tcPr>
          <w:p w14:paraId="29FEF39D">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240.98674</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4C34E7C2">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3B363F28">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13181</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671B2D16">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26408815">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3.43</w:t>
            </w:r>
          </w:p>
        </w:tc>
        <w:tc>
          <w:tcPr>
            <w:tcW w:w="984" w:type="dxa"/>
            <w:tcBorders>
              <w:top w:val="single" w:color="auto" w:sz="4" w:space="0"/>
              <w:left w:val="single" w:color="auto" w:sz="4" w:space="0"/>
              <w:bottom w:val="single" w:color="auto" w:sz="4" w:space="0"/>
              <w:right w:val="single" w:color="auto" w:sz="4" w:space="0"/>
            </w:tcBorders>
            <w:noWrap w:val="0"/>
            <w:vAlign w:val="center"/>
          </w:tcPr>
          <w:p w14:paraId="417E3770">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r>
      <w:tr w14:paraId="1D36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0ECD4A5A">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223A134C">
            <w:pPr>
              <w:keepNext w:val="0"/>
              <w:keepLines w:val="0"/>
              <w:widowControl/>
              <w:suppressLineNumbers w:val="0"/>
              <w:jc w:val="center"/>
              <w:textAlignment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000000"/>
                <w:kern w:val="0"/>
                <w:sz w:val="24"/>
                <w:szCs w:val="24"/>
                <w:u w:val="none"/>
                <w:lang w:val="en-US" w:eastAsia="zh-CN" w:bidi="ar"/>
              </w:rPr>
              <w:t>7月</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32D85683">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808421</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57F3F82D">
            <w:pPr>
              <w:widowControl/>
              <w:jc w:val="center"/>
              <w:rPr>
                <w:rFonts w:hint="eastAsia" w:ascii="仿宋" w:hAnsi="仿宋" w:eastAsia="仿宋" w:cs="仿宋"/>
                <w:i w:val="0"/>
                <w:iCs w:val="0"/>
                <w:color w:val="auto"/>
                <w:kern w:val="2"/>
                <w:sz w:val="24"/>
                <w:szCs w:val="24"/>
                <w:highlight w:val="none"/>
                <w:u w:val="none"/>
                <w:lang w:val="en-US" w:eastAsia="zh-CN" w:bidi="ar-SA"/>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14:paraId="68FA0924">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0.717122237</w:t>
            </w:r>
          </w:p>
        </w:tc>
        <w:tc>
          <w:tcPr>
            <w:tcW w:w="1208" w:type="dxa"/>
            <w:tcBorders>
              <w:top w:val="single" w:color="auto" w:sz="4" w:space="0"/>
              <w:left w:val="single" w:color="auto" w:sz="4" w:space="0"/>
              <w:bottom w:val="single" w:color="auto" w:sz="4" w:space="0"/>
              <w:right w:val="single" w:color="auto" w:sz="4" w:space="0"/>
            </w:tcBorders>
            <w:noWrap w:val="0"/>
            <w:vAlign w:val="center"/>
          </w:tcPr>
          <w:p w14:paraId="002B7F3D">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3123405C">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261</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414AA9E9">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312" w:type="dxa"/>
            <w:tcBorders>
              <w:top w:val="single" w:color="auto" w:sz="4" w:space="0"/>
              <w:left w:val="single" w:color="auto" w:sz="4" w:space="0"/>
              <w:bottom w:val="single" w:color="auto" w:sz="4" w:space="0"/>
              <w:right w:val="single" w:color="auto" w:sz="4" w:space="0"/>
            </w:tcBorders>
            <w:noWrap w:val="0"/>
            <w:vAlign w:val="center"/>
          </w:tcPr>
          <w:p w14:paraId="107D9EDA">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240.98674</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6662D754">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070C0F8B">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13831</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6B9B3295">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14D05468">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3.43</w:t>
            </w:r>
          </w:p>
        </w:tc>
        <w:tc>
          <w:tcPr>
            <w:tcW w:w="984" w:type="dxa"/>
            <w:tcBorders>
              <w:top w:val="single" w:color="auto" w:sz="4" w:space="0"/>
              <w:left w:val="single" w:color="auto" w:sz="4" w:space="0"/>
              <w:bottom w:val="single" w:color="auto" w:sz="4" w:space="0"/>
              <w:right w:val="single" w:color="auto" w:sz="4" w:space="0"/>
            </w:tcBorders>
            <w:noWrap w:val="0"/>
            <w:vAlign w:val="center"/>
          </w:tcPr>
          <w:p w14:paraId="4D063AEB">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r>
      <w:tr w14:paraId="694D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1A3DD32B">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8</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043EFA19">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000000"/>
                <w:kern w:val="0"/>
                <w:sz w:val="24"/>
                <w:szCs w:val="24"/>
                <w:u w:val="none"/>
                <w:lang w:val="en-US" w:eastAsia="zh-CN" w:bidi="ar"/>
              </w:rPr>
              <w:t>8月</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26A41296">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845216</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6E25ECD1">
            <w:pPr>
              <w:widowControl/>
              <w:jc w:val="center"/>
              <w:rPr>
                <w:rFonts w:hint="eastAsia" w:ascii="仿宋" w:hAnsi="仿宋" w:eastAsia="仿宋" w:cs="仿宋"/>
                <w:i w:val="0"/>
                <w:iCs w:val="0"/>
                <w:color w:val="auto"/>
                <w:kern w:val="2"/>
                <w:sz w:val="24"/>
                <w:szCs w:val="24"/>
                <w:highlight w:val="none"/>
                <w:u w:val="none"/>
                <w:lang w:val="en-US" w:eastAsia="zh-CN" w:bidi="ar-SA"/>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14:paraId="45F2F093">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0.717122237</w:t>
            </w:r>
          </w:p>
        </w:tc>
        <w:tc>
          <w:tcPr>
            <w:tcW w:w="1208" w:type="dxa"/>
            <w:tcBorders>
              <w:top w:val="single" w:color="auto" w:sz="4" w:space="0"/>
              <w:left w:val="single" w:color="auto" w:sz="4" w:space="0"/>
              <w:bottom w:val="single" w:color="auto" w:sz="4" w:space="0"/>
              <w:right w:val="single" w:color="auto" w:sz="4" w:space="0"/>
            </w:tcBorders>
            <w:noWrap w:val="0"/>
            <w:vAlign w:val="center"/>
          </w:tcPr>
          <w:p w14:paraId="45C097A9">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0D3DD50F">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274</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3964179F">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312" w:type="dxa"/>
            <w:tcBorders>
              <w:top w:val="single" w:color="auto" w:sz="4" w:space="0"/>
              <w:left w:val="single" w:color="auto" w:sz="4" w:space="0"/>
              <w:bottom w:val="single" w:color="auto" w:sz="4" w:space="0"/>
              <w:right w:val="single" w:color="auto" w:sz="4" w:space="0"/>
            </w:tcBorders>
            <w:noWrap w:val="0"/>
            <w:vAlign w:val="center"/>
          </w:tcPr>
          <w:p w14:paraId="7BE49013">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240.98674</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4F151430">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757FD23C">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15391</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4CAB66FA">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466C3AE0">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3.43</w:t>
            </w:r>
          </w:p>
        </w:tc>
        <w:tc>
          <w:tcPr>
            <w:tcW w:w="984" w:type="dxa"/>
            <w:tcBorders>
              <w:top w:val="single" w:color="auto" w:sz="4" w:space="0"/>
              <w:left w:val="single" w:color="auto" w:sz="4" w:space="0"/>
              <w:bottom w:val="single" w:color="auto" w:sz="4" w:space="0"/>
              <w:right w:val="single" w:color="auto" w:sz="4" w:space="0"/>
            </w:tcBorders>
            <w:noWrap w:val="0"/>
            <w:vAlign w:val="center"/>
          </w:tcPr>
          <w:p w14:paraId="399DFEA1">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r>
      <w:tr w14:paraId="43F0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6918C422">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9</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3BA9F922">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000000"/>
                <w:kern w:val="0"/>
                <w:sz w:val="24"/>
                <w:szCs w:val="24"/>
                <w:u w:val="none"/>
                <w:lang w:val="en-US" w:eastAsia="zh-CN" w:bidi="ar"/>
              </w:rPr>
              <w:t>9月</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60CF02AB">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619121</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672C2D0C">
            <w:pPr>
              <w:widowControl/>
              <w:jc w:val="center"/>
              <w:rPr>
                <w:rFonts w:hint="eastAsia" w:ascii="仿宋" w:hAnsi="仿宋" w:eastAsia="仿宋" w:cs="仿宋"/>
                <w:i w:val="0"/>
                <w:iCs w:val="0"/>
                <w:color w:val="auto"/>
                <w:kern w:val="2"/>
                <w:sz w:val="24"/>
                <w:szCs w:val="24"/>
                <w:highlight w:val="none"/>
                <w:u w:val="none"/>
                <w:lang w:val="en-US" w:eastAsia="zh-CN" w:bidi="ar-SA"/>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14:paraId="65884526">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0.717122237</w:t>
            </w:r>
          </w:p>
        </w:tc>
        <w:tc>
          <w:tcPr>
            <w:tcW w:w="1208" w:type="dxa"/>
            <w:tcBorders>
              <w:top w:val="single" w:color="auto" w:sz="4" w:space="0"/>
              <w:left w:val="single" w:color="auto" w:sz="4" w:space="0"/>
              <w:bottom w:val="single" w:color="auto" w:sz="4" w:space="0"/>
              <w:right w:val="single" w:color="auto" w:sz="4" w:space="0"/>
            </w:tcBorders>
            <w:noWrap w:val="0"/>
            <w:vAlign w:val="center"/>
          </w:tcPr>
          <w:p w14:paraId="226BB162">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49DE7E87">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278</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5C46F3F2">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312" w:type="dxa"/>
            <w:tcBorders>
              <w:top w:val="single" w:color="auto" w:sz="4" w:space="0"/>
              <w:left w:val="single" w:color="auto" w:sz="4" w:space="0"/>
              <w:bottom w:val="single" w:color="auto" w:sz="4" w:space="0"/>
              <w:right w:val="single" w:color="auto" w:sz="4" w:space="0"/>
            </w:tcBorders>
            <w:noWrap w:val="0"/>
            <w:vAlign w:val="center"/>
          </w:tcPr>
          <w:p w14:paraId="3F7A4BAA">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240.98674</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5BC03965">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708DF4DE">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14271</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453439F6">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313512EC">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3.43</w:t>
            </w:r>
          </w:p>
        </w:tc>
        <w:tc>
          <w:tcPr>
            <w:tcW w:w="984" w:type="dxa"/>
            <w:tcBorders>
              <w:top w:val="single" w:color="auto" w:sz="4" w:space="0"/>
              <w:left w:val="single" w:color="auto" w:sz="4" w:space="0"/>
              <w:bottom w:val="single" w:color="auto" w:sz="4" w:space="0"/>
              <w:right w:val="single" w:color="auto" w:sz="4" w:space="0"/>
            </w:tcBorders>
            <w:noWrap w:val="0"/>
            <w:vAlign w:val="center"/>
          </w:tcPr>
          <w:p w14:paraId="30AEEA9D">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r>
      <w:tr w14:paraId="7335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43AA9F68">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590B3F48">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000000"/>
                <w:kern w:val="0"/>
                <w:sz w:val="24"/>
                <w:szCs w:val="24"/>
                <w:u w:val="none"/>
                <w:lang w:val="en-US" w:eastAsia="zh-CN" w:bidi="ar"/>
              </w:rPr>
              <w:t>10月</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78F714BC">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455771</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4BE12692">
            <w:pPr>
              <w:widowControl/>
              <w:jc w:val="center"/>
              <w:rPr>
                <w:rFonts w:hint="eastAsia" w:ascii="仿宋" w:hAnsi="仿宋" w:eastAsia="仿宋" w:cs="仿宋"/>
                <w:i w:val="0"/>
                <w:iCs w:val="0"/>
                <w:color w:val="auto"/>
                <w:kern w:val="2"/>
                <w:sz w:val="24"/>
                <w:szCs w:val="24"/>
                <w:highlight w:val="none"/>
                <w:u w:val="none"/>
                <w:lang w:val="en-US" w:eastAsia="zh-CN" w:bidi="ar-SA"/>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14:paraId="6C7DDB2E">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0.717122237</w:t>
            </w:r>
          </w:p>
        </w:tc>
        <w:tc>
          <w:tcPr>
            <w:tcW w:w="1208" w:type="dxa"/>
            <w:tcBorders>
              <w:top w:val="single" w:color="auto" w:sz="4" w:space="0"/>
              <w:left w:val="single" w:color="auto" w:sz="4" w:space="0"/>
              <w:bottom w:val="single" w:color="auto" w:sz="4" w:space="0"/>
              <w:right w:val="single" w:color="auto" w:sz="4" w:space="0"/>
            </w:tcBorders>
            <w:noWrap w:val="0"/>
            <w:vAlign w:val="center"/>
          </w:tcPr>
          <w:p w14:paraId="620745B4">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5FD5A249">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284</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3AA04066">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312" w:type="dxa"/>
            <w:tcBorders>
              <w:top w:val="single" w:color="auto" w:sz="4" w:space="0"/>
              <w:left w:val="single" w:color="auto" w:sz="4" w:space="0"/>
              <w:bottom w:val="single" w:color="auto" w:sz="4" w:space="0"/>
              <w:right w:val="single" w:color="auto" w:sz="4" w:space="0"/>
            </w:tcBorders>
            <w:noWrap w:val="0"/>
            <w:vAlign w:val="center"/>
          </w:tcPr>
          <w:p w14:paraId="7396DC3B">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240.98674</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584C2654">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17F1BA0C">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10731</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1A0A84B7">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4ACB9A9B">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3.43</w:t>
            </w:r>
          </w:p>
        </w:tc>
        <w:tc>
          <w:tcPr>
            <w:tcW w:w="984" w:type="dxa"/>
            <w:tcBorders>
              <w:top w:val="single" w:color="auto" w:sz="4" w:space="0"/>
              <w:left w:val="single" w:color="auto" w:sz="4" w:space="0"/>
              <w:bottom w:val="single" w:color="auto" w:sz="4" w:space="0"/>
              <w:right w:val="single" w:color="auto" w:sz="4" w:space="0"/>
            </w:tcBorders>
            <w:noWrap w:val="0"/>
            <w:vAlign w:val="center"/>
          </w:tcPr>
          <w:p w14:paraId="378CBFBE">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r>
      <w:tr w14:paraId="14C7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7C12BA78">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11</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36B4DD98">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000000"/>
                <w:kern w:val="0"/>
                <w:sz w:val="24"/>
                <w:szCs w:val="24"/>
                <w:u w:val="none"/>
                <w:lang w:val="en-US" w:eastAsia="zh-CN" w:bidi="ar"/>
              </w:rPr>
              <w:t>11月</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043430A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387985</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55527833">
            <w:pPr>
              <w:widowControl/>
              <w:jc w:val="center"/>
              <w:rPr>
                <w:rFonts w:hint="eastAsia" w:ascii="仿宋" w:hAnsi="仿宋" w:eastAsia="仿宋" w:cs="仿宋"/>
                <w:i w:val="0"/>
                <w:iCs w:val="0"/>
                <w:color w:val="auto"/>
                <w:kern w:val="2"/>
                <w:sz w:val="24"/>
                <w:szCs w:val="24"/>
                <w:highlight w:val="none"/>
                <w:u w:val="none"/>
                <w:lang w:val="en-US" w:eastAsia="zh-CN" w:bidi="ar-SA"/>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14:paraId="39154C6E">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0.717122237</w:t>
            </w:r>
          </w:p>
        </w:tc>
        <w:tc>
          <w:tcPr>
            <w:tcW w:w="1208" w:type="dxa"/>
            <w:tcBorders>
              <w:top w:val="single" w:color="auto" w:sz="4" w:space="0"/>
              <w:left w:val="single" w:color="auto" w:sz="4" w:space="0"/>
              <w:bottom w:val="single" w:color="auto" w:sz="4" w:space="0"/>
              <w:right w:val="single" w:color="auto" w:sz="4" w:space="0"/>
            </w:tcBorders>
            <w:noWrap w:val="0"/>
            <w:vAlign w:val="center"/>
          </w:tcPr>
          <w:p w14:paraId="446CD790">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2362F90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420</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6440D281">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312" w:type="dxa"/>
            <w:tcBorders>
              <w:top w:val="single" w:color="auto" w:sz="4" w:space="0"/>
              <w:left w:val="single" w:color="auto" w:sz="4" w:space="0"/>
              <w:bottom w:val="single" w:color="auto" w:sz="4" w:space="0"/>
              <w:right w:val="single" w:color="auto" w:sz="4" w:space="0"/>
            </w:tcBorders>
            <w:noWrap w:val="0"/>
            <w:vAlign w:val="center"/>
          </w:tcPr>
          <w:p w14:paraId="06533C86">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240.98674</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09E2A856">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22FB238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10301</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0EEA9412">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5593DB8A">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3.43</w:t>
            </w:r>
          </w:p>
        </w:tc>
        <w:tc>
          <w:tcPr>
            <w:tcW w:w="984" w:type="dxa"/>
            <w:tcBorders>
              <w:top w:val="single" w:color="auto" w:sz="4" w:space="0"/>
              <w:left w:val="single" w:color="auto" w:sz="4" w:space="0"/>
              <w:bottom w:val="single" w:color="auto" w:sz="4" w:space="0"/>
              <w:right w:val="single" w:color="auto" w:sz="4" w:space="0"/>
            </w:tcBorders>
            <w:noWrap w:val="0"/>
            <w:vAlign w:val="center"/>
          </w:tcPr>
          <w:p w14:paraId="4F3E67B7">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r>
      <w:tr w14:paraId="77CE9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4253DEE8">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12</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59772804">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000000"/>
                <w:kern w:val="0"/>
                <w:sz w:val="24"/>
                <w:szCs w:val="24"/>
                <w:u w:val="none"/>
                <w:lang w:val="en-US" w:eastAsia="zh-CN" w:bidi="ar"/>
              </w:rPr>
              <w:t>12月</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4FEC0A1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470920</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761E596E">
            <w:pPr>
              <w:widowControl/>
              <w:jc w:val="center"/>
              <w:rPr>
                <w:rFonts w:hint="eastAsia" w:ascii="仿宋" w:hAnsi="仿宋" w:eastAsia="仿宋" w:cs="仿宋"/>
                <w:i w:val="0"/>
                <w:iCs w:val="0"/>
                <w:color w:val="auto"/>
                <w:kern w:val="2"/>
                <w:sz w:val="24"/>
                <w:szCs w:val="24"/>
                <w:highlight w:val="none"/>
                <w:u w:val="none"/>
                <w:lang w:val="en-US" w:eastAsia="zh-CN" w:bidi="ar-SA"/>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14:paraId="3DAA1F71">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0.717122237</w:t>
            </w:r>
          </w:p>
        </w:tc>
        <w:tc>
          <w:tcPr>
            <w:tcW w:w="1208" w:type="dxa"/>
            <w:tcBorders>
              <w:top w:val="single" w:color="auto" w:sz="4" w:space="0"/>
              <w:left w:val="single" w:color="auto" w:sz="4" w:space="0"/>
              <w:bottom w:val="single" w:color="auto" w:sz="4" w:space="0"/>
              <w:right w:val="single" w:color="auto" w:sz="4" w:space="0"/>
            </w:tcBorders>
            <w:noWrap w:val="0"/>
            <w:vAlign w:val="center"/>
          </w:tcPr>
          <w:p w14:paraId="47E9B72F">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78E2261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673</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0F6710DF">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312" w:type="dxa"/>
            <w:tcBorders>
              <w:top w:val="single" w:color="auto" w:sz="4" w:space="0"/>
              <w:left w:val="single" w:color="auto" w:sz="4" w:space="0"/>
              <w:bottom w:val="single" w:color="auto" w:sz="4" w:space="0"/>
              <w:right w:val="single" w:color="auto" w:sz="4" w:space="0"/>
            </w:tcBorders>
            <w:noWrap w:val="0"/>
            <w:vAlign w:val="center"/>
          </w:tcPr>
          <w:p w14:paraId="59457A7D">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240.98674</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65F98A17">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624589C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12080</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31FAD314">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41121D54">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3.43</w:t>
            </w:r>
          </w:p>
        </w:tc>
        <w:tc>
          <w:tcPr>
            <w:tcW w:w="984" w:type="dxa"/>
            <w:tcBorders>
              <w:top w:val="single" w:color="auto" w:sz="4" w:space="0"/>
              <w:left w:val="single" w:color="auto" w:sz="4" w:space="0"/>
              <w:bottom w:val="single" w:color="auto" w:sz="4" w:space="0"/>
              <w:right w:val="single" w:color="auto" w:sz="4" w:space="0"/>
            </w:tcBorders>
            <w:noWrap w:val="0"/>
            <w:vAlign w:val="center"/>
          </w:tcPr>
          <w:p w14:paraId="66E0E89C">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r>
      <w:tr w14:paraId="3CE9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2DA68536">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13</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124DC08C">
            <w:pPr>
              <w:keepNext w:val="0"/>
              <w:keepLines w:val="0"/>
              <w:widowControl/>
              <w:suppressLineNumbers w:val="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000000"/>
                <w:kern w:val="0"/>
                <w:sz w:val="24"/>
                <w:szCs w:val="24"/>
                <w:u w:val="none"/>
                <w:lang w:val="en-US" w:eastAsia="zh-CN" w:bidi="ar"/>
              </w:rPr>
              <w:t>年度合计</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5194DD7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6205813</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50CFF4DB">
            <w:pPr>
              <w:widowControl/>
              <w:jc w:val="center"/>
              <w:rPr>
                <w:rFonts w:hint="eastAsia" w:ascii="仿宋" w:hAnsi="仿宋" w:eastAsia="仿宋" w:cs="仿宋"/>
                <w:i w:val="0"/>
                <w:iCs w:val="0"/>
                <w:color w:val="auto"/>
                <w:kern w:val="2"/>
                <w:sz w:val="24"/>
                <w:szCs w:val="24"/>
                <w:highlight w:val="none"/>
                <w:u w:val="none"/>
                <w:lang w:val="en-US" w:eastAsia="zh-CN" w:bidi="ar-SA"/>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14:paraId="71AE384C">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0.717122237</w:t>
            </w:r>
          </w:p>
        </w:tc>
        <w:tc>
          <w:tcPr>
            <w:tcW w:w="1208" w:type="dxa"/>
            <w:tcBorders>
              <w:top w:val="single" w:color="auto" w:sz="4" w:space="0"/>
              <w:left w:val="single" w:color="auto" w:sz="4" w:space="0"/>
              <w:bottom w:val="single" w:color="auto" w:sz="4" w:space="0"/>
              <w:right w:val="single" w:color="auto" w:sz="4" w:space="0"/>
            </w:tcBorders>
            <w:noWrap w:val="0"/>
            <w:vAlign w:val="center"/>
          </w:tcPr>
          <w:p w14:paraId="1E40BB43">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28149B7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4881</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151174B0">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312" w:type="dxa"/>
            <w:tcBorders>
              <w:top w:val="single" w:color="auto" w:sz="4" w:space="0"/>
              <w:left w:val="single" w:color="auto" w:sz="4" w:space="0"/>
              <w:bottom w:val="single" w:color="auto" w:sz="4" w:space="0"/>
              <w:right w:val="single" w:color="auto" w:sz="4" w:space="0"/>
            </w:tcBorders>
            <w:noWrap w:val="0"/>
            <w:vAlign w:val="center"/>
          </w:tcPr>
          <w:p w14:paraId="2BC29683">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240.98674</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3DB55B18">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i w:val="0"/>
                <w:iCs w:val="0"/>
                <w:color w:val="auto"/>
                <w:kern w:val="2"/>
                <w:sz w:val="24"/>
                <w:szCs w:val="24"/>
                <w:highlight w:val="none"/>
                <w:u w:val="none"/>
                <w:lang w:val="en-US" w:eastAsia="zh-CN" w:bidi="ar-SA"/>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3512988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151221</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78D52511">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557B5C2D">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3.43</w:t>
            </w:r>
          </w:p>
        </w:tc>
        <w:tc>
          <w:tcPr>
            <w:tcW w:w="984" w:type="dxa"/>
            <w:tcBorders>
              <w:top w:val="single" w:color="auto" w:sz="4" w:space="0"/>
              <w:left w:val="single" w:color="auto" w:sz="4" w:space="0"/>
              <w:bottom w:val="single" w:color="auto" w:sz="4" w:space="0"/>
              <w:right w:val="single" w:color="auto" w:sz="4" w:space="0"/>
            </w:tcBorders>
            <w:noWrap w:val="0"/>
            <w:vAlign w:val="center"/>
          </w:tcPr>
          <w:p w14:paraId="46C84A7D">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4"/>
                <w:szCs w:val="24"/>
                <w:highlight w:val="none"/>
                <w:lang w:val="en-US" w:eastAsia="zh-CN" w:bidi="ar-SA"/>
              </w:rPr>
            </w:pPr>
          </w:p>
        </w:tc>
      </w:tr>
      <w:tr w14:paraId="7661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6781" w:type="dxa"/>
            <w:gridSpan w:val="6"/>
            <w:tcBorders>
              <w:top w:val="single" w:color="auto" w:sz="4" w:space="0"/>
              <w:left w:val="single" w:color="auto" w:sz="4" w:space="0"/>
              <w:bottom w:val="single" w:color="auto" w:sz="4" w:space="0"/>
              <w:right w:val="single" w:color="auto" w:sz="4" w:space="0"/>
            </w:tcBorders>
            <w:noWrap w:val="0"/>
            <w:vAlign w:val="center"/>
          </w:tcPr>
          <w:p w14:paraId="3205C919">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报价总计（十年）</w:t>
            </w:r>
          </w:p>
          <w:p w14:paraId="1E32EE5B">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en-US" w:eastAsia="zh-CN" w:bidi="ar-SA"/>
              </w:rPr>
              <w:t>电</w:t>
            </w:r>
            <w:r>
              <w:rPr>
                <w:rFonts w:hint="eastAsia" w:ascii="仿宋" w:hAnsi="仿宋" w:eastAsia="仿宋" w:cs="仿宋"/>
                <w:i w:val="0"/>
                <w:iCs w:val="0"/>
                <w:color w:val="000000"/>
                <w:kern w:val="0"/>
                <w:sz w:val="24"/>
                <w:szCs w:val="24"/>
                <w:u w:val="none"/>
                <w:lang w:val="en-US" w:eastAsia="zh-CN" w:bidi="ar"/>
              </w:rPr>
              <w:t>年度合计+</w:t>
            </w:r>
            <w:r>
              <w:rPr>
                <w:rFonts w:hint="eastAsia" w:ascii="仿宋" w:hAnsi="仿宋" w:eastAsia="仿宋" w:cs="仿宋"/>
                <w:color w:val="auto"/>
                <w:kern w:val="2"/>
                <w:sz w:val="24"/>
                <w:szCs w:val="24"/>
                <w:highlight w:val="none"/>
                <w:lang w:val="en-US" w:eastAsia="zh-CN" w:bidi="ar-SA"/>
              </w:rPr>
              <w:t>蒸汽</w:t>
            </w:r>
            <w:r>
              <w:rPr>
                <w:rFonts w:hint="eastAsia" w:ascii="仿宋" w:hAnsi="仿宋" w:eastAsia="仿宋" w:cs="仿宋"/>
                <w:i w:val="0"/>
                <w:iCs w:val="0"/>
                <w:color w:val="000000"/>
                <w:kern w:val="0"/>
                <w:sz w:val="24"/>
                <w:szCs w:val="24"/>
                <w:u w:val="none"/>
                <w:lang w:val="en-US" w:eastAsia="zh-CN" w:bidi="ar"/>
              </w:rPr>
              <w:t>年度合计+</w:t>
            </w:r>
            <w:r>
              <w:rPr>
                <w:rFonts w:hint="eastAsia" w:ascii="仿宋" w:hAnsi="仿宋" w:eastAsia="仿宋" w:cs="仿宋"/>
                <w:color w:val="auto"/>
                <w:kern w:val="2"/>
                <w:sz w:val="24"/>
                <w:szCs w:val="24"/>
                <w:highlight w:val="none"/>
                <w:lang w:val="en-US" w:eastAsia="zh-CN" w:bidi="ar-SA"/>
              </w:rPr>
              <w:t>水</w:t>
            </w:r>
            <w:r>
              <w:rPr>
                <w:rFonts w:hint="eastAsia" w:ascii="仿宋" w:hAnsi="仿宋" w:eastAsia="仿宋" w:cs="仿宋"/>
                <w:i w:val="0"/>
                <w:iCs w:val="0"/>
                <w:color w:val="000000"/>
                <w:kern w:val="0"/>
                <w:sz w:val="24"/>
                <w:szCs w:val="24"/>
                <w:u w:val="none"/>
                <w:lang w:val="en-US" w:eastAsia="zh-CN" w:bidi="ar"/>
              </w:rPr>
              <w:t>年度合计）*10年</w:t>
            </w:r>
          </w:p>
        </w:tc>
        <w:tc>
          <w:tcPr>
            <w:tcW w:w="8576" w:type="dxa"/>
            <w:gridSpan w:val="8"/>
            <w:tcBorders>
              <w:top w:val="single" w:color="auto" w:sz="4" w:space="0"/>
              <w:left w:val="single" w:color="auto" w:sz="4" w:space="0"/>
              <w:bottom w:val="single" w:color="auto" w:sz="4" w:space="0"/>
              <w:right w:val="single" w:color="auto" w:sz="4" w:space="0"/>
            </w:tcBorders>
            <w:noWrap w:val="0"/>
            <w:vAlign w:val="center"/>
          </w:tcPr>
          <w:p w14:paraId="30D7F1F0">
            <w:pPr>
              <w:keepNext w:val="0"/>
              <w:keepLines w:val="0"/>
              <w:widowControl w:val="0"/>
              <w:suppressLineNumbers w:val="0"/>
              <w:spacing w:before="0" w:beforeAutospacing="0" w:after="0" w:afterAutospacing="0" w:line="500" w:lineRule="exact"/>
              <w:ind w:left="0" w:right="0"/>
              <w:jc w:val="both"/>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en-US" w:eastAsia="zh-CN" w:bidi="ar-SA"/>
              </w:rPr>
              <w:t xml:space="preserve">  </w:t>
            </w:r>
            <w:r>
              <w:rPr>
                <w:rFonts w:hint="eastAsia" w:ascii="仿宋" w:hAnsi="仿宋" w:eastAsia="仿宋" w:cs="仿宋"/>
                <w:color w:val="auto"/>
                <w:kern w:val="2"/>
                <w:sz w:val="24"/>
                <w:szCs w:val="24"/>
                <w:highlight w:val="none"/>
                <w:u w:val="single"/>
                <w:lang w:val="en-US" w:eastAsia="zh-CN" w:bidi="ar-SA"/>
              </w:rPr>
              <w:t xml:space="preserve">                 </w:t>
            </w:r>
            <w:r>
              <w:rPr>
                <w:rFonts w:hint="eastAsia" w:ascii="仿宋" w:hAnsi="仿宋" w:eastAsia="仿宋" w:cs="仿宋"/>
                <w:color w:val="auto"/>
                <w:kern w:val="2"/>
                <w:sz w:val="24"/>
                <w:szCs w:val="24"/>
                <w:highlight w:val="none"/>
                <w:lang w:val="en-US" w:eastAsia="zh-CN" w:bidi="ar-SA"/>
              </w:rPr>
              <w:t xml:space="preserve">                 </w:t>
            </w:r>
          </w:p>
          <w:p w14:paraId="48A327AC">
            <w:pPr>
              <w:keepNext w:val="0"/>
              <w:keepLines w:val="0"/>
              <w:widowControl/>
              <w:suppressLineNumbers w:val="0"/>
              <w:spacing w:before="0" w:beforeAutospacing="0" w:after="0" w:afterAutospacing="0" w:line="360" w:lineRule="exact"/>
              <w:ind w:left="0" w:right="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人民币（大写）：</w:t>
            </w:r>
            <w:r>
              <w:rPr>
                <w:rFonts w:hint="eastAsia" w:ascii="仿宋" w:hAnsi="仿宋" w:eastAsia="仿宋" w:cs="仿宋"/>
                <w:color w:val="auto"/>
                <w:kern w:val="2"/>
                <w:sz w:val="24"/>
                <w:szCs w:val="24"/>
                <w:highlight w:val="none"/>
                <w:u w:val="single"/>
                <w:lang w:val="en-US" w:eastAsia="zh-CN" w:bidi="ar-SA"/>
              </w:rPr>
              <w:t xml:space="preserve">    </w:t>
            </w:r>
            <w:r>
              <w:rPr>
                <w:rFonts w:hint="eastAsia" w:ascii="仿宋" w:hAnsi="仿宋" w:eastAsia="仿宋" w:cs="仿宋"/>
                <w:bCs/>
                <w:color w:val="auto"/>
                <w:kern w:val="2"/>
                <w:sz w:val="24"/>
                <w:szCs w:val="24"/>
                <w:highlight w:val="none"/>
                <w:lang w:val="en-US" w:eastAsia="zh-CN" w:bidi="ar-SA"/>
              </w:rPr>
              <w:t>佰</w:t>
            </w:r>
            <w:r>
              <w:rPr>
                <w:rFonts w:hint="eastAsia" w:ascii="仿宋" w:hAnsi="仿宋" w:eastAsia="仿宋" w:cs="仿宋"/>
                <w:color w:val="auto"/>
                <w:kern w:val="2"/>
                <w:sz w:val="24"/>
                <w:szCs w:val="24"/>
                <w:highlight w:val="none"/>
                <w:u w:val="single"/>
                <w:lang w:val="en-US" w:eastAsia="zh-CN" w:bidi="ar-SA"/>
              </w:rPr>
              <w:t xml:space="preserve">   </w:t>
            </w:r>
            <w:r>
              <w:rPr>
                <w:rFonts w:hint="eastAsia" w:ascii="仿宋" w:hAnsi="仿宋" w:eastAsia="仿宋" w:cs="仿宋"/>
                <w:bCs/>
                <w:color w:val="auto"/>
                <w:kern w:val="2"/>
                <w:sz w:val="24"/>
                <w:szCs w:val="24"/>
                <w:highlight w:val="none"/>
                <w:lang w:val="en-US" w:eastAsia="zh-CN" w:bidi="ar-SA"/>
              </w:rPr>
              <w:t>拾</w:t>
            </w:r>
            <w:r>
              <w:rPr>
                <w:rFonts w:hint="eastAsia" w:ascii="仿宋" w:hAnsi="仿宋" w:eastAsia="仿宋" w:cs="仿宋"/>
                <w:color w:val="auto"/>
                <w:kern w:val="2"/>
                <w:sz w:val="24"/>
                <w:szCs w:val="24"/>
                <w:highlight w:val="none"/>
                <w:u w:val="single"/>
                <w:lang w:val="en-US" w:eastAsia="zh-CN" w:bidi="ar-SA"/>
              </w:rPr>
              <w:t xml:space="preserve">   </w:t>
            </w:r>
            <w:r>
              <w:rPr>
                <w:rFonts w:hint="eastAsia" w:ascii="仿宋" w:hAnsi="仿宋" w:eastAsia="仿宋" w:cs="仿宋"/>
                <w:bCs/>
                <w:color w:val="auto"/>
                <w:kern w:val="2"/>
                <w:sz w:val="24"/>
                <w:szCs w:val="24"/>
                <w:highlight w:val="none"/>
                <w:lang w:val="en-US" w:eastAsia="zh-CN" w:bidi="ar-SA"/>
              </w:rPr>
              <w:t xml:space="preserve"> 万</w:t>
            </w:r>
            <w:r>
              <w:rPr>
                <w:rFonts w:hint="eastAsia" w:ascii="仿宋" w:hAnsi="仿宋" w:eastAsia="仿宋" w:cs="仿宋"/>
                <w:bCs/>
                <w:color w:val="auto"/>
                <w:kern w:val="2"/>
                <w:sz w:val="24"/>
                <w:szCs w:val="24"/>
                <w:highlight w:val="none"/>
                <w:u w:val="single"/>
                <w:lang w:val="en-US" w:eastAsia="zh-CN" w:bidi="ar-SA"/>
              </w:rPr>
              <w:t xml:space="preserve">   </w:t>
            </w:r>
            <w:r>
              <w:rPr>
                <w:rFonts w:hint="eastAsia" w:ascii="仿宋" w:hAnsi="仿宋" w:eastAsia="仿宋" w:cs="仿宋"/>
                <w:bCs/>
                <w:color w:val="auto"/>
                <w:kern w:val="2"/>
                <w:sz w:val="24"/>
                <w:szCs w:val="24"/>
                <w:highlight w:val="none"/>
                <w:lang w:val="en-US" w:eastAsia="zh-CN" w:bidi="ar-SA"/>
              </w:rPr>
              <w:t>仟</w:t>
            </w:r>
            <w:r>
              <w:rPr>
                <w:rFonts w:hint="eastAsia" w:ascii="仿宋" w:hAnsi="仿宋" w:eastAsia="仿宋" w:cs="仿宋"/>
                <w:color w:val="auto"/>
                <w:kern w:val="2"/>
                <w:sz w:val="24"/>
                <w:szCs w:val="24"/>
                <w:highlight w:val="none"/>
                <w:u w:val="single"/>
                <w:lang w:val="en-US" w:eastAsia="zh-CN" w:bidi="ar-SA"/>
              </w:rPr>
              <w:t xml:space="preserve">    </w:t>
            </w:r>
            <w:r>
              <w:rPr>
                <w:rFonts w:hint="eastAsia" w:ascii="仿宋" w:hAnsi="仿宋" w:eastAsia="仿宋" w:cs="仿宋"/>
                <w:bCs/>
                <w:color w:val="auto"/>
                <w:kern w:val="2"/>
                <w:sz w:val="24"/>
                <w:szCs w:val="24"/>
                <w:highlight w:val="none"/>
                <w:lang w:val="en-US" w:eastAsia="zh-CN" w:bidi="ar-SA"/>
              </w:rPr>
              <w:t>佰</w:t>
            </w:r>
            <w:r>
              <w:rPr>
                <w:rFonts w:hint="eastAsia" w:ascii="仿宋" w:hAnsi="仿宋" w:eastAsia="仿宋" w:cs="仿宋"/>
                <w:color w:val="auto"/>
                <w:kern w:val="2"/>
                <w:sz w:val="24"/>
                <w:szCs w:val="24"/>
                <w:highlight w:val="none"/>
                <w:u w:val="single"/>
                <w:lang w:val="en-US" w:eastAsia="zh-CN" w:bidi="ar-SA"/>
              </w:rPr>
              <w:t xml:space="preserve">    </w:t>
            </w:r>
            <w:r>
              <w:rPr>
                <w:rFonts w:hint="eastAsia" w:ascii="仿宋" w:hAnsi="仿宋" w:eastAsia="仿宋" w:cs="仿宋"/>
                <w:bCs/>
                <w:color w:val="auto"/>
                <w:kern w:val="2"/>
                <w:sz w:val="24"/>
                <w:szCs w:val="24"/>
                <w:highlight w:val="none"/>
                <w:lang w:val="en-US" w:eastAsia="zh-CN" w:bidi="ar-SA"/>
              </w:rPr>
              <w:t>拾</w:t>
            </w:r>
            <w:r>
              <w:rPr>
                <w:rFonts w:hint="eastAsia" w:ascii="仿宋" w:hAnsi="仿宋" w:eastAsia="仿宋" w:cs="仿宋"/>
                <w:color w:val="auto"/>
                <w:kern w:val="2"/>
                <w:sz w:val="24"/>
                <w:szCs w:val="24"/>
                <w:highlight w:val="none"/>
                <w:u w:val="single"/>
                <w:lang w:val="en-US" w:eastAsia="zh-CN" w:bidi="ar-SA"/>
              </w:rPr>
              <w:t xml:space="preserve">    </w:t>
            </w:r>
            <w:r>
              <w:rPr>
                <w:rFonts w:hint="eastAsia" w:ascii="仿宋" w:hAnsi="仿宋" w:eastAsia="仿宋" w:cs="仿宋"/>
                <w:bCs/>
                <w:color w:val="auto"/>
                <w:kern w:val="2"/>
                <w:sz w:val="24"/>
                <w:szCs w:val="24"/>
                <w:highlight w:val="none"/>
                <w:lang w:val="en-US" w:eastAsia="zh-CN" w:bidi="ar-SA"/>
              </w:rPr>
              <w:t>元</w:t>
            </w:r>
            <w:r>
              <w:rPr>
                <w:rFonts w:hint="eastAsia" w:ascii="仿宋" w:hAnsi="仿宋" w:eastAsia="仿宋" w:cs="仿宋"/>
                <w:color w:val="auto"/>
                <w:kern w:val="2"/>
                <w:sz w:val="24"/>
                <w:szCs w:val="24"/>
                <w:highlight w:val="none"/>
                <w:u w:val="single"/>
                <w:lang w:val="en-US" w:eastAsia="zh-CN" w:bidi="ar-SA"/>
              </w:rPr>
              <w:t xml:space="preserve">    </w:t>
            </w:r>
            <w:r>
              <w:rPr>
                <w:rFonts w:hint="eastAsia" w:ascii="仿宋" w:hAnsi="仿宋" w:eastAsia="仿宋" w:cs="仿宋"/>
                <w:bCs/>
                <w:color w:val="auto"/>
                <w:kern w:val="2"/>
                <w:sz w:val="24"/>
                <w:szCs w:val="24"/>
                <w:highlight w:val="none"/>
                <w:lang w:val="en-US" w:eastAsia="zh-CN" w:bidi="ar-SA"/>
              </w:rPr>
              <w:t>角</w:t>
            </w:r>
            <w:r>
              <w:rPr>
                <w:rFonts w:hint="eastAsia" w:ascii="仿宋" w:hAnsi="仿宋" w:eastAsia="仿宋" w:cs="仿宋"/>
                <w:color w:val="auto"/>
                <w:kern w:val="2"/>
                <w:sz w:val="24"/>
                <w:szCs w:val="24"/>
                <w:highlight w:val="none"/>
                <w:u w:val="single"/>
                <w:lang w:val="en-US" w:eastAsia="zh-CN" w:bidi="ar-SA"/>
              </w:rPr>
              <w:t xml:space="preserve">      </w:t>
            </w:r>
            <w:r>
              <w:rPr>
                <w:rFonts w:hint="eastAsia" w:ascii="仿宋" w:hAnsi="仿宋" w:eastAsia="仿宋" w:cs="仿宋"/>
                <w:bCs/>
                <w:color w:val="auto"/>
                <w:kern w:val="2"/>
                <w:sz w:val="24"/>
                <w:szCs w:val="24"/>
                <w:highlight w:val="none"/>
                <w:lang w:val="en-US" w:eastAsia="zh-CN" w:bidi="ar-SA"/>
              </w:rPr>
              <w:t>分</w:t>
            </w:r>
          </w:p>
        </w:tc>
      </w:tr>
    </w:tbl>
    <w:p w14:paraId="1D43601D">
      <w:pPr>
        <w:widowControl/>
        <w:spacing w:line="400" w:lineRule="exact"/>
        <w:ind w:firstLine="480"/>
        <w:jc w:val="left"/>
        <w:rPr>
          <w:rFonts w:hint="eastAsia" w:ascii="仿宋" w:hAnsi="仿宋" w:eastAsia="仿宋" w:cs="仿宋"/>
          <w:b/>
          <w:color w:val="auto"/>
          <w:sz w:val="24"/>
          <w:szCs w:val="20"/>
          <w:highlight w:val="none"/>
        </w:rPr>
      </w:pPr>
      <w:r>
        <w:rPr>
          <w:rFonts w:hint="eastAsia" w:ascii="仿宋" w:hAnsi="仿宋" w:eastAsia="仿宋" w:cs="仿宋"/>
          <w:color w:val="auto"/>
          <w:highlight w:val="none"/>
        </w:rPr>
        <w:t>注：</w:t>
      </w:r>
      <w:r>
        <w:rPr>
          <w:rFonts w:hint="eastAsia" w:ascii="仿宋" w:hAnsi="仿宋" w:eastAsia="仿宋" w:cs="仿宋"/>
          <w:color w:val="auto"/>
          <w:szCs w:val="30"/>
          <w:highlight w:val="none"/>
          <w:lang w:eastAsia="zh-CN"/>
        </w:rPr>
        <w:t>投标人</w:t>
      </w:r>
      <w:r>
        <w:rPr>
          <w:rFonts w:hint="eastAsia" w:ascii="仿宋" w:hAnsi="仿宋" w:eastAsia="仿宋" w:cs="仿宋"/>
          <w:color w:val="auto"/>
          <w:szCs w:val="30"/>
          <w:highlight w:val="none"/>
        </w:rPr>
        <w:t>应分项进行填报，</w:t>
      </w:r>
      <w:r>
        <w:rPr>
          <w:rFonts w:hint="eastAsia" w:ascii="仿宋" w:hAnsi="仿宋" w:eastAsia="仿宋" w:cs="仿宋"/>
          <w:b/>
          <w:bCs/>
          <w:color w:val="auto"/>
          <w:highlight w:val="none"/>
        </w:rPr>
        <w:t>投标</w:t>
      </w:r>
      <w:r>
        <w:rPr>
          <w:rFonts w:hint="eastAsia" w:ascii="仿宋" w:hAnsi="仿宋" w:eastAsia="仿宋" w:cs="仿宋"/>
          <w:b/>
          <w:bCs/>
          <w:color w:val="auto"/>
          <w:highlight w:val="none"/>
          <w:lang w:val="en-US" w:eastAsia="zh-CN"/>
        </w:rPr>
        <w:t>量</w:t>
      </w:r>
      <w:r>
        <w:rPr>
          <w:rFonts w:hint="eastAsia" w:ascii="仿宋" w:hAnsi="仿宋" w:eastAsia="仿宋" w:cs="仿宋"/>
          <w:b/>
          <w:bCs/>
          <w:color w:val="auto"/>
          <w:highlight w:val="none"/>
        </w:rPr>
        <w:t>不得高于基准用量</w:t>
      </w:r>
      <w:r>
        <w:rPr>
          <w:rFonts w:hint="eastAsia" w:ascii="仿宋" w:hAnsi="仿宋" w:eastAsia="仿宋" w:cs="仿宋"/>
          <w:b/>
          <w:bCs/>
          <w:color w:val="auto"/>
          <w:highlight w:val="none"/>
          <w:lang w:eastAsia="zh-CN"/>
        </w:rPr>
        <w:t>，</w:t>
      </w:r>
      <w:r>
        <w:rPr>
          <w:rFonts w:hint="eastAsia" w:ascii="仿宋" w:hAnsi="仿宋" w:eastAsia="仿宋" w:cs="仿宋"/>
          <w:b/>
          <w:bCs/>
          <w:color w:val="auto"/>
          <w:highlight w:val="none"/>
        </w:rPr>
        <w:t>投标</w:t>
      </w:r>
      <w:r>
        <w:rPr>
          <w:rFonts w:hint="eastAsia" w:ascii="仿宋" w:hAnsi="仿宋" w:eastAsia="仿宋" w:cs="仿宋"/>
          <w:b/>
          <w:bCs/>
          <w:color w:val="auto"/>
          <w:highlight w:val="none"/>
          <w:lang w:val="en-US" w:eastAsia="zh-CN"/>
        </w:rPr>
        <w:t>价=</w:t>
      </w:r>
      <w:r>
        <w:rPr>
          <w:rFonts w:hint="eastAsia" w:ascii="仿宋" w:hAnsi="仿宋" w:eastAsia="仿宋" w:cs="仿宋"/>
          <w:b/>
          <w:bCs/>
          <w:color w:val="auto"/>
          <w:highlight w:val="none"/>
        </w:rPr>
        <w:t>投标量</w:t>
      </w:r>
      <w:r>
        <w:rPr>
          <w:rFonts w:hint="eastAsia" w:ascii="仿宋" w:hAnsi="仿宋" w:eastAsia="仿宋" w:cs="仿宋"/>
          <w:b/>
          <w:bCs/>
          <w:color w:val="auto"/>
          <w:highlight w:val="none"/>
          <w:lang w:val="en-US" w:eastAsia="zh-CN"/>
        </w:rPr>
        <w:t>*</w:t>
      </w:r>
      <w:r>
        <w:rPr>
          <w:rFonts w:hint="eastAsia" w:ascii="仿宋" w:hAnsi="仿宋" w:eastAsia="仿宋" w:cs="仿宋"/>
          <w:b/>
          <w:bCs/>
          <w:color w:val="auto"/>
          <w:highlight w:val="none"/>
        </w:rPr>
        <w:t>基准单价，后期</w:t>
      </w:r>
      <w:r>
        <w:rPr>
          <w:rFonts w:hint="eastAsia" w:ascii="仿宋" w:hAnsi="仿宋" w:eastAsia="仿宋" w:cs="仿宋"/>
          <w:b/>
          <w:bCs/>
          <w:color w:val="auto"/>
          <w:highlight w:val="none"/>
          <w:lang w:val="en-US" w:eastAsia="zh-CN"/>
        </w:rPr>
        <w:t>结算单价</w:t>
      </w:r>
      <w:r>
        <w:rPr>
          <w:rFonts w:hint="eastAsia" w:ascii="仿宋" w:hAnsi="仿宋" w:eastAsia="仿宋" w:cs="仿宋"/>
          <w:b/>
          <w:bCs/>
          <w:color w:val="auto"/>
          <w:highlight w:val="none"/>
        </w:rPr>
        <w:t>以</w:t>
      </w:r>
      <w:r>
        <w:rPr>
          <w:rFonts w:hint="eastAsia" w:ascii="仿宋" w:hAnsi="仿宋" w:eastAsia="仿宋" w:cs="仿宋"/>
          <w:b/>
          <w:bCs/>
          <w:color w:val="auto"/>
          <w:highlight w:val="none"/>
          <w:lang w:val="en-US" w:eastAsia="zh-CN"/>
        </w:rPr>
        <w:t>调整原则确认</w:t>
      </w:r>
      <w:r>
        <w:rPr>
          <w:rFonts w:hint="eastAsia" w:ascii="仿宋" w:hAnsi="仿宋" w:eastAsia="仿宋" w:cs="仿宋"/>
          <w:b/>
          <w:bCs/>
          <w:color w:val="auto"/>
          <w:highlight w:val="none"/>
        </w:rPr>
        <w:t>。</w:t>
      </w:r>
      <w:r>
        <w:rPr>
          <w:rFonts w:hint="eastAsia" w:ascii="仿宋" w:hAnsi="仿宋" w:eastAsia="仿宋" w:cs="仿宋"/>
          <w:color w:val="auto"/>
          <w:szCs w:val="30"/>
          <w:highlight w:val="none"/>
        </w:rPr>
        <w:t>报价应包含</w:t>
      </w:r>
      <w:r>
        <w:rPr>
          <w:rFonts w:hint="eastAsia" w:ascii="仿宋" w:hAnsi="仿宋" w:eastAsia="仿宋" w:cs="仿宋"/>
          <w:iCs/>
          <w:color w:val="auto"/>
          <w:szCs w:val="28"/>
          <w:highlight w:val="none"/>
        </w:rPr>
        <w:t>项目实施过程中一切相关费用。</w:t>
      </w:r>
      <w:r>
        <w:rPr>
          <w:rFonts w:hint="eastAsia" w:ascii="仿宋" w:hAnsi="仿宋" w:eastAsia="仿宋" w:cs="仿宋"/>
          <w:b/>
          <w:color w:val="auto"/>
          <w:szCs w:val="30"/>
          <w:highlight w:val="none"/>
        </w:rPr>
        <w:t>表中报价总计应与对应开标一览表中总价一致</w:t>
      </w:r>
      <w:r>
        <w:rPr>
          <w:rFonts w:hint="eastAsia" w:ascii="仿宋" w:hAnsi="仿宋" w:eastAsia="仿宋" w:cs="仿宋"/>
          <w:b/>
          <w:color w:val="auto"/>
          <w:highlight w:val="none"/>
        </w:rPr>
        <w:t>。</w:t>
      </w:r>
    </w:p>
    <w:p w14:paraId="58FC4960">
      <w:pPr>
        <w:pStyle w:val="323"/>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单位名称：</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w:t>
      </w:r>
      <w:r>
        <w:rPr>
          <w:rFonts w:hint="eastAsia" w:ascii="仿宋" w:hAnsi="仿宋" w:eastAsia="仿宋" w:cs="仿宋"/>
          <w:b/>
          <w:color w:val="auto"/>
          <w:sz w:val="24"/>
          <w:szCs w:val="20"/>
          <w:highlight w:val="none"/>
          <w:lang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11D148F7">
      <w:pPr>
        <w:spacing w:line="520" w:lineRule="exact"/>
        <w:outlineLvl w:val="9"/>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法定代表人（或授权代表）：</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（签字</w:t>
      </w:r>
      <w:r>
        <w:rPr>
          <w:rFonts w:hint="eastAsia" w:ascii="仿宋" w:hAnsi="仿宋" w:eastAsia="仿宋" w:cs="仿宋"/>
          <w:b/>
          <w:color w:val="auto"/>
          <w:sz w:val="24"/>
          <w:szCs w:val="20"/>
          <w:highlight w:val="none"/>
          <w:lang w:val="en-US"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48AE3434">
      <w:pPr>
        <w:pStyle w:val="334"/>
        <w:keepNext w:val="0"/>
        <w:keepLines w:val="0"/>
        <w:pageBreakBefore w:val="0"/>
        <w:spacing w:line="520" w:lineRule="exact"/>
        <w:ind w:firstLine="0"/>
        <w:outlineLvl w:val="9"/>
        <w:rPr>
          <w:rFonts w:hint="eastAsia" w:ascii="仿宋" w:hAnsi="仿宋" w:eastAsia="仿宋" w:cs="仿宋"/>
          <w:b/>
          <w:bCs w:val="0"/>
          <w:color w:val="auto"/>
          <w:sz w:val="24"/>
          <w:szCs w:val="20"/>
          <w:highlight w:val="none"/>
        </w:rPr>
      </w:pPr>
      <w:r>
        <w:rPr>
          <w:rFonts w:hint="eastAsia" w:ascii="仿宋" w:hAnsi="仿宋" w:eastAsia="仿宋" w:cs="仿宋"/>
          <w:b/>
          <w:bCs w:val="0"/>
          <w:color w:val="auto"/>
          <w:sz w:val="24"/>
          <w:szCs w:val="20"/>
          <w:highlight w:val="none"/>
          <w:lang w:val="en-US" w:eastAsia="zh-CN"/>
        </w:rPr>
        <w:t>日期：</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年</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月</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日</w:t>
      </w:r>
      <w:r>
        <w:rPr>
          <w:rFonts w:hint="eastAsia" w:ascii="仿宋" w:hAnsi="仿宋" w:eastAsia="仿宋" w:cs="仿宋"/>
          <w:b/>
          <w:bCs w:val="0"/>
          <w:color w:val="auto"/>
          <w:sz w:val="24"/>
          <w:szCs w:val="20"/>
          <w:highlight w:val="none"/>
        </w:rPr>
        <w:t xml:space="preserve">   </w:t>
      </w:r>
    </w:p>
    <w:p w14:paraId="1048AA0F">
      <w:pPr>
        <w:pStyle w:val="334"/>
        <w:keepNext w:val="0"/>
        <w:keepLines w:val="0"/>
        <w:pageBreakBefore w:val="0"/>
        <w:spacing w:line="520" w:lineRule="exact"/>
        <w:ind w:firstLine="0"/>
        <w:outlineLvl w:val="9"/>
        <w:rPr>
          <w:rFonts w:hint="eastAsia" w:ascii="仿宋" w:hAnsi="仿宋" w:eastAsia="仿宋" w:cs="仿宋"/>
          <w:b/>
          <w:bCs w:val="0"/>
          <w:color w:val="auto"/>
          <w:sz w:val="24"/>
          <w:szCs w:val="20"/>
          <w:highlight w:val="none"/>
        </w:rPr>
      </w:pPr>
    </w:p>
    <w:p w14:paraId="3BB66755">
      <w:pPr>
        <w:pStyle w:val="334"/>
        <w:keepNext w:val="0"/>
        <w:keepLines w:val="0"/>
        <w:pageBreakBefore w:val="0"/>
        <w:spacing w:line="520" w:lineRule="exact"/>
        <w:ind w:firstLine="0"/>
        <w:outlineLvl w:val="9"/>
        <w:rPr>
          <w:rFonts w:hint="eastAsia" w:ascii="仿宋" w:hAnsi="仿宋" w:eastAsia="仿宋" w:cs="仿宋"/>
          <w:b/>
          <w:bCs w:val="0"/>
          <w:color w:val="auto"/>
          <w:sz w:val="24"/>
          <w:szCs w:val="20"/>
          <w:highlight w:val="none"/>
        </w:rPr>
        <w:sectPr>
          <w:pgSz w:w="16838" w:h="11906" w:orient="landscape"/>
          <w:pgMar w:top="1588" w:right="1440" w:bottom="1474" w:left="1440" w:header="851" w:footer="992" w:gutter="0"/>
          <w:pgNumType w:fmt="decimal"/>
          <w:cols w:space="1701" w:num="1"/>
          <w:docGrid w:linePitch="360" w:charSpace="0"/>
        </w:sectPr>
      </w:pPr>
    </w:p>
    <w:p w14:paraId="6F3158B0">
      <w:pPr>
        <w:outlineLvl w:val="9"/>
        <w:rPr>
          <w:rFonts w:hint="eastAsia" w:ascii="仿宋" w:hAnsi="仿宋" w:eastAsia="仿宋" w:cs="仿宋"/>
          <w:color w:val="auto"/>
          <w:highlight w:val="none"/>
        </w:rPr>
      </w:pPr>
      <w:r>
        <w:rPr>
          <w:rFonts w:hint="eastAsia" w:ascii="仿宋" w:hAnsi="仿宋" w:eastAsia="仿宋" w:cs="仿宋"/>
          <w:b/>
          <w:bCs w:val="0"/>
          <w:color w:val="auto"/>
          <w:sz w:val="24"/>
          <w:szCs w:val="20"/>
          <w:highlight w:val="none"/>
        </w:rPr>
        <w:t xml:space="preserve">    </w:t>
      </w:r>
    </w:p>
    <w:p w14:paraId="7117C423">
      <w:pPr>
        <w:pStyle w:val="324"/>
        <w:outlineLvl w:val="2"/>
        <w:rPr>
          <w:rFonts w:ascii="仿宋" w:hAnsi="仿宋" w:eastAsia="仿宋" w:cs="仿宋"/>
          <w:color w:val="auto"/>
          <w:highlight w:val="none"/>
        </w:rPr>
      </w:pP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基本信息</w:t>
      </w:r>
    </w:p>
    <w:p w14:paraId="0BCD5A8F">
      <w:pPr>
        <w:pStyle w:val="325"/>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lang w:eastAsia="zh-CN"/>
        </w:rPr>
        <w:t>投标人</w:t>
      </w:r>
      <w:r>
        <w:rPr>
          <w:rFonts w:hint="eastAsia" w:ascii="仿宋" w:hAnsi="仿宋" w:eastAsia="仿宋" w:cs="仿宋"/>
          <w:color w:val="auto"/>
          <w:sz w:val="44"/>
          <w:szCs w:val="44"/>
          <w:highlight w:val="none"/>
        </w:rPr>
        <w:t>基本情况表</w:t>
      </w:r>
    </w:p>
    <w:tbl>
      <w:tblPr>
        <w:tblStyle w:val="38"/>
        <w:tblW w:w="852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5"/>
        <w:gridCol w:w="2979"/>
        <w:gridCol w:w="1276"/>
        <w:gridCol w:w="2604"/>
      </w:tblGrid>
      <w:tr w14:paraId="437FD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5" w:type="dxa"/>
            <w:noWrap w:val="0"/>
            <w:vAlign w:val="center"/>
          </w:tcPr>
          <w:p w14:paraId="322A8CF6">
            <w:pPr>
              <w:pStyle w:val="325"/>
              <w:spacing w:line="6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名称</w:t>
            </w:r>
          </w:p>
        </w:tc>
        <w:tc>
          <w:tcPr>
            <w:tcW w:w="6859" w:type="dxa"/>
            <w:gridSpan w:val="3"/>
            <w:noWrap w:val="0"/>
            <w:vAlign w:val="center"/>
          </w:tcPr>
          <w:p w14:paraId="20278B40">
            <w:pPr>
              <w:pStyle w:val="325"/>
              <w:spacing w:line="6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（加盖公章）</w:t>
            </w:r>
          </w:p>
        </w:tc>
      </w:tr>
      <w:tr w14:paraId="0FC59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5" w:type="dxa"/>
            <w:noWrap w:val="0"/>
            <w:vAlign w:val="center"/>
          </w:tcPr>
          <w:p w14:paraId="7642A9FA">
            <w:pPr>
              <w:pStyle w:val="325"/>
              <w:spacing w:line="6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tc>
        <w:tc>
          <w:tcPr>
            <w:tcW w:w="2979" w:type="dxa"/>
            <w:noWrap w:val="0"/>
            <w:vAlign w:val="center"/>
          </w:tcPr>
          <w:p w14:paraId="1D8B119D">
            <w:pPr>
              <w:pStyle w:val="325"/>
              <w:spacing w:line="600" w:lineRule="exact"/>
              <w:jc w:val="center"/>
              <w:rPr>
                <w:rFonts w:ascii="仿宋" w:hAnsi="仿宋" w:eastAsia="仿宋" w:cs="仿宋"/>
                <w:color w:val="auto"/>
                <w:sz w:val="24"/>
                <w:szCs w:val="24"/>
                <w:highlight w:val="none"/>
              </w:rPr>
            </w:pPr>
          </w:p>
        </w:tc>
        <w:tc>
          <w:tcPr>
            <w:tcW w:w="1276" w:type="dxa"/>
            <w:noWrap w:val="0"/>
            <w:vAlign w:val="center"/>
          </w:tcPr>
          <w:p w14:paraId="257197ED">
            <w:pPr>
              <w:pStyle w:val="325"/>
              <w:spacing w:line="6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注册地区</w:t>
            </w:r>
          </w:p>
        </w:tc>
        <w:tc>
          <w:tcPr>
            <w:tcW w:w="2604" w:type="dxa"/>
            <w:noWrap w:val="0"/>
            <w:vAlign w:val="center"/>
          </w:tcPr>
          <w:p w14:paraId="7E52E2FC">
            <w:pPr>
              <w:pStyle w:val="325"/>
              <w:spacing w:line="600" w:lineRule="exact"/>
              <w:jc w:val="center"/>
              <w:rPr>
                <w:rFonts w:ascii="仿宋" w:hAnsi="仿宋" w:eastAsia="仿宋" w:cs="仿宋"/>
                <w:color w:val="auto"/>
                <w:sz w:val="24"/>
                <w:szCs w:val="24"/>
                <w:highlight w:val="none"/>
              </w:rPr>
            </w:pPr>
          </w:p>
        </w:tc>
      </w:tr>
      <w:tr w14:paraId="30A33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5" w:type="dxa"/>
            <w:noWrap w:val="0"/>
            <w:vAlign w:val="center"/>
          </w:tcPr>
          <w:p w14:paraId="1A4E9C4D">
            <w:pPr>
              <w:pStyle w:val="325"/>
              <w:spacing w:line="6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p>
        </w:tc>
        <w:tc>
          <w:tcPr>
            <w:tcW w:w="2979" w:type="dxa"/>
            <w:noWrap w:val="0"/>
            <w:vAlign w:val="center"/>
          </w:tcPr>
          <w:p w14:paraId="4F254C26">
            <w:pPr>
              <w:pStyle w:val="325"/>
              <w:spacing w:line="600" w:lineRule="exact"/>
              <w:jc w:val="center"/>
              <w:rPr>
                <w:rFonts w:ascii="仿宋" w:hAnsi="仿宋" w:eastAsia="仿宋" w:cs="仿宋"/>
                <w:color w:val="auto"/>
                <w:sz w:val="24"/>
                <w:szCs w:val="24"/>
                <w:highlight w:val="none"/>
              </w:rPr>
            </w:pPr>
          </w:p>
        </w:tc>
        <w:tc>
          <w:tcPr>
            <w:tcW w:w="1276" w:type="dxa"/>
            <w:noWrap w:val="0"/>
            <w:vAlign w:val="center"/>
          </w:tcPr>
          <w:p w14:paraId="2A365B45">
            <w:pPr>
              <w:pStyle w:val="325"/>
              <w:spacing w:line="6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2604" w:type="dxa"/>
            <w:noWrap w:val="0"/>
            <w:vAlign w:val="center"/>
          </w:tcPr>
          <w:p w14:paraId="59387040">
            <w:pPr>
              <w:pStyle w:val="325"/>
              <w:spacing w:line="600" w:lineRule="exact"/>
              <w:jc w:val="center"/>
              <w:rPr>
                <w:rFonts w:ascii="仿宋" w:hAnsi="仿宋" w:eastAsia="仿宋" w:cs="仿宋"/>
                <w:color w:val="auto"/>
                <w:sz w:val="24"/>
                <w:szCs w:val="24"/>
                <w:highlight w:val="none"/>
              </w:rPr>
            </w:pPr>
          </w:p>
        </w:tc>
      </w:tr>
      <w:tr w14:paraId="3B79D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5" w:type="dxa"/>
            <w:noWrap w:val="0"/>
            <w:vAlign w:val="center"/>
          </w:tcPr>
          <w:p w14:paraId="6FCF3681">
            <w:pPr>
              <w:pStyle w:val="325"/>
              <w:spacing w:line="6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成立时间</w:t>
            </w:r>
          </w:p>
        </w:tc>
        <w:tc>
          <w:tcPr>
            <w:tcW w:w="2979" w:type="dxa"/>
            <w:noWrap w:val="0"/>
            <w:vAlign w:val="center"/>
          </w:tcPr>
          <w:p w14:paraId="39732FFC">
            <w:pPr>
              <w:pStyle w:val="325"/>
              <w:spacing w:line="600" w:lineRule="exact"/>
              <w:jc w:val="center"/>
              <w:rPr>
                <w:rFonts w:ascii="仿宋" w:hAnsi="仿宋" w:eastAsia="仿宋" w:cs="仿宋"/>
                <w:color w:val="auto"/>
                <w:sz w:val="24"/>
                <w:szCs w:val="24"/>
                <w:highlight w:val="none"/>
              </w:rPr>
            </w:pPr>
          </w:p>
        </w:tc>
        <w:tc>
          <w:tcPr>
            <w:tcW w:w="1276" w:type="dxa"/>
            <w:noWrap w:val="0"/>
            <w:vAlign w:val="center"/>
          </w:tcPr>
          <w:p w14:paraId="525264FD">
            <w:pPr>
              <w:pStyle w:val="325"/>
              <w:spacing w:line="6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单位性质</w:t>
            </w:r>
          </w:p>
        </w:tc>
        <w:tc>
          <w:tcPr>
            <w:tcW w:w="2604" w:type="dxa"/>
            <w:noWrap w:val="0"/>
            <w:vAlign w:val="center"/>
          </w:tcPr>
          <w:p w14:paraId="4C8D4952">
            <w:pPr>
              <w:pStyle w:val="325"/>
              <w:spacing w:line="6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国有、民营等</w:t>
            </w:r>
            <w:r>
              <w:rPr>
                <w:rFonts w:hint="eastAsia" w:ascii="仿宋" w:hAnsi="仿宋" w:eastAsia="仿宋" w:cs="仿宋"/>
                <w:color w:val="auto"/>
                <w:sz w:val="24"/>
                <w:szCs w:val="24"/>
                <w:highlight w:val="none"/>
                <w:lang w:eastAsia="zh-CN"/>
              </w:rPr>
              <w:t>）</w:t>
            </w:r>
          </w:p>
        </w:tc>
      </w:tr>
      <w:tr w14:paraId="0B395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5" w:type="dxa"/>
            <w:noWrap w:val="0"/>
            <w:vAlign w:val="center"/>
          </w:tcPr>
          <w:p w14:paraId="11DDC69D">
            <w:pPr>
              <w:pStyle w:val="325"/>
              <w:spacing w:line="6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社会信用代码</w:t>
            </w:r>
          </w:p>
        </w:tc>
        <w:tc>
          <w:tcPr>
            <w:tcW w:w="2979" w:type="dxa"/>
            <w:noWrap w:val="0"/>
            <w:vAlign w:val="center"/>
          </w:tcPr>
          <w:p w14:paraId="7B2F4BF9">
            <w:pPr>
              <w:pStyle w:val="325"/>
              <w:spacing w:line="600" w:lineRule="exact"/>
              <w:jc w:val="center"/>
              <w:rPr>
                <w:rFonts w:ascii="仿宋" w:hAnsi="仿宋" w:eastAsia="仿宋" w:cs="仿宋"/>
                <w:color w:val="auto"/>
                <w:sz w:val="24"/>
                <w:szCs w:val="24"/>
                <w:highlight w:val="none"/>
              </w:rPr>
            </w:pPr>
          </w:p>
        </w:tc>
        <w:tc>
          <w:tcPr>
            <w:tcW w:w="1276" w:type="dxa"/>
            <w:noWrap w:val="0"/>
            <w:vAlign w:val="center"/>
          </w:tcPr>
          <w:p w14:paraId="0E640BD7">
            <w:pPr>
              <w:pStyle w:val="325"/>
              <w:spacing w:line="6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注册资本（万元）</w:t>
            </w:r>
          </w:p>
        </w:tc>
        <w:tc>
          <w:tcPr>
            <w:tcW w:w="2604" w:type="dxa"/>
            <w:noWrap w:val="0"/>
            <w:vAlign w:val="center"/>
          </w:tcPr>
          <w:p w14:paraId="49226BBD">
            <w:pPr>
              <w:pStyle w:val="325"/>
              <w:spacing w:line="600" w:lineRule="exact"/>
              <w:jc w:val="center"/>
              <w:rPr>
                <w:rFonts w:ascii="仿宋" w:hAnsi="仿宋" w:eastAsia="仿宋" w:cs="仿宋"/>
                <w:color w:val="auto"/>
                <w:sz w:val="24"/>
                <w:szCs w:val="24"/>
                <w:highlight w:val="none"/>
              </w:rPr>
            </w:pPr>
          </w:p>
        </w:tc>
      </w:tr>
      <w:tr w14:paraId="34832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5" w:type="dxa"/>
            <w:noWrap w:val="0"/>
            <w:vAlign w:val="center"/>
          </w:tcPr>
          <w:p w14:paraId="48CE5CFA">
            <w:pPr>
              <w:pStyle w:val="325"/>
              <w:spacing w:line="6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c>
          <w:tcPr>
            <w:tcW w:w="2979" w:type="dxa"/>
            <w:noWrap w:val="0"/>
            <w:vAlign w:val="center"/>
          </w:tcPr>
          <w:p w14:paraId="0350D15E">
            <w:pPr>
              <w:pStyle w:val="325"/>
              <w:spacing w:line="600" w:lineRule="exact"/>
              <w:jc w:val="center"/>
              <w:rPr>
                <w:rFonts w:ascii="仿宋" w:hAnsi="仿宋" w:eastAsia="仿宋" w:cs="仿宋"/>
                <w:color w:val="auto"/>
                <w:sz w:val="24"/>
                <w:szCs w:val="24"/>
                <w:highlight w:val="none"/>
              </w:rPr>
            </w:pPr>
          </w:p>
        </w:tc>
        <w:tc>
          <w:tcPr>
            <w:tcW w:w="1276" w:type="dxa"/>
            <w:noWrap w:val="0"/>
            <w:vAlign w:val="center"/>
          </w:tcPr>
          <w:p w14:paraId="4451A9A2">
            <w:pPr>
              <w:pStyle w:val="325"/>
              <w:spacing w:line="6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账号</w:t>
            </w:r>
          </w:p>
        </w:tc>
        <w:tc>
          <w:tcPr>
            <w:tcW w:w="2604" w:type="dxa"/>
            <w:noWrap w:val="0"/>
            <w:vAlign w:val="center"/>
          </w:tcPr>
          <w:p w14:paraId="542C4E4C">
            <w:pPr>
              <w:pStyle w:val="325"/>
              <w:spacing w:line="600" w:lineRule="exact"/>
              <w:jc w:val="center"/>
              <w:rPr>
                <w:rFonts w:ascii="仿宋" w:hAnsi="仿宋" w:eastAsia="仿宋" w:cs="仿宋"/>
                <w:color w:val="auto"/>
                <w:sz w:val="24"/>
                <w:szCs w:val="24"/>
                <w:highlight w:val="none"/>
              </w:rPr>
            </w:pPr>
          </w:p>
        </w:tc>
      </w:tr>
      <w:tr w14:paraId="3F9A6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5" w:type="dxa"/>
            <w:noWrap w:val="0"/>
            <w:vAlign w:val="center"/>
          </w:tcPr>
          <w:p w14:paraId="76F8767C">
            <w:pPr>
              <w:pStyle w:val="325"/>
              <w:spacing w:line="6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p>
        </w:tc>
        <w:tc>
          <w:tcPr>
            <w:tcW w:w="2979" w:type="dxa"/>
            <w:noWrap w:val="0"/>
            <w:vAlign w:val="center"/>
          </w:tcPr>
          <w:p w14:paraId="3CEB3712">
            <w:pPr>
              <w:pStyle w:val="325"/>
              <w:spacing w:line="600" w:lineRule="exact"/>
              <w:jc w:val="center"/>
              <w:rPr>
                <w:rFonts w:ascii="仿宋" w:hAnsi="仿宋" w:eastAsia="仿宋" w:cs="仿宋"/>
                <w:color w:val="auto"/>
                <w:sz w:val="24"/>
                <w:szCs w:val="24"/>
                <w:highlight w:val="none"/>
              </w:rPr>
            </w:pPr>
          </w:p>
        </w:tc>
        <w:tc>
          <w:tcPr>
            <w:tcW w:w="1276" w:type="dxa"/>
            <w:noWrap w:val="0"/>
            <w:vAlign w:val="center"/>
          </w:tcPr>
          <w:p w14:paraId="3442A956">
            <w:pPr>
              <w:pStyle w:val="325"/>
              <w:spacing w:line="6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2604" w:type="dxa"/>
            <w:noWrap w:val="0"/>
            <w:vAlign w:val="center"/>
          </w:tcPr>
          <w:p w14:paraId="31A5C023">
            <w:pPr>
              <w:pStyle w:val="325"/>
              <w:spacing w:line="600" w:lineRule="exact"/>
              <w:jc w:val="center"/>
              <w:rPr>
                <w:rFonts w:ascii="仿宋" w:hAnsi="仿宋" w:eastAsia="仿宋" w:cs="仿宋"/>
                <w:color w:val="auto"/>
                <w:sz w:val="24"/>
                <w:szCs w:val="24"/>
                <w:highlight w:val="none"/>
              </w:rPr>
            </w:pPr>
          </w:p>
        </w:tc>
      </w:tr>
      <w:tr w14:paraId="75A4E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6" w:hRule="atLeast"/>
        </w:trPr>
        <w:tc>
          <w:tcPr>
            <w:tcW w:w="1665" w:type="dxa"/>
            <w:noWrap w:val="0"/>
            <w:vAlign w:val="center"/>
          </w:tcPr>
          <w:p w14:paraId="7C7CAAB9">
            <w:pPr>
              <w:pStyle w:val="325"/>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经营范围</w:t>
            </w:r>
          </w:p>
        </w:tc>
        <w:tc>
          <w:tcPr>
            <w:tcW w:w="6859" w:type="dxa"/>
            <w:gridSpan w:val="3"/>
            <w:noWrap w:val="0"/>
          </w:tcPr>
          <w:p w14:paraId="26AEE0F5">
            <w:pPr>
              <w:pStyle w:val="325"/>
              <w:spacing w:line="560" w:lineRule="exact"/>
              <w:ind w:firstLine="1432"/>
              <w:rPr>
                <w:rFonts w:ascii="仿宋" w:hAnsi="仿宋" w:eastAsia="仿宋" w:cs="仿宋"/>
                <w:color w:val="auto"/>
                <w:sz w:val="24"/>
                <w:szCs w:val="24"/>
                <w:highlight w:val="none"/>
              </w:rPr>
            </w:pPr>
          </w:p>
        </w:tc>
      </w:tr>
      <w:tr w14:paraId="471A3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1665" w:type="dxa"/>
            <w:noWrap w:val="0"/>
            <w:vAlign w:val="center"/>
          </w:tcPr>
          <w:p w14:paraId="7D5A094B">
            <w:pPr>
              <w:pStyle w:val="325"/>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c>
          <w:tcPr>
            <w:tcW w:w="6859" w:type="dxa"/>
            <w:gridSpan w:val="3"/>
            <w:noWrap w:val="0"/>
            <w:vAlign w:val="center"/>
          </w:tcPr>
          <w:p w14:paraId="7B09AD6E">
            <w:pPr>
              <w:pStyle w:val="325"/>
              <w:spacing w:line="500" w:lineRule="exact"/>
              <w:jc w:val="center"/>
              <w:rPr>
                <w:rFonts w:ascii="仿宋" w:hAnsi="仿宋" w:eastAsia="仿宋" w:cs="仿宋"/>
                <w:color w:val="auto"/>
                <w:sz w:val="24"/>
                <w:szCs w:val="24"/>
                <w:highlight w:val="none"/>
              </w:rPr>
            </w:pPr>
          </w:p>
        </w:tc>
      </w:tr>
    </w:tbl>
    <w:p w14:paraId="7DD5FEBB">
      <w:pPr>
        <w:rPr>
          <w:rFonts w:hint="eastAsia" w:ascii="仿宋" w:hAnsi="仿宋" w:eastAsia="仿宋" w:cs="仿宋"/>
          <w:color w:val="auto"/>
          <w:highlight w:val="none"/>
        </w:rPr>
      </w:pPr>
      <w:r>
        <w:rPr>
          <w:rFonts w:hint="eastAsia" w:ascii="仿宋" w:hAnsi="仿宋" w:eastAsia="仿宋" w:cs="仿宋"/>
          <w:color w:val="auto"/>
          <w:highlight w:val="none"/>
        </w:rPr>
        <w:br w:type="page" w:clear="all"/>
      </w:r>
    </w:p>
    <w:p w14:paraId="486C6A3E">
      <w:pPr>
        <w:pStyle w:val="354"/>
        <w:outlineLvl w:val="2"/>
        <w:rPr>
          <w:rFonts w:hint="eastAsia" w:ascii="仿宋" w:hAnsi="仿宋" w:eastAsia="仿宋" w:cs="仿宋"/>
          <w:b/>
          <w:color w:val="auto"/>
          <w:sz w:val="32"/>
          <w:szCs w:val="24"/>
          <w:highlight w:val="none"/>
        </w:rPr>
        <w:sectPr>
          <w:pgSz w:w="11906" w:h="16838"/>
          <w:pgMar w:top="1440" w:right="1474" w:bottom="1440" w:left="1588" w:header="851" w:footer="992" w:gutter="0"/>
          <w:pgNumType w:fmt="decimal"/>
          <w:cols w:space="1701" w:num="1"/>
          <w:docGrid w:linePitch="360" w:charSpace="0"/>
        </w:sectPr>
      </w:pPr>
    </w:p>
    <w:p w14:paraId="7B98C00B">
      <w:pPr>
        <w:pStyle w:val="354"/>
        <w:outlineLvl w:val="2"/>
        <w:rPr>
          <w:rFonts w:ascii="仿宋" w:hAnsi="仿宋" w:eastAsia="仿宋" w:cs="仿宋"/>
          <w:b/>
          <w:color w:val="auto"/>
          <w:sz w:val="32"/>
          <w:szCs w:val="24"/>
          <w:highlight w:val="none"/>
        </w:rPr>
      </w:pPr>
      <w:r>
        <w:rPr>
          <w:rFonts w:hint="eastAsia" w:ascii="仿宋" w:hAnsi="仿宋" w:eastAsia="仿宋" w:cs="仿宋"/>
          <w:b/>
          <w:color w:val="auto"/>
          <w:sz w:val="32"/>
          <w:szCs w:val="24"/>
          <w:highlight w:val="none"/>
        </w:rPr>
        <w:t>其他资料</w:t>
      </w:r>
    </w:p>
    <w:p w14:paraId="5B0DC5BD">
      <w:pPr>
        <w:pStyle w:val="354"/>
        <w:rPr>
          <w:rFonts w:hint="eastAsia" w:ascii="仿宋" w:hAnsi="仿宋" w:eastAsia="仿宋" w:cs="仿宋"/>
          <w:color w:val="auto"/>
          <w:highlight w:val="none"/>
        </w:rPr>
      </w:pPr>
    </w:p>
    <w:p w14:paraId="0B097310">
      <w:pPr>
        <w:pStyle w:val="354"/>
        <w:rPr>
          <w:rFonts w:hint="eastAsia" w:ascii="仿宋" w:hAnsi="仿宋" w:eastAsia="仿宋" w:cs="仿宋"/>
          <w:color w:val="auto"/>
          <w:highlight w:val="none"/>
        </w:rPr>
      </w:pPr>
      <w:r>
        <w:rPr>
          <w:rFonts w:hint="eastAsia" w:ascii="仿宋" w:hAnsi="仿宋" w:eastAsia="仿宋" w:cs="仿宋"/>
          <w:color w:val="auto"/>
          <w:highlight w:val="none"/>
        </w:rPr>
        <w:t>请在</w:t>
      </w:r>
      <w:r>
        <w:rPr>
          <w:rFonts w:hint="eastAsia" w:ascii="仿宋" w:hAnsi="仿宋" w:eastAsia="仿宋" w:cs="仿宋"/>
          <w:color w:val="auto"/>
          <w:highlight w:val="none"/>
          <w:lang w:eastAsia="zh-CN"/>
        </w:rPr>
        <w:t>此处</w:t>
      </w:r>
      <w:r>
        <w:rPr>
          <w:rFonts w:hint="eastAsia" w:ascii="仿宋" w:hAnsi="仿宋" w:eastAsia="仿宋" w:cs="仿宋"/>
          <w:color w:val="auto"/>
          <w:highlight w:val="none"/>
        </w:rPr>
        <w:t>增加</w:t>
      </w: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rPr>
        <w:t>所需其他相关内容（</w:t>
      </w:r>
      <w:r>
        <w:rPr>
          <w:rFonts w:hint="eastAsia" w:ascii="仿宋" w:hAnsi="仿宋" w:eastAsia="仿宋" w:cs="仿宋"/>
          <w:color w:val="auto"/>
          <w:highlight w:val="none"/>
          <w:lang w:val="en-US" w:eastAsia="zh-CN"/>
        </w:rPr>
        <w:t>招标要求的</w:t>
      </w:r>
      <w:r>
        <w:rPr>
          <w:rFonts w:hint="eastAsia" w:ascii="仿宋" w:hAnsi="仿宋" w:eastAsia="仿宋" w:cs="仿宋"/>
          <w:color w:val="auto"/>
          <w:highlight w:val="none"/>
        </w:rPr>
        <w:t>及</w:t>
      </w:r>
      <w:r>
        <w:rPr>
          <w:rFonts w:hint="eastAsia" w:ascii="仿宋" w:hAnsi="仿宋" w:eastAsia="仿宋" w:cs="仿宋"/>
          <w:color w:val="auto"/>
          <w:highlight w:val="none"/>
          <w:lang w:eastAsia="zh-CN"/>
        </w:rPr>
        <w:t>其他投标人</w:t>
      </w:r>
      <w:r>
        <w:rPr>
          <w:rFonts w:hint="eastAsia" w:ascii="仿宋" w:hAnsi="仿宋" w:eastAsia="仿宋" w:cs="仿宋"/>
          <w:color w:val="auto"/>
          <w:highlight w:val="none"/>
        </w:rPr>
        <w:t>认为有必要提供的资料），如没有请空置。</w:t>
      </w:r>
    </w:p>
    <w:p w14:paraId="4D91C0A9">
      <w:pPr>
        <w:pStyle w:val="354"/>
        <w:rPr>
          <w:rFonts w:hint="eastAsia" w:ascii="仿宋" w:hAnsi="仿宋" w:eastAsia="仿宋" w:cs="仿宋"/>
          <w:color w:val="auto"/>
          <w:highlight w:val="none"/>
        </w:rPr>
      </w:pPr>
    </w:p>
    <w:p w14:paraId="2F3976B1">
      <w:pPr>
        <w:pStyle w:val="323"/>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单位名称：</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w:t>
      </w:r>
      <w:r>
        <w:rPr>
          <w:rFonts w:hint="eastAsia" w:ascii="仿宋" w:hAnsi="仿宋" w:eastAsia="仿宋" w:cs="仿宋"/>
          <w:b/>
          <w:color w:val="auto"/>
          <w:sz w:val="24"/>
          <w:szCs w:val="20"/>
          <w:highlight w:val="none"/>
          <w:lang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7886F011">
      <w:pPr>
        <w:pStyle w:val="324"/>
        <w:jc w:val="left"/>
        <w:outlineLvl w:val="1"/>
        <w:rPr>
          <w:rFonts w:hint="eastAsia" w:ascii="仿宋" w:hAnsi="仿宋" w:eastAsia="仿宋" w:cs="仿宋"/>
          <w:b/>
          <w:color w:val="auto"/>
          <w:sz w:val="32"/>
          <w:szCs w:val="24"/>
          <w:highlight w:val="none"/>
        </w:rPr>
      </w:pPr>
      <w:r>
        <w:rPr>
          <w:rFonts w:hint="eastAsia" w:ascii="仿宋" w:hAnsi="仿宋" w:eastAsia="仿宋" w:cs="仿宋"/>
          <w:bCs/>
          <w:color w:val="auto"/>
          <w:sz w:val="28"/>
          <w:szCs w:val="28"/>
          <w:highlight w:val="none"/>
        </w:rPr>
        <w:br w:type="page" w:clear="all"/>
      </w:r>
      <w:bookmarkStart w:id="65" w:name="_Toc10009"/>
      <w:bookmarkStart w:id="66" w:name="_Toc27608"/>
      <w:bookmarkStart w:id="67" w:name="_Toc11658"/>
      <w:bookmarkStart w:id="68" w:name="_Toc31373"/>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二）资格条件</w:t>
      </w:r>
      <w:bookmarkEnd w:id="65"/>
      <w:bookmarkEnd w:id="66"/>
      <w:bookmarkEnd w:id="67"/>
      <w:bookmarkEnd w:id="68"/>
    </w:p>
    <w:p w14:paraId="2CDFA07B">
      <w:pPr>
        <w:pStyle w:val="326"/>
        <w:jc w:val="left"/>
        <w:outlineLvl w:val="2"/>
        <w:rPr>
          <w:rFonts w:ascii="仿宋" w:hAnsi="仿宋" w:eastAsia="仿宋" w:cs="仿宋"/>
          <w:b/>
          <w:color w:val="auto"/>
          <w:sz w:val="32"/>
          <w:szCs w:val="24"/>
          <w:highlight w:val="none"/>
        </w:rPr>
      </w:pPr>
      <w:r>
        <w:rPr>
          <w:rFonts w:hint="eastAsia" w:ascii="仿宋" w:hAnsi="仿宋" w:eastAsia="仿宋" w:cs="仿宋"/>
          <w:b/>
          <w:color w:val="auto"/>
          <w:sz w:val="32"/>
          <w:szCs w:val="24"/>
          <w:highlight w:val="none"/>
          <w:lang w:eastAsia="zh-CN"/>
        </w:rPr>
        <w:t>投标人</w:t>
      </w:r>
      <w:r>
        <w:rPr>
          <w:rFonts w:hint="eastAsia" w:ascii="仿宋" w:hAnsi="仿宋" w:eastAsia="仿宋" w:cs="仿宋"/>
          <w:b/>
          <w:color w:val="auto"/>
          <w:sz w:val="32"/>
          <w:szCs w:val="24"/>
          <w:highlight w:val="none"/>
        </w:rPr>
        <w:t>资质（按资格要求提供）</w:t>
      </w:r>
    </w:p>
    <w:p w14:paraId="2363DE9B">
      <w:pPr>
        <w:numPr>
          <w:ilvl w:val="0"/>
          <w:numId w:val="8"/>
        </w:numPr>
        <w:spacing w:line="500" w:lineRule="exact"/>
        <w:ind w:left="425" w:leftChars="0" w:hanging="425" w:firstLineChars="0"/>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基本资格条件</w:t>
      </w:r>
    </w:p>
    <w:p w14:paraId="79C73BFA">
      <w:pPr>
        <w:numPr>
          <w:ilvl w:val="0"/>
          <w:numId w:val="0"/>
        </w:numPr>
        <w:spacing w:line="500" w:lineRule="exact"/>
        <w:ind w:leftChars="0"/>
        <w:rPr>
          <w:rFonts w:ascii="仿宋" w:hAnsi="仿宋" w:eastAsia="仿宋" w:cs="仿宋"/>
          <w:color w:val="auto"/>
          <w:highlight w:val="none"/>
        </w:rPr>
      </w:pPr>
    </w:p>
    <w:p w14:paraId="5F78AAFC">
      <w:pPr>
        <w:widowControl w:val="0"/>
        <w:tabs>
          <w:tab w:val="left" w:pos="1498"/>
        </w:tabs>
        <w:spacing w:line="580" w:lineRule="exact"/>
        <w:jc w:val="left"/>
        <w:rPr>
          <w:rFonts w:hint="default" w:ascii="仿宋" w:hAnsi="仿宋" w:eastAsia="仿宋" w:cs="仿宋"/>
          <w:bCs/>
          <w:color w:val="auto"/>
          <w:sz w:val="28"/>
          <w:szCs w:val="28"/>
          <w:highlight w:val="none"/>
          <w:lang w:val="en-US" w:eastAsia="zh-CN" w:bidi="ar-SA"/>
        </w:rPr>
      </w:pPr>
      <w:r>
        <w:rPr>
          <w:rFonts w:hint="eastAsia" w:ascii="仿宋" w:hAnsi="仿宋" w:eastAsia="仿宋" w:cs="仿宋"/>
          <w:bCs/>
          <w:color w:val="auto"/>
          <w:sz w:val="28"/>
          <w:szCs w:val="28"/>
          <w:highlight w:val="none"/>
          <w:lang w:val="en-US" w:eastAsia="zh-CN" w:bidi="ar-SA"/>
        </w:rPr>
        <w:t>注：以下提供具备履行合同所必需的设备和专业技术能力的声明、无重大违法声明和投标人信用承诺书模板，其他资料自行提供。</w:t>
      </w:r>
    </w:p>
    <w:p w14:paraId="0CE5529B">
      <w:pPr>
        <w:rPr>
          <w:rFonts w:hint="eastAsia" w:ascii="仿宋" w:hAnsi="仿宋" w:eastAsia="仿宋" w:cs="仿宋"/>
          <w:bCs/>
          <w:color w:val="auto"/>
          <w:sz w:val="28"/>
          <w:szCs w:val="28"/>
          <w:highlight w:val="none"/>
        </w:rPr>
      </w:pPr>
    </w:p>
    <w:p w14:paraId="70399DB0">
      <w:pPr>
        <w:widowControl w:val="0"/>
        <w:spacing w:line="600" w:lineRule="exact"/>
        <w:jc w:val="center"/>
        <w:rPr>
          <w:rFonts w:hint="default" w:ascii="仿宋" w:hAnsi="仿宋" w:eastAsia="仿宋" w:cs="仿宋"/>
          <w:b/>
          <w:color w:val="auto"/>
          <w:sz w:val="32"/>
          <w:szCs w:val="24"/>
          <w:highlight w:val="none"/>
          <w:lang w:val="en-US" w:eastAsia="zh-CN" w:bidi="ar-SA"/>
        </w:rPr>
      </w:pPr>
    </w:p>
    <w:p w14:paraId="360B74A7">
      <w:pPr>
        <w:widowControl w:val="0"/>
        <w:spacing w:line="600" w:lineRule="exact"/>
        <w:jc w:val="center"/>
        <w:rPr>
          <w:rFonts w:hint="default" w:ascii="仿宋" w:hAnsi="仿宋" w:eastAsia="仿宋" w:cs="仿宋"/>
          <w:b/>
          <w:color w:val="auto"/>
          <w:sz w:val="32"/>
          <w:szCs w:val="24"/>
          <w:highlight w:val="none"/>
          <w:lang w:val="en-US" w:eastAsia="zh-CN" w:bidi="ar-SA"/>
        </w:rPr>
      </w:pPr>
      <w:r>
        <w:rPr>
          <w:rFonts w:hint="eastAsia" w:ascii="仿宋" w:hAnsi="仿宋" w:eastAsia="仿宋" w:cs="仿宋"/>
          <w:b/>
          <w:color w:val="auto"/>
          <w:sz w:val="32"/>
          <w:szCs w:val="24"/>
          <w:highlight w:val="none"/>
          <w:lang w:val="en-US" w:eastAsia="zh-CN" w:bidi="ar-SA"/>
        </w:rPr>
        <w:t>具备履行合同所必需的设备和专业技术能力的声明</w:t>
      </w:r>
    </w:p>
    <w:p w14:paraId="15E5DAFF">
      <w:pPr>
        <w:widowControl w:val="0"/>
        <w:spacing w:line="600" w:lineRule="exact"/>
        <w:jc w:val="both"/>
        <w:rPr>
          <w:rFonts w:hint="default" w:ascii="仿宋" w:hAnsi="仿宋" w:eastAsia="仿宋" w:cs="仿宋"/>
          <w:color w:val="auto"/>
          <w:sz w:val="24"/>
          <w:szCs w:val="22"/>
          <w:highlight w:val="none"/>
          <w:u w:val="single"/>
          <w:lang w:val="en-US" w:eastAsia="zh-CN" w:bidi="ar-SA"/>
        </w:rPr>
      </w:pPr>
    </w:p>
    <w:p w14:paraId="74705438">
      <w:pPr>
        <w:widowControl w:val="0"/>
        <w:spacing w:line="600" w:lineRule="exact"/>
        <w:jc w:val="both"/>
        <w:rPr>
          <w:rFonts w:hint="default" w:ascii="仿宋" w:hAnsi="仿宋" w:eastAsia="仿宋" w:cs="仿宋"/>
          <w:bCs/>
          <w:color w:val="auto"/>
          <w:sz w:val="24"/>
          <w:szCs w:val="20"/>
          <w:highlight w:val="none"/>
          <w:lang w:val="en-US" w:eastAsia="zh-CN" w:bidi="ar-SA"/>
        </w:rPr>
      </w:pPr>
      <w:r>
        <w:rPr>
          <w:rFonts w:hint="eastAsia" w:ascii="仿宋" w:hAnsi="仿宋" w:eastAsia="仿宋" w:cs="仿宋"/>
          <w:color w:val="auto"/>
          <w:sz w:val="24"/>
          <w:szCs w:val="24"/>
          <w:highlight w:val="none"/>
          <w:u w:val="single"/>
          <w:lang w:val="en-US" w:eastAsia="zh-CN" w:bidi="ar-SA"/>
        </w:rPr>
        <w:t>（采购人/采购代理机构）</w:t>
      </w:r>
      <w:r>
        <w:rPr>
          <w:rFonts w:hint="eastAsia" w:ascii="仿宋" w:hAnsi="仿宋" w:eastAsia="仿宋" w:cs="仿宋"/>
          <w:bCs/>
          <w:color w:val="auto"/>
          <w:sz w:val="24"/>
          <w:szCs w:val="20"/>
          <w:highlight w:val="none"/>
          <w:lang w:val="en-US" w:eastAsia="zh-CN" w:bidi="ar-SA"/>
        </w:rPr>
        <w:t>：</w:t>
      </w:r>
    </w:p>
    <w:p w14:paraId="24A6D5FB">
      <w:pPr>
        <w:widowControl w:val="0"/>
        <w:spacing w:line="600" w:lineRule="exact"/>
        <w:jc w:val="both"/>
        <w:rPr>
          <w:rFonts w:hint="default" w:ascii="仿宋" w:hAnsi="仿宋" w:eastAsia="仿宋" w:cs="仿宋"/>
          <w:bCs/>
          <w:color w:val="auto"/>
          <w:sz w:val="24"/>
          <w:szCs w:val="20"/>
          <w:highlight w:val="none"/>
          <w:lang w:val="en-US" w:eastAsia="zh-CN" w:bidi="ar-SA"/>
        </w:rPr>
      </w:pPr>
      <w:r>
        <w:rPr>
          <w:rFonts w:hint="eastAsia" w:ascii="仿宋" w:hAnsi="仿宋" w:eastAsia="仿宋" w:cs="仿宋"/>
          <w:bCs/>
          <w:color w:val="auto"/>
          <w:sz w:val="24"/>
          <w:szCs w:val="20"/>
          <w:highlight w:val="none"/>
          <w:lang w:val="en-US" w:eastAsia="zh-CN" w:bidi="ar-SA"/>
        </w:rPr>
        <w:t xml:space="preserve">   我公司具备履行编号为</w:t>
      </w:r>
      <w:r>
        <w:rPr>
          <w:rFonts w:hint="eastAsia" w:ascii="仿宋" w:hAnsi="仿宋" w:eastAsia="仿宋" w:cs="仿宋"/>
          <w:bCs/>
          <w:color w:val="auto"/>
          <w:sz w:val="24"/>
          <w:szCs w:val="20"/>
          <w:highlight w:val="none"/>
          <w:u w:val="single"/>
          <w:lang w:val="en-US" w:eastAsia="zh-CN" w:bidi="ar-SA"/>
        </w:rPr>
        <w:t xml:space="preserve">       号           </w:t>
      </w:r>
      <w:r>
        <w:rPr>
          <w:rFonts w:hint="eastAsia" w:ascii="仿宋" w:hAnsi="仿宋" w:eastAsia="仿宋" w:cs="仿宋"/>
          <w:bCs/>
          <w:color w:val="auto"/>
          <w:sz w:val="24"/>
          <w:szCs w:val="20"/>
          <w:highlight w:val="none"/>
          <w:lang w:val="en-US" w:eastAsia="zh-CN" w:bidi="ar-SA"/>
        </w:rPr>
        <w:t>项目合同的设备和专业技术能力。</w:t>
      </w:r>
    </w:p>
    <w:p w14:paraId="27BC2CEA">
      <w:pPr>
        <w:widowControl w:val="0"/>
        <w:spacing w:line="600" w:lineRule="exact"/>
        <w:ind w:firstLine="480"/>
        <w:jc w:val="both"/>
        <w:rPr>
          <w:rFonts w:hint="default" w:ascii="仿宋" w:hAnsi="仿宋" w:eastAsia="仿宋" w:cs="仿宋"/>
          <w:bCs/>
          <w:color w:val="auto"/>
          <w:sz w:val="24"/>
          <w:szCs w:val="20"/>
          <w:highlight w:val="none"/>
          <w:lang w:val="en-US" w:eastAsia="zh-CN" w:bidi="ar-SA"/>
        </w:rPr>
      </w:pPr>
      <w:r>
        <w:rPr>
          <w:rFonts w:hint="eastAsia" w:ascii="仿宋" w:hAnsi="仿宋" w:eastAsia="仿宋" w:cs="仿宋"/>
          <w:bCs/>
          <w:color w:val="auto"/>
          <w:sz w:val="24"/>
          <w:szCs w:val="20"/>
          <w:highlight w:val="none"/>
          <w:lang w:val="en-US" w:eastAsia="zh-CN" w:bidi="ar-SA"/>
        </w:rPr>
        <w:t>特此声明。</w:t>
      </w:r>
    </w:p>
    <w:p w14:paraId="20BE5B9C">
      <w:pPr>
        <w:widowControl w:val="0"/>
        <w:spacing w:line="600" w:lineRule="exact"/>
        <w:ind w:firstLine="480"/>
        <w:jc w:val="both"/>
        <w:rPr>
          <w:rFonts w:hint="default" w:ascii="仿宋" w:hAnsi="仿宋" w:eastAsia="仿宋" w:cs="仿宋"/>
          <w:bCs/>
          <w:color w:val="auto"/>
          <w:sz w:val="24"/>
          <w:szCs w:val="20"/>
          <w:highlight w:val="none"/>
          <w:lang w:val="en-US" w:eastAsia="zh-CN" w:bidi="ar-SA"/>
        </w:rPr>
      </w:pPr>
    </w:p>
    <w:p w14:paraId="53AFA976">
      <w:pPr>
        <w:widowControl w:val="0"/>
        <w:spacing w:line="600" w:lineRule="exact"/>
        <w:jc w:val="center"/>
        <w:rPr>
          <w:rFonts w:hint="default" w:ascii="仿宋" w:hAnsi="仿宋" w:eastAsia="仿宋" w:cs="仿宋"/>
          <w:b/>
          <w:bCs/>
          <w:color w:val="auto"/>
          <w:sz w:val="32"/>
          <w:szCs w:val="32"/>
          <w:highlight w:val="none"/>
          <w:lang w:val="en-US" w:eastAsia="zh-CN" w:bidi="ar-SA"/>
        </w:rPr>
      </w:pPr>
    </w:p>
    <w:p w14:paraId="543F0A8B">
      <w:pPr>
        <w:keepNext w:val="0"/>
        <w:keepLines w:val="0"/>
        <w:pageBreakBefore w:val="0"/>
        <w:widowControl w:val="0"/>
        <w:spacing w:line="520" w:lineRule="exact"/>
        <w:jc w:val="both"/>
        <w:rPr>
          <w:rFonts w:hint="default" w:ascii="仿宋" w:hAnsi="仿宋" w:eastAsia="仿宋" w:cs="仿宋"/>
          <w:b/>
          <w:color w:val="auto"/>
          <w:sz w:val="24"/>
          <w:szCs w:val="20"/>
          <w:highlight w:val="none"/>
          <w:lang w:val="en-US" w:eastAsia="zh-CN" w:bidi="ar-SA"/>
        </w:rPr>
      </w:pPr>
      <w:r>
        <w:rPr>
          <w:rFonts w:hint="eastAsia" w:ascii="仿宋" w:hAnsi="仿宋" w:eastAsia="仿宋" w:cs="仿宋"/>
          <w:b/>
          <w:color w:val="auto"/>
          <w:sz w:val="24"/>
          <w:szCs w:val="20"/>
          <w:highlight w:val="none"/>
          <w:lang w:val="en-US" w:eastAsia="zh-CN" w:bidi="ar-SA"/>
        </w:rPr>
        <w:t>单位名称：</w:t>
      </w:r>
      <w:r>
        <w:rPr>
          <w:rFonts w:hint="eastAsia" w:ascii="仿宋" w:hAnsi="仿宋" w:eastAsia="仿宋" w:cs="仿宋"/>
          <w:color w:val="auto"/>
          <w:sz w:val="24"/>
          <w:szCs w:val="20"/>
          <w:highlight w:val="none"/>
          <w:u w:val="single"/>
          <w:lang w:val="en-US" w:eastAsia="zh-CN" w:bidi="ar-SA"/>
        </w:rPr>
        <w:t xml:space="preserve">                 </w:t>
      </w:r>
      <w:r>
        <w:rPr>
          <w:rFonts w:hint="eastAsia" w:ascii="仿宋" w:hAnsi="仿宋" w:eastAsia="仿宋" w:cs="仿宋"/>
          <w:b/>
          <w:color w:val="auto"/>
          <w:sz w:val="24"/>
          <w:szCs w:val="20"/>
          <w:highlight w:val="none"/>
          <w:lang w:val="en-US" w:eastAsia="zh-CN" w:bidi="ar-SA"/>
        </w:rPr>
        <w:t>（签章）</w:t>
      </w:r>
      <w:r>
        <w:rPr>
          <w:rFonts w:hint="eastAsia" w:ascii="仿宋" w:hAnsi="仿宋" w:eastAsia="仿宋" w:cs="仿宋"/>
          <w:color w:val="auto"/>
          <w:sz w:val="24"/>
          <w:szCs w:val="20"/>
          <w:highlight w:val="none"/>
          <w:lang w:val="en-US" w:eastAsia="zh-CN" w:bidi="ar-SA"/>
        </w:rPr>
        <w:t xml:space="preserve"> </w:t>
      </w:r>
      <w:r>
        <w:rPr>
          <w:rFonts w:hint="eastAsia" w:ascii="仿宋" w:hAnsi="仿宋" w:eastAsia="仿宋" w:cs="仿宋"/>
          <w:b/>
          <w:color w:val="auto"/>
          <w:sz w:val="24"/>
          <w:szCs w:val="20"/>
          <w:highlight w:val="none"/>
          <w:lang w:val="en-US" w:eastAsia="zh-CN" w:bidi="ar-SA"/>
        </w:rPr>
        <w:t xml:space="preserve">                   </w:t>
      </w:r>
    </w:p>
    <w:p w14:paraId="2C6B116B">
      <w:pPr>
        <w:keepNext w:val="0"/>
        <w:keepLines w:val="0"/>
        <w:pageBreakBefore w:val="0"/>
        <w:widowControl w:val="0"/>
        <w:spacing w:line="520" w:lineRule="exact"/>
        <w:jc w:val="both"/>
        <w:rPr>
          <w:rFonts w:hint="default" w:ascii="仿宋" w:hAnsi="仿宋" w:eastAsia="仿宋" w:cs="仿宋"/>
          <w:b/>
          <w:color w:val="auto"/>
          <w:sz w:val="24"/>
          <w:szCs w:val="20"/>
          <w:highlight w:val="none"/>
          <w:lang w:val="en-US" w:eastAsia="zh-CN" w:bidi="ar-SA"/>
        </w:rPr>
      </w:pPr>
      <w:r>
        <w:rPr>
          <w:rFonts w:hint="eastAsia" w:ascii="仿宋" w:hAnsi="仿宋" w:eastAsia="仿宋" w:cs="仿宋"/>
          <w:b/>
          <w:color w:val="auto"/>
          <w:sz w:val="24"/>
          <w:szCs w:val="20"/>
          <w:highlight w:val="none"/>
          <w:lang w:val="en-US" w:eastAsia="zh-CN" w:bidi="ar-SA"/>
        </w:rPr>
        <w:t>法定代表人（或授权代表）：</w:t>
      </w:r>
      <w:r>
        <w:rPr>
          <w:rFonts w:hint="eastAsia" w:ascii="仿宋" w:hAnsi="仿宋" w:eastAsia="仿宋" w:cs="仿宋"/>
          <w:color w:val="auto"/>
          <w:sz w:val="24"/>
          <w:szCs w:val="20"/>
          <w:highlight w:val="none"/>
          <w:u w:val="single"/>
          <w:lang w:val="en-US" w:eastAsia="zh-CN" w:bidi="ar-SA"/>
        </w:rPr>
        <w:t xml:space="preserve">                 </w:t>
      </w:r>
      <w:r>
        <w:rPr>
          <w:rFonts w:hint="eastAsia" w:ascii="仿宋" w:hAnsi="仿宋" w:eastAsia="仿宋" w:cs="仿宋"/>
          <w:b/>
          <w:color w:val="auto"/>
          <w:sz w:val="24"/>
          <w:szCs w:val="20"/>
          <w:highlight w:val="none"/>
          <w:lang w:val="en-US" w:eastAsia="zh-CN" w:bidi="ar-SA"/>
        </w:rPr>
        <w:t>（签字/签章）</w:t>
      </w:r>
      <w:r>
        <w:rPr>
          <w:rFonts w:hint="eastAsia" w:ascii="仿宋" w:hAnsi="仿宋" w:eastAsia="仿宋" w:cs="仿宋"/>
          <w:color w:val="auto"/>
          <w:sz w:val="24"/>
          <w:szCs w:val="20"/>
          <w:highlight w:val="none"/>
          <w:lang w:val="en-US" w:eastAsia="zh-CN" w:bidi="ar-SA"/>
        </w:rPr>
        <w:t xml:space="preserve"> </w:t>
      </w:r>
      <w:r>
        <w:rPr>
          <w:rFonts w:hint="eastAsia" w:ascii="仿宋" w:hAnsi="仿宋" w:eastAsia="仿宋" w:cs="仿宋"/>
          <w:b/>
          <w:color w:val="auto"/>
          <w:sz w:val="24"/>
          <w:szCs w:val="20"/>
          <w:highlight w:val="none"/>
          <w:lang w:val="en-US" w:eastAsia="zh-CN" w:bidi="ar-SA"/>
        </w:rPr>
        <w:t xml:space="preserve">                   </w:t>
      </w:r>
    </w:p>
    <w:p w14:paraId="4BC4EECF">
      <w:pPr>
        <w:keepNext w:val="0"/>
        <w:keepLines w:val="0"/>
        <w:pageBreakBefore w:val="0"/>
        <w:widowControl w:val="0"/>
        <w:spacing w:line="520" w:lineRule="exact"/>
        <w:ind w:firstLine="723"/>
        <w:jc w:val="both"/>
        <w:rPr>
          <w:rFonts w:hint="default" w:ascii="仿宋" w:hAnsi="仿宋" w:eastAsia="仿宋" w:cs="仿宋"/>
          <w:b/>
          <w:color w:val="auto"/>
          <w:sz w:val="24"/>
          <w:szCs w:val="20"/>
          <w:highlight w:val="none"/>
          <w:lang w:val="en-US" w:eastAsia="zh-CN" w:bidi="ar-SA"/>
        </w:rPr>
      </w:pPr>
      <w:r>
        <w:rPr>
          <w:rFonts w:hint="eastAsia" w:ascii="仿宋" w:hAnsi="仿宋" w:eastAsia="仿宋" w:cs="仿宋"/>
          <w:b/>
          <w:color w:val="auto"/>
          <w:sz w:val="24"/>
          <w:szCs w:val="20"/>
          <w:highlight w:val="none"/>
          <w:lang w:val="en-US" w:eastAsia="zh-CN" w:bidi="ar-SA"/>
        </w:rPr>
        <w:t xml:space="preserve">     年      月      日</w:t>
      </w:r>
    </w:p>
    <w:p w14:paraId="6FDF064F">
      <w:pPr>
        <w:widowControl w:val="0"/>
        <w:spacing w:line="600" w:lineRule="exact"/>
        <w:ind w:firstLine="480"/>
        <w:jc w:val="both"/>
        <w:rPr>
          <w:rFonts w:hint="default" w:ascii="仿宋" w:hAnsi="仿宋" w:eastAsia="仿宋" w:cs="仿宋"/>
          <w:bCs/>
          <w:color w:val="auto"/>
          <w:sz w:val="24"/>
          <w:szCs w:val="20"/>
          <w:highlight w:val="none"/>
          <w:lang w:val="en-US" w:eastAsia="zh-CN" w:bidi="ar-SA"/>
        </w:rPr>
      </w:pPr>
      <w:r>
        <w:rPr>
          <w:rFonts w:hint="eastAsia" w:ascii="仿宋" w:hAnsi="仿宋" w:eastAsia="仿宋" w:cs="仿宋"/>
          <w:bCs/>
          <w:color w:val="auto"/>
          <w:sz w:val="24"/>
          <w:szCs w:val="20"/>
          <w:highlight w:val="none"/>
          <w:lang w:val="en-US" w:eastAsia="zh-CN" w:bidi="ar-SA"/>
        </w:rPr>
        <w:t>注：可后附佐证材料</w:t>
      </w:r>
    </w:p>
    <w:p w14:paraId="2EF62600">
      <w:pPr>
        <w:widowControl w:val="0"/>
        <w:tabs>
          <w:tab w:val="left" w:pos="1498"/>
        </w:tabs>
        <w:spacing w:line="580" w:lineRule="exact"/>
        <w:jc w:val="center"/>
        <w:rPr>
          <w:rFonts w:hint="default" w:ascii="仿宋" w:hAnsi="仿宋" w:eastAsia="仿宋" w:cs="仿宋"/>
          <w:b/>
          <w:color w:val="auto"/>
          <w:sz w:val="32"/>
          <w:szCs w:val="32"/>
          <w:highlight w:val="none"/>
          <w:lang w:val="en-US" w:eastAsia="zh-CN" w:bidi="ar-SA"/>
        </w:rPr>
      </w:pPr>
      <w:r>
        <w:rPr>
          <w:rFonts w:hint="eastAsia" w:ascii="仿宋" w:hAnsi="仿宋" w:eastAsia="仿宋" w:cs="仿宋"/>
          <w:b/>
          <w:color w:val="auto"/>
          <w:sz w:val="32"/>
          <w:szCs w:val="32"/>
          <w:highlight w:val="none"/>
          <w:lang w:val="en-US" w:eastAsia="zh-CN" w:bidi="ar-SA"/>
        </w:rPr>
        <w:br w:type="page" w:clear="all"/>
      </w:r>
      <w:r>
        <w:rPr>
          <w:rFonts w:hint="eastAsia" w:ascii="仿宋" w:hAnsi="仿宋" w:eastAsia="仿宋" w:cs="仿宋"/>
          <w:b/>
          <w:color w:val="auto"/>
          <w:sz w:val="32"/>
          <w:szCs w:val="32"/>
          <w:highlight w:val="none"/>
          <w:lang w:val="en-US" w:eastAsia="zh-CN" w:bidi="ar-SA"/>
        </w:rPr>
        <w:t>无重大违法行为声明</w:t>
      </w:r>
    </w:p>
    <w:p w14:paraId="3CF23021">
      <w:pPr>
        <w:widowControl w:val="0"/>
        <w:tabs>
          <w:tab w:val="left" w:pos="1498"/>
        </w:tabs>
        <w:spacing w:line="580" w:lineRule="exact"/>
        <w:jc w:val="both"/>
        <w:rPr>
          <w:rFonts w:hint="default" w:ascii="仿宋" w:hAnsi="仿宋" w:eastAsia="仿宋" w:cs="仿宋"/>
          <w:bCs/>
          <w:color w:val="auto"/>
          <w:sz w:val="24"/>
          <w:szCs w:val="20"/>
          <w:highlight w:val="none"/>
          <w:lang w:val="en-US" w:eastAsia="zh-CN" w:bidi="ar-SA"/>
        </w:rPr>
      </w:pPr>
      <w:r>
        <w:rPr>
          <w:rFonts w:hint="eastAsia" w:ascii="仿宋" w:hAnsi="仿宋" w:eastAsia="仿宋" w:cs="仿宋"/>
          <w:color w:val="auto"/>
          <w:sz w:val="24"/>
          <w:szCs w:val="24"/>
          <w:highlight w:val="none"/>
          <w:u w:val="single"/>
          <w:lang w:val="en-US" w:eastAsia="zh-CN" w:bidi="ar-SA"/>
        </w:rPr>
        <w:t>（采购人/采购代理机构）</w:t>
      </w:r>
      <w:r>
        <w:rPr>
          <w:rFonts w:hint="eastAsia" w:ascii="仿宋" w:hAnsi="仿宋" w:eastAsia="仿宋" w:cs="仿宋"/>
          <w:bCs/>
          <w:color w:val="auto"/>
          <w:sz w:val="24"/>
          <w:szCs w:val="20"/>
          <w:highlight w:val="none"/>
          <w:u w:val="single"/>
          <w:lang w:val="en-US" w:eastAsia="zh-CN" w:bidi="ar-SA"/>
        </w:rPr>
        <w:t xml:space="preserve"> </w:t>
      </w:r>
      <w:r>
        <w:rPr>
          <w:rFonts w:hint="eastAsia" w:ascii="仿宋" w:hAnsi="仿宋" w:eastAsia="仿宋" w:cs="仿宋"/>
          <w:bCs/>
          <w:color w:val="auto"/>
          <w:sz w:val="24"/>
          <w:szCs w:val="20"/>
          <w:highlight w:val="none"/>
          <w:lang w:val="en-US" w:eastAsia="zh-CN" w:bidi="ar-SA"/>
        </w:rPr>
        <w:t>：</w:t>
      </w:r>
    </w:p>
    <w:p w14:paraId="26C38BA9">
      <w:pPr>
        <w:widowControl w:val="0"/>
        <w:spacing w:line="600" w:lineRule="exact"/>
        <w:ind w:firstLine="600"/>
        <w:jc w:val="both"/>
        <w:rPr>
          <w:rFonts w:hint="default" w:ascii="仿宋" w:hAnsi="仿宋" w:eastAsia="仿宋" w:cs="仿宋"/>
          <w:bCs/>
          <w:color w:val="auto"/>
          <w:sz w:val="24"/>
          <w:szCs w:val="20"/>
          <w:highlight w:val="none"/>
          <w:lang w:val="en-US" w:eastAsia="zh-CN" w:bidi="ar-SA"/>
        </w:rPr>
      </w:pPr>
      <w:r>
        <w:rPr>
          <w:rFonts w:hint="eastAsia" w:ascii="仿宋" w:hAnsi="仿宋" w:eastAsia="仿宋" w:cs="仿宋"/>
          <w:bCs/>
          <w:color w:val="auto"/>
          <w:sz w:val="24"/>
          <w:szCs w:val="20"/>
          <w:highlight w:val="none"/>
          <w:lang w:val="en-US" w:eastAsia="zh-CN" w:bidi="ar-SA"/>
        </w:rPr>
        <w:t>我公司在参加编号为</w:t>
      </w:r>
      <w:r>
        <w:rPr>
          <w:rFonts w:hint="eastAsia" w:ascii="仿宋" w:hAnsi="仿宋" w:eastAsia="仿宋" w:cs="仿宋"/>
          <w:bCs/>
          <w:color w:val="auto"/>
          <w:sz w:val="24"/>
          <w:szCs w:val="20"/>
          <w:highlight w:val="none"/>
          <w:u w:val="single"/>
          <w:lang w:val="en-US" w:eastAsia="zh-CN" w:bidi="ar-SA"/>
        </w:rPr>
        <w:t xml:space="preserve">            号                     </w:t>
      </w:r>
      <w:r>
        <w:rPr>
          <w:rFonts w:hint="eastAsia" w:ascii="仿宋" w:hAnsi="仿宋" w:eastAsia="仿宋" w:cs="仿宋"/>
          <w:bCs/>
          <w:color w:val="auto"/>
          <w:sz w:val="24"/>
          <w:szCs w:val="20"/>
          <w:highlight w:val="none"/>
          <w:lang w:val="en-US" w:eastAsia="zh-CN" w:bidi="ar-SA"/>
        </w:rPr>
        <w:t>项目的采购活动前3年内，在经营活动中没有重大违法记录。未被信用中国网、中国政府采购网、江苏政府采购网列入失信被执行人、重大税收违法失信主体、政府采购严重违法失信行为记录名单。</w:t>
      </w:r>
    </w:p>
    <w:p w14:paraId="265B9C79">
      <w:pPr>
        <w:widowControl w:val="0"/>
        <w:spacing w:line="600" w:lineRule="exact"/>
        <w:ind w:firstLine="600"/>
        <w:jc w:val="both"/>
        <w:rPr>
          <w:rFonts w:hint="default" w:ascii="仿宋" w:hAnsi="仿宋" w:eastAsia="仿宋" w:cs="仿宋"/>
          <w:bCs/>
          <w:color w:val="auto"/>
          <w:sz w:val="24"/>
          <w:szCs w:val="20"/>
          <w:highlight w:val="none"/>
          <w:lang w:val="en-US" w:eastAsia="zh-CN" w:bidi="ar-SA"/>
        </w:rPr>
      </w:pPr>
      <w:r>
        <w:rPr>
          <w:rFonts w:hint="eastAsia" w:ascii="仿宋" w:hAnsi="仿宋" w:eastAsia="仿宋" w:cs="仿宋"/>
          <w:bCs/>
          <w:color w:val="auto"/>
          <w:sz w:val="24"/>
          <w:szCs w:val="20"/>
          <w:highlight w:val="none"/>
          <w:lang w:val="en-US" w:eastAsia="zh-CN" w:bidi="ar-SA"/>
        </w:rPr>
        <w:t>特此声明。</w:t>
      </w:r>
    </w:p>
    <w:p w14:paraId="204B7FD3">
      <w:pPr>
        <w:widowControl w:val="0"/>
        <w:spacing w:line="600" w:lineRule="exact"/>
        <w:ind w:firstLine="600"/>
        <w:jc w:val="both"/>
        <w:rPr>
          <w:rFonts w:hint="default" w:ascii="仿宋" w:hAnsi="仿宋" w:eastAsia="仿宋" w:cs="仿宋"/>
          <w:bCs/>
          <w:color w:val="auto"/>
          <w:sz w:val="24"/>
          <w:szCs w:val="20"/>
          <w:highlight w:val="none"/>
          <w:lang w:val="en-US" w:eastAsia="zh-CN" w:bidi="ar-SA"/>
        </w:rPr>
      </w:pPr>
      <w:r>
        <w:rPr>
          <w:rFonts w:hint="eastAsia" w:ascii="仿宋" w:hAnsi="仿宋" w:eastAsia="仿宋" w:cs="仿宋"/>
          <w:bCs/>
          <w:color w:val="auto"/>
          <w:sz w:val="24"/>
          <w:szCs w:val="20"/>
          <w:highlight w:val="none"/>
          <w:lang w:val="en-US" w:eastAsia="zh-CN" w:bidi="ar-SA"/>
        </w:rPr>
        <w:t>（说明：重大违法记录是指投标人因违法经营受到刑事处罚或者责令停产停业、吊销许可证或者执照、较大数额罚款等行政处罚， 其中较大数额罚款指200万元以上的罚款。）</w:t>
      </w:r>
    </w:p>
    <w:p w14:paraId="757A924E">
      <w:pPr>
        <w:widowControl w:val="0"/>
        <w:spacing w:line="600" w:lineRule="exact"/>
        <w:ind w:firstLine="600"/>
        <w:jc w:val="both"/>
        <w:rPr>
          <w:rFonts w:hint="default" w:ascii="仿宋" w:hAnsi="仿宋" w:eastAsia="仿宋" w:cs="仿宋"/>
          <w:color w:val="auto"/>
          <w:sz w:val="24"/>
          <w:szCs w:val="22"/>
          <w:highlight w:val="none"/>
          <w:lang w:val="en-US" w:eastAsia="zh-CN" w:bidi="ar-SA"/>
        </w:rPr>
      </w:pPr>
    </w:p>
    <w:p w14:paraId="4D424FB5">
      <w:pPr>
        <w:widowControl w:val="0"/>
        <w:spacing w:line="600" w:lineRule="exact"/>
        <w:ind w:firstLine="600"/>
        <w:jc w:val="both"/>
        <w:rPr>
          <w:rFonts w:hint="default" w:ascii="仿宋" w:hAnsi="仿宋" w:eastAsia="仿宋" w:cs="仿宋"/>
          <w:color w:val="auto"/>
          <w:sz w:val="24"/>
          <w:szCs w:val="22"/>
          <w:highlight w:val="none"/>
          <w:lang w:val="en-US" w:eastAsia="zh-CN" w:bidi="ar-SA"/>
        </w:rPr>
      </w:pPr>
    </w:p>
    <w:p w14:paraId="63A92952">
      <w:pPr>
        <w:keepNext w:val="0"/>
        <w:keepLines w:val="0"/>
        <w:pageBreakBefore w:val="0"/>
        <w:widowControl w:val="0"/>
        <w:spacing w:line="520" w:lineRule="exact"/>
        <w:jc w:val="both"/>
        <w:rPr>
          <w:rFonts w:hint="default" w:ascii="仿宋" w:hAnsi="仿宋" w:eastAsia="仿宋" w:cs="仿宋"/>
          <w:b/>
          <w:color w:val="auto"/>
          <w:sz w:val="24"/>
          <w:szCs w:val="20"/>
          <w:highlight w:val="none"/>
          <w:lang w:val="en-US" w:eastAsia="zh-CN" w:bidi="ar-SA"/>
        </w:rPr>
      </w:pPr>
      <w:r>
        <w:rPr>
          <w:rFonts w:hint="eastAsia" w:ascii="仿宋" w:hAnsi="仿宋" w:eastAsia="仿宋" w:cs="仿宋"/>
          <w:b/>
          <w:color w:val="auto"/>
          <w:sz w:val="24"/>
          <w:szCs w:val="20"/>
          <w:highlight w:val="none"/>
          <w:lang w:val="en-US" w:eastAsia="zh-CN" w:bidi="ar-SA"/>
        </w:rPr>
        <w:t>单位名称：</w:t>
      </w:r>
      <w:r>
        <w:rPr>
          <w:rFonts w:hint="eastAsia" w:ascii="仿宋" w:hAnsi="仿宋" w:eastAsia="仿宋" w:cs="仿宋"/>
          <w:color w:val="auto"/>
          <w:sz w:val="24"/>
          <w:szCs w:val="20"/>
          <w:highlight w:val="none"/>
          <w:u w:val="single"/>
          <w:lang w:val="en-US" w:eastAsia="zh-CN" w:bidi="ar-SA"/>
        </w:rPr>
        <w:t xml:space="preserve">                 </w:t>
      </w:r>
      <w:r>
        <w:rPr>
          <w:rFonts w:hint="eastAsia" w:ascii="仿宋" w:hAnsi="仿宋" w:eastAsia="仿宋" w:cs="仿宋"/>
          <w:b/>
          <w:color w:val="auto"/>
          <w:sz w:val="24"/>
          <w:szCs w:val="20"/>
          <w:highlight w:val="none"/>
          <w:lang w:val="en-US" w:eastAsia="zh-CN" w:bidi="ar-SA"/>
        </w:rPr>
        <w:t>（签章）</w:t>
      </w:r>
      <w:r>
        <w:rPr>
          <w:rFonts w:hint="eastAsia" w:ascii="仿宋" w:hAnsi="仿宋" w:eastAsia="仿宋" w:cs="仿宋"/>
          <w:color w:val="auto"/>
          <w:sz w:val="24"/>
          <w:szCs w:val="20"/>
          <w:highlight w:val="none"/>
          <w:lang w:val="en-US" w:eastAsia="zh-CN" w:bidi="ar-SA"/>
        </w:rPr>
        <w:t xml:space="preserve"> </w:t>
      </w:r>
      <w:r>
        <w:rPr>
          <w:rFonts w:hint="eastAsia" w:ascii="仿宋" w:hAnsi="仿宋" w:eastAsia="仿宋" w:cs="仿宋"/>
          <w:b/>
          <w:color w:val="auto"/>
          <w:sz w:val="24"/>
          <w:szCs w:val="20"/>
          <w:highlight w:val="none"/>
          <w:lang w:val="en-US" w:eastAsia="zh-CN" w:bidi="ar-SA"/>
        </w:rPr>
        <w:t xml:space="preserve">                   </w:t>
      </w:r>
    </w:p>
    <w:p w14:paraId="1EEB46E6">
      <w:pPr>
        <w:keepNext w:val="0"/>
        <w:keepLines w:val="0"/>
        <w:pageBreakBefore w:val="0"/>
        <w:widowControl w:val="0"/>
        <w:spacing w:line="520" w:lineRule="exact"/>
        <w:jc w:val="both"/>
        <w:rPr>
          <w:rFonts w:hint="default" w:ascii="仿宋" w:hAnsi="仿宋" w:eastAsia="仿宋" w:cs="仿宋"/>
          <w:b/>
          <w:color w:val="auto"/>
          <w:sz w:val="24"/>
          <w:szCs w:val="20"/>
          <w:highlight w:val="none"/>
          <w:lang w:val="en-US" w:eastAsia="zh-CN" w:bidi="ar-SA"/>
        </w:rPr>
      </w:pPr>
      <w:r>
        <w:rPr>
          <w:rFonts w:hint="eastAsia" w:ascii="仿宋" w:hAnsi="仿宋" w:eastAsia="仿宋" w:cs="仿宋"/>
          <w:b/>
          <w:color w:val="auto"/>
          <w:sz w:val="24"/>
          <w:szCs w:val="20"/>
          <w:highlight w:val="none"/>
          <w:lang w:val="en-US" w:eastAsia="zh-CN" w:bidi="ar-SA"/>
        </w:rPr>
        <w:t>法定代表人（或授权代表）：</w:t>
      </w:r>
      <w:r>
        <w:rPr>
          <w:rFonts w:hint="eastAsia" w:ascii="仿宋" w:hAnsi="仿宋" w:eastAsia="仿宋" w:cs="仿宋"/>
          <w:color w:val="auto"/>
          <w:sz w:val="24"/>
          <w:szCs w:val="20"/>
          <w:highlight w:val="none"/>
          <w:u w:val="single"/>
          <w:lang w:val="en-US" w:eastAsia="zh-CN" w:bidi="ar-SA"/>
        </w:rPr>
        <w:t xml:space="preserve">                 </w:t>
      </w:r>
      <w:r>
        <w:rPr>
          <w:rFonts w:hint="eastAsia" w:ascii="仿宋" w:hAnsi="仿宋" w:eastAsia="仿宋" w:cs="仿宋"/>
          <w:b/>
          <w:color w:val="auto"/>
          <w:sz w:val="24"/>
          <w:szCs w:val="20"/>
          <w:highlight w:val="none"/>
          <w:lang w:val="en-US" w:eastAsia="zh-CN" w:bidi="ar-SA"/>
        </w:rPr>
        <w:t>（签字/签章）</w:t>
      </w:r>
      <w:r>
        <w:rPr>
          <w:rFonts w:hint="eastAsia" w:ascii="仿宋" w:hAnsi="仿宋" w:eastAsia="仿宋" w:cs="仿宋"/>
          <w:color w:val="auto"/>
          <w:sz w:val="24"/>
          <w:szCs w:val="20"/>
          <w:highlight w:val="none"/>
          <w:lang w:val="en-US" w:eastAsia="zh-CN" w:bidi="ar-SA"/>
        </w:rPr>
        <w:t xml:space="preserve"> </w:t>
      </w:r>
      <w:r>
        <w:rPr>
          <w:rFonts w:hint="eastAsia" w:ascii="仿宋" w:hAnsi="仿宋" w:eastAsia="仿宋" w:cs="仿宋"/>
          <w:b/>
          <w:color w:val="auto"/>
          <w:sz w:val="24"/>
          <w:szCs w:val="20"/>
          <w:highlight w:val="none"/>
          <w:lang w:val="en-US" w:eastAsia="zh-CN" w:bidi="ar-SA"/>
        </w:rPr>
        <w:t xml:space="preserve">                   </w:t>
      </w:r>
    </w:p>
    <w:p w14:paraId="6E1D2F54">
      <w:pPr>
        <w:keepNext w:val="0"/>
        <w:keepLines w:val="0"/>
        <w:pageBreakBefore w:val="0"/>
        <w:widowControl w:val="0"/>
        <w:spacing w:line="520" w:lineRule="exact"/>
        <w:jc w:val="both"/>
        <w:rPr>
          <w:rFonts w:hint="eastAsia" w:ascii="仿宋" w:hAnsi="仿宋" w:eastAsia="仿宋" w:cs="仿宋"/>
          <w:b/>
          <w:color w:val="auto"/>
          <w:sz w:val="24"/>
          <w:szCs w:val="20"/>
          <w:highlight w:val="none"/>
          <w:lang w:val="en-US" w:eastAsia="zh-CN" w:bidi="ar-SA"/>
        </w:rPr>
      </w:pPr>
      <w:r>
        <w:rPr>
          <w:rFonts w:hint="eastAsia" w:ascii="仿宋" w:hAnsi="仿宋" w:eastAsia="仿宋" w:cs="仿宋"/>
          <w:b/>
          <w:color w:val="auto"/>
          <w:sz w:val="24"/>
          <w:szCs w:val="20"/>
          <w:highlight w:val="none"/>
          <w:lang w:val="en-US" w:eastAsia="zh-CN" w:bidi="ar-SA"/>
        </w:rPr>
        <w:t>日期：      年      月      日</w:t>
      </w:r>
    </w:p>
    <w:p w14:paraId="17F238C5">
      <w:pPr>
        <w:rPr>
          <w:rFonts w:hint="eastAsia" w:ascii="仿宋" w:hAnsi="仿宋" w:eastAsia="仿宋" w:cs="仿宋"/>
          <w:b/>
          <w:color w:val="auto"/>
          <w:sz w:val="24"/>
          <w:szCs w:val="20"/>
          <w:highlight w:val="none"/>
          <w:lang w:val="en-US" w:eastAsia="zh-CN" w:bidi="ar-SA"/>
        </w:rPr>
      </w:pPr>
      <w:r>
        <w:rPr>
          <w:rFonts w:hint="eastAsia" w:ascii="仿宋" w:hAnsi="仿宋" w:eastAsia="仿宋" w:cs="仿宋"/>
          <w:b/>
          <w:color w:val="auto"/>
          <w:sz w:val="24"/>
          <w:szCs w:val="20"/>
          <w:highlight w:val="none"/>
          <w:lang w:val="en-US" w:eastAsia="zh-CN" w:bidi="ar-SA"/>
        </w:rPr>
        <w:br w:type="page"/>
      </w:r>
    </w:p>
    <w:p w14:paraId="3F6F5DFE">
      <w:pPr>
        <w:widowControl w:val="0"/>
        <w:jc w:val="center"/>
        <w:outlineLvl w:val="9"/>
        <w:rPr>
          <w:rFonts w:hint="eastAsia" w:ascii="仿宋" w:hAnsi="仿宋" w:eastAsia="仿宋" w:cs="仿宋"/>
          <w:b/>
          <w:color w:val="auto"/>
          <w:sz w:val="32"/>
          <w:szCs w:val="24"/>
          <w:highlight w:val="none"/>
          <w:lang w:val="en-US" w:eastAsia="zh-CN" w:bidi="ar-SA"/>
        </w:rPr>
      </w:pPr>
      <w:r>
        <w:rPr>
          <w:rFonts w:hint="eastAsia" w:ascii="仿宋" w:hAnsi="仿宋" w:eastAsia="仿宋" w:cs="仿宋"/>
          <w:b/>
          <w:color w:val="auto"/>
          <w:sz w:val="32"/>
          <w:szCs w:val="24"/>
          <w:highlight w:val="none"/>
          <w:lang w:val="en-US" w:eastAsia="zh-CN" w:bidi="ar-SA"/>
        </w:rPr>
        <w:t>投标人信用承诺书</w:t>
      </w:r>
    </w:p>
    <w:p w14:paraId="07BF52B0">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承诺主体名称：</w:t>
      </w:r>
    </w:p>
    <w:p w14:paraId="7CC73562">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统一社会信用代码：</w:t>
      </w:r>
    </w:p>
    <w:p w14:paraId="6DCE30C5">
      <w:pPr>
        <w:spacing w:line="360" w:lineRule="auto"/>
        <w:ind w:firstLine="420"/>
        <w:rPr>
          <w:rFonts w:hint="eastAsia" w:ascii="仿宋" w:hAnsi="仿宋" w:eastAsia="仿宋" w:cs="仿宋"/>
          <w:szCs w:val="21"/>
          <w:highlight w:val="none"/>
        </w:rPr>
      </w:pPr>
      <w:r>
        <w:rPr>
          <w:rFonts w:hint="eastAsia" w:ascii="仿宋" w:hAnsi="仿宋" w:eastAsia="仿宋" w:cs="仿宋"/>
          <w:szCs w:val="21"/>
          <w:highlight w:val="none"/>
        </w:rPr>
        <w:t>为维护公平竞争、规范有序的市场秩序，营造诚实守信的信用环境，共同推进社会信用体系建设完善，树立企业诚信守法形象，本企业对</w:t>
      </w:r>
      <w:r>
        <w:rPr>
          <w:rFonts w:hint="eastAsia" w:ascii="仿宋" w:hAnsi="仿宋" w:eastAsia="仿宋" w:cs="仿宋"/>
          <w:szCs w:val="21"/>
          <w:highlight w:val="none"/>
          <w:u w:val="single"/>
          <w:lang w:eastAsia="zh-CN"/>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rPr>
        <w:t>项目政府采购活动郑重承诺如下</w:t>
      </w:r>
      <w:r>
        <w:rPr>
          <w:rFonts w:hint="eastAsia" w:ascii="仿宋" w:hAnsi="仿宋" w:eastAsia="仿宋" w:cs="仿宋"/>
          <w:szCs w:val="21"/>
          <w:highlight w:val="none"/>
          <w:lang w:eastAsia="zh-CN"/>
        </w:rPr>
        <w:t>：</w:t>
      </w:r>
    </w:p>
    <w:p w14:paraId="7D488690">
      <w:pPr>
        <w:spacing w:line="360" w:lineRule="auto"/>
        <w:ind w:firstLine="420"/>
        <w:rPr>
          <w:rFonts w:hint="eastAsia" w:ascii="仿宋" w:hAnsi="仿宋" w:eastAsia="仿宋" w:cs="仿宋"/>
          <w:szCs w:val="21"/>
          <w:highlight w:val="none"/>
        </w:rPr>
      </w:pPr>
      <w:r>
        <w:rPr>
          <w:rFonts w:hint="eastAsia" w:ascii="仿宋" w:hAnsi="仿宋" w:eastAsia="仿宋" w:cs="仿宋"/>
          <w:szCs w:val="21"/>
          <w:highlight w:val="none"/>
        </w:rPr>
        <w:t>一、对提供给注册登记部门、行业管理部门、司法部门、行业组织以及在政府采购活动中提交的所有资料的合法性、真实性、准确性和有效性负责；</w:t>
      </w:r>
    </w:p>
    <w:p w14:paraId="3251F241">
      <w:pPr>
        <w:spacing w:line="360" w:lineRule="auto"/>
        <w:ind w:firstLine="420"/>
        <w:rPr>
          <w:rFonts w:hint="eastAsia" w:ascii="仿宋" w:hAnsi="仿宋" w:eastAsia="仿宋" w:cs="仿宋"/>
          <w:szCs w:val="21"/>
          <w:highlight w:val="none"/>
        </w:rPr>
      </w:pPr>
      <w:r>
        <w:rPr>
          <w:rFonts w:hint="eastAsia" w:ascii="仿宋" w:hAnsi="仿宋" w:eastAsia="仿宋" w:cs="仿宋"/>
          <w:szCs w:val="21"/>
          <w:highlight w:val="none"/>
        </w:rPr>
        <w:t>二、严格按照国家法律、法规和规章开展采购活动，全面履行应尽的责任和义务，全面做到履约守信，具备《中华人民共和国政府采购法》第二十二条第一款规定的条件</w:t>
      </w:r>
      <w:r>
        <w:rPr>
          <w:rFonts w:hint="eastAsia" w:ascii="仿宋" w:hAnsi="仿宋" w:eastAsia="仿宋" w:cs="仿宋"/>
          <w:szCs w:val="21"/>
          <w:highlight w:val="none"/>
          <w:lang w:eastAsia="zh-CN"/>
        </w:rPr>
        <w:t>；</w:t>
      </w:r>
    </w:p>
    <w:p w14:paraId="470CE88E">
      <w:pPr>
        <w:spacing w:line="360" w:lineRule="auto"/>
        <w:ind w:firstLine="420"/>
        <w:rPr>
          <w:rFonts w:hint="eastAsia" w:ascii="仿宋" w:hAnsi="仿宋" w:eastAsia="仿宋" w:cs="仿宋"/>
          <w:szCs w:val="21"/>
          <w:highlight w:val="none"/>
        </w:rPr>
      </w:pPr>
      <w:r>
        <w:rPr>
          <w:rFonts w:hint="eastAsia" w:ascii="仿宋" w:hAnsi="仿宋" w:eastAsia="仿宋" w:cs="仿宋"/>
          <w:szCs w:val="21"/>
          <w:highlight w:val="none"/>
        </w:rPr>
        <w:t>三、严格依法开展生产经营活动，主动接受行业监管，自愿接受依法开展的日常检查；违法失信经营后将自愿接受约束和惩戒，并依法承担相应责任；</w:t>
      </w:r>
    </w:p>
    <w:p w14:paraId="3F9EB8C0">
      <w:pPr>
        <w:spacing w:line="360" w:lineRule="auto"/>
        <w:ind w:firstLine="420"/>
        <w:rPr>
          <w:rFonts w:hint="eastAsia" w:ascii="仿宋" w:hAnsi="仿宋" w:eastAsia="仿宋" w:cs="仿宋"/>
          <w:szCs w:val="21"/>
          <w:highlight w:val="none"/>
        </w:rPr>
      </w:pPr>
      <w:r>
        <w:rPr>
          <w:rFonts w:hint="eastAsia" w:ascii="仿宋" w:hAnsi="仿宋" w:eastAsia="仿宋" w:cs="仿宋"/>
          <w:szCs w:val="21"/>
          <w:highlight w:val="none"/>
        </w:rPr>
        <w:t>四、自觉接受行政管理部门、行业组织、社会公众、新闻舆论的监督；</w:t>
      </w:r>
    </w:p>
    <w:p w14:paraId="678E10FC">
      <w:pPr>
        <w:spacing w:line="360" w:lineRule="auto"/>
        <w:ind w:firstLine="420"/>
        <w:rPr>
          <w:rFonts w:hint="eastAsia" w:ascii="仿宋" w:hAnsi="仿宋" w:eastAsia="仿宋" w:cs="仿宋"/>
          <w:szCs w:val="21"/>
          <w:highlight w:val="none"/>
        </w:rPr>
      </w:pPr>
      <w:r>
        <w:rPr>
          <w:rFonts w:hint="eastAsia" w:ascii="仿宋" w:hAnsi="仿宋" w:eastAsia="仿宋" w:cs="仿宋"/>
          <w:szCs w:val="21"/>
          <w:highlight w:val="none"/>
        </w:rPr>
        <w:t>五、自觉做到自我约束、自我管理，不制假售假、商标侵权、虚假宣传、违约毁约、恶意逃债、偷税漏税、垄断和不正当竞争，维护经营者、消费者的合法权益；</w:t>
      </w:r>
    </w:p>
    <w:p w14:paraId="40637CF1">
      <w:pPr>
        <w:spacing w:line="360" w:lineRule="auto"/>
        <w:ind w:firstLine="420"/>
        <w:rPr>
          <w:rFonts w:hint="eastAsia" w:ascii="仿宋" w:hAnsi="仿宋" w:eastAsia="仿宋" w:cs="仿宋"/>
          <w:szCs w:val="21"/>
          <w:highlight w:val="none"/>
        </w:rPr>
      </w:pPr>
      <w:r>
        <w:rPr>
          <w:rFonts w:hint="eastAsia" w:ascii="仿宋" w:hAnsi="仿宋" w:eastAsia="仿宋" w:cs="仿宋"/>
          <w:szCs w:val="21"/>
          <w:highlight w:val="none"/>
        </w:rPr>
        <w:t>六、提出政府采购质疑和投诉坚持依法依规、诚实信用原则，在全国范围12个月内没有三次以上查无实据的政府采购投诉；</w:t>
      </w:r>
    </w:p>
    <w:p w14:paraId="1D9C3C9A">
      <w:pPr>
        <w:spacing w:line="360" w:lineRule="auto"/>
        <w:ind w:firstLine="420"/>
        <w:rPr>
          <w:rFonts w:hint="eastAsia" w:ascii="仿宋" w:hAnsi="仿宋" w:eastAsia="仿宋" w:cs="仿宋"/>
          <w:szCs w:val="21"/>
          <w:highlight w:val="none"/>
        </w:rPr>
      </w:pPr>
      <w:r>
        <w:rPr>
          <w:rFonts w:hint="eastAsia" w:ascii="仿宋" w:hAnsi="仿宋" w:eastAsia="仿宋" w:cs="仿宋"/>
          <w:szCs w:val="21"/>
          <w:highlight w:val="none"/>
        </w:rPr>
        <w:t>七、严格遵守信用信息公示相关规定，向社会公示信用信息；</w:t>
      </w:r>
    </w:p>
    <w:p w14:paraId="021886A0">
      <w:pPr>
        <w:spacing w:line="360" w:lineRule="auto"/>
        <w:ind w:firstLine="420"/>
        <w:rPr>
          <w:rFonts w:hint="eastAsia" w:ascii="仿宋" w:hAnsi="仿宋" w:eastAsia="仿宋" w:cs="仿宋"/>
          <w:szCs w:val="21"/>
          <w:highlight w:val="none"/>
        </w:rPr>
      </w:pPr>
      <w:r>
        <w:rPr>
          <w:rFonts w:hint="eastAsia" w:ascii="仿宋" w:hAnsi="仿宋" w:eastAsia="仿宋" w:cs="仿宋"/>
          <w:szCs w:val="21"/>
          <w:highlight w:val="none"/>
        </w:rPr>
        <w:t>八、在“信用中国”和“中国政府采购网”网站中无违法违规、较重或严重失信记录；</w:t>
      </w:r>
    </w:p>
    <w:p w14:paraId="0EC31900">
      <w:pPr>
        <w:spacing w:line="360" w:lineRule="auto"/>
        <w:ind w:firstLine="420"/>
        <w:rPr>
          <w:rFonts w:hint="eastAsia" w:ascii="仿宋" w:hAnsi="仿宋" w:eastAsia="仿宋" w:cs="仿宋"/>
          <w:szCs w:val="21"/>
          <w:highlight w:val="none"/>
        </w:rPr>
      </w:pPr>
      <w:r>
        <w:rPr>
          <w:rFonts w:hint="eastAsia" w:ascii="仿宋" w:hAnsi="仿宋" w:eastAsia="仿宋" w:cs="仿宋"/>
          <w:szCs w:val="21"/>
          <w:highlight w:val="none"/>
        </w:rPr>
        <w:t>九、如违反承诺，自愿接受管理部门依法给予的行政处罚，同意将违反承诺的行为作为不良记录记入信用档案，依法依规进行信息公示，并承担所产生的一切法律责任和经济损失。</w:t>
      </w:r>
    </w:p>
    <w:p w14:paraId="4C52462F">
      <w:pPr>
        <w:spacing w:line="360" w:lineRule="auto"/>
        <w:ind w:firstLine="420"/>
        <w:rPr>
          <w:rFonts w:hint="eastAsia" w:ascii="仿宋" w:hAnsi="仿宋" w:eastAsia="仿宋" w:cs="仿宋"/>
          <w:szCs w:val="21"/>
          <w:highlight w:val="none"/>
        </w:rPr>
      </w:pPr>
      <w:r>
        <w:rPr>
          <w:rFonts w:hint="eastAsia" w:ascii="仿宋" w:hAnsi="仿宋" w:eastAsia="仿宋" w:cs="仿宋"/>
          <w:szCs w:val="21"/>
          <w:highlight w:val="none"/>
        </w:rPr>
        <w:t>十、本承诺书自签订之日起生效。</w:t>
      </w:r>
    </w:p>
    <w:p w14:paraId="12C31ACC">
      <w:pPr>
        <w:spacing w:line="360" w:lineRule="auto"/>
        <w:ind w:firstLine="420"/>
        <w:rPr>
          <w:rFonts w:hint="eastAsia" w:ascii="仿宋" w:hAnsi="仿宋" w:eastAsia="仿宋" w:cs="仿宋"/>
          <w:szCs w:val="21"/>
          <w:highlight w:val="none"/>
        </w:rPr>
      </w:pPr>
      <w:r>
        <w:rPr>
          <w:rFonts w:hint="eastAsia" w:ascii="仿宋" w:hAnsi="仿宋" w:eastAsia="仿宋" w:cs="仿宋"/>
          <w:szCs w:val="21"/>
          <w:highlight w:val="none"/>
        </w:rPr>
        <w:t> （注：法定代表人或负责人、主体名称发生变更的应当重新做出承诺。）</w:t>
      </w:r>
    </w:p>
    <w:p w14:paraId="3A038F73">
      <w:pPr>
        <w:spacing w:line="360" w:lineRule="auto"/>
        <w:jc w:val="right"/>
        <w:rPr>
          <w:rFonts w:hint="eastAsia" w:ascii="仿宋" w:hAnsi="仿宋" w:eastAsia="仿宋" w:cs="仿宋"/>
          <w:szCs w:val="21"/>
          <w:highlight w:val="none"/>
        </w:rPr>
      </w:pPr>
      <w:r>
        <w:rPr>
          <w:rFonts w:hint="eastAsia" w:ascii="仿宋" w:hAnsi="仿宋" w:eastAsia="仿宋" w:cs="仿宋"/>
          <w:szCs w:val="21"/>
          <w:highlight w:val="none"/>
        </w:rPr>
        <w:t>　　　　　　　　　　        承诺单位（签章）： </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  </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 xml:space="preserve">        </w:t>
      </w:r>
    </w:p>
    <w:p w14:paraId="5F6D68DE">
      <w:pPr>
        <w:wordWrap w:val="0"/>
        <w:spacing w:line="360" w:lineRule="auto"/>
        <w:jc w:val="right"/>
        <w:rPr>
          <w:rFonts w:hint="default" w:ascii="仿宋" w:hAnsi="仿宋" w:eastAsia="仿宋" w:cs="仿宋"/>
          <w:szCs w:val="21"/>
          <w:highlight w:val="none"/>
          <w:lang w:val="en-US" w:eastAsia="zh-CN"/>
        </w:rPr>
      </w:pPr>
      <w:r>
        <w:rPr>
          <w:rFonts w:hint="eastAsia" w:ascii="仿宋" w:hAnsi="仿宋" w:eastAsia="仿宋" w:cs="仿宋"/>
          <w:szCs w:val="21"/>
          <w:highlight w:val="none"/>
        </w:rPr>
        <w:t>法定代表人（负责人）：</w:t>
      </w:r>
      <w:r>
        <w:rPr>
          <w:rFonts w:hint="eastAsia" w:ascii="仿宋" w:hAnsi="仿宋" w:eastAsia="仿宋" w:cs="仿宋"/>
          <w:szCs w:val="21"/>
          <w:highlight w:val="none"/>
          <w:lang w:val="en-US" w:eastAsia="zh-CN"/>
        </w:rPr>
        <w:t xml:space="preserve">     </w:t>
      </w:r>
    </w:p>
    <w:p w14:paraId="48773DF8">
      <w:pPr>
        <w:wordWrap w:val="0"/>
        <w:spacing w:line="360" w:lineRule="auto"/>
        <w:jc w:val="right"/>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年    月    日</w:t>
      </w:r>
      <w:r>
        <w:rPr>
          <w:rFonts w:hint="eastAsia" w:ascii="仿宋" w:hAnsi="仿宋" w:eastAsia="仿宋" w:cs="仿宋"/>
          <w:szCs w:val="21"/>
          <w:highlight w:val="none"/>
          <w:lang w:val="en-US" w:eastAsia="zh-CN"/>
        </w:rPr>
        <w:t xml:space="preserve">               </w:t>
      </w:r>
    </w:p>
    <w:p w14:paraId="6A795D56">
      <w:pP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14:paraId="39ADA967">
      <w:pPr>
        <w:numPr>
          <w:ilvl w:val="0"/>
          <w:numId w:val="8"/>
        </w:numPr>
        <w:spacing w:line="500" w:lineRule="exact"/>
        <w:ind w:left="425" w:leftChars="0" w:hanging="425" w:firstLineChars="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落实政府采购政策需满足的资格要求</w:t>
      </w:r>
    </w:p>
    <w:p w14:paraId="09E1650D">
      <w:pP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14:paraId="66565F7E">
      <w:pPr>
        <w:numPr>
          <w:ilvl w:val="0"/>
          <w:numId w:val="8"/>
        </w:numPr>
        <w:spacing w:line="500" w:lineRule="exact"/>
        <w:ind w:left="425" w:leftChars="0" w:hanging="425" w:firstLineChars="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本项目的特定资格要求</w:t>
      </w:r>
    </w:p>
    <w:p w14:paraId="3DA23997">
      <w:pPr>
        <w:rPr>
          <w:rFonts w:ascii="仿宋" w:hAnsi="仿宋" w:eastAsia="仿宋" w:cs="仿宋"/>
          <w:b/>
          <w:bCs/>
          <w:color w:val="auto"/>
          <w:szCs w:val="24"/>
          <w:highlight w:val="none"/>
        </w:rPr>
      </w:pPr>
      <w:r>
        <w:rPr>
          <w:rFonts w:hint="eastAsia" w:ascii="仿宋" w:hAnsi="仿宋" w:eastAsia="仿宋" w:cs="仿宋"/>
          <w:sz w:val="21"/>
          <w:szCs w:val="22"/>
          <w:highlight w:val="none"/>
          <w:lang w:val="en-US" w:eastAsia="zh-CN" w:bidi="ar-SA"/>
        </w:rPr>
        <w:br w:type="page" w:clear="all"/>
      </w:r>
    </w:p>
    <w:p w14:paraId="57CECC8B">
      <w:pPr>
        <w:pStyle w:val="317"/>
        <w:outlineLvl w:val="1"/>
        <w:rPr>
          <w:rFonts w:hint="default" w:ascii="仿宋" w:hAnsi="仿宋" w:eastAsia="仿宋" w:cs="仿宋"/>
          <w:color w:val="auto"/>
          <w:highlight w:val="none"/>
          <w:lang w:val="en-US" w:eastAsia="zh-CN"/>
        </w:rPr>
      </w:pPr>
      <w:bookmarkStart w:id="69" w:name="_Toc25637"/>
      <w:bookmarkStart w:id="70" w:name="_Toc16470"/>
      <w:bookmarkStart w:id="71" w:name="_Toc31622"/>
      <w:bookmarkStart w:id="72" w:name="_Toc6217"/>
      <w:bookmarkStart w:id="73" w:name="_Toc17048"/>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三</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符合条件</w:t>
      </w:r>
      <w:bookmarkEnd w:id="69"/>
      <w:bookmarkEnd w:id="70"/>
      <w:bookmarkEnd w:id="71"/>
      <w:bookmarkEnd w:id="72"/>
    </w:p>
    <w:p w14:paraId="5C51BCBF">
      <w:pPr>
        <w:pStyle w:val="327"/>
        <w:outlineLvl w:val="2"/>
        <w:rPr>
          <w:rFonts w:hint="eastAsia" w:ascii="仿宋" w:hAnsi="仿宋" w:eastAsia="仿宋" w:cs="仿宋"/>
          <w:b/>
          <w:color w:val="auto"/>
          <w:sz w:val="32"/>
          <w:szCs w:val="24"/>
          <w:highlight w:val="none"/>
          <w:lang w:val="en-US" w:eastAsia="zh-CN"/>
        </w:rPr>
      </w:pPr>
      <w:r>
        <w:rPr>
          <w:rFonts w:hint="eastAsia" w:ascii="仿宋" w:hAnsi="仿宋" w:eastAsia="仿宋" w:cs="仿宋"/>
          <w:b/>
          <w:color w:val="auto"/>
          <w:sz w:val="32"/>
          <w:szCs w:val="24"/>
          <w:highlight w:val="none"/>
          <w:lang w:val="en-US" w:eastAsia="zh-CN"/>
        </w:rPr>
        <w:t>开标一览表及报价</w:t>
      </w:r>
    </w:p>
    <w:p w14:paraId="2B40349D">
      <w:pPr>
        <w:rPr>
          <w:rFonts w:hint="eastAsia"/>
          <w:color w:val="auto"/>
          <w:highlight w:val="none"/>
          <w:lang w:val="en-US" w:eastAsia="zh-CN"/>
        </w:rPr>
      </w:pPr>
    </w:p>
    <w:p w14:paraId="17D20E66">
      <w:pPr>
        <w:rPr>
          <w:rFonts w:hint="default"/>
          <w:color w:val="auto"/>
          <w:highlight w:val="none"/>
          <w:lang w:val="en-US" w:eastAsia="zh-CN"/>
        </w:rPr>
      </w:pPr>
    </w:p>
    <w:p w14:paraId="7907B54F">
      <w:pPr>
        <w:pStyle w:val="328"/>
        <w:spacing w:line="600" w:lineRule="exact"/>
        <w:jc w:val="center"/>
        <w:rPr>
          <w:rFonts w:ascii="仿宋" w:hAnsi="仿宋" w:eastAsia="仿宋" w:cs="仿宋"/>
          <w:b/>
          <w:color w:val="auto"/>
          <w:sz w:val="32"/>
          <w:szCs w:val="24"/>
          <w:highlight w:val="none"/>
        </w:rPr>
      </w:pPr>
      <w:r>
        <w:rPr>
          <w:rFonts w:hint="eastAsia" w:ascii="仿宋" w:hAnsi="仿宋" w:eastAsia="仿宋" w:cs="仿宋"/>
          <w:b/>
          <w:color w:val="auto"/>
          <w:sz w:val="32"/>
          <w:szCs w:val="24"/>
          <w:highlight w:val="none"/>
          <w:lang w:val="en-US" w:eastAsia="zh-CN"/>
        </w:rPr>
        <w:t>开标一览表及报价</w:t>
      </w:r>
      <w:r>
        <w:rPr>
          <w:rFonts w:hint="eastAsia" w:ascii="仿宋" w:hAnsi="仿宋" w:eastAsia="仿宋" w:cs="仿宋"/>
          <w:b/>
          <w:color w:val="auto"/>
          <w:sz w:val="32"/>
          <w:szCs w:val="24"/>
          <w:highlight w:val="none"/>
        </w:rPr>
        <w:t>的声明</w:t>
      </w:r>
    </w:p>
    <w:p w14:paraId="4BC0432C">
      <w:pPr>
        <w:pStyle w:val="328"/>
        <w:spacing w:line="600" w:lineRule="exact"/>
        <w:rPr>
          <w:rFonts w:ascii="仿宋" w:hAnsi="仿宋" w:eastAsia="仿宋" w:cs="仿宋"/>
          <w:color w:val="auto"/>
          <w:sz w:val="24"/>
          <w:highlight w:val="none"/>
          <w:u w:val="single"/>
        </w:rPr>
      </w:pPr>
    </w:p>
    <w:p w14:paraId="00E8679F">
      <w:pPr>
        <w:pStyle w:val="328"/>
        <w:spacing w:line="600" w:lineRule="exact"/>
        <w:rPr>
          <w:rFonts w:ascii="仿宋" w:hAnsi="仿宋" w:eastAsia="仿宋" w:cs="仿宋"/>
          <w:bCs/>
          <w:color w:val="auto"/>
          <w:sz w:val="24"/>
          <w:szCs w:val="20"/>
          <w:highlight w:val="none"/>
        </w:rPr>
      </w:pP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采购人/采购代理机构</w:t>
      </w:r>
      <w:r>
        <w:rPr>
          <w:rFonts w:hint="eastAsia" w:ascii="仿宋" w:hAnsi="仿宋" w:eastAsia="仿宋" w:cs="仿宋"/>
          <w:color w:val="auto"/>
          <w:sz w:val="24"/>
          <w:szCs w:val="24"/>
          <w:highlight w:val="none"/>
          <w:u w:val="single"/>
          <w:lang w:eastAsia="zh-CN"/>
        </w:rPr>
        <w:t>）</w:t>
      </w:r>
      <w:r>
        <w:rPr>
          <w:rFonts w:hint="eastAsia" w:ascii="仿宋" w:hAnsi="仿宋" w:eastAsia="仿宋" w:cs="仿宋"/>
          <w:bCs/>
          <w:color w:val="auto"/>
          <w:sz w:val="24"/>
          <w:szCs w:val="20"/>
          <w:highlight w:val="none"/>
        </w:rPr>
        <w:t>：</w:t>
      </w:r>
    </w:p>
    <w:p w14:paraId="1A0AA5AF">
      <w:pPr>
        <w:pStyle w:val="328"/>
        <w:spacing w:line="600" w:lineRule="exact"/>
        <w:ind w:firstLine="480"/>
        <w:rPr>
          <w:rFonts w:hint="eastAsia"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rPr>
        <w:t>我司在参加编号为</w:t>
      </w:r>
      <w:r>
        <w:rPr>
          <w:rFonts w:hint="eastAsia" w:ascii="仿宋" w:hAnsi="仿宋" w:eastAsia="仿宋" w:cs="仿宋"/>
          <w:bCs/>
          <w:color w:val="auto"/>
          <w:sz w:val="24"/>
          <w:szCs w:val="20"/>
          <w:highlight w:val="none"/>
          <w:u w:val="single"/>
        </w:rPr>
        <w:t xml:space="preserve">            号                     </w:t>
      </w:r>
      <w:r>
        <w:rPr>
          <w:rFonts w:hint="eastAsia" w:ascii="仿宋" w:hAnsi="仿宋" w:eastAsia="仿宋" w:cs="仿宋"/>
          <w:bCs/>
          <w:color w:val="auto"/>
          <w:sz w:val="24"/>
          <w:szCs w:val="20"/>
          <w:highlight w:val="none"/>
        </w:rPr>
        <w:t>项目</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开标一览表</w:t>
      </w:r>
      <w:r>
        <w:rPr>
          <w:rFonts w:hint="eastAsia" w:ascii="仿宋" w:hAnsi="仿宋" w:eastAsia="仿宋" w:cs="仿宋"/>
          <w:bCs/>
          <w:color w:val="auto"/>
          <w:sz w:val="24"/>
          <w:szCs w:val="20"/>
          <w:highlight w:val="none"/>
        </w:rPr>
        <w:t>格式、填写要求符合</w:t>
      </w:r>
      <w:r>
        <w:rPr>
          <w:rFonts w:hint="eastAsia" w:ascii="仿宋" w:hAnsi="仿宋" w:eastAsia="仿宋" w:cs="仿宋"/>
          <w:bCs/>
          <w:color w:val="auto"/>
          <w:sz w:val="24"/>
          <w:szCs w:val="20"/>
          <w:highlight w:val="none"/>
          <w:lang w:val="en-US" w:eastAsia="zh-CN"/>
        </w:rPr>
        <w:t>招标</w:t>
      </w:r>
      <w:r>
        <w:rPr>
          <w:rFonts w:hint="eastAsia" w:ascii="仿宋" w:hAnsi="仿宋" w:eastAsia="仿宋" w:cs="仿宋"/>
          <w:bCs/>
          <w:color w:val="auto"/>
          <w:sz w:val="24"/>
          <w:szCs w:val="20"/>
          <w:highlight w:val="none"/>
        </w:rPr>
        <w:t>文件规定，报价未超过预算或最高限价</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具体报价内容详见开标一览表。</w:t>
      </w:r>
    </w:p>
    <w:p w14:paraId="3B240B82">
      <w:pPr>
        <w:pStyle w:val="328"/>
        <w:spacing w:line="600" w:lineRule="exact"/>
        <w:ind w:firstLine="480"/>
        <w:rPr>
          <w:rFonts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特此声明</w:t>
      </w:r>
    </w:p>
    <w:p w14:paraId="56B7B102">
      <w:pPr>
        <w:pStyle w:val="328"/>
        <w:spacing w:line="600" w:lineRule="exact"/>
        <w:ind w:firstLine="480"/>
        <w:rPr>
          <w:rFonts w:hint="eastAsia"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lang w:val="en-US" w:eastAsia="zh-CN"/>
        </w:rPr>
        <w:t>（我司知晓下列处理原则：已提供本声明但投标文件中开标一览表填写错误或按投标人须知28.2.5修正后的报价不符合招标文件规定的，本声明无效并以开标一览表或28.2.5约定为准，可能做不符性处理。）</w:t>
      </w:r>
    </w:p>
    <w:p w14:paraId="73F3B6EF">
      <w:pPr>
        <w:pStyle w:val="328"/>
        <w:spacing w:line="600" w:lineRule="exact"/>
        <w:ind w:firstLine="480"/>
        <w:rPr>
          <w:rFonts w:hint="default" w:ascii="仿宋" w:hAnsi="仿宋" w:eastAsia="仿宋" w:cs="仿宋"/>
          <w:bCs/>
          <w:color w:val="auto"/>
          <w:sz w:val="24"/>
          <w:szCs w:val="20"/>
          <w:highlight w:val="none"/>
          <w:lang w:val="en-US" w:eastAsia="zh-CN"/>
        </w:rPr>
      </w:pPr>
    </w:p>
    <w:p w14:paraId="7A15AE19">
      <w:pPr>
        <w:pStyle w:val="323"/>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单位名称：</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w:t>
      </w:r>
      <w:r>
        <w:rPr>
          <w:rFonts w:hint="eastAsia" w:ascii="仿宋" w:hAnsi="仿宋" w:eastAsia="仿宋" w:cs="仿宋"/>
          <w:b/>
          <w:color w:val="auto"/>
          <w:sz w:val="24"/>
          <w:szCs w:val="20"/>
          <w:highlight w:val="none"/>
          <w:lang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5C0F18BB">
      <w:pPr>
        <w:pStyle w:val="331"/>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法定代表人（或授权代表）：</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（签字</w:t>
      </w:r>
      <w:r>
        <w:rPr>
          <w:rFonts w:hint="eastAsia" w:ascii="仿宋" w:hAnsi="仿宋" w:eastAsia="仿宋" w:cs="仿宋"/>
          <w:b/>
          <w:color w:val="auto"/>
          <w:sz w:val="24"/>
          <w:szCs w:val="20"/>
          <w:highlight w:val="none"/>
          <w:lang w:val="en-US"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3B3515DA">
      <w:pPr>
        <w:pStyle w:val="331"/>
        <w:keepNext w:val="0"/>
        <w:keepLines w:val="0"/>
        <w:pageBreakBefore w:val="0"/>
        <w:spacing w:line="520" w:lineRule="exact"/>
        <w:rPr>
          <w:rFonts w:ascii="仿宋" w:hAnsi="仿宋" w:eastAsia="仿宋" w:cs="仿宋"/>
          <w:b/>
          <w:bCs w:val="0"/>
          <w:color w:val="auto"/>
          <w:sz w:val="24"/>
          <w:szCs w:val="20"/>
          <w:highlight w:val="none"/>
        </w:rPr>
      </w:pPr>
      <w:r>
        <w:rPr>
          <w:rFonts w:hint="eastAsia" w:ascii="仿宋" w:hAnsi="仿宋" w:eastAsia="仿宋" w:cs="仿宋"/>
          <w:b/>
          <w:bCs w:val="0"/>
          <w:color w:val="auto"/>
          <w:sz w:val="24"/>
          <w:szCs w:val="20"/>
          <w:highlight w:val="none"/>
          <w:lang w:val="en-US" w:eastAsia="zh-CN"/>
        </w:rPr>
        <w:t>日期：</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年</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月</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日</w:t>
      </w:r>
      <w:r>
        <w:rPr>
          <w:rFonts w:hint="eastAsia" w:ascii="仿宋" w:hAnsi="仿宋" w:eastAsia="仿宋" w:cs="仿宋"/>
          <w:b/>
          <w:bCs w:val="0"/>
          <w:color w:val="auto"/>
          <w:sz w:val="24"/>
          <w:szCs w:val="20"/>
          <w:highlight w:val="none"/>
        </w:rPr>
        <w:t xml:space="preserve">                     </w:t>
      </w:r>
    </w:p>
    <w:p w14:paraId="1024BA8D">
      <w:pPr>
        <w:outlineLvl w:val="9"/>
        <w:rPr>
          <w:rFonts w:hint="eastAsia" w:ascii="仿宋" w:hAnsi="仿宋" w:eastAsia="仿宋" w:cs="仿宋"/>
          <w:color w:val="auto"/>
          <w:highlight w:val="none"/>
        </w:rPr>
      </w:pPr>
      <w:r>
        <w:rPr>
          <w:rFonts w:hint="eastAsia" w:ascii="仿宋" w:hAnsi="仿宋" w:eastAsia="仿宋" w:cs="仿宋"/>
          <w:color w:val="auto"/>
          <w:highlight w:val="none"/>
        </w:rPr>
        <w:br w:type="page" w:clear="all"/>
      </w:r>
    </w:p>
    <w:p w14:paraId="0CFB3FAD">
      <w:pPr>
        <w:pStyle w:val="317"/>
        <w:outlineLvl w:val="2"/>
        <w:rPr>
          <w:rFonts w:ascii="仿宋" w:hAnsi="仿宋" w:eastAsia="仿宋" w:cs="仿宋"/>
          <w:color w:val="auto"/>
          <w:highlight w:val="none"/>
        </w:rPr>
      </w:pPr>
      <w:r>
        <w:rPr>
          <w:rFonts w:hint="eastAsia" w:ascii="仿宋" w:hAnsi="仿宋" w:eastAsia="仿宋" w:cs="仿宋"/>
          <w:color w:val="auto"/>
          <w:highlight w:val="none"/>
        </w:rPr>
        <w:t>投标声明及承诺函</w:t>
      </w:r>
    </w:p>
    <w:p w14:paraId="22685492">
      <w:pPr>
        <w:pStyle w:val="318"/>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投标声明及承诺函</w:t>
      </w:r>
    </w:p>
    <w:p w14:paraId="349882AC">
      <w:pPr>
        <w:pStyle w:val="318"/>
        <w:spacing w:line="500" w:lineRule="exact"/>
        <w:jc w:val="left"/>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采购人/采购代理机构</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w:t>
      </w:r>
    </w:p>
    <w:p w14:paraId="28AF03E7">
      <w:pPr>
        <w:pStyle w:val="318"/>
        <w:spacing w:line="500" w:lineRule="exact"/>
        <w:ind w:firstLine="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根据已收到的项目编号为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项目的招标文件，我单位参加本项目招标活动，为此，我方郑重声明以下诸点，并负法律责任：</w:t>
      </w:r>
    </w:p>
    <w:p w14:paraId="65DAF855">
      <w:pPr>
        <w:pStyle w:val="318"/>
        <w:spacing w:line="500" w:lineRule="exact"/>
        <w:ind w:firstLine="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一、我方</w:t>
      </w:r>
      <w:r>
        <w:rPr>
          <w:rFonts w:hint="eastAsia" w:ascii="仿宋" w:hAnsi="仿宋" w:eastAsia="仿宋" w:cs="仿宋"/>
          <w:color w:val="auto"/>
          <w:sz w:val="24"/>
          <w:highlight w:val="none"/>
        </w:rPr>
        <w:t>具备招标文件要求的资格条件；</w:t>
      </w:r>
    </w:p>
    <w:p w14:paraId="5FBD0580">
      <w:pPr>
        <w:pStyle w:val="318"/>
        <w:spacing w:line="500" w:lineRule="exact"/>
        <w:ind w:firstLine="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二、我方在参加采购活动前三年内（自本项目开标时间之日起计算），在经营活动中没有重大违法记录（指因违法经营受到刑事处罚或者责令停产停业、吊销许可证或者执照、较大数额罚款等行政处罚）。</w:t>
      </w:r>
    </w:p>
    <w:p w14:paraId="487ED6B0">
      <w:pPr>
        <w:pStyle w:val="318"/>
        <w:spacing w:line="500" w:lineRule="exact"/>
        <w:ind w:firstLine="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三、我方同意遵守贵方有关招标的各项规定；</w:t>
      </w:r>
    </w:p>
    <w:p w14:paraId="477310A2">
      <w:pPr>
        <w:pStyle w:val="318"/>
        <w:spacing w:line="500" w:lineRule="exact"/>
        <w:ind w:firstLine="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四、我方没有为本采购项目提供整体设计、规范编制，以及项目管理、监理、检测等服务；我方与参与本次采购活动的其他</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的法定代表人或委托代理人无夫妻、直系血亲关系；我方与参与本次采购活动的其他</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 xml:space="preserve">的负责人不是同一人，也不存在直接控股、管理关系。 </w:t>
      </w:r>
    </w:p>
    <w:p w14:paraId="529D2855">
      <w:pPr>
        <w:pStyle w:val="318"/>
        <w:spacing w:line="500" w:lineRule="exact"/>
        <w:ind w:firstLine="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五、我们理解，最低报价不是中标的唯一条件，你们有选择中标人的权利；</w:t>
      </w:r>
    </w:p>
    <w:p w14:paraId="7B458ACE">
      <w:pPr>
        <w:pStyle w:val="318"/>
        <w:spacing w:line="500" w:lineRule="exact"/>
        <w:ind w:firstLine="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六、如果我方的投标文件被接受，我方将按《中华人民共和国民法典（第三编合同）》及其他有关法律、法规的规定，按期、按质提供服务给采购单位，全面做到履约守信；</w:t>
      </w:r>
    </w:p>
    <w:p w14:paraId="48948D02">
      <w:pPr>
        <w:pStyle w:val="318"/>
        <w:spacing w:line="500" w:lineRule="exact"/>
        <w:ind w:firstLine="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七、我方若违背本声明及承诺约定，经查实，自愿接受采购人及相关主管部门相应的规定处理，并依法承担相应的法律责任。</w:t>
      </w:r>
    </w:p>
    <w:p w14:paraId="3AD7CC5F">
      <w:pPr>
        <w:pStyle w:val="318"/>
        <w:spacing w:line="500" w:lineRule="exact"/>
        <w:ind w:firstLine="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八、我司承诺若获得中标/成交资格，我司保证在领取</w:t>
      </w:r>
      <w:r>
        <w:rPr>
          <w:rFonts w:hint="eastAsia" w:ascii="仿宋" w:hAnsi="仿宋" w:eastAsia="仿宋" w:cs="仿宋"/>
          <w:color w:val="auto"/>
          <w:sz w:val="24"/>
          <w:highlight w:val="none"/>
        </w:rPr>
        <w:t>中标/</w:t>
      </w:r>
      <w:r>
        <w:rPr>
          <w:rFonts w:hint="eastAsia" w:ascii="仿宋" w:hAnsi="仿宋" w:eastAsia="仿宋" w:cs="仿宋"/>
          <w:color w:val="auto"/>
          <w:sz w:val="24"/>
          <w:szCs w:val="24"/>
          <w:highlight w:val="none"/>
        </w:rPr>
        <w:t>成交通知书前按照招标文件约定的标准，向采购代理机构一次性缴纳采购代理服务费。</w:t>
      </w:r>
    </w:p>
    <w:p w14:paraId="32FD73AE">
      <w:pPr>
        <w:pStyle w:val="318"/>
        <w:spacing w:line="500" w:lineRule="exact"/>
        <w:ind w:firstLine="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九、我方决不提供虚假材料谋取中标（成交）、决不采取不正当手段诋毁、排挤其他</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、决不与采购人、</w:t>
      </w:r>
      <w:r>
        <w:rPr>
          <w:rFonts w:hint="eastAsia" w:ascii="仿宋" w:hAnsi="仿宋" w:eastAsia="仿宋" w:cs="仿宋"/>
          <w:color w:val="auto"/>
          <w:sz w:val="24"/>
          <w:szCs w:val="24"/>
          <w:highlight w:val="none"/>
          <w:lang w:eastAsia="zh-CN"/>
        </w:rPr>
        <w:t>其他投标人</w:t>
      </w:r>
      <w:r>
        <w:rPr>
          <w:rFonts w:hint="eastAsia" w:ascii="仿宋" w:hAnsi="仿宋" w:eastAsia="仿宋" w:cs="仿宋"/>
          <w:color w:val="auto"/>
          <w:sz w:val="24"/>
          <w:szCs w:val="24"/>
          <w:highlight w:val="none"/>
        </w:rPr>
        <w:t>或者采购代理机构恶意串通、决不向采购人、采购代理机构工作人员和评委进行商业贿赂、决不在采购过程中与采购人进行协商谈判、决不拒绝有关部门监督检查或提供虚假情况，如有违反，无条件接受相关管理部门的处罚。</w:t>
      </w:r>
    </w:p>
    <w:p w14:paraId="7C90A086">
      <w:pPr>
        <w:pStyle w:val="318"/>
        <w:spacing w:line="500" w:lineRule="exact"/>
        <w:jc w:val="center"/>
        <w:rPr>
          <w:rFonts w:ascii="仿宋" w:hAnsi="仿宋" w:eastAsia="仿宋" w:cs="仿宋"/>
          <w:color w:val="auto"/>
          <w:sz w:val="24"/>
          <w:szCs w:val="24"/>
          <w:highlight w:val="none"/>
        </w:rPr>
      </w:pPr>
      <w:r>
        <w:rPr>
          <w:rFonts w:hint="eastAsia" w:ascii="仿宋" w:hAnsi="仿宋" w:eastAsia="仿宋" w:cs="仿宋"/>
          <w:color w:val="auto"/>
          <w:sz w:val="22"/>
          <w:highlight w:val="none"/>
        </w:rPr>
        <w:t>投标声明及承诺函 共2页，第1页</w:t>
      </w:r>
    </w:p>
    <w:p w14:paraId="5E10A879">
      <w:pPr>
        <w:pStyle w:val="318"/>
        <w:spacing w:line="500" w:lineRule="exact"/>
        <w:ind w:firstLine="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十、我单位</w:t>
      </w:r>
      <w:r>
        <w:rPr>
          <w:rFonts w:hint="eastAsia" w:ascii="仿宋" w:hAnsi="仿宋" w:eastAsia="仿宋" w:cs="仿宋"/>
          <w:color w:val="auto"/>
          <w:sz w:val="24"/>
          <w:highlight w:val="none"/>
        </w:rPr>
        <w:t>中标/</w:t>
      </w:r>
      <w:r>
        <w:rPr>
          <w:rFonts w:hint="eastAsia" w:ascii="仿宋" w:hAnsi="仿宋" w:eastAsia="仿宋" w:cs="仿宋"/>
          <w:color w:val="auto"/>
          <w:sz w:val="24"/>
          <w:szCs w:val="24"/>
          <w:highlight w:val="none"/>
        </w:rPr>
        <w:t>成交后不进行分包、转包。</w:t>
      </w:r>
    </w:p>
    <w:p w14:paraId="2A457A99">
      <w:pPr>
        <w:pStyle w:val="318"/>
        <w:spacing w:line="500" w:lineRule="exact"/>
        <w:ind w:firstLine="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十一、我方同意采购人、采购代理机构将本声明及承诺函上网公开。</w:t>
      </w:r>
    </w:p>
    <w:p w14:paraId="1DE60E63">
      <w:pPr>
        <w:pStyle w:val="318"/>
        <w:spacing w:line="500" w:lineRule="exact"/>
        <w:ind w:firstLine="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十二、与本招标有关的正式联系方式为： </w:t>
      </w:r>
    </w:p>
    <w:p w14:paraId="541D43D1">
      <w:pPr>
        <w:pStyle w:val="318"/>
        <w:spacing w:line="500" w:lineRule="exact"/>
        <w:ind w:firstLine="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w:t>
      </w:r>
    </w:p>
    <w:p w14:paraId="65E8ED74">
      <w:pPr>
        <w:pStyle w:val="318"/>
        <w:spacing w:line="500" w:lineRule="exact"/>
        <w:ind w:firstLine="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地址：                 </w:t>
      </w:r>
    </w:p>
    <w:p w14:paraId="0CDC7CF9">
      <w:pPr>
        <w:pStyle w:val="318"/>
        <w:spacing w:line="500" w:lineRule="exact"/>
        <w:ind w:firstLine="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电话：                         </w:t>
      </w:r>
    </w:p>
    <w:p w14:paraId="21658E75">
      <w:pPr>
        <w:pStyle w:val="318"/>
        <w:spacing w:line="500" w:lineRule="exact"/>
        <w:jc w:val="left"/>
        <w:rPr>
          <w:rFonts w:ascii="仿宋" w:hAnsi="仿宋" w:eastAsia="仿宋" w:cs="仿宋"/>
          <w:color w:val="auto"/>
          <w:sz w:val="24"/>
          <w:szCs w:val="24"/>
          <w:highlight w:val="none"/>
        </w:rPr>
      </w:pPr>
    </w:p>
    <w:p w14:paraId="4FD9D1AD">
      <w:pPr>
        <w:pStyle w:val="323"/>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单位名称：</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w:t>
      </w:r>
      <w:r>
        <w:rPr>
          <w:rFonts w:hint="eastAsia" w:ascii="仿宋" w:hAnsi="仿宋" w:eastAsia="仿宋" w:cs="仿宋"/>
          <w:b/>
          <w:color w:val="auto"/>
          <w:sz w:val="24"/>
          <w:szCs w:val="20"/>
          <w:highlight w:val="none"/>
          <w:lang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5164DF02">
      <w:pPr>
        <w:pStyle w:val="331"/>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法定代表人：</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（签字</w:t>
      </w:r>
      <w:r>
        <w:rPr>
          <w:rFonts w:hint="eastAsia" w:ascii="仿宋" w:hAnsi="仿宋" w:eastAsia="仿宋" w:cs="仿宋"/>
          <w:b/>
          <w:color w:val="auto"/>
          <w:sz w:val="24"/>
          <w:szCs w:val="20"/>
          <w:highlight w:val="none"/>
          <w:lang w:val="en-US"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5BA00F79">
      <w:pPr>
        <w:pStyle w:val="331"/>
        <w:keepNext w:val="0"/>
        <w:keepLines w:val="0"/>
        <w:pageBreakBefore w:val="0"/>
        <w:spacing w:line="520" w:lineRule="exact"/>
        <w:rPr>
          <w:rFonts w:ascii="仿宋" w:hAnsi="仿宋" w:eastAsia="仿宋" w:cs="仿宋"/>
          <w:b/>
          <w:bCs w:val="0"/>
          <w:color w:val="auto"/>
          <w:sz w:val="24"/>
          <w:szCs w:val="20"/>
          <w:highlight w:val="none"/>
        </w:rPr>
      </w:pPr>
      <w:r>
        <w:rPr>
          <w:rFonts w:hint="eastAsia" w:ascii="仿宋" w:hAnsi="仿宋" w:eastAsia="仿宋" w:cs="仿宋"/>
          <w:b/>
          <w:bCs w:val="0"/>
          <w:color w:val="auto"/>
          <w:sz w:val="24"/>
          <w:szCs w:val="20"/>
          <w:highlight w:val="none"/>
          <w:lang w:val="en-US" w:eastAsia="zh-CN"/>
        </w:rPr>
        <w:t>日期：</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年</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月</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日</w:t>
      </w:r>
      <w:r>
        <w:rPr>
          <w:rFonts w:hint="eastAsia" w:ascii="仿宋" w:hAnsi="仿宋" w:eastAsia="仿宋" w:cs="仿宋"/>
          <w:b/>
          <w:bCs w:val="0"/>
          <w:color w:val="auto"/>
          <w:sz w:val="24"/>
          <w:szCs w:val="20"/>
          <w:highlight w:val="none"/>
        </w:rPr>
        <w:t xml:space="preserve">                     </w:t>
      </w:r>
    </w:p>
    <w:p w14:paraId="1A58D5E9">
      <w:pPr>
        <w:pStyle w:val="318"/>
        <w:spacing w:line="500" w:lineRule="exact"/>
        <w:jc w:val="center"/>
        <w:rPr>
          <w:rFonts w:ascii="仿宋" w:hAnsi="仿宋" w:eastAsia="仿宋" w:cs="仿宋"/>
          <w:color w:val="auto"/>
          <w:sz w:val="22"/>
          <w:highlight w:val="none"/>
        </w:rPr>
      </w:pPr>
    </w:p>
    <w:p w14:paraId="70C584F1">
      <w:pPr>
        <w:pStyle w:val="318"/>
        <w:spacing w:line="500" w:lineRule="exact"/>
        <w:jc w:val="center"/>
        <w:rPr>
          <w:rFonts w:ascii="仿宋" w:hAnsi="仿宋" w:eastAsia="仿宋" w:cs="仿宋"/>
          <w:color w:val="auto"/>
          <w:sz w:val="22"/>
          <w:highlight w:val="none"/>
        </w:rPr>
      </w:pPr>
    </w:p>
    <w:p w14:paraId="2EFB69B7">
      <w:pPr>
        <w:pStyle w:val="318"/>
        <w:spacing w:line="500" w:lineRule="exact"/>
        <w:jc w:val="center"/>
        <w:rPr>
          <w:rFonts w:ascii="仿宋" w:hAnsi="仿宋" w:eastAsia="仿宋" w:cs="仿宋"/>
          <w:color w:val="auto"/>
          <w:sz w:val="22"/>
          <w:highlight w:val="none"/>
        </w:rPr>
      </w:pPr>
    </w:p>
    <w:p w14:paraId="26BA8631">
      <w:pPr>
        <w:pStyle w:val="318"/>
        <w:spacing w:line="500" w:lineRule="exact"/>
        <w:jc w:val="center"/>
        <w:rPr>
          <w:rFonts w:ascii="仿宋" w:hAnsi="仿宋" w:eastAsia="仿宋" w:cs="仿宋"/>
          <w:color w:val="auto"/>
          <w:sz w:val="22"/>
          <w:highlight w:val="none"/>
        </w:rPr>
      </w:pPr>
    </w:p>
    <w:p w14:paraId="695337A0">
      <w:pPr>
        <w:pStyle w:val="318"/>
        <w:spacing w:line="500" w:lineRule="exact"/>
        <w:jc w:val="center"/>
        <w:rPr>
          <w:rFonts w:ascii="仿宋" w:hAnsi="仿宋" w:eastAsia="仿宋" w:cs="仿宋"/>
          <w:color w:val="auto"/>
          <w:sz w:val="22"/>
          <w:highlight w:val="none"/>
        </w:rPr>
      </w:pPr>
    </w:p>
    <w:p w14:paraId="35589F91">
      <w:pPr>
        <w:pStyle w:val="318"/>
        <w:spacing w:line="500" w:lineRule="exact"/>
        <w:jc w:val="both"/>
        <w:rPr>
          <w:rFonts w:ascii="仿宋" w:hAnsi="仿宋" w:eastAsia="仿宋" w:cs="仿宋"/>
          <w:color w:val="auto"/>
          <w:sz w:val="22"/>
          <w:highlight w:val="none"/>
        </w:rPr>
      </w:pPr>
    </w:p>
    <w:p w14:paraId="488273C5">
      <w:pPr>
        <w:pStyle w:val="318"/>
        <w:spacing w:line="500" w:lineRule="exact"/>
        <w:jc w:val="center"/>
        <w:rPr>
          <w:rFonts w:ascii="仿宋" w:hAnsi="仿宋" w:eastAsia="仿宋" w:cs="仿宋"/>
          <w:color w:val="auto"/>
          <w:sz w:val="22"/>
          <w:highlight w:val="none"/>
        </w:rPr>
      </w:pPr>
    </w:p>
    <w:p w14:paraId="658580B2">
      <w:pPr>
        <w:pStyle w:val="318"/>
        <w:spacing w:line="500" w:lineRule="exact"/>
        <w:jc w:val="center"/>
        <w:rPr>
          <w:rFonts w:ascii="仿宋" w:hAnsi="仿宋" w:eastAsia="仿宋" w:cs="仿宋"/>
          <w:color w:val="auto"/>
          <w:sz w:val="22"/>
          <w:highlight w:val="none"/>
        </w:rPr>
      </w:pPr>
    </w:p>
    <w:p w14:paraId="0B9C88CC">
      <w:pPr>
        <w:pStyle w:val="318"/>
        <w:spacing w:line="500" w:lineRule="exact"/>
        <w:jc w:val="center"/>
        <w:rPr>
          <w:rFonts w:ascii="仿宋" w:hAnsi="仿宋" w:eastAsia="仿宋" w:cs="仿宋"/>
          <w:color w:val="auto"/>
          <w:sz w:val="22"/>
          <w:highlight w:val="none"/>
        </w:rPr>
      </w:pPr>
    </w:p>
    <w:p w14:paraId="6C505BE3">
      <w:pPr>
        <w:pStyle w:val="318"/>
        <w:spacing w:line="500" w:lineRule="exact"/>
        <w:jc w:val="center"/>
        <w:rPr>
          <w:rFonts w:ascii="仿宋" w:hAnsi="仿宋" w:eastAsia="仿宋" w:cs="仿宋"/>
          <w:color w:val="auto"/>
          <w:sz w:val="22"/>
          <w:highlight w:val="none"/>
        </w:rPr>
      </w:pPr>
    </w:p>
    <w:p w14:paraId="4EFD3FAD">
      <w:pPr>
        <w:pStyle w:val="318"/>
        <w:spacing w:line="500" w:lineRule="exact"/>
        <w:rPr>
          <w:rFonts w:ascii="仿宋" w:hAnsi="仿宋" w:eastAsia="仿宋" w:cs="仿宋"/>
          <w:color w:val="auto"/>
          <w:sz w:val="22"/>
          <w:highlight w:val="none"/>
        </w:rPr>
      </w:pPr>
    </w:p>
    <w:p w14:paraId="7C3443A1">
      <w:pPr>
        <w:pStyle w:val="318"/>
        <w:spacing w:line="500" w:lineRule="exact"/>
        <w:jc w:val="center"/>
        <w:rPr>
          <w:rFonts w:ascii="仿宋" w:hAnsi="仿宋" w:eastAsia="仿宋" w:cs="仿宋"/>
          <w:color w:val="auto"/>
          <w:sz w:val="22"/>
          <w:highlight w:val="none"/>
        </w:rPr>
      </w:pPr>
      <w:r>
        <w:rPr>
          <w:rFonts w:hint="eastAsia" w:ascii="仿宋" w:hAnsi="仿宋" w:eastAsia="仿宋" w:cs="仿宋"/>
          <w:color w:val="auto"/>
          <w:sz w:val="22"/>
          <w:highlight w:val="none"/>
        </w:rPr>
        <w:t>投标声明及承诺函 共2页，第2页</w:t>
      </w:r>
    </w:p>
    <w:p w14:paraId="6219A8D7">
      <w:pPr>
        <w:pStyle w:val="331"/>
        <w:keepNext w:val="0"/>
        <w:keepLines w:val="0"/>
        <w:pageBreakBefore w:val="0"/>
        <w:spacing w:line="520" w:lineRule="exact"/>
        <w:rPr>
          <w:rFonts w:ascii="仿宋" w:hAnsi="仿宋" w:eastAsia="仿宋" w:cs="仿宋"/>
          <w:b/>
          <w:bCs w:val="0"/>
          <w:color w:val="auto"/>
          <w:sz w:val="24"/>
          <w:szCs w:val="20"/>
          <w:highlight w:val="none"/>
        </w:rPr>
      </w:pPr>
      <w:r>
        <w:rPr>
          <w:rFonts w:hint="eastAsia" w:ascii="仿宋" w:hAnsi="仿宋" w:eastAsia="仿宋" w:cs="仿宋"/>
          <w:color w:val="auto"/>
          <w:highlight w:val="none"/>
        </w:rPr>
        <w:br w:type="page" w:clear="all"/>
      </w:r>
    </w:p>
    <w:p w14:paraId="1CE2259F">
      <w:pPr>
        <w:pStyle w:val="319"/>
        <w:outlineLvl w:val="2"/>
        <w:rPr>
          <w:rFonts w:hint="eastAsia" w:ascii="仿宋" w:hAnsi="仿宋" w:eastAsia="仿宋" w:cs="仿宋"/>
          <w:b/>
          <w:color w:val="auto"/>
          <w:sz w:val="32"/>
          <w:szCs w:val="24"/>
          <w:highlight w:val="none"/>
          <w:lang w:val="en-US" w:eastAsia="zh-CN" w:bidi="ar-SA"/>
        </w:rPr>
      </w:pPr>
      <w:r>
        <w:rPr>
          <w:rFonts w:hint="eastAsia" w:ascii="仿宋" w:hAnsi="仿宋" w:eastAsia="仿宋" w:cs="仿宋"/>
          <w:b/>
          <w:color w:val="auto"/>
          <w:sz w:val="32"/>
          <w:szCs w:val="24"/>
          <w:highlight w:val="none"/>
          <w:lang w:val="en-US" w:eastAsia="zh-CN" w:bidi="ar-SA"/>
        </w:rPr>
        <w:t>法定代表人身份证明或法定代表人授权委托书</w:t>
      </w:r>
    </w:p>
    <w:p w14:paraId="671C18DC">
      <w:pPr>
        <w:pStyle w:val="320"/>
        <w:spacing w:line="560" w:lineRule="exact"/>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法定代表人身份证明</w:t>
      </w:r>
    </w:p>
    <w:p w14:paraId="2BCDDA2F">
      <w:pPr>
        <w:pStyle w:val="320"/>
        <w:spacing w:line="560" w:lineRule="exact"/>
        <w:jc w:val="center"/>
        <w:rPr>
          <w:rFonts w:ascii="仿宋" w:hAnsi="仿宋" w:eastAsia="仿宋" w:cs="仿宋"/>
          <w:b/>
          <w:bCs/>
          <w:color w:val="auto"/>
          <w:sz w:val="32"/>
          <w:szCs w:val="32"/>
          <w:highlight w:val="none"/>
        </w:rPr>
      </w:pPr>
    </w:p>
    <w:p w14:paraId="53997163">
      <w:pPr>
        <w:pStyle w:val="321"/>
        <w:spacing w:line="480" w:lineRule="exact"/>
        <w:rPr>
          <w:rFonts w:ascii="仿宋" w:hAnsi="仿宋" w:eastAsia="仿宋" w:cs="仿宋"/>
          <w:color w:val="auto"/>
          <w:sz w:val="24"/>
          <w:szCs w:val="20"/>
          <w:highlight w:val="none"/>
          <w:u w:val="single"/>
        </w:rPr>
      </w:pPr>
      <w:r>
        <w:rPr>
          <w:rFonts w:hint="eastAsia" w:ascii="仿宋" w:hAnsi="仿宋" w:eastAsia="仿宋" w:cs="仿宋"/>
          <w:color w:val="auto"/>
          <w:sz w:val="24"/>
          <w:szCs w:val="20"/>
          <w:highlight w:val="none"/>
          <w:lang w:eastAsia="zh-CN"/>
        </w:rPr>
        <w:t>投标人</w:t>
      </w:r>
      <w:r>
        <w:rPr>
          <w:rFonts w:hint="eastAsia" w:ascii="仿宋" w:hAnsi="仿宋" w:eastAsia="仿宋" w:cs="仿宋"/>
          <w:color w:val="auto"/>
          <w:sz w:val="24"/>
          <w:szCs w:val="20"/>
          <w:highlight w:val="none"/>
        </w:rPr>
        <w:t>名称：</w:t>
      </w:r>
      <w:r>
        <w:rPr>
          <w:rFonts w:hint="eastAsia" w:ascii="仿宋" w:hAnsi="仿宋" w:eastAsia="仿宋" w:cs="仿宋"/>
          <w:color w:val="auto"/>
          <w:sz w:val="24"/>
          <w:szCs w:val="20"/>
          <w:highlight w:val="none"/>
          <w:u w:val="single"/>
        </w:rPr>
        <w:t xml:space="preserve">                             </w:t>
      </w:r>
    </w:p>
    <w:p w14:paraId="025B2458">
      <w:pPr>
        <w:pStyle w:val="321"/>
        <w:spacing w:line="480" w:lineRule="exact"/>
        <w:rPr>
          <w:rFonts w:ascii="仿宋" w:hAnsi="仿宋" w:eastAsia="仿宋" w:cs="仿宋"/>
          <w:color w:val="auto"/>
          <w:sz w:val="24"/>
          <w:szCs w:val="20"/>
          <w:highlight w:val="none"/>
          <w:u w:val="single"/>
        </w:rPr>
      </w:pPr>
      <w:r>
        <w:rPr>
          <w:rFonts w:hint="eastAsia" w:ascii="仿宋" w:hAnsi="仿宋" w:eastAsia="仿宋" w:cs="仿宋"/>
          <w:color w:val="auto"/>
          <w:sz w:val="24"/>
          <w:szCs w:val="20"/>
          <w:highlight w:val="none"/>
        </w:rPr>
        <w:t>单位性质：</w:t>
      </w:r>
      <w:r>
        <w:rPr>
          <w:rFonts w:hint="eastAsia" w:ascii="仿宋" w:hAnsi="仿宋" w:eastAsia="仿宋" w:cs="仿宋"/>
          <w:color w:val="auto"/>
          <w:sz w:val="24"/>
          <w:szCs w:val="20"/>
          <w:highlight w:val="none"/>
          <w:u w:val="single"/>
        </w:rPr>
        <w:t xml:space="preserve">                               </w:t>
      </w:r>
    </w:p>
    <w:p w14:paraId="7A1A5BA0">
      <w:pPr>
        <w:pStyle w:val="321"/>
        <w:spacing w:line="480" w:lineRule="exact"/>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注册地址：</w:t>
      </w:r>
      <w:r>
        <w:rPr>
          <w:rFonts w:hint="eastAsia" w:ascii="仿宋" w:hAnsi="仿宋" w:eastAsia="仿宋" w:cs="仿宋"/>
          <w:color w:val="auto"/>
          <w:sz w:val="24"/>
          <w:szCs w:val="20"/>
          <w:highlight w:val="none"/>
          <w:u w:val="single"/>
        </w:rPr>
        <w:t xml:space="preserve">                               </w:t>
      </w:r>
    </w:p>
    <w:p w14:paraId="1C7C7193">
      <w:pPr>
        <w:pStyle w:val="321"/>
        <w:spacing w:line="480" w:lineRule="exact"/>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成立时间：</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年</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月</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日</w:t>
      </w:r>
    </w:p>
    <w:p w14:paraId="43CFA768">
      <w:pPr>
        <w:pStyle w:val="321"/>
        <w:spacing w:line="480" w:lineRule="exact"/>
        <w:rPr>
          <w:rFonts w:ascii="仿宋" w:hAnsi="仿宋" w:eastAsia="仿宋" w:cs="仿宋"/>
          <w:color w:val="auto"/>
          <w:sz w:val="24"/>
          <w:szCs w:val="20"/>
          <w:highlight w:val="none"/>
        </w:rPr>
      </w:pPr>
    </w:p>
    <w:p w14:paraId="007BC3BF">
      <w:pPr>
        <w:pStyle w:val="321"/>
        <w:spacing w:line="480" w:lineRule="exact"/>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姓名：</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性别：</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年龄：</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职务：</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系</w:t>
      </w:r>
    </w:p>
    <w:p w14:paraId="118F3C32">
      <w:pPr>
        <w:pStyle w:val="321"/>
        <w:spacing w:line="480" w:lineRule="exact"/>
        <w:rPr>
          <w:rFonts w:ascii="仿宋" w:hAnsi="仿宋" w:eastAsia="仿宋" w:cs="仿宋"/>
          <w:color w:val="auto"/>
          <w:sz w:val="24"/>
          <w:szCs w:val="20"/>
          <w:highlight w:val="none"/>
        </w:rPr>
      </w:pP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w:t>
      </w:r>
      <w:r>
        <w:rPr>
          <w:rFonts w:hint="eastAsia" w:ascii="仿宋" w:hAnsi="仿宋" w:eastAsia="仿宋" w:cs="仿宋"/>
          <w:color w:val="auto"/>
          <w:sz w:val="24"/>
          <w:szCs w:val="20"/>
          <w:highlight w:val="none"/>
          <w:lang w:eastAsia="zh-CN"/>
        </w:rPr>
        <w:t>投标人</w:t>
      </w:r>
      <w:r>
        <w:rPr>
          <w:rFonts w:hint="eastAsia" w:ascii="仿宋" w:hAnsi="仿宋" w:eastAsia="仿宋" w:cs="仿宋"/>
          <w:color w:val="auto"/>
          <w:sz w:val="24"/>
          <w:szCs w:val="20"/>
          <w:highlight w:val="none"/>
        </w:rPr>
        <w:t>名称）的法定代表人。</w:t>
      </w:r>
    </w:p>
    <w:p w14:paraId="6DB1FD4B">
      <w:pPr>
        <w:pStyle w:val="321"/>
        <w:spacing w:line="480" w:lineRule="exact"/>
        <w:ind w:firstLine="480"/>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特此证明。</w:t>
      </w:r>
    </w:p>
    <w:p w14:paraId="51C5615C">
      <w:pPr>
        <w:pStyle w:val="321"/>
        <w:spacing w:line="480" w:lineRule="exact"/>
        <w:ind w:firstLine="480"/>
        <w:rPr>
          <w:rFonts w:ascii="仿宋" w:hAnsi="仿宋" w:eastAsia="仿宋" w:cs="仿宋"/>
          <w:color w:val="auto"/>
          <w:sz w:val="24"/>
          <w:highlight w:val="none"/>
        </w:rPr>
      </w:pPr>
    </w:p>
    <w:p w14:paraId="77BA7F7E">
      <w:pPr>
        <w:pStyle w:val="322"/>
        <w:spacing w:line="600" w:lineRule="exact"/>
        <w:rPr>
          <w:rFonts w:ascii="仿宋" w:hAnsi="仿宋" w:eastAsia="仿宋" w:cs="仿宋"/>
          <w:b/>
          <w:bCs/>
          <w:color w:val="auto"/>
          <w:sz w:val="24"/>
          <w:szCs w:val="20"/>
          <w:highlight w:val="none"/>
        </w:rPr>
      </w:pPr>
      <w:r>
        <w:rPr>
          <w:rFonts w:hint="eastAsia" w:ascii="仿宋" w:hAnsi="仿宋" w:eastAsia="仿宋" w:cs="仿宋"/>
          <w:b/>
          <w:bCs/>
          <w:color w:val="auto"/>
          <w:sz w:val="24"/>
          <w:szCs w:val="20"/>
          <w:highlight w:val="none"/>
        </w:rPr>
        <w:t>（法定代表人</w:t>
      </w:r>
      <w:r>
        <w:rPr>
          <w:rFonts w:hint="eastAsia" w:ascii="仿宋" w:hAnsi="仿宋" w:eastAsia="仿宋" w:cs="仿宋"/>
          <w:b/>
          <w:bCs/>
          <w:color w:val="auto"/>
          <w:sz w:val="24"/>
          <w:szCs w:val="20"/>
          <w:highlight w:val="none"/>
          <w:lang w:val="en-US" w:eastAsia="zh-CN"/>
        </w:rPr>
        <w:t>直接参与</w:t>
      </w:r>
      <w:r>
        <w:rPr>
          <w:rFonts w:hint="eastAsia" w:ascii="仿宋" w:hAnsi="仿宋" w:eastAsia="仿宋" w:cs="仿宋"/>
          <w:b/>
          <w:bCs/>
          <w:color w:val="auto"/>
          <w:sz w:val="24"/>
          <w:szCs w:val="20"/>
          <w:highlight w:val="none"/>
        </w:rPr>
        <w:t>的提供，</w:t>
      </w:r>
      <w:r>
        <w:rPr>
          <w:rFonts w:hint="eastAsia" w:ascii="仿宋" w:hAnsi="仿宋" w:eastAsia="仿宋" w:cs="仿宋"/>
          <w:b/>
          <w:bCs/>
          <w:color w:val="auto"/>
          <w:sz w:val="24"/>
          <w:szCs w:val="20"/>
          <w:highlight w:val="none"/>
          <w:lang w:val="en-US" w:eastAsia="zh-CN"/>
        </w:rPr>
        <w:t>未直接参与</w:t>
      </w:r>
      <w:r>
        <w:rPr>
          <w:rFonts w:hint="eastAsia" w:ascii="仿宋" w:hAnsi="仿宋" w:eastAsia="仿宋" w:cs="仿宋"/>
          <w:b/>
          <w:bCs/>
          <w:color w:val="auto"/>
          <w:sz w:val="24"/>
          <w:szCs w:val="20"/>
          <w:highlight w:val="none"/>
        </w:rPr>
        <w:t>可不提供。附法定代表人身份证</w:t>
      </w:r>
      <w:r>
        <w:rPr>
          <w:rFonts w:hint="eastAsia" w:ascii="仿宋" w:hAnsi="仿宋" w:eastAsia="仿宋" w:cs="仿宋"/>
          <w:b/>
          <w:bCs/>
          <w:color w:val="auto"/>
          <w:sz w:val="24"/>
          <w:szCs w:val="20"/>
          <w:highlight w:val="none"/>
          <w:lang w:eastAsia="zh-CN"/>
        </w:rPr>
        <w:t>复印件</w:t>
      </w:r>
      <w:r>
        <w:rPr>
          <w:rFonts w:hint="eastAsia" w:ascii="仿宋" w:hAnsi="仿宋" w:eastAsia="仿宋" w:cs="仿宋"/>
          <w:b/>
          <w:bCs/>
          <w:color w:val="auto"/>
          <w:sz w:val="24"/>
          <w:szCs w:val="20"/>
          <w:highlight w:val="none"/>
        </w:rPr>
        <w:t>）</w:t>
      </w:r>
    </w:p>
    <w:p w14:paraId="7B85C53F">
      <w:pPr>
        <w:pStyle w:val="323"/>
        <w:spacing w:line="700" w:lineRule="exact"/>
        <w:ind w:firstLine="629"/>
        <w:rPr>
          <w:rFonts w:ascii="仿宋" w:hAnsi="仿宋" w:eastAsia="仿宋" w:cs="仿宋"/>
          <w:color w:val="auto"/>
          <w:sz w:val="24"/>
          <w:szCs w:val="20"/>
          <w:highlight w:val="none"/>
        </w:rPr>
      </w:pPr>
    </w:p>
    <w:p w14:paraId="64C1E99D">
      <w:pPr>
        <w:pStyle w:val="323"/>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单位名称：</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w:t>
      </w:r>
      <w:r>
        <w:rPr>
          <w:rFonts w:hint="eastAsia" w:ascii="仿宋" w:hAnsi="仿宋" w:eastAsia="仿宋" w:cs="仿宋"/>
          <w:b/>
          <w:color w:val="auto"/>
          <w:sz w:val="24"/>
          <w:szCs w:val="20"/>
          <w:highlight w:val="none"/>
          <w:lang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44FC6CC2">
      <w:pPr>
        <w:pStyle w:val="331"/>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法定代表人：</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（签字</w:t>
      </w:r>
      <w:r>
        <w:rPr>
          <w:rFonts w:hint="eastAsia" w:ascii="仿宋" w:hAnsi="仿宋" w:eastAsia="仿宋" w:cs="仿宋"/>
          <w:b/>
          <w:color w:val="auto"/>
          <w:sz w:val="24"/>
          <w:szCs w:val="20"/>
          <w:highlight w:val="none"/>
          <w:lang w:val="en-US"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7EF97F52">
      <w:pPr>
        <w:pStyle w:val="323"/>
        <w:spacing w:line="520" w:lineRule="exact"/>
        <w:ind w:firstLine="0"/>
        <w:rPr>
          <w:rFonts w:ascii="仿宋" w:hAnsi="仿宋" w:eastAsia="仿宋" w:cs="仿宋"/>
          <w:color w:val="auto"/>
          <w:sz w:val="24"/>
          <w:szCs w:val="20"/>
          <w:highlight w:val="none"/>
        </w:rPr>
      </w:pPr>
      <w:r>
        <w:rPr>
          <w:rFonts w:hint="eastAsia" w:ascii="仿宋" w:hAnsi="仿宋" w:eastAsia="仿宋" w:cs="仿宋"/>
          <w:b/>
          <w:bCs w:val="0"/>
          <w:color w:val="auto"/>
          <w:sz w:val="24"/>
          <w:szCs w:val="20"/>
          <w:highlight w:val="none"/>
          <w:lang w:val="en-US" w:eastAsia="zh-CN"/>
        </w:rPr>
        <w:t>日期：</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年</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月</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日</w:t>
      </w:r>
    </w:p>
    <w:p w14:paraId="6381D39B">
      <w:pPr>
        <w:pStyle w:val="320"/>
        <w:spacing w:line="560" w:lineRule="exact"/>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clear="all"/>
      </w:r>
      <w:r>
        <w:rPr>
          <w:rFonts w:hint="eastAsia" w:ascii="仿宋" w:hAnsi="仿宋" w:eastAsia="仿宋" w:cs="仿宋"/>
          <w:b/>
          <w:bCs/>
          <w:color w:val="auto"/>
          <w:sz w:val="32"/>
          <w:szCs w:val="32"/>
          <w:highlight w:val="none"/>
        </w:rPr>
        <w:t>法定代表人授权委托书</w:t>
      </w:r>
    </w:p>
    <w:p w14:paraId="1790B4A8">
      <w:pPr>
        <w:pStyle w:val="323"/>
        <w:rPr>
          <w:rFonts w:hint="eastAsia" w:ascii="仿宋" w:hAnsi="仿宋" w:eastAsia="仿宋" w:cs="仿宋"/>
          <w:color w:val="auto"/>
          <w:sz w:val="24"/>
          <w:szCs w:val="24"/>
          <w:highlight w:val="none"/>
          <w:u w:val="single"/>
          <w:lang w:eastAsia="zh-CN"/>
        </w:rPr>
      </w:pPr>
    </w:p>
    <w:p w14:paraId="7EAB7218">
      <w:pPr>
        <w:pStyle w:val="323"/>
        <w:rPr>
          <w:rFonts w:hint="eastAsia" w:ascii="仿宋" w:hAnsi="仿宋" w:eastAsia="仿宋" w:cs="仿宋"/>
          <w:color w:val="auto"/>
          <w:sz w:val="24"/>
          <w:szCs w:val="24"/>
          <w:highlight w:val="none"/>
          <w:u w:val="single"/>
          <w:lang w:eastAsia="zh-CN"/>
        </w:rPr>
      </w:pPr>
    </w:p>
    <w:p w14:paraId="077F9644">
      <w:pPr>
        <w:pStyle w:val="323"/>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采购人/采购代理机构</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rPr>
        <w:t>：</w:t>
      </w:r>
    </w:p>
    <w:p w14:paraId="2C5785DD">
      <w:pPr>
        <w:pStyle w:val="323"/>
        <w:spacing w:line="360" w:lineRule="auto"/>
        <w:ind w:firstLine="480"/>
        <w:rPr>
          <w:rFonts w:ascii="仿宋" w:hAnsi="仿宋" w:eastAsia="仿宋" w:cs="仿宋"/>
          <w:color w:val="auto"/>
          <w:sz w:val="32"/>
          <w:szCs w:val="32"/>
          <w:highlight w:val="none"/>
          <w:u w:val="single"/>
        </w:rPr>
      </w:pPr>
      <w:r>
        <w:rPr>
          <w:rFonts w:hint="eastAsia" w:ascii="仿宋" w:hAnsi="仿宋" w:eastAsia="仿宋" w:cs="仿宋"/>
          <w:color w:val="auto"/>
          <w:sz w:val="24"/>
          <w:szCs w:val="24"/>
          <w:highlight w:val="none"/>
          <w:u w:val="single"/>
        </w:rPr>
        <w:t xml:space="preserve">      （单位名称）</w:t>
      </w: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u w:val="single"/>
        </w:rPr>
        <w:t xml:space="preserve">     （姓名）</w:t>
      </w:r>
      <w:r>
        <w:rPr>
          <w:rFonts w:hint="eastAsia" w:ascii="仿宋" w:hAnsi="仿宋" w:eastAsia="仿宋" w:cs="仿宋"/>
          <w:color w:val="auto"/>
          <w:sz w:val="24"/>
          <w:szCs w:val="24"/>
          <w:highlight w:val="none"/>
        </w:rPr>
        <w:t xml:space="preserve">，法定代表人身份证号：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，授权我单位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（职务或职称）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（姓名），身份证号：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，为我单位本次授权委托人，全权处理此次</w:t>
      </w:r>
      <w:r>
        <w:rPr>
          <w:rFonts w:hint="eastAsia" w:ascii="仿宋" w:hAnsi="仿宋" w:eastAsia="仿宋" w:cs="仿宋"/>
          <w:color w:val="auto"/>
          <w:sz w:val="24"/>
          <w:szCs w:val="24"/>
          <w:highlight w:val="none"/>
          <w:u w:val="single"/>
        </w:rPr>
        <w:t xml:space="preserve">        （项目名称）</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活动的一切事宜。</w:t>
      </w:r>
    </w:p>
    <w:p w14:paraId="64C9E991">
      <w:pPr>
        <w:pStyle w:val="323"/>
        <w:spacing w:line="360" w:lineRule="auto"/>
        <w:ind w:firstLine="630"/>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特此授权。</w:t>
      </w:r>
    </w:p>
    <w:p w14:paraId="4E836FA8">
      <w:pPr>
        <w:pStyle w:val="323"/>
        <w:ind w:firstLine="480"/>
        <w:rPr>
          <w:rFonts w:ascii="仿宋" w:hAnsi="仿宋" w:eastAsia="仿宋" w:cs="仿宋"/>
          <w:color w:val="auto"/>
          <w:sz w:val="24"/>
          <w:szCs w:val="24"/>
          <w:highlight w:val="none"/>
        </w:rPr>
      </w:pPr>
    </w:p>
    <w:p w14:paraId="374E17BF">
      <w:pPr>
        <w:pStyle w:val="323"/>
        <w:ind w:firstLine="480"/>
        <w:rPr>
          <w:rFonts w:ascii="仿宋" w:hAnsi="仿宋" w:eastAsia="仿宋" w:cs="仿宋"/>
          <w:color w:val="auto"/>
          <w:sz w:val="24"/>
          <w:szCs w:val="24"/>
          <w:highlight w:val="none"/>
        </w:rPr>
      </w:pPr>
    </w:p>
    <w:p w14:paraId="63230D9B">
      <w:pPr>
        <w:pStyle w:val="323"/>
        <w:ind w:firstLine="482"/>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（授权委托人</w:t>
      </w:r>
      <w:r>
        <w:rPr>
          <w:rFonts w:hint="eastAsia" w:ascii="仿宋" w:hAnsi="仿宋" w:eastAsia="仿宋" w:cs="仿宋"/>
          <w:b/>
          <w:bCs/>
          <w:color w:val="auto"/>
          <w:sz w:val="24"/>
          <w:szCs w:val="20"/>
          <w:highlight w:val="none"/>
          <w:lang w:val="en-US" w:eastAsia="zh-CN"/>
        </w:rPr>
        <w:t>参与</w:t>
      </w:r>
      <w:r>
        <w:rPr>
          <w:rFonts w:hint="eastAsia" w:ascii="仿宋" w:hAnsi="仿宋" w:eastAsia="仿宋" w:cs="仿宋"/>
          <w:b/>
          <w:bCs/>
          <w:color w:val="auto"/>
          <w:sz w:val="24"/>
          <w:szCs w:val="20"/>
          <w:highlight w:val="none"/>
        </w:rPr>
        <w:t>的</w:t>
      </w:r>
      <w:r>
        <w:rPr>
          <w:rFonts w:hint="eastAsia" w:ascii="仿宋" w:hAnsi="仿宋" w:eastAsia="仿宋" w:cs="仿宋"/>
          <w:b/>
          <w:bCs/>
          <w:color w:val="auto"/>
          <w:sz w:val="24"/>
          <w:szCs w:val="24"/>
          <w:highlight w:val="none"/>
        </w:rPr>
        <w:t>提供，附法定代表人及被授权人身份证</w:t>
      </w:r>
      <w:r>
        <w:rPr>
          <w:rFonts w:hint="eastAsia" w:ascii="仿宋" w:hAnsi="仿宋" w:eastAsia="仿宋" w:cs="仿宋"/>
          <w:b/>
          <w:bCs/>
          <w:color w:val="auto"/>
          <w:sz w:val="24"/>
          <w:szCs w:val="24"/>
          <w:highlight w:val="none"/>
          <w:lang w:eastAsia="zh-CN"/>
        </w:rPr>
        <w:t>复印件</w:t>
      </w:r>
      <w:r>
        <w:rPr>
          <w:rFonts w:hint="eastAsia" w:ascii="仿宋" w:hAnsi="仿宋" w:eastAsia="仿宋" w:cs="仿宋"/>
          <w:b/>
          <w:bCs/>
          <w:color w:val="auto"/>
          <w:sz w:val="24"/>
          <w:szCs w:val="24"/>
          <w:highlight w:val="none"/>
        </w:rPr>
        <w:t>）</w:t>
      </w:r>
    </w:p>
    <w:p w14:paraId="0FB3FC35">
      <w:pPr>
        <w:pStyle w:val="323"/>
        <w:spacing w:line="600" w:lineRule="exact"/>
        <w:ind w:firstLine="630"/>
        <w:rPr>
          <w:rFonts w:ascii="仿宋" w:hAnsi="仿宋" w:eastAsia="仿宋" w:cs="仿宋"/>
          <w:color w:val="auto"/>
          <w:sz w:val="24"/>
          <w:szCs w:val="24"/>
          <w:highlight w:val="none"/>
        </w:rPr>
      </w:pPr>
    </w:p>
    <w:p w14:paraId="05208E83">
      <w:pPr>
        <w:pStyle w:val="323"/>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单位名称：</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w:t>
      </w:r>
      <w:r>
        <w:rPr>
          <w:rFonts w:hint="eastAsia" w:ascii="仿宋" w:hAnsi="仿宋" w:eastAsia="仿宋" w:cs="仿宋"/>
          <w:b/>
          <w:color w:val="auto"/>
          <w:sz w:val="24"/>
          <w:szCs w:val="20"/>
          <w:highlight w:val="none"/>
          <w:lang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14977150">
      <w:pPr>
        <w:pStyle w:val="331"/>
        <w:keepNext w:val="0"/>
        <w:keepLines w:val="0"/>
        <w:pageBreakBefore w:val="0"/>
        <w:widowControl w:val="0"/>
        <w:spacing w:line="520" w:lineRule="exact"/>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法定代表人：</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（签字</w:t>
      </w:r>
      <w:r>
        <w:rPr>
          <w:rFonts w:hint="eastAsia" w:ascii="仿宋" w:hAnsi="仿宋" w:eastAsia="仿宋" w:cs="仿宋"/>
          <w:b/>
          <w:color w:val="auto"/>
          <w:sz w:val="24"/>
          <w:szCs w:val="20"/>
          <w:highlight w:val="none"/>
          <w:lang w:val="en-US" w:eastAsia="zh-CN"/>
        </w:rPr>
        <w:t>/签章</w:t>
      </w:r>
      <w:r>
        <w:rPr>
          <w:rFonts w:hint="eastAsia" w:ascii="仿宋" w:hAnsi="仿宋" w:eastAsia="仿宋" w:cs="仿宋"/>
          <w:b/>
          <w:color w:val="auto"/>
          <w:sz w:val="24"/>
          <w:szCs w:val="20"/>
          <w:highlight w:val="none"/>
        </w:rPr>
        <w:t>）</w:t>
      </w:r>
    </w:p>
    <w:p w14:paraId="1BAECC3C">
      <w:pPr>
        <w:pStyle w:val="331"/>
        <w:keepNext w:val="0"/>
        <w:keepLines w:val="0"/>
        <w:pageBreakBefore w:val="0"/>
        <w:widowControl w:val="0"/>
        <w:spacing w:line="520" w:lineRule="exact"/>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授权委托人：</w:t>
      </w:r>
      <w:r>
        <w:rPr>
          <w:rFonts w:hint="eastAsia" w:ascii="仿宋" w:hAnsi="仿宋" w:eastAsia="仿宋" w:cs="仿宋"/>
          <w:b/>
          <w:color w:val="auto"/>
          <w:sz w:val="24"/>
          <w:szCs w:val="20"/>
          <w:highlight w:val="none"/>
          <w:u w:val="single"/>
        </w:rPr>
        <w:t xml:space="preserve">              </w:t>
      </w:r>
      <w:r>
        <w:rPr>
          <w:rFonts w:hint="eastAsia" w:ascii="仿宋" w:hAnsi="仿宋" w:eastAsia="仿宋" w:cs="仿宋"/>
          <w:b/>
          <w:color w:val="auto"/>
          <w:sz w:val="24"/>
          <w:szCs w:val="20"/>
          <w:highlight w:val="none"/>
        </w:rPr>
        <w:t>（签字</w:t>
      </w:r>
      <w:r>
        <w:rPr>
          <w:rFonts w:hint="eastAsia" w:ascii="仿宋" w:hAnsi="仿宋" w:eastAsia="仿宋" w:cs="仿宋"/>
          <w:b/>
          <w:color w:val="auto"/>
          <w:sz w:val="24"/>
          <w:szCs w:val="20"/>
          <w:highlight w:val="none"/>
          <w:lang w:val="en-US" w:eastAsia="zh-CN"/>
        </w:rPr>
        <w:t>/签章</w:t>
      </w:r>
      <w:r>
        <w:rPr>
          <w:rFonts w:hint="eastAsia" w:ascii="仿宋" w:hAnsi="仿宋" w:eastAsia="仿宋" w:cs="仿宋"/>
          <w:b/>
          <w:color w:val="auto"/>
          <w:sz w:val="24"/>
          <w:szCs w:val="20"/>
          <w:highlight w:val="none"/>
        </w:rPr>
        <w:t xml:space="preserve">）                 </w:t>
      </w:r>
    </w:p>
    <w:p w14:paraId="06BDDBBC">
      <w:pPr>
        <w:pStyle w:val="331"/>
        <w:keepNext w:val="0"/>
        <w:keepLines w:val="0"/>
        <w:pageBreakBefore w:val="0"/>
        <w:widowControl w:val="0"/>
        <w:spacing w:line="520" w:lineRule="exact"/>
        <w:rPr>
          <w:rFonts w:hint="eastAsia" w:ascii="仿宋" w:hAnsi="仿宋" w:eastAsia="仿宋" w:cs="仿宋"/>
          <w:b/>
          <w:color w:val="auto"/>
          <w:sz w:val="24"/>
          <w:szCs w:val="20"/>
          <w:highlight w:val="none"/>
        </w:rPr>
      </w:pPr>
      <w:r>
        <w:rPr>
          <w:rFonts w:hint="eastAsia" w:ascii="仿宋" w:hAnsi="仿宋" w:eastAsia="仿宋" w:cs="仿宋"/>
          <w:b/>
          <w:bCs w:val="0"/>
          <w:color w:val="auto"/>
          <w:sz w:val="24"/>
          <w:szCs w:val="20"/>
          <w:highlight w:val="none"/>
          <w:lang w:val="en-US" w:eastAsia="zh-CN"/>
        </w:rPr>
        <w:t>日期：</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年</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月</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日</w:t>
      </w:r>
    </w:p>
    <w:p w14:paraId="336690F9">
      <w:pPr>
        <w:pStyle w:val="327"/>
        <w:outlineLvl w:val="2"/>
        <w:rPr>
          <w:rFonts w:hint="default" w:ascii="仿宋" w:hAnsi="仿宋" w:eastAsia="仿宋" w:cs="仿宋"/>
          <w:b/>
          <w:color w:val="auto"/>
          <w:sz w:val="32"/>
          <w:szCs w:val="24"/>
          <w:highlight w:val="none"/>
          <w:lang w:val="en-US" w:eastAsia="zh-CN"/>
        </w:rPr>
      </w:pPr>
      <w:r>
        <w:rPr>
          <w:rFonts w:hint="eastAsia" w:ascii="仿宋" w:hAnsi="仿宋" w:eastAsia="仿宋" w:cs="仿宋"/>
          <w:color w:val="auto"/>
          <w:highlight w:val="none"/>
        </w:rPr>
        <w:br w:type="page" w:clear="all"/>
      </w:r>
      <w:r>
        <w:rPr>
          <w:rFonts w:hint="eastAsia" w:ascii="仿宋" w:hAnsi="仿宋" w:eastAsia="仿宋" w:cs="仿宋"/>
          <w:b/>
          <w:color w:val="auto"/>
          <w:sz w:val="32"/>
          <w:szCs w:val="24"/>
          <w:highlight w:val="none"/>
          <w:lang w:val="en-US" w:eastAsia="zh-CN"/>
        </w:rPr>
        <w:t>投标文件签署、盖章齐全完整</w:t>
      </w:r>
    </w:p>
    <w:p w14:paraId="60D4A4C4">
      <w:pPr>
        <w:rPr>
          <w:rFonts w:hint="eastAsia"/>
          <w:color w:val="auto"/>
          <w:highlight w:val="none"/>
          <w:lang w:val="en-US" w:eastAsia="zh-CN"/>
        </w:rPr>
      </w:pPr>
    </w:p>
    <w:p w14:paraId="5115F178">
      <w:pPr>
        <w:rPr>
          <w:rFonts w:hint="default"/>
          <w:color w:val="auto"/>
          <w:highlight w:val="none"/>
          <w:lang w:val="en-US" w:eastAsia="zh-CN"/>
        </w:rPr>
      </w:pPr>
    </w:p>
    <w:p w14:paraId="51DF1093">
      <w:pPr>
        <w:pStyle w:val="328"/>
        <w:spacing w:line="600" w:lineRule="exact"/>
        <w:jc w:val="center"/>
        <w:rPr>
          <w:rFonts w:ascii="仿宋" w:hAnsi="仿宋" w:eastAsia="仿宋" w:cs="仿宋"/>
          <w:b/>
          <w:color w:val="auto"/>
          <w:sz w:val="32"/>
          <w:szCs w:val="24"/>
          <w:highlight w:val="none"/>
        </w:rPr>
      </w:pPr>
      <w:r>
        <w:rPr>
          <w:rFonts w:hint="eastAsia" w:ascii="仿宋" w:hAnsi="仿宋" w:eastAsia="仿宋" w:cs="仿宋"/>
          <w:b/>
          <w:color w:val="auto"/>
          <w:sz w:val="32"/>
          <w:szCs w:val="24"/>
          <w:highlight w:val="none"/>
          <w:lang w:eastAsia="zh-CN"/>
        </w:rPr>
        <w:t>投标文件</w:t>
      </w:r>
      <w:r>
        <w:rPr>
          <w:rFonts w:hint="eastAsia" w:ascii="仿宋" w:hAnsi="仿宋" w:eastAsia="仿宋" w:cs="仿宋"/>
          <w:b/>
          <w:color w:val="auto"/>
          <w:sz w:val="32"/>
          <w:szCs w:val="24"/>
          <w:highlight w:val="none"/>
        </w:rPr>
        <w:t>签署、盖章的声明</w:t>
      </w:r>
    </w:p>
    <w:p w14:paraId="2D967D21">
      <w:pPr>
        <w:pStyle w:val="328"/>
        <w:spacing w:line="600" w:lineRule="exact"/>
        <w:rPr>
          <w:rFonts w:ascii="仿宋" w:hAnsi="仿宋" w:eastAsia="仿宋" w:cs="仿宋"/>
          <w:color w:val="auto"/>
          <w:sz w:val="24"/>
          <w:highlight w:val="none"/>
          <w:u w:val="single"/>
        </w:rPr>
      </w:pPr>
    </w:p>
    <w:p w14:paraId="500ACC55">
      <w:pPr>
        <w:pStyle w:val="328"/>
        <w:spacing w:line="600" w:lineRule="exact"/>
        <w:rPr>
          <w:rFonts w:ascii="仿宋" w:hAnsi="仿宋" w:eastAsia="仿宋" w:cs="仿宋"/>
          <w:bCs/>
          <w:color w:val="auto"/>
          <w:sz w:val="24"/>
          <w:szCs w:val="20"/>
          <w:highlight w:val="none"/>
        </w:rPr>
      </w:pP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采购人/采购代理机构</w:t>
      </w:r>
      <w:r>
        <w:rPr>
          <w:rFonts w:hint="eastAsia" w:ascii="仿宋" w:hAnsi="仿宋" w:eastAsia="仿宋" w:cs="仿宋"/>
          <w:color w:val="auto"/>
          <w:sz w:val="24"/>
          <w:szCs w:val="24"/>
          <w:highlight w:val="none"/>
          <w:u w:val="single"/>
          <w:lang w:eastAsia="zh-CN"/>
        </w:rPr>
        <w:t>）</w:t>
      </w:r>
      <w:r>
        <w:rPr>
          <w:rFonts w:hint="eastAsia" w:ascii="仿宋" w:hAnsi="仿宋" w:eastAsia="仿宋" w:cs="仿宋"/>
          <w:bCs/>
          <w:color w:val="auto"/>
          <w:sz w:val="24"/>
          <w:szCs w:val="20"/>
          <w:highlight w:val="none"/>
        </w:rPr>
        <w:t>：</w:t>
      </w:r>
    </w:p>
    <w:p w14:paraId="7EACE6E3">
      <w:pPr>
        <w:pStyle w:val="328"/>
        <w:spacing w:line="600" w:lineRule="exact"/>
        <w:ind w:firstLine="480"/>
        <w:rPr>
          <w:rFonts w:hint="eastAsia"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rPr>
        <w:t>我司在参加编号为</w:t>
      </w:r>
      <w:r>
        <w:rPr>
          <w:rFonts w:hint="eastAsia" w:ascii="仿宋" w:hAnsi="仿宋" w:eastAsia="仿宋" w:cs="仿宋"/>
          <w:bCs/>
          <w:color w:val="auto"/>
          <w:sz w:val="24"/>
          <w:szCs w:val="20"/>
          <w:highlight w:val="none"/>
          <w:u w:val="single"/>
        </w:rPr>
        <w:t xml:space="preserve">            号                     </w:t>
      </w:r>
      <w:r>
        <w:rPr>
          <w:rFonts w:hint="eastAsia" w:ascii="仿宋" w:hAnsi="仿宋" w:eastAsia="仿宋" w:cs="仿宋"/>
          <w:bCs/>
          <w:color w:val="auto"/>
          <w:sz w:val="24"/>
          <w:szCs w:val="20"/>
          <w:highlight w:val="none"/>
        </w:rPr>
        <w:t>项目</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我司</w:t>
      </w:r>
      <w:r>
        <w:rPr>
          <w:rFonts w:hint="eastAsia" w:ascii="仿宋" w:hAnsi="仿宋" w:eastAsia="仿宋" w:cs="仿宋"/>
          <w:bCs/>
          <w:color w:val="auto"/>
          <w:sz w:val="24"/>
          <w:szCs w:val="20"/>
          <w:highlight w:val="none"/>
          <w:lang w:eastAsia="zh-CN"/>
        </w:rPr>
        <w:t>投标文件</w:t>
      </w:r>
      <w:r>
        <w:rPr>
          <w:rFonts w:hint="eastAsia" w:ascii="仿宋" w:hAnsi="仿宋" w:eastAsia="仿宋" w:cs="仿宋"/>
          <w:bCs/>
          <w:color w:val="auto"/>
          <w:sz w:val="24"/>
          <w:szCs w:val="20"/>
          <w:highlight w:val="none"/>
        </w:rPr>
        <w:t>签署、盖章符合</w:t>
      </w:r>
      <w:r>
        <w:rPr>
          <w:rFonts w:hint="eastAsia" w:ascii="仿宋" w:hAnsi="仿宋" w:eastAsia="仿宋" w:cs="仿宋"/>
          <w:bCs/>
          <w:color w:val="auto"/>
          <w:sz w:val="24"/>
          <w:szCs w:val="20"/>
          <w:highlight w:val="none"/>
          <w:lang w:eastAsia="zh-CN"/>
        </w:rPr>
        <w:t>招标文件</w:t>
      </w:r>
      <w:r>
        <w:rPr>
          <w:rFonts w:hint="eastAsia" w:ascii="仿宋" w:hAnsi="仿宋" w:eastAsia="仿宋" w:cs="仿宋"/>
          <w:bCs/>
          <w:color w:val="auto"/>
          <w:sz w:val="24"/>
          <w:szCs w:val="20"/>
          <w:highlight w:val="none"/>
        </w:rPr>
        <w:t>规定</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具体报价内容详见投标文件。</w:t>
      </w:r>
    </w:p>
    <w:p w14:paraId="5217D9A0">
      <w:pPr>
        <w:pStyle w:val="328"/>
        <w:spacing w:line="600" w:lineRule="exact"/>
        <w:ind w:firstLine="480"/>
        <w:rPr>
          <w:rFonts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特此声明</w:t>
      </w:r>
    </w:p>
    <w:p w14:paraId="27E582D1">
      <w:pPr>
        <w:pStyle w:val="328"/>
        <w:spacing w:line="600" w:lineRule="exact"/>
        <w:ind w:firstLine="480"/>
        <w:rPr>
          <w:rFonts w:hint="eastAsia"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lang w:val="en-US" w:eastAsia="zh-CN"/>
        </w:rPr>
        <w:t>（我司知晓下列处理原则：已提供本声明但投标文件中</w:t>
      </w:r>
      <w:r>
        <w:rPr>
          <w:rFonts w:hint="eastAsia" w:ascii="仿宋" w:hAnsi="仿宋" w:eastAsia="仿宋" w:cs="仿宋"/>
          <w:bCs/>
          <w:color w:val="auto"/>
          <w:sz w:val="24"/>
          <w:szCs w:val="20"/>
          <w:highlight w:val="none"/>
        </w:rPr>
        <w:t>签署、盖章</w:t>
      </w:r>
      <w:r>
        <w:rPr>
          <w:rFonts w:hint="eastAsia" w:ascii="仿宋" w:hAnsi="仿宋" w:eastAsia="仿宋" w:cs="仿宋"/>
          <w:bCs/>
          <w:color w:val="auto"/>
          <w:sz w:val="24"/>
          <w:szCs w:val="20"/>
          <w:highlight w:val="none"/>
          <w:lang w:val="en-US" w:eastAsia="zh-CN"/>
        </w:rPr>
        <w:t>不符合招标文件规定的，本声明无效，并可能做不符性处理。）</w:t>
      </w:r>
    </w:p>
    <w:p w14:paraId="599FE493">
      <w:pPr>
        <w:pStyle w:val="328"/>
        <w:spacing w:line="600" w:lineRule="exact"/>
        <w:ind w:firstLine="480"/>
        <w:rPr>
          <w:rFonts w:hint="default" w:ascii="仿宋" w:hAnsi="仿宋" w:eastAsia="仿宋" w:cs="仿宋"/>
          <w:bCs/>
          <w:color w:val="auto"/>
          <w:sz w:val="24"/>
          <w:szCs w:val="20"/>
          <w:highlight w:val="none"/>
          <w:lang w:val="en-US" w:eastAsia="zh-CN"/>
        </w:rPr>
      </w:pPr>
    </w:p>
    <w:p w14:paraId="2588AA2D">
      <w:pPr>
        <w:pStyle w:val="323"/>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单位名称：</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w:t>
      </w:r>
      <w:r>
        <w:rPr>
          <w:rFonts w:hint="eastAsia" w:ascii="仿宋" w:hAnsi="仿宋" w:eastAsia="仿宋" w:cs="仿宋"/>
          <w:b/>
          <w:color w:val="auto"/>
          <w:sz w:val="24"/>
          <w:szCs w:val="20"/>
          <w:highlight w:val="none"/>
          <w:lang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434D1A5D">
      <w:pPr>
        <w:pStyle w:val="331"/>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法定代表人（或授权代表）：</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（签字</w:t>
      </w:r>
      <w:r>
        <w:rPr>
          <w:rFonts w:hint="eastAsia" w:ascii="仿宋" w:hAnsi="仿宋" w:eastAsia="仿宋" w:cs="仿宋"/>
          <w:b/>
          <w:color w:val="auto"/>
          <w:sz w:val="24"/>
          <w:szCs w:val="20"/>
          <w:highlight w:val="none"/>
          <w:lang w:val="en-US"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1CD60669">
      <w:pPr>
        <w:pStyle w:val="332"/>
        <w:keepNext w:val="0"/>
        <w:keepLines w:val="0"/>
        <w:pageBreakBefore w:val="0"/>
        <w:widowControl w:val="0"/>
        <w:spacing w:line="520" w:lineRule="exact"/>
        <w:ind w:firstLine="0"/>
        <w:rPr>
          <w:rFonts w:ascii="仿宋" w:hAnsi="仿宋" w:eastAsia="仿宋" w:cs="仿宋"/>
          <w:b/>
          <w:color w:val="auto"/>
          <w:sz w:val="24"/>
          <w:szCs w:val="20"/>
          <w:highlight w:val="none"/>
        </w:rPr>
      </w:pPr>
      <w:r>
        <w:rPr>
          <w:rFonts w:hint="eastAsia" w:ascii="仿宋" w:hAnsi="仿宋" w:eastAsia="仿宋" w:cs="仿宋"/>
          <w:b/>
          <w:bCs w:val="0"/>
          <w:color w:val="auto"/>
          <w:sz w:val="24"/>
          <w:szCs w:val="20"/>
          <w:highlight w:val="none"/>
          <w:lang w:val="en-US" w:eastAsia="zh-CN"/>
        </w:rPr>
        <w:t>日期：</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年</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月</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日</w:t>
      </w:r>
      <w:r>
        <w:rPr>
          <w:rFonts w:hint="eastAsia" w:ascii="仿宋" w:hAnsi="仿宋" w:eastAsia="仿宋" w:cs="仿宋"/>
          <w:color w:val="auto"/>
          <w:highlight w:val="none"/>
        </w:rPr>
        <w:br w:type="page" w:clear="all"/>
      </w:r>
    </w:p>
    <w:p w14:paraId="2DBCDE3E">
      <w:pPr>
        <w:outlineLvl w:val="2"/>
        <w:rPr>
          <w:rFonts w:hint="default"/>
          <w:color w:val="auto"/>
          <w:highlight w:val="none"/>
          <w:lang w:val="en-US" w:eastAsia="zh-CN"/>
        </w:rPr>
      </w:pPr>
      <w:r>
        <w:rPr>
          <w:rFonts w:hint="eastAsia" w:ascii="仿宋" w:hAnsi="仿宋" w:eastAsia="仿宋" w:cs="仿宋"/>
          <w:b/>
          <w:color w:val="auto"/>
          <w:sz w:val="32"/>
          <w:szCs w:val="24"/>
          <w:highlight w:val="none"/>
          <w:lang w:val="en-US" w:eastAsia="zh-CN"/>
        </w:rPr>
        <w:t>联合体投标</w:t>
      </w:r>
    </w:p>
    <w:p w14:paraId="07F66CC9">
      <w:pPr>
        <w:rPr>
          <w:rFonts w:hint="default"/>
          <w:color w:val="auto"/>
          <w:highlight w:val="none"/>
          <w:lang w:val="en-US" w:eastAsia="zh-CN"/>
        </w:rPr>
      </w:pPr>
    </w:p>
    <w:p w14:paraId="0CD632ED">
      <w:pPr>
        <w:pStyle w:val="328"/>
        <w:spacing w:line="600" w:lineRule="exact"/>
        <w:jc w:val="center"/>
        <w:rPr>
          <w:rFonts w:ascii="仿宋" w:hAnsi="仿宋" w:eastAsia="仿宋" w:cs="仿宋"/>
          <w:b/>
          <w:color w:val="auto"/>
          <w:sz w:val="32"/>
          <w:szCs w:val="24"/>
          <w:highlight w:val="none"/>
        </w:rPr>
      </w:pPr>
      <w:r>
        <w:rPr>
          <w:rFonts w:hint="eastAsia" w:ascii="仿宋" w:hAnsi="仿宋" w:eastAsia="仿宋" w:cs="仿宋"/>
          <w:b/>
          <w:color w:val="auto"/>
          <w:sz w:val="32"/>
          <w:szCs w:val="24"/>
          <w:highlight w:val="none"/>
          <w:lang w:val="en-US" w:eastAsia="zh-CN"/>
        </w:rPr>
        <w:t>联合体</w:t>
      </w:r>
      <w:r>
        <w:rPr>
          <w:rFonts w:hint="eastAsia" w:ascii="仿宋" w:hAnsi="仿宋" w:eastAsia="仿宋" w:cs="仿宋"/>
          <w:b/>
          <w:color w:val="auto"/>
          <w:sz w:val="32"/>
          <w:szCs w:val="24"/>
          <w:highlight w:val="none"/>
        </w:rPr>
        <w:t>声明</w:t>
      </w:r>
    </w:p>
    <w:p w14:paraId="59B3BA03">
      <w:pPr>
        <w:pStyle w:val="328"/>
        <w:spacing w:line="600" w:lineRule="exact"/>
        <w:rPr>
          <w:rFonts w:ascii="仿宋" w:hAnsi="仿宋" w:eastAsia="仿宋" w:cs="仿宋"/>
          <w:color w:val="auto"/>
          <w:sz w:val="24"/>
          <w:highlight w:val="none"/>
          <w:u w:val="single"/>
        </w:rPr>
      </w:pPr>
    </w:p>
    <w:p w14:paraId="66E89345">
      <w:pPr>
        <w:pStyle w:val="328"/>
        <w:spacing w:line="600" w:lineRule="exact"/>
        <w:rPr>
          <w:rFonts w:ascii="仿宋" w:hAnsi="仿宋" w:eastAsia="仿宋" w:cs="仿宋"/>
          <w:bCs/>
          <w:color w:val="auto"/>
          <w:sz w:val="24"/>
          <w:szCs w:val="20"/>
          <w:highlight w:val="none"/>
        </w:rPr>
      </w:pP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采购人/采购代理机构</w:t>
      </w:r>
      <w:r>
        <w:rPr>
          <w:rFonts w:hint="eastAsia" w:ascii="仿宋" w:hAnsi="仿宋" w:eastAsia="仿宋" w:cs="仿宋"/>
          <w:color w:val="auto"/>
          <w:sz w:val="24"/>
          <w:szCs w:val="24"/>
          <w:highlight w:val="none"/>
          <w:u w:val="single"/>
          <w:lang w:eastAsia="zh-CN"/>
        </w:rPr>
        <w:t>）</w:t>
      </w:r>
      <w:r>
        <w:rPr>
          <w:rFonts w:hint="eastAsia" w:ascii="仿宋" w:hAnsi="仿宋" w:eastAsia="仿宋" w:cs="仿宋"/>
          <w:bCs/>
          <w:color w:val="auto"/>
          <w:sz w:val="24"/>
          <w:szCs w:val="20"/>
          <w:highlight w:val="none"/>
        </w:rPr>
        <w:t>：</w:t>
      </w:r>
    </w:p>
    <w:p w14:paraId="005792C4">
      <w:pPr>
        <w:pStyle w:val="328"/>
        <w:spacing w:line="600" w:lineRule="exact"/>
        <w:ind w:firstLine="480"/>
        <w:rPr>
          <w:rFonts w:hint="eastAsia"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rPr>
        <w:t>我司在参加编号为</w:t>
      </w:r>
      <w:r>
        <w:rPr>
          <w:rFonts w:hint="eastAsia" w:ascii="仿宋" w:hAnsi="仿宋" w:eastAsia="仿宋" w:cs="仿宋"/>
          <w:bCs/>
          <w:color w:val="auto"/>
          <w:sz w:val="24"/>
          <w:szCs w:val="20"/>
          <w:highlight w:val="none"/>
          <w:u w:val="single"/>
        </w:rPr>
        <w:t xml:space="preserve">            号                     </w:t>
      </w:r>
      <w:r>
        <w:rPr>
          <w:rFonts w:hint="eastAsia" w:ascii="仿宋" w:hAnsi="仿宋" w:eastAsia="仿宋" w:cs="仿宋"/>
          <w:bCs/>
          <w:color w:val="auto"/>
          <w:sz w:val="24"/>
          <w:szCs w:val="20"/>
          <w:highlight w:val="none"/>
        </w:rPr>
        <w:t>项目</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我司参与本项目</w:t>
      </w:r>
      <w:r>
        <w:rPr>
          <w:rFonts w:hint="eastAsia" w:ascii="仿宋" w:hAnsi="仿宋" w:eastAsia="仿宋" w:cs="仿宋"/>
          <w:bCs/>
          <w:color w:val="auto"/>
          <w:sz w:val="24"/>
          <w:szCs w:val="20"/>
          <w:highlight w:val="none"/>
          <w:u w:val="single"/>
          <w:lang w:val="en-US" w:eastAsia="zh-CN"/>
        </w:rPr>
        <w:t>（是/否）</w:t>
      </w:r>
      <w:r>
        <w:rPr>
          <w:rFonts w:hint="eastAsia" w:ascii="仿宋" w:hAnsi="仿宋" w:eastAsia="仿宋" w:cs="仿宋"/>
          <w:bCs/>
          <w:color w:val="auto"/>
          <w:sz w:val="24"/>
          <w:szCs w:val="20"/>
          <w:highlight w:val="none"/>
          <w:lang w:val="en-US" w:eastAsia="zh-CN"/>
        </w:rPr>
        <w:t>存在联合体投标。</w:t>
      </w:r>
    </w:p>
    <w:p w14:paraId="2261D5F1">
      <w:pPr>
        <w:pStyle w:val="328"/>
        <w:spacing w:line="600" w:lineRule="exact"/>
        <w:ind w:firstLine="480"/>
        <w:rPr>
          <w:rFonts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特此声明</w:t>
      </w:r>
    </w:p>
    <w:p w14:paraId="492A32D1">
      <w:pPr>
        <w:pStyle w:val="328"/>
        <w:spacing w:line="600" w:lineRule="exact"/>
        <w:ind w:firstLine="480"/>
        <w:rPr>
          <w:rFonts w:hint="default" w:ascii="仿宋" w:hAnsi="仿宋" w:eastAsia="仿宋" w:cs="仿宋"/>
          <w:bCs/>
          <w:color w:val="auto"/>
          <w:sz w:val="24"/>
          <w:szCs w:val="20"/>
          <w:highlight w:val="none"/>
          <w:lang w:val="en-US" w:eastAsia="zh-CN"/>
        </w:rPr>
      </w:pPr>
    </w:p>
    <w:p w14:paraId="2020F1B2">
      <w:pPr>
        <w:pStyle w:val="323"/>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单位名称：</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w:t>
      </w:r>
      <w:r>
        <w:rPr>
          <w:rFonts w:hint="eastAsia" w:ascii="仿宋" w:hAnsi="仿宋" w:eastAsia="仿宋" w:cs="仿宋"/>
          <w:b/>
          <w:color w:val="auto"/>
          <w:sz w:val="24"/>
          <w:szCs w:val="20"/>
          <w:highlight w:val="none"/>
          <w:lang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34748F4E">
      <w:pPr>
        <w:pStyle w:val="331"/>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法定代表人（或授权代表）：</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（签字</w:t>
      </w:r>
      <w:r>
        <w:rPr>
          <w:rFonts w:hint="eastAsia" w:ascii="仿宋" w:hAnsi="仿宋" w:eastAsia="仿宋" w:cs="仿宋"/>
          <w:b/>
          <w:color w:val="auto"/>
          <w:sz w:val="24"/>
          <w:szCs w:val="20"/>
          <w:highlight w:val="none"/>
          <w:lang w:val="en-US"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5518465C">
      <w:pPr>
        <w:pStyle w:val="333"/>
        <w:spacing w:line="520" w:lineRule="exact"/>
        <w:rPr>
          <w:rFonts w:ascii="仿宋" w:hAnsi="仿宋" w:eastAsia="仿宋" w:cs="仿宋"/>
          <w:color w:val="auto"/>
          <w:highlight w:val="none"/>
        </w:rPr>
      </w:pPr>
      <w:r>
        <w:rPr>
          <w:rFonts w:hint="eastAsia" w:ascii="仿宋" w:hAnsi="仿宋" w:eastAsia="仿宋" w:cs="仿宋"/>
          <w:b/>
          <w:bCs w:val="0"/>
          <w:color w:val="auto"/>
          <w:sz w:val="24"/>
          <w:szCs w:val="20"/>
          <w:highlight w:val="none"/>
          <w:lang w:val="en-US" w:eastAsia="zh-CN"/>
        </w:rPr>
        <w:t>日期：</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年</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月</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日</w:t>
      </w:r>
    </w:p>
    <w:p w14:paraId="5CD49DBC">
      <w:pPr>
        <w:outlineLvl w:val="2"/>
        <w:rPr>
          <w:rFonts w:hint="default"/>
          <w:color w:val="auto"/>
          <w:highlight w:val="none"/>
          <w:lang w:val="en-US" w:eastAsia="zh-CN"/>
        </w:rPr>
      </w:pPr>
      <w:r>
        <w:rPr>
          <w:rFonts w:hint="eastAsia" w:ascii="仿宋" w:hAnsi="仿宋" w:eastAsia="仿宋" w:cs="仿宋"/>
          <w:color w:val="auto"/>
          <w:highlight w:val="none"/>
        </w:rPr>
        <w:br w:type="page" w:clear="all"/>
      </w:r>
      <w:r>
        <w:rPr>
          <w:rFonts w:hint="eastAsia" w:ascii="仿宋" w:hAnsi="仿宋" w:eastAsia="仿宋" w:cs="仿宋"/>
          <w:b/>
          <w:color w:val="auto"/>
          <w:sz w:val="32"/>
          <w:szCs w:val="24"/>
          <w:highlight w:val="none"/>
          <w:lang w:val="en-US" w:eastAsia="zh-CN"/>
        </w:rPr>
        <w:t>投标有效期</w:t>
      </w:r>
    </w:p>
    <w:p w14:paraId="08509294">
      <w:pPr>
        <w:pStyle w:val="328"/>
        <w:spacing w:line="600" w:lineRule="exact"/>
        <w:jc w:val="center"/>
        <w:rPr>
          <w:rFonts w:ascii="仿宋" w:hAnsi="仿宋" w:eastAsia="仿宋" w:cs="仿宋"/>
          <w:b/>
          <w:color w:val="auto"/>
          <w:sz w:val="32"/>
          <w:szCs w:val="24"/>
          <w:highlight w:val="none"/>
        </w:rPr>
      </w:pPr>
      <w:r>
        <w:rPr>
          <w:rFonts w:hint="eastAsia" w:ascii="仿宋" w:hAnsi="仿宋" w:eastAsia="仿宋" w:cs="仿宋"/>
          <w:b/>
          <w:color w:val="auto"/>
          <w:sz w:val="32"/>
          <w:szCs w:val="24"/>
          <w:highlight w:val="none"/>
          <w:lang w:val="en-US" w:eastAsia="zh-CN"/>
        </w:rPr>
        <w:t>投标有效期</w:t>
      </w:r>
      <w:r>
        <w:rPr>
          <w:rFonts w:hint="eastAsia" w:ascii="仿宋" w:hAnsi="仿宋" w:eastAsia="仿宋" w:cs="仿宋"/>
          <w:b/>
          <w:color w:val="auto"/>
          <w:sz w:val="32"/>
          <w:szCs w:val="24"/>
          <w:highlight w:val="none"/>
        </w:rPr>
        <w:t>声明</w:t>
      </w:r>
    </w:p>
    <w:p w14:paraId="0DB49E32">
      <w:pPr>
        <w:pStyle w:val="328"/>
        <w:spacing w:line="600" w:lineRule="exact"/>
        <w:rPr>
          <w:rFonts w:ascii="仿宋" w:hAnsi="仿宋" w:eastAsia="仿宋" w:cs="仿宋"/>
          <w:color w:val="auto"/>
          <w:sz w:val="24"/>
          <w:highlight w:val="none"/>
          <w:u w:val="single"/>
        </w:rPr>
      </w:pPr>
    </w:p>
    <w:p w14:paraId="7B921003">
      <w:pPr>
        <w:pStyle w:val="328"/>
        <w:spacing w:line="600" w:lineRule="exact"/>
        <w:rPr>
          <w:rFonts w:ascii="仿宋" w:hAnsi="仿宋" w:eastAsia="仿宋" w:cs="仿宋"/>
          <w:bCs/>
          <w:color w:val="auto"/>
          <w:sz w:val="24"/>
          <w:szCs w:val="20"/>
          <w:highlight w:val="none"/>
        </w:rPr>
      </w:pP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采购人/采购代理机构</w:t>
      </w:r>
      <w:r>
        <w:rPr>
          <w:rFonts w:hint="eastAsia" w:ascii="仿宋" w:hAnsi="仿宋" w:eastAsia="仿宋" w:cs="仿宋"/>
          <w:color w:val="auto"/>
          <w:sz w:val="24"/>
          <w:szCs w:val="24"/>
          <w:highlight w:val="none"/>
          <w:u w:val="single"/>
          <w:lang w:eastAsia="zh-CN"/>
        </w:rPr>
        <w:t>）</w:t>
      </w:r>
      <w:r>
        <w:rPr>
          <w:rFonts w:hint="eastAsia" w:ascii="仿宋" w:hAnsi="仿宋" w:eastAsia="仿宋" w:cs="仿宋"/>
          <w:bCs/>
          <w:color w:val="auto"/>
          <w:sz w:val="24"/>
          <w:szCs w:val="20"/>
          <w:highlight w:val="none"/>
        </w:rPr>
        <w:t>：</w:t>
      </w:r>
    </w:p>
    <w:p w14:paraId="726117D0">
      <w:pPr>
        <w:pStyle w:val="328"/>
        <w:spacing w:line="600" w:lineRule="exact"/>
        <w:ind w:firstLine="480"/>
        <w:rPr>
          <w:rFonts w:hint="eastAsia"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rPr>
        <w:t>我司在参加编号为</w:t>
      </w:r>
      <w:r>
        <w:rPr>
          <w:rFonts w:hint="eastAsia" w:ascii="仿宋" w:hAnsi="仿宋" w:eastAsia="仿宋" w:cs="仿宋"/>
          <w:bCs/>
          <w:color w:val="auto"/>
          <w:sz w:val="24"/>
          <w:szCs w:val="20"/>
          <w:highlight w:val="none"/>
          <w:u w:val="single"/>
        </w:rPr>
        <w:t xml:space="preserve">            号                     </w:t>
      </w:r>
      <w:r>
        <w:rPr>
          <w:rFonts w:hint="eastAsia" w:ascii="仿宋" w:hAnsi="仿宋" w:eastAsia="仿宋" w:cs="仿宋"/>
          <w:bCs/>
          <w:color w:val="auto"/>
          <w:sz w:val="24"/>
          <w:szCs w:val="20"/>
          <w:highlight w:val="none"/>
        </w:rPr>
        <w:t>项目</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我司承诺我司投标文件的投标有效期为</w:t>
      </w:r>
      <w:r>
        <w:rPr>
          <w:rFonts w:hint="eastAsia" w:ascii="仿宋" w:hAnsi="仿宋" w:eastAsia="仿宋" w:cs="仿宋"/>
          <w:bCs/>
          <w:color w:val="auto"/>
          <w:sz w:val="24"/>
          <w:szCs w:val="20"/>
          <w:highlight w:val="none"/>
          <w:u w:val="single"/>
          <w:lang w:val="en-US" w:eastAsia="zh-CN"/>
        </w:rPr>
        <w:t xml:space="preserve">       </w:t>
      </w:r>
      <w:r>
        <w:rPr>
          <w:rFonts w:hint="eastAsia" w:ascii="仿宋" w:hAnsi="仿宋" w:eastAsia="仿宋" w:cs="仿宋"/>
          <w:bCs/>
          <w:color w:val="auto"/>
          <w:sz w:val="24"/>
          <w:szCs w:val="20"/>
          <w:highlight w:val="none"/>
          <w:lang w:val="en-US" w:eastAsia="zh-CN"/>
        </w:rPr>
        <w:t>日（从提交投标文件截止之日起算）。</w:t>
      </w:r>
    </w:p>
    <w:p w14:paraId="7A7883C6">
      <w:pPr>
        <w:pStyle w:val="328"/>
        <w:spacing w:line="600" w:lineRule="exact"/>
        <w:ind w:firstLine="480"/>
        <w:rPr>
          <w:rFonts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特此声明</w:t>
      </w:r>
    </w:p>
    <w:p w14:paraId="076C1666">
      <w:pPr>
        <w:pStyle w:val="328"/>
        <w:spacing w:line="600" w:lineRule="exact"/>
        <w:ind w:firstLine="480"/>
        <w:rPr>
          <w:rFonts w:hint="default" w:ascii="仿宋" w:hAnsi="仿宋" w:eastAsia="仿宋" w:cs="仿宋"/>
          <w:bCs/>
          <w:color w:val="auto"/>
          <w:sz w:val="24"/>
          <w:szCs w:val="20"/>
          <w:highlight w:val="none"/>
          <w:lang w:val="en-US" w:eastAsia="zh-CN"/>
        </w:rPr>
      </w:pPr>
    </w:p>
    <w:p w14:paraId="7014A229">
      <w:pPr>
        <w:pStyle w:val="323"/>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单位名称：</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w:t>
      </w:r>
      <w:r>
        <w:rPr>
          <w:rFonts w:hint="eastAsia" w:ascii="仿宋" w:hAnsi="仿宋" w:eastAsia="仿宋" w:cs="仿宋"/>
          <w:b/>
          <w:color w:val="auto"/>
          <w:sz w:val="24"/>
          <w:szCs w:val="20"/>
          <w:highlight w:val="none"/>
          <w:lang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3360AB36">
      <w:pPr>
        <w:pStyle w:val="331"/>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法定代表人（或授权代表）：</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（签字</w:t>
      </w:r>
      <w:r>
        <w:rPr>
          <w:rFonts w:hint="eastAsia" w:ascii="仿宋" w:hAnsi="仿宋" w:eastAsia="仿宋" w:cs="仿宋"/>
          <w:b/>
          <w:color w:val="auto"/>
          <w:sz w:val="24"/>
          <w:szCs w:val="20"/>
          <w:highlight w:val="none"/>
          <w:lang w:val="en-US"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55FE9AF2">
      <w:pPr>
        <w:pStyle w:val="331"/>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bCs w:val="0"/>
          <w:color w:val="auto"/>
          <w:sz w:val="24"/>
          <w:szCs w:val="20"/>
          <w:highlight w:val="none"/>
          <w:lang w:val="en-US" w:eastAsia="zh-CN"/>
        </w:rPr>
        <w:t>日期：</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年</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月</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日</w:t>
      </w:r>
      <w:r>
        <w:rPr>
          <w:rFonts w:hint="eastAsia" w:ascii="仿宋" w:hAnsi="仿宋" w:eastAsia="仿宋" w:cs="仿宋"/>
          <w:b/>
          <w:color w:val="auto"/>
          <w:sz w:val="24"/>
          <w:szCs w:val="20"/>
          <w:highlight w:val="none"/>
        </w:rPr>
        <w:t xml:space="preserve">                 </w:t>
      </w:r>
    </w:p>
    <w:p w14:paraId="09A1F16B">
      <w:pPr>
        <w:pStyle w:val="262"/>
        <w:spacing w:line="360" w:lineRule="auto"/>
        <w:ind w:left="0"/>
        <w:rPr>
          <w:rFonts w:ascii="仿宋" w:hAnsi="仿宋" w:eastAsia="仿宋" w:cs="仿宋"/>
          <w:b/>
          <w:bCs/>
          <w:color w:val="auto"/>
          <w:szCs w:val="24"/>
          <w:highlight w:val="none"/>
        </w:rPr>
      </w:pPr>
    </w:p>
    <w:p w14:paraId="09273EB5">
      <w:pPr>
        <w:pStyle w:val="315"/>
        <w:jc w:val="left"/>
        <w:outlineLvl w:val="2"/>
        <w:rPr>
          <w:rFonts w:ascii="仿宋" w:hAnsi="仿宋" w:eastAsia="仿宋" w:cs="仿宋"/>
          <w:b/>
          <w:color w:val="auto"/>
          <w:sz w:val="32"/>
          <w:szCs w:val="24"/>
          <w:highlight w:val="none"/>
        </w:rPr>
      </w:pPr>
      <w:r>
        <w:rPr>
          <w:rFonts w:hint="eastAsia" w:ascii="仿宋" w:hAnsi="仿宋" w:eastAsia="仿宋" w:cs="仿宋"/>
          <w:color w:val="auto"/>
          <w:highlight w:val="none"/>
        </w:rPr>
        <w:br w:type="page" w:clear="all"/>
      </w:r>
      <w:r>
        <w:rPr>
          <w:rFonts w:hint="eastAsia" w:ascii="仿宋" w:hAnsi="仿宋" w:eastAsia="仿宋" w:cs="仿宋"/>
          <w:b/>
          <w:color w:val="auto"/>
          <w:sz w:val="32"/>
          <w:szCs w:val="24"/>
          <w:highlight w:val="none"/>
        </w:rPr>
        <w:t>商务</w:t>
      </w:r>
      <w:r>
        <w:rPr>
          <w:rFonts w:hint="eastAsia" w:ascii="仿宋" w:hAnsi="仿宋" w:eastAsia="仿宋" w:cs="仿宋"/>
          <w:b/>
          <w:color w:val="auto"/>
          <w:sz w:val="32"/>
          <w:szCs w:val="24"/>
          <w:highlight w:val="none"/>
          <w:lang w:val="en-US" w:eastAsia="zh-CN"/>
        </w:rPr>
        <w:t>响应</w:t>
      </w:r>
      <w:r>
        <w:rPr>
          <w:rFonts w:hint="eastAsia" w:ascii="仿宋" w:hAnsi="仿宋" w:eastAsia="仿宋" w:cs="仿宋"/>
          <w:b/>
          <w:color w:val="auto"/>
          <w:sz w:val="32"/>
          <w:szCs w:val="24"/>
          <w:highlight w:val="none"/>
        </w:rPr>
        <w:t>偏离表</w:t>
      </w:r>
    </w:p>
    <w:p w14:paraId="3423102E">
      <w:pPr>
        <w:pStyle w:val="338"/>
        <w:jc w:val="center"/>
        <w:rPr>
          <w:rFonts w:ascii="仿宋" w:hAnsi="仿宋" w:eastAsia="仿宋" w:cs="仿宋"/>
          <w:b/>
          <w:color w:val="auto"/>
          <w:sz w:val="32"/>
          <w:highlight w:val="none"/>
        </w:rPr>
      </w:pPr>
      <w:r>
        <w:rPr>
          <w:rFonts w:hint="eastAsia" w:ascii="仿宋" w:hAnsi="仿宋" w:eastAsia="仿宋" w:cs="仿宋"/>
          <w:color w:val="auto"/>
          <w:sz w:val="32"/>
          <w:szCs w:val="32"/>
          <w:highlight w:val="none"/>
        </w:rPr>
        <w:t>商务响应偏离表</w:t>
      </w:r>
    </w:p>
    <w:tbl>
      <w:tblPr>
        <w:tblStyle w:val="3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12"/>
        <w:gridCol w:w="3632"/>
        <w:gridCol w:w="1863"/>
      </w:tblGrid>
      <w:tr w14:paraId="77A12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 w:hRule="atLeast"/>
          <w:jc w:val="center"/>
        </w:trPr>
        <w:tc>
          <w:tcPr>
            <w:tcW w:w="3012" w:type="dxa"/>
            <w:noWrap w:val="0"/>
            <w:vAlign w:val="center"/>
          </w:tcPr>
          <w:p w14:paraId="4BBEF4C4">
            <w:pPr>
              <w:pStyle w:val="329"/>
              <w:widowControl/>
              <w:spacing w:before="100" w:beforeAutospacing="1" w:line="56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招标文件内容</w:t>
            </w:r>
          </w:p>
        </w:tc>
        <w:tc>
          <w:tcPr>
            <w:tcW w:w="3632" w:type="dxa"/>
            <w:noWrap w:val="0"/>
            <w:vAlign w:val="center"/>
          </w:tcPr>
          <w:p w14:paraId="788BA22E">
            <w:pPr>
              <w:pStyle w:val="329"/>
              <w:widowControl/>
              <w:spacing w:before="100" w:beforeAutospacing="1" w:line="56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投标文件内容</w:t>
            </w:r>
          </w:p>
        </w:tc>
        <w:tc>
          <w:tcPr>
            <w:tcW w:w="1863" w:type="dxa"/>
            <w:noWrap w:val="0"/>
            <w:vAlign w:val="center"/>
          </w:tcPr>
          <w:p w14:paraId="25E33353">
            <w:pPr>
              <w:pStyle w:val="329"/>
              <w:widowControl/>
              <w:spacing w:before="100" w:beforeAutospacing="1" w:line="56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偏离内容及说明</w:t>
            </w:r>
          </w:p>
        </w:tc>
      </w:tr>
      <w:tr w14:paraId="44908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 w:hRule="atLeast"/>
          <w:jc w:val="center"/>
        </w:trPr>
        <w:tc>
          <w:tcPr>
            <w:tcW w:w="3012" w:type="dxa"/>
            <w:noWrap w:val="0"/>
            <w:vAlign w:val="center"/>
          </w:tcPr>
          <w:p w14:paraId="75B038E7">
            <w:pPr>
              <w:pStyle w:val="329"/>
              <w:spacing w:line="560" w:lineRule="exact"/>
              <w:jc w:val="left"/>
              <w:rPr>
                <w:rFonts w:ascii="仿宋" w:hAnsi="仿宋" w:eastAsia="仿宋" w:cs="仿宋"/>
                <w:color w:val="auto"/>
                <w:sz w:val="24"/>
                <w:highlight w:val="none"/>
              </w:rPr>
            </w:pPr>
          </w:p>
        </w:tc>
        <w:tc>
          <w:tcPr>
            <w:tcW w:w="3632" w:type="dxa"/>
            <w:noWrap w:val="0"/>
            <w:vAlign w:val="center"/>
          </w:tcPr>
          <w:p w14:paraId="2C3E1202">
            <w:pPr>
              <w:pStyle w:val="329"/>
              <w:spacing w:line="560" w:lineRule="exact"/>
              <w:jc w:val="left"/>
              <w:rPr>
                <w:rFonts w:ascii="仿宋" w:hAnsi="仿宋" w:eastAsia="仿宋" w:cs="仿宋"/>
                <w:color w:val="auto"/>
                <w:sz w:val="24"/>
                <w:highlight w:val="none"/>
              </w:rPr>
            </w:pPr>
          </w:p>
        </w:tc>
        <w:tc>
          <w:tcPr>
            <w:tcW w:w="1863" w:type="dxa"/>
            <w:noWrap w:val="0"/>
            <w:vAlign w:val="center"/>
          </w:tcPr>
          <w:p w14:paraId="4F0268D7">
            <w:pPr>
              <w:pStyle w:val="329"/>
              <w:spacing w:line="560" w:lineRule="exact"/>
              <w:jc w:val="center"/>
              <w:rPr>
                <w:rFonts w:ascii="仿宋" w:hAnsi="仿宋" w:eastAsia="仿宋" w:cs="仿宋"/>
                <w:color w:val="auto"/>
                <w:sz w:val="24"/>
                <w:highlight w:val="none"/>
              </w:rPr>
            </w:pPr>
          </w:p>
        </w:tc>
      </w:tr>
      <w:tr w14:paraId="7A481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 w:hRule="atLeast"/>
          <w:jc w:val="center"/>
        </w:trPr>
        <w:tc>
          <w:tcPr>
            <w:tcW w:w="3012" w:type="dxa"/>
            <w:noWrap w:val="0"/>
            <w:vAlign w:val="center"/>
          </w:tcPr>
          <w:p w14:paraId="1F9FC62C">
            <w:pPr>
              <w:pStyle w:val="329"/>
              <w:spacing w:line="560" w:lineRule="exact"/>
              <w:jc w:val="center"/>
              <w:rPr>
                <w:rFonts w:hint="default" w:ascii="仿宋" w:hAnsi="仿宋" w:eastAsia="仿宋" w:cs="仿宋"/>
                <w:color w:val="auto"/>
                <w:sz w:val="24"/>
                <w:highlight w:val="none"/>
                <w:lang w:val="en-US" w:eastAsia="zh-CN"/>
              </w:rPr>
            </w:pPr>
          </w:p>
        </w:tc>
        <w:tc>
          <w:tcPr>
            <w:tcW w:w="3632" w:type="dxa"/>
            <w:noWrap w:val="0"/>
            <w:vAlign w:val="center"/>
          </w:tcPr>
          <w:p w14:paraId="20904965">
            <w:pPr>
              <w:pStyle w:val="329"/>
              <w:spacing w:line="560" w:lineRule="exact"/>
              <w:jc w:val="center"/>
              <w:rPr>
                <w:rFonts w:ascii="仿宋" w:hAnsi="仿宋" w:eastAsia="仿宋" w:cs="仿宋"/>
                <w:color w:val="auto"/>
                <w:sz w:val="24"/>
                <w:highlight w:val="none"/>
              </w:rPr>
            </w:pPr>
          </w:p>
        </w:tc>
        <w:tc>
          <w:tcPr>
            <w:tcW w:w="1863" w:type="dxa"/>
            <w:noWrap w:val="0"/>
            <w:vAlign w:val="center"/>
          </w:tcPr>
          <w:p w14:paraId="543F7CBE">
            <w:pPr>
              <w:spacing w:line="560" w:lineRule="exact"/>
              <w:jc w:val="center"/>
              <w:rPr>
                <w:rFonts w:ascii="仿宋" w:hAnsi="仿宋" w:eastAsia="仿宋" w:cs="仿宋"/>
                <w:color w:val="auto"/>
                <w:highlight w:val="none"/>
              </w:rPr>
            </w:pPr>
          </w:p>
        </w:tc>
      </w:tr>
      <w:tr w14:paraId="3FD66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 w:hRule="atLeast"/>
          <w:jc w:val="center"/>
        </w:trPr>
        <w:tc>
          <w:tcPr>
            <w:tcW w:w="3012" w:type="dxa"/>
            <w:noWrap w:val="0"/>
            <w:vAlign w:val="center"/>
          </w:tcPr>
          <w:p w14:paraId="4C49E18F">
            <w:pPr>
              <w:pStyle w:val="329"/>
              <w:spacing w:line="560" w:lineRule="exact"/>
              <w:jc w:val="center"/>
              <w:rPr>
                <w:rFonts w:ascii="仿宋" w:hAnsi="仿宋" w:eastAsia="仿宋" w:cs="仿宋"/>
                <w:color w:val="auto"/>
                <w:sz w:val="24"/>
                <w:highlight w:val="none"/>
              </w:rPr>
            </w:pPr>
          </w:p>
        </w:tc>
        <w:tc>
          <w:tcPr>
            <w:tcW w:w="3632" w:type="dxa"/>
            <w:noWrap w:val="0"/>
            <w:vAlign w:val="center"/>
          </w:tcPr>
          <w:p w14:paraId="69DFF273">
            <w:pPr>
              <w:pStyle w:val="329"/>
              <w:spacing w:line="560" w:lineRule="exact"/>
              <w:jc w:val="center"/>
              <w:rPr>
                <w:rFonts w:ascii="仿宋" w:hAnsi="仿宋" w:eastAsia="仿宋" w:cs="仿宋"/>
                <w:color w:val="auto"/>
                <w:sz w:val="24"/>
                <w:highlight w:val="none"/>
              </w:rPr>
            </w:pPr>
          </w:p>
        </w:tc>
        <w:tc>
          <w:tcPr>
            <w:tcW w:w="1863" w:type="dxa"/>
            <w:noWrap w:val="0"/>
            <w:vAlign w:val="center"/>
          </w:tcPr>
          <w:p w14:paraId="44F58E74">
            <w:pPr>
              <w:spacing w:line="560" w:lineRule="exact"/>
              <w:jc w:val="center"/>
              <w:rPr>
                <w:rFonts w:ascii="仿宋" w:hAnsi="仿宋" w:eastAsia="仿宋" w:cs="仿宋"/>
                <w:color w:val="auto"/>
                <w:highlight w:val="none"/>
              </w:rPr>
            </w:pPr>
          </w:p>
        </w:tc>
      </w:tr>
      <w:tr w14:paraId="5653C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 w:hRule="atLeast"/>
          <w:jc w:val="center"/>
        </w:trPr>
        <w:tc>
          <w:tcPr>
            <w:tcW w:w="3012" w:type="dxa"/>
            <w:noWrap w:val="0"/>
            <w:vAlign w:val="center"/>
          </w:tcPr>
          <w:p w14:paraId="63DEC054">
            <w:pPr>
              <w:pStyle w:val="329"/>
              <w:spacing w:line="560" w:lineRule="exact"/>
              <w:jc w:val="center"/>
              <w:rPr>
                <w:rFonts w:ascii="仿宋" w:hAnsi="仿宋" w:eastAsia="仿宋" w:cs="仿宋"/>
                <w:color w:val="auto"/>
                <w:sz w:val="24"/>
                <w:highlight w:val="none"/>
              </w:rPr>
            </w:pPr>
          </w:p>
        </w:tc>
        <w:tc>
          <w:tcPr>
            <w:tcW w:w="3632" w:type="dxa"/>
            <w:noWrap w:val="0"/>
            <w:vAlign w:val="center"/>
          </w:tcPr>
          <w:p w14:paraId="1CFAF53B">
            <w:pPr>
              <w:pStyle w:val="329"/>
              <w:spacing w:line="560" w:lineRule="exact"/>
              <w:jc w:val="center"/>
              <w:rPr>
                <w:rFonts w:ascii="仿宋" w:hAnsi="仿宋" w:eastAsia="仿宋" w:cs="仿宋"/>
                <w:color w:val="auto"/>
                <w:sz w:val="24"/>
                <w:highlight w:val="none"/>
              </w:rPr>
            </w:pPr>
          </w:p>
        </w:tc>
        <w:tc>
          <w:tcPr>
            <w:tcW w:w="1863" w:type="dxa"/>
            <w:noWrap w:val="0"/>
            <w:vAlign w:val="center"/>
          </w:tcPr>
          <w:p w14:paraId="7CC04497">
            <w:pPr>
              <w:spacing w:line="560" w:lineRule="exact"/>
              <w:jc w:val="center"/>
              <w:rPr>
                <w:rFonts w:ascii="仿宋" w:hAnsi="仿宋" w:eastAsia="仿宋" w:cs="仿宋"/>
                <w:color w:val="auto"/>
                <w:highlight w:val="none"/>
              </w:rPr>
            </w:pPr>
          </w:p>
        </w:tc>
      </w:tr>
      <w:tr w14:paraId="181F6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 w:hRule="atLeast"/>
          <w:jc w:val="center"/>
        </w:trPr>
        <w:tc>
          <w:tcPr>
            <w:tcW w:w="3012" w:type="dxa"/>
            <w:noWrap w:val="0"/>
            <w:vAlign w:val="center"/>
          </w:tcPr>
          <w:p w14:paraId="6ACC400E">
            <w:pPr>
              <w:pStyle w:val="329"/>
              <w:spacing w:line="560" w:lineRule="exact"/>
              <w:jc w:val="center"/>
              <w:rPr>
                <w:rFonts w:ascii="仿宋" w:hAnsi="仿宋" w:eastAsia="仿宋" w:cs="仿宋"/>
                <w:color w:val="auto"/>
                <w:sz w:val="24"/>
                <w:highlight w:val="none"/>
              </w:rPr>
            </w:pPr>
          </w:p>
        </w:tc>
        <w:tc>
          <w:tcPr>
            <w:tcW w:w="3632" w:type="dxa"/>
            <w:noWrap w:val="0"/>
            <w:vAlign w:val="center"/>
          </w:tcPr>
          <w:p w14:paraId="08CB6489">
            <w:pPr>
              <w:pStyle w:val="329"/>
              <w:spacing w:line="560" w:lineRule="exact"/>
              <w:jc w:val="center"/>
              <w:rPr>
                <w:rFonts w:ascii="仿宋" w:hAnsi="仿宋" w:eastAsia="仿宋" w:cs="仿宋"/>
                <w:color w:val="auto"/>
                <w:sz w:val="24"/>
                <w:highlight w:val="none"/>
              </w:rPr>
            </w:pPr>
          </w:p>
        </w:tc>
        <w:tc>
          <w:tcPr>
            <w:tcW w:w="1863" w:type="dxa"/>
            <w:noWrap w:val="0"/>
            <w:vAlign w:val="center"/>
          </w:tcPr>
          <w:p w14:paraId="403D08B7">
            <w:pPr>
              <w:spacing w:line="560" w:lineRule="exact"/>
              <w:jc w:val="center"/>
              <w:rPr>
                <w:rFonts w:ascii="仿宋" w:hAnsi="仿宋" w:eastAsia="仿宋" w:cs="仿宋"/>
                <w:color w:val="auto"/>
                <w:highlight w:val="none"/>
              </w:rPr>
            </w:pPr>
          </w:p>
        </w:tc>
      </w:tr>
    </w:tbl>
    <w:p w14:paraId="5F48ACD8">
      <w:pPr>
        <w:pStyle w:val="331"/>
        <w:rPr>
          <w:rFonts w:ascii="仿宋" w:hAnsi="仿宋" w:eastAsia="仿宋" w:cs="仿宋"/>
          <w:b/>
          <w:bCs/>
          <w:color w:val="auto"/>
          <w:sz w:val="24"/>
          <w:szCs w:val="28"/>
          <w:highlight w:val="none"/>
        </w:rPr>
      </w:pPr>
    </w:p>
    <w:p w14:paraId="2548F03C">
      <w:pPr>
        <w:pStyle w:val="331"/>
        <w:rPr>
          <w:rFonts w:hint="eastAsia" w:ascii="仿宋" w:hAnsi="仿宋" w:eastAsia="仿宋" w:cs="仿宋"/>
          <w:b/>
          <w:bCs/>
          <w:color w:val="auto"/>
          <w:sz w:val="24"/>
          <w:szCs w:val="28"/>
          <w:highlight w:val="none"/>
        </w:rPr>
      </w:pPr>
      <w:r>
        <w:rPr>
          <w:rFonts w:hint="eastAsia" w:ascii="仿宋" w:hAnsi="仿宋" w:eastAsia="仿宋" w:cs="仿宋"/>
          <w:b/>
          <w:bCs/>
          <w:color w:val="auto"/>
          <w:sz w:val="24"/>
          <w:szCs w:val="28"/>
          <w:highlight w:val="none"/>
        </w:rPr>
        <w:t>注：</w:t>
      </w:r>
      <w:r>
        <w:rPr>
          <w:rFonts w:hint="eastAsia" w:ascii="仿宋" w:hAnsi="仿宋" w:eastAsia="仿宋" w:cs="仿宋"/>
          <w:b/>
          <w:bCs/>
          <w:color w:val="auto"/>
          <w:sz w:val="24"/>
          <w:szCs w:val="28"/>
          <w:highlight w:val="none"/>
          <w:lang w:val="en-US" w:eastAsia="zh-CN"/>
        </w:rPr>
        <w:t>1.</w:t>
      </w:r>
      <w:r>
        <w:rPr>
          <w:rFonts w:hint="eastAsia" w:ascii="仿宋" w:hAnsi="仿宋" w:eastAsia="仿宋" w:cs="仿宋"/>
          <w:b/>
          <w:bCs/>
          <w:color w:val="auto"/>
          <w:sz w:val="24"/>
          <w:szCs w:val="28"/>
          <w:highlight w:val="none"/>
        </w:rPr>
        <w:t>招标文件第四部分采购需求</w:t>
      </w:r>
      <w:r>
        <w:rPr>
          <w:rFonts w:hint="eastAsia" w:ascii="仿宋" w:hAnsi="仿宋" w:eastAsia="仿宋" w:cs="仿宋"/>
          <w:b/>
          <w:bCs/>
          <w:color w:val="auto"/>
          <w:sz w:val="24"/>
          <w:szCs w:val="28"/>
          <w:highlight w:val="none"/>
          <w:lang w:val="en-US" w:eastAsia="zh-CN"/>
        </w:rPr>
        <w:t>中</w:t>
      </w:r>
      <w:r>
        <w:rPr>
          <w:rFonts w:hint="eastAsia" w:ascii="仿宋" w:hAnsi="仿宋" w:eastAsia="仿宋" w:cs="仿宋"/>
          <w:b/>
          <w:bCs/>
          <w:color w:val="auto"/>
          <w:sz w:val="24"/>
          <w:szCs w:val="28"/>
          <w:highlight w:val="none"/>
        </w:rPr>
        <w:t>商务</w:t>
      </w:r>
      <w:r>
        <w:rPr>
          <w:rFonts w:hint="eastAsia" w:ascii="仿宋" w:hAnsi="仿宋" w:eastAsia="仿宋" w:cs="仿宋"/>
          <w:b/>
          <w:bCs/>
          <w:color w:val="auto"/>
          <w:sz w:val="24"/>
          <w:szCs w:val="28"/>
          <w:highlight w:val="none"/>
          <w:lang w:val="en-US" w:eastAsia="zh-CN"/>
        </w:rPr>
        <w:t>合作</w:t>
      </w:r>
      <w:r>
        <w:rPr>
          <w:rFonts w:hint="eastAsia" w:ascii="仿宋" w:hAnsi="仿宋" w:eastAsia="仿宋" w:cs="仿宋"/>
          <w:b/>
          <w:bCs/>
          <w:color w:val="auto"/>
          <w:sz w:val="24"/>
          <w:szCs w:val="28"/>
          <w:highlight w:val="none"/>
        </w:rPr>
        <w:t>要求</w:t>
      </w:r>
      <w:r>
        <w:rPr>
          <w:rFonts w:hint="eastAsia" w:ascii="仿宋" w:hAnsi="仿宋" w:eastAsia="仿宋" w:cs="仿宋"/>
          <w:b/>
          <w:bCs/>
          <w:color w:val="auto"/>
          <w:sz w:val="24"/>
          <w:szCs w:val="28"/>
          <w:highlight w:val="none"/>
          <w:lang w:val="en-US" w:eastAsia="zh-CN"/>
        </w:rPr>
        <w:t>的内容</w:t>
      </w:r>
      <w:r>
        <w:rPr>
          <w:rFonts w:hint="eastAsia" w:ascii="仿宋" w:hAnsi="仿宋" w:eastAsia="仿宋" w:cs="仿宋"/>
          <w:b/>
          <w:bCs/>
          <w:color w:val="auto"/>
          <w:sz w:val="24"/>
          <w:szCs w:val="28"/>
          <w:highlight w:val="none"/>
        </w:rPr>
        <w:t>应当逐条在此表中列明并由</w:t>
      </w:r>
      <w:r>
        <w:rPr>
          <w:rFonts w:hint="eastAsia" w:ascii="仿宋" w:hAnsi="仿宋" w:eastAsia="仿宋" w:cs="仿宋"/>
          <w:b/>
          <w:bCs/>
          <w:color w:val="auto"/>
          <w:sz w:val="24"/>
          <w:szCs w:val="28"/>
          <w:highlight w:val="none"/>
          <w:lang w:eastAsia="zh-CN"/>
        </w:rPr>
        <w:t>投标人</w:t>
      </w:r>
      <w:r>
        <w:rPr>
          <w:rFonts w:hint="eastAsia" w:ascii="仿宋" w:hAnsi="仿宋" w:eastAsia="仿宋" w:cs="仿宋"/>
          <w:b/>
          <w:bCs/>
          <w:color w:val="auto"/>
          <w:sz w:val="24"/>
          <w:szCs w:val="28"/>
          <w:highlight w:val="none"/>
        </w:rPr>
        <w:t>逐条响应，与招标文件没有偏离的，应在此表偏离内容及说明中注明“无偏离”；凡投标文件中响应的</w:t>
      </w:r>
      <w:r>
        <w:rPr>
          <w:rFonts w:hint="eastAsia" w:ascii="仿宋" w:hAnsi="仿宋" w:eastAsia="仿宋" w:cs="仿宋"/>
          <w:b/>
          <w:bCs/>
          <w:color w:val="auto"/>
          <w:sz w:val="24"/>
          <w:szCs w:val="28"/>
          <w:highlight w:val="none"/>
          <w:lang w:val="en-US" w:eastAsia="zh-CN"/>
        </w:rPr>
        <w:t>内容</w:t>
      </w:r>
      <w:r>
        <w:rPr>
          <w:rFonts w:hint="eastAsia" w:ascii="仿宋" w:hAnsi="仿宋" w:eastAsia="仿宋" w:cs="仿宋"/>
          <w:b/>
          <w:bCs/>
          <w:color w:val="auto"/>
          <w:sz w:val="24"/>
          <w:szCs w:val="28"/>
          <w:highlight w:val="none"/>
        </w:rPr>
        <w:t>与招标文件有偏离的，均应在此表偏离内容及说明中注明“正偏离”或“负偏离”并详细列出偏离内容或说明理由。</w:t>
      </w:r>
    </w:p>
    <w:p w14:paraId="13F4CBB1">
      <w:pPr>
        <w:pStyle w:val="331"/>
        <w:rPr>
          <w:rFonts w:hint="eastAsia" w:ascii="仿宋" w:hAnsi="仿宋" w:eastAsia="仿宋" w:cs="仿宋"/>
          <w:b/>
          <w:bCs/>
          <w:color w:val="auto"/>
          <w:sz w:val="24"/>
          <w:szCs w:val="28"/>
          <w:highlight w:val="none"/>
        </w:rPr>
      </w:pPr>
      <w:r>
        <w:rPr>
          <w:rFonts w:hint="eastAsia" w:ascii="仿宋" w:hAnsi="仿宋" w:eastAsia="仿宋" w:cs="仿宋"/>
          <w:b/>
          <w:bCs/>
          <w:color w:val="auto"/>
          <w:sz w:val="24"/>
          <w:szCs w:val="28"/>
          <w:highlight w:val="none"/>
          <w:lang w:val="en-US" w:eastAsia="zh-CN"/>
        </w:rPr>
        <w:t>2.</w:t>
      </w:r>
      <w:r>
        <w:rPr>
          <w:rFonts w:hint="eastAsia" w:ascii="仿宋" w:hAnsi="仿宋" w:eastAsia="仿宋" w:cs="仿宋"/>
          <w:b/>
          <w:bCs/>
          <w:color w:val="auto"/>
          <w:sz w:val="24"/>
          <w:szCs w:val="28"/>
          <w:highlight w:val="none"/>
        </w:rPr>
        <w:t>行数不够请自行添加</w:t>
      </w:r>
    </w:p>
    <w:p w14:paraId="322DA7AA">
      <w:pPr>
        <w:pStyle w:val="331"/>
        <w:rPr>
          <w:rFonts w:hint="eastAsia" w:ascii="仿宋" w:hAnsi="仿宋" w:eastAsia="仿宋" w:cs="仿宋"/>
          <w:b/>
          <w:bCs/>
          <w:color w:val="auto"/>
          <w:sz w:val="24"/>
          <w:szCs w:val="28"/>
          <w:highlight w:val="none"/>
        </w:rPr>
      </w:pPr>
    </w:p>
    <w:p w14:paraId="6B1F676E">
      <w:pPr>
        <w:pStyle w:val="323"/>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单位名称：</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w:t>
      </w:r>
      <w:r>
        <w:rPr>
          <w:rFonts w:hint="eastAsia" w:ascii="仿宋" w:hAnsi="仿宋" w:eastAsia="仿宋" w:cs="仿宋"/>
          <w:b/>
          <w:color w:val="auto"/>
          <w:sz w:val="24"/>
          <w:szCs w:val="20"/>
          <w:highlight w:val="none"/>
          <w:lang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52009D0E">
      <w:pPr>
        <w:pStyle w:val="331"/>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法定代表人（或授权代表）：</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（签字</w:t>
      </w:r>
      <w:r>
        <w:rPr>
          <w:rFonts w:hint="eastAsia" w:ascii="仿宋" w:hAnsi="仿宋" w:eastAsia="仿宋" w:cs="仿宋"/>
          <w:b/>
          <w:color w:val="auto"/>
          <w:sz w:val="24"/>
          <w:szCs w:val="20"/>
          <w:highlight w:val="none"/>
          <w:lang w:val="en-US"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48747631">
      <w:pPr>
        <w:pStyle w:val="315"/>
        <w:spacing w:line="520" w:lineRule="exact"/>
        <w:jc w:val="left"/>
        <w:outlineLvl w:val="9"/>
        <w:rPr>
          <w:rFonts w:hint="eastAsia" w:ascii="仿宋" w:hAnsi="仿宋" w:eastAsia="仿宋" w:cs="仿宋"/>
          <w:b/>
          <w:bCs/>
          <w:color w:val="auto"/>
          <w:sz w:val="24"/>
          <w:szCs w:val="28"/>
          <w:highlight w:val="none"/>
        </w:rPr>
      </w:pPr>
      <w:r>
        <w:rPr>
          <w:rFonts w:hint="eastAsia" w:ascii="仿宋" w:hAnsi="仿宋" w:eastAsia="仿宋" w:cs="仿宋"/>
          <w:b/>
          <w:bCs w:val="0"/>
          <w:color w:val="auto"/>
          <w:sz w:val="24"/>
          <w:szCs w:val="20"/>
          <w:highlight w:val="none"/>
          <w:lang w:val="en-US" w:eastAsia="zh-CN"/>
        </w:rPr>
        <w:t>日期：</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年</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月</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日</w:t>
      </w:r>
      <w:r>
        <w:rPr>
          <w:rFonts w:hint="eastAsia" w:ascii="仿宋" w:hAnsi="仿宋" w:eastAsia="仿宋" w:cs="仿宋"/>
          <w:b/>
          <w:bCs w:val="0"/>
          <w:color w:val="auto"/>
          <w:sz w:val="24"/>
          <w:szCs w:val="20"/>
          <w:highlight w:val="none"/>
        </w:rPr>
        <w:t xml:space="preserve">     </w:t>
      </w:r>
    </w:p>
    <w:p w14:paraId="0D2FE465">
      <w:pPr>
        <w:rPr>
          <w:rFonts w:hint="eastAsia" w:ascii="仿宋" w:hAnsi="仿宋" w:eastAsia="仿宋" w:cs="仿宋"/>
          <w:b/>
          <w:color w:val="auto"/>
          <w:sz w:val="32"/>
          <w:szCs w:val="24"/>
          <w:highlight w:val="none"/>
          <w:lang w:val="en-US" w:eastAsia="zh-CN"/>
        </w:rPr>
      </w:pPr>
      <w:r>
        <w:rPr>
          <w:rFonts w:hint="eastAsia" w:ascii="仿宋" w:hAnsi="仿宋" w:eastAsia="仿宋" w:cs="仿宋"/>
          <w:b/>
          <w:bCs/>
          <w:color w:val="auto"/>
          <w:sz w:val="24"/>
          <w:szCs w:val="28"/>
          <w:highlight w:val="none"/>
        </w:rPr>
        <w:br w:type="page" w:clear="all"/>
      </w:r>
    </w:p>
    <w:p w14:paraId="6B523B98">
      <w:pPr>
        <w:pStyle w:val="327"/>
        <w:outlineLvl w:val="2"/>
        <w:rPr>
          <w:rFonts w:hint="default" w:ascii="仿宋" w:hAnsi="仿宋" w:eastAsia="仿宋" w:cs="仿宋"/>
          <w:b/>
          <w:color w:val="auto"/>
          <w:sz w:val="32"/>
          <w:szCs w:val="24"/>
          <w:highlight w:val="none"/>
          <w:lang w:val="en-US" w:eastAsia="zh-CN"/>
        </w:rPr>
      </w:pPr>
      <w:r>
        <w:rPr>
          <w:rFonts w:hint="eastAsia" w:ascii="仿宋" w:hAnsi="仿宋" w:eastAsia="仿宋" w:cs="仿宋"/>
          <w:b/>
          <w:color w:val="auto"/>
          <w:sz w:val="32"/>
          <w:szCs w:val="24"/>
          <w:highlight w:val="none"/>
          <w:lang w:val="en-US" w:eastAsia="zh-CN"/>
        </w:rPr>
        <w:t>技术要求响应</w:t>
      </w:r>
    </w:p>
    <w:p w14:paraId="03820CF1">
      <w:pPr>
        <w:rPr>
          <w:rFonts w:hint="eastAsia"/>
          <w:color w:val="auto"/>
          <w:highlight w:val="none"/>
          <w:lang w:val="en-US" w:eastAsia="zh-CN"/>
        </w:rPr>
      </w:pPr>
    </w:p>
    <w:p w14:paraId="60A5ABAE">
      <w:pPr>
        <w:rPr>
          <w:rFonts w:hint="default"/>
          <w:color w:val="auto"/>
          <w:highlight w:val="none"/>
          <w:lang w:val="en-US" w:eastAsia="zh-CN"/>
        </w:rPr>
      </w:pPr>
    </w:p>
    <w:p w14:paraId="6CF69DCE">
      <w:pPr>
        <w:pStyle w:val="328"/>
        <w:spacing w:line="600" w:lineRule="exact"/>
        <w:jc w:val="center"/>
        <w:rPr>
          <w:rFonts w:ascii="仿宋" w:hAnsi="仿宋" w:eastAsia="仿宋" w:cs="仿宋"/>
          <w:b/>
          <w:color w:val="auto"/>
          <w:sz w:val="32"/>
          <w:szCs w:val="24"/>
          <w:highlight w:val="none"/>
        </w:rPr>
      </w:pPr>
      <w:r>
        <w:rPr>
          <w:rFonts w:hint="eastAsia" w:ascii="仿宋" w:hAnsi="仿宋" w:eastAsia="仿宋" w:cs="仿宋"/>
          <w:b/>
          <w:color w:val="auto"/>
          <w:sz w:val="32"/>
          <w:szCs w:val="24"/>
          <w:highlight w:val="none"/>
          <w:lang w:val="en-US" w:eastAsia="zh-CN"/>
        </w:rPr>
        <w:t>技术</w:t>
      </w:r>
      <w:r>
        <w:rPr>
          <w:rFonts w:hint="eastAsia" w:ascii="仿宋" w:hAnsi="仿宋" w:eastAsia="仿宋" w:cs="仿宋"/>
          <w:b/>
          <w:color w:val="auto"/>
          <w:sz w:val="32"/>
          <w:szCs w:val="24"/>
          <w:highlight w:val="none"/>
        </w:rPr>
        <w:t>要求响应</w:t>
      </w:r>
      <w:r>
        <w:rPr>
          <w:rFonts w:hint="eastAsia" w:ascii="仿宋" w:hAnsi="仿宋" w:eastAsia="仿宋" w:cs="仿宋"/>
          <w:b/>
          <w:color w:val="auto"/>
          <w:sz w:val="32"/>
          <w:szCs w:val="24"/>
          <w:highlight w:val="none"/>
          <w:lang w:eastAsia="zh-CN"/>
        </w:rPr>
        <w:t>的</w:t>
      </w:r>
      <w:r>
        <w:rPr>
          <w:rFonts w:hint="eastAsia" w:ascii="仿宋" w:hAnsi="仿宋" w:eastAsia="仿宋" w:cs="仿宋"/>
          <w:b/>
          <w:color w:val="auto"/>
          <w:sz w:val="32"/>
          <w:szCs w:val="24"/>
          <w:highlight w:val="none"/>
        </w:rPr>
        <w:t>声明</w:t>
      </w:r>
    </w:p>
    <w:p w14:paraId="2F595365">
      <w:pPr>
        <w:pStyle w:val="328"/>
        <w:spacing w:line="600" w:lineRule="exact"/>
        <w:rPr>
          <w:rFonts w:ascii="仿宋" w:hAnsi="仿宋" w:eastAsia="仿宋" w:cs="仿宋"/>
          <w:color w:val="auto"/>
          <w:sz w:val="24"/>
          <w:highlight w:val="none"/>
          <w:u w:val="single"/>
        </w:rPr>
      </w:pPr>
    </w:p>
    <w:p w14:paraId="00B7DE93">
      <w:pPr>
        <w:pStyle w:val="328"/>
        <w:spacing w:line="600" w:lineRule="exact"/>
        <w:rPr>
          <w:rFonts w:ascii="仿宋" w:hAnsi="仿宋" w:eastAsia="仿宋" w:cs="仿宋"/>
          <w:bCs/>
          <w:color w:val="auto"/>
          <w:sz w:val="24"/>
          <w:szCs w:val="20"/>
          <w:highlight w:val="none"/>
        </w:rPr>
      </w:pP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采购人/采购代理机构</w:t>
      </w:r>
      <w:r>
        <w:rPr>
          <w:rFonts w:hint="eastAsia" w:ascii="仿宋" w:hAnsi="仿宋" w:eastAsia="仿宋" w:cs="仿宋"/>
          <w:color w:val="auto"/>
          <w:sz w:val="24"/>
          <w:szCs w:val="24"/>
          <w:highlight w:val="none"/>
          <w:u w:val="single"/>
          <w:lang w:eastAsia="zh-CN"/>
        </w:rPr>
        <w:t>）</w:t>
      </w:r>
      <w:r>
        <w:rPr>
          <w:rFonts w:hint="eastAsia" w:ascii="仿宋" w:hAnsi="仿宋" w:eastAsia="仿宋" w:cs="仿宋"/>
          <w:bCs/>
          <w:color w:val="auto"/>
          <w:sz w:val="24"/>
          <w:szCs w:val="20"/>
          <w:highlight w:val="none"/>
        </w:rPr>
        <w:t>：</w:t>
      </w:r>
    </w:p>
    <w:p w14:paraId="17A0EAB9">
      <w:pPr>
        <w:pStyle w:val="328"/>
        <w:spacing w:line="600" w:lineRule="exact"/>
        <w:ind w:firstLine="480"/>
        <w:rPr>
          <w:rFonts w:hint="eastAsia"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rPr>
        <w:t>我司在参加编号为</w:t>
      </w:r>
      <w:r>
        <w:rPr>
          <w:rFonts w:hint="eastAsia" w:ascii="仿宋" w:hAnsi="仿宋" w:eastAsia="仿宋" w:cs="仿宋"/>
          <w:bCs/>
          <w:color w:val="auto"/>
          <w:sz w:val="24"/>
          <w:szCs w:val="20"/>
          <w:highlight w:val="none"/>
          <w:u w:val="single"/>
        </w:rPr>
        <w:t xml:space="preserve">            号                     </w:t>
      </w:r>
      <w:r>
        <w:rPr>
          <w:rFonts w:hint="eastAsia" w:ascii="仿宋" w:hAnsi="仿宋" w:eastAsia="仿宋" w:cs="仿宋"/>
          <w:bCs/>
          <w:color w:val="auto"/>
          <w:sz w:val="24"/>
          <w:szCs w:val="20"/>
          <w:highlight w:val="none"/>
        </w:rPr>
        <w:t>项目</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我司</w:t>
      </w:r>
      <w:r>
        <w:rPr>
          <w:rFonts w:hint="eastAsia" w:ascii="仿宋" w:hAnsi="仿宋" w:eastAsia="仿宋" w:cs="仿宋"/>
          <w:bCs/>
          <w:color w:val="auto"/>
          <w:sz w:val="24"/>
          <w:szCs w:val="20"/>
          <w:highlight w:val="none"/>
          <w:lang w:eastAsia="zh-CN"/>
        </w:rPr>
        <w:t>投标文件</w:t>
      </w:r>
      <w:r>
        <w:rPr>
          <w:rFonts w:hint="eastAsia" w:ascii="仿宋" w:hAnsi="仿宋" w:eastAsia="仿宋" w:cs="仿宋"/>
          <w:bCs/>
          <w:color w:val="auto"/>
          <w:sz w:val="24"/>
          <w:szCs w:val="20"/>
          <w:highlight w:val="none"/>
        </w:rPr>
        <w:t>填写符合</w:t>
      </w:r>
      <w:r>
        <w:rPr>
          <w:rFonts w:hint="eastAsia" w:ascii="仿宋" w:hAnsi="仿宋" w:eastAsia="仿宋" w:cs="仿宋"/>
          <w:bCs/>
          <w:color w:val="auto"/>
          <w:sz w:val="24"/>
          <w:szCs w:val="20"/>
          <w:highlight w:val="none"/>
          <w:lang w:eastAsia="zh-CN"/>
        </w:rPr>
        <w:t>招标文件</w:t>
      </w:r>
      <w:r>
        <w:rPr>
          <w:rFonts w:hint="eastAsia" w:ascii="仿宋" w:hAnsi="仿宋" w:eastAsia="仿宋" w:cs="仿宋"/>
          <w:bCs/>
          <w:color w:val="auto"/>
          <w:sz w:val="24"/>
          <w:szCs w:val="20"/>
          <w:highlight w:val="none"/>
        </w:rPr>
        <w:t>要求，</w:t>
      </w:r>
      <w:r>
        <w:rPr>
          <w:rFonts w:hint="eastAsia" w:ascii="仿宋" w:hAnsi="仿宋" w:eastAsia="仿宋" w:cs="仿宋"/>
          <w:bCs/>
          <w:color w:val="auto"/>
          <w:sz w:val="24"/>
          <w:szCs w:val="20"/>
          <w:highlight w:val="none"/>
          <w:lang w:val="en-US" w:eastAsia="zh-CN"/>
        </w:rPr>
        <w:t>具体内容详见技术响应偏离表。</w:t>
      </w:r>
    </w:p>
    <w:p w14:paraId="607E1335">
      <w:pPr>
        <w:pStyle w:val="328"/>
        <w:spacing w:line="600" w:lineRule="exact"/>
        <w:ind w:firstLine="480"/>
        <w:rPr>
          <w:rFonts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特此声明</w:t>
      </w:r>
    </w:p>
    <w:p w14:paraId="774CAEAC">
      <w:pPr>
        <w:pStyle w:val="328"/>
        <w:spacing w:line="600" w:lineRule="exact"/>
        <w:ind w:firstLine="480"/>
        <w:rPr>
          <w:rFonts w:hint="eastAsia"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lang w:val="en-US" w:eastAsia="zh-CN"/>
        </w:rPr>
        <w:t>（我司知晓下列处理原则：已提供本声明但投标文件中技术响应偏离表</w:t>
      </w:r>
      <w:r>
        <w:rPr>
          <w:rFonts w:hint="eastAsia" w:ascii="仿宋" w:hAnsi="仿宋" w:eastAsia="仿宋" w:cs="仿宋"/>
          <w:bCs/>
          <w:color w:val="auto"/>
          <w:sz w:val="24"/>
          <w:szCs w:val="20"/>
          <w:highlight w:val="none"/>
        </w:rPr>
        <w:t>填写</w:t>
      </w:r>
      <w:r>
        <w:rPr>
          <w:rFonts w:hint="eastAsia" w:ascii="仿宋" w:hAnsi="仿宋" w:eastAsia="仿宋" w:cs="仿宋"/>
          <w:bCs/>
          <w:color w:val="auto"/>
          <w:sz w:val="24"/>
          <w:szCs w:val="20"/>
          <w:highlight w:val="none"/>
          <w:lang w:val="en-US" w:eastAsia="zh-CN"/>
        </w:rPr>
        <w:t>不</w:t>
      </w:r>
      <w:r>
        <w:rPr>
          <w:rFonts w:hint="eastAsia" w:ascii="仿宋" w:hAnsi="仿宋" w:eastAsia="仿宋" w:cs="仿宋"/>
          <w:bCs/>
          <w:color w:val="auto"/>
          <w:sz w:val="24"/>
          <w:szCs w:val="20"/>
          <w:highlight w:val="none"/>
        </w:rPr>
        <w:t>符合</w:t>
      </w:r>
      <w:r>
        <w:rPr>
          <w:rFonts w:hint="eastAsia" w:ascii="仿宋" w:hAnsi="仿宋" w:eastAsia="仿宋" w:cs="仿宋"/>
          <w:bCs/>
          <w:color w:val="auto"/>
          <w:sz w:val="24"/>
          <w:szCs w:val="20"/>
          <w:highlight w:val="none"/>
          <w:lang w:eastAsia="zh-CN"/>
        </w:rPr>
        <w:t>招标文件</w:t>
      </w:r>
      <w:r>
        <w:rPr>
          <w:rFonts w:hint="eastAsia" w:ascii="仿宋" w:hAnsi="仿宋" w:eastAsia="仿宋" w:cs="仿宋"/>
          <w:bCs/>
          <w:color w:val="auto"/>
          <w:sz w:val="24"/>
          <w:szCs w:val="20"/>
          <w:highlight w:val="none"/>
        </w:rPr>
        <w:t>要求</w:t>
      </w:r>
      <w:r>
        <w:rPr>
          <w:rFonts w:hint="eastAsia" w:ascii="仿宋" w:hAnsi="仿宋" w:eastAsia="仿宋" w:cs="仿宋"/>
          <w:bCs/>
          <w:color w:val="auto"/>
          <w:sz w:val="24"/>
          <w:szCs w:val="20"/>
          <w:highlight w:val="none"/>
          <w:lang w:val="en-US" w:eastAsia="zh-CN"/>
        </w:rPr>
        <w:t>的，本声明无效，并可能做不符性处理。）</w:t>
      </w:r>
    </w:p>
    <w:p w14:paraId="2434203D">
      <w:pPr>
        <w:pStyle w:val="328"/>
        <w:spacing w:line="600" w:lineRule="exact"/>
        <w:ind w:firstLine="480"/>
        <w:rPr>
          <w:rFonts w:hint="default" w:ascii="仿宋" w:hAnsi="仿宋" w:eastAsia="仿宋" w:cs="仿宋"/>
          <w:bCs/>
          <w:color w:val="auto"/>
          <w:sz w:val="24"/>
          <w:szCs w:val="20"/>
          <w:highlight w:val="none"/>
          <w:lang w:val="en-US" w:eastAsia="zh-CN"/>
        </w:rPr>
      </w:pPr>
    </w:p>
    <w:p w14:paraId="735F37D2">
      <w:pPr>
        <w:pStyle w:val="323"/>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单位名称：</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w:t>
      </w:r>
      <w:r>
        <w:rPr>
          <w:rFonts w:hint="eastAsia" w:ascii="仿宋" w:hAnsi="仿宋" w:eastAsia="仿宋" w:cs="仿宋"/>
          <w:b/>
          <w:color w:val="auto"/>
          <w:sz w:val="24"/>
          <w:szCs w:val="20"/>
          <w:highlight w:val="none"/>
          <w:lang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04169A82">
      <w:pPr>
        <w:pStyle w:val="331"/>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法定代表人（或授权代表）：</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（签字</w:t>
      </w:r>
      <w:r>
        <w:rPr>
          <w:rFonts w:hint="eastAsia" w:ascii="仿宋" w:hAnsi="仿宋" w:eastAsia="仿宋" w:cs="仿宋"/>
          <w:b/>
          <w:color w:val="auto"/>
          <w:sz w:val="24"/>
          <w:szCs w:val="20"/>
          <w:highlight w:val="none"/>
          <w:lang w:val="en-US"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1810A42A">
      <w:pPr>
        <w:pStyle w:val="331"/>
        <w:keepNext w:val="0"/>
        <w:keepLines w:val="0"/>
        <w:pageBreakBefore w:val="0"/>
        <w:spacing w:line="520" w:lineRule="exact"/>
        <w:rPr>
          <w:rFonts w:ascii="仿宋" w:hAnsi="仿宋" w:eastAsia="仿宋" w:cs="仿宋"/>
          <w:b/>
          <w:bCs w:val="0"/>
          <w:color w:val="auto"/>
          <w:sz w:val="24"/>
          <w:szCs w:val="20"/>
          <w:highlight w:val="none"/>
        </w:rPr>
      </w:pPr>
      <w:r>
        <w:rPr>
          <w:rFonts w:hint="eastAsia" w:ascii="仿宋" w:hAnsi="仿宋" w:eastAsia="仿宋" w:cs="仿宋"/>
          <w:b/>
          <w:bCs w:val="0"/>
          <w:color w:val="auto"/>
          <w:sz w:val="24"/>
          <w:szCs w:val="20"/>
          <w:highlight w:val="none"/>
          <w:lang w:val="en-US" w:eastAsia="zh-CN"/>
        </w:rPr>
        <w:t>日期：</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年</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月</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日</w:t>
      </w:r>
      <w:r>
        <w:rPr>
          <w:rFonts w:hint="eastAsia" w:ascii="仿宋" w:hAnsi="仿宋" w:eastAsia="仿宋" w:cs="仿宋"/>
          <w:b/>
          <w:bCs w:val="0"/>
          <w:color w:val="auto"/>
          <w:sz w:val="24"/>
          <w:szCs w:val="20"/>
          <w:highlight w:val="none"/>
        </w:rPr>
        <w:t xml:space="preserve">                     </w:t>
      </w:r>
    </w:p>
    <w:p w14:paraId="0DDC7EE6">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clear="all"/>
      </w:r>
    </w:p>
    <w:p w14:paraId="7AAB0FE7">
      <w:pPr>
        <w:pStyle w:val="327"/>
        <w:outlineLvl w:val="2"/>
        <w:rPr>
          <w:rFonts w:hint="default" w:ascii="仿宋" w:hAnsi="仿宋" w:eastAsia="仿宋" w:cs="仿宋"/>
          <w:b/>
          <w:color w:val="auto"/>
          <w:sz w:val="32"/>
          <w:szCs w:val="24"/>
          <w:highlight w:val="none"/>
          <w:lang w:val="en-US" w:eastAsia="zh-CN"/>
        </w:rPr>
      </w:pPr>
      <w:r>
        <w:rPr>
          <w:rFonts w:hint="eastAsia" w:ascii="仿宋" w:hAnsi="仿宋" w:eastAsia="仿宋" w:cs="仿宋"/>
          <w:b/>
          <w:color w:val="auto"/>
          <w:sz w:val="32"/>
          <w:szCs w:val="24"/>
          <w:highlight w:val="none"/>
          <w:lang w:val="en-US" w:eastAsia="zh-CN"/>
        </w:rPr>
        <w:t>对实质性条款的响应性</w:t>
      </w:r>
    </w:p>
    <w:p w14:paraId="3FE69400">
      <w:pPr>
        <w:rPr>
          <w:rFonts w:hint="eastAsia"/>
          <w:color w:val="auto"/>
          <w:highlight w:val="none"/>
          <w:lang w:val="en-US" w:eastAsia="zh-CN"/>
        </w:rPr>
      </w:pPr>
    </w:p>
    <w:p w14:paraId="286519B2">
      <w:pPr>
        <w:rPr>
          <w:rFonts w:hint="default"/>
          <w:color w:val="auto"/>
          <w:highlight w:val="none"/>
          <w:lang w:val="en-US" w:eastAsia="zh-CN"/>
        </w:rPr>
      </w:pPr>
    </w:p>
    <w:p w14:paraId="16394F30">
      <w:pPr>
        <w:pStyle w:val="328"/>
        <w:spacing w:line="600" w:lineRule="exact"/>
        <w:jc w:val="center"/>
        <w:rPr>
          <w:rFonts w:ascii="仿宋" w:hAnsi="仿宋" w:eastAsia="仿宋" w:cs="仿宋"/>
          <w:b/>
          <w:color w:val="auto"/>
          <w:sz w:val="32"/>
          <w:szCs w:val="24"/>
          <w:highlight w:val="none"/>
        </w:rPr>
      </w:pPr>
      <w:r>
        <w:rPr>
          <w:rFonts w:hint="eastAsia" w:ascii="仿宋" w:hAnsi="仿宋" w:eastAsia="仿宋" w:cs="仿宋"/>
          <w:b/>
          <w:color w:val="auto"/>
          <w:sz w:val="32"/>
          <w:szCs w:val="24"/>
          <w:highlight w:val="none"/>
          <w:lang w:val="en-US" w:eastAsia="zh-CN"/>
        </w:rPr>
        <w:t>对实质性条款的响应</w:t>
      </w:r>
      <w:r>
        <w:rPr>
          <w:rFonts w:hint="eastAsia" w:ascii="仿宋" w:hAnsi="仿宋" w:eastAsia="仿宋" w:cs="仿宋"/>
          <w:b/>
          <w:color w:val="auto"/>
          <w:sz w:val="32"/>
          <w:szCs w:val="24"/>
          <w:highlight w:val="none"/>
          <w:lang w:eastAsia="zh-CN"/>
        </w:rPr>
        <w:t>的</w:t>
      </w:r>
      <w:r>
        <w:rPr>
          <w:rFonts w:hint="eastAsia" w:ascii="仿宋" w:hAnsi="仿宋" w:eastAsia="仿宋" w:cs="仿宋"/>
          <w:b/>
          <w:color w:val="auto"/>
          <w:sz w:val="32"/>
          <w:szCs w:val="24"/>
          <w:highlight w:val="none"/>
        </w:rPr>
        <w:t>声明</w:t>
      </w:r>
    </w:p>
    <w:p w14:paraId="47120F34">
      <w:pPr>
        <w:pStyle w:val="328"/>
        <w:spacing w:line="600" w:lineRule="exact"/>
        <w:rPr>
          <w:rFonts w:ascii="仿宋" w:hAnsi="仿宋" w:eastAsia="仿宋" w:cs="仿宋"/>
          <w:color w:val="auto"/>
          <w:sz w:val="24"/>
          <w:highlight w:val="none"/>
          <w:u w:val="single"/>
        </w:rPr>
      </w:pPr>
    </w:p>
    <w:p w14:paraId="77040029">
      <w:pPr>
        <w:pStyle w:val="328"/>
        <w:spacing w:line="600" w:lineRule="exact"/>
        <w:rPr>
          <w:rFonts w:ascii="仿宋" w:hAnsi="仿宋" w:eastAsia="仿宋" w:cs="仿宋"/>
          <w:bCs/>
          <w:color w:val="auto"/>
          <w:sz w:val="24"/>
          <w:szCs w:val="20"/>
          <w:highlight w:val="none"/>
        </w:rPr>
      </w:pP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采购人/采购代理机构</w:t>
      </w:r>
      <w:r>
        <w:rPr>
          <w:rFonts w:hint="eastAsia" w:ascii="仿宋" w:hAnsi="仿宋" w:eastAsia="仿宋" w:cs="仿宋"/>
          <w:color w:val="auto"/>
          <w:sz w:val="24"/>
          <w:szCs w:val="24"/>
          <w:highlight w:val="none"/>
          <w:u w:val="single"/>
          <w:lang w:eastAsia="zh-CN"/>
        </w:rPr>
        <w:t>）</w:t>
      </w:r>
      <w:r>
        <w:rPr>
          <w:rFonts w:hint="eastAsia" w:ascii="仿宋" w:hAnsi="仿宋" w:eastAsia="仿宋" w:cs="仿宋"/>
          <w:bCs/>
          <w:color w:val="auto"/>
          <w:sz w:val="24"/>
          <w:szCs w:val="20"/>
          <w:highlight w:val="none"/>
        </w:rPr>
        <w:t>：</w:t>
      </w:r>
    </w:p>
    <w:p w14:paraId="77D98EE9">
      <w:pPr>
        <w:pStyle w:val="328"/>
        <w:spacing w:line="600" w:lineRule="exact"/>
        <w:ind w:firstLine="480"/>
        <w:rPr>
          <w:rFonts w:hint="eastAsia"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rPr>
        <w:t>我司在参加编号为</w:t>
      </w:r>
      <w:r>
        <w:rPr>
          <w:rFonts w:hint="eastAsia" w:ascii="仿宋" w:hAnsi="仿宋" w:eastAsia="仿宋" w:cs="仿宋"/>
          <w:bCs/>
          <w:color w:val="auto"/>
          <w:sz w:val="24"/>
          <w:szCs w:val="20"/>
          <w:highlight w:val="none"/>
          <w:u w:val="single"/>
        </w:rPr>
        <w:t xml:space="preserve">            号                     </w:t>
      </w:r>
      <w:r>
        <w:rPr>
          <w:rFonts w:hint="eastAsia" w:ascii="仿宋" w:hAnsi="仿宋" w:eastAsia="仿宋" w:cs="仿宋"/>
          <w:bCs/>
          <w:color w:val="auto"/>
          <w:sz w:val="24"/>
          <w:szCs w:val="20"/>
          <w:highlight w:val="none"/>
        </w:rPr>
        <w:t>项目</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我司</w:t>
      </w:r>
      <w:r>
        <w:rPr>
          <w:rFonts w:hint="eastAsia" w:ascii="仿宋" w:hAnsi="仿宋" w:eastAsia="仿宋" w:cs="仿宋"/>
          <w:bCs/>
          <w:color w:val="auto"/>
          <w:sz w:val="24"/>
          <w:szCs w:val="20"/>
          <w:highlight w:val="none"/>
          <w:lang w:eastAsia="zh-CN"/>
        </w:rPr>
        <w:t>投标文件</w:t>
      </w:r>
      <w:r>
        <w:rPr>
          <w:rFonts w:hint="eastAsia" w:ascii="仿宋" w:hAnsi="仿宋" w:eastAsia="仿宋" w:cs="仿宋"/>
          <w:bCs/>
          <w:color w:val="auto"/>
          <w:sz w:val="24"/>
          <w:szCs w:val="20"/>
          <w:highlight w:val="none"/>
        </w:rPr>
        <w:t>符合</w:t>
      </w:r>
      <w:r>
        <w:rPr>
          <w:rFonts w:hint="eastAsia" w:ascii="仿宋" w:hAnsi="仿宋" w:eastAsia="仿宋" w:cs="仿宋"/>
          <w:bCs/>
          <w:color w:val="auto"/>
          <w:sz w:val="24"/>
          <w:szCs w:val="20"/>
          <w:highlight w:val="none"/>
          <w:lang w:eastAsia="zh-CN"/>
        </w:rPr>
        <w:t>招标文件</w:t>
      </w:r>
      <w:r>
        <w:rPr>
          <w:rFonts w:hint="eastAsia" w:ascii="仿宋" w:hAnsi="仿宋" w:eastAsia="仿宋" w:cs="仿宋"/>
          <w:bCs/>
          <w:color w:val="auto"/>
          <w:sz w:val="24"/>
          <w:szCs w:val="20"/>
          <w:highlight w:val="none"/>
        </w:rPr>
        <w:t>要求，对实质性条款</w:t>
      </w:r>
      <w:r>
        <w:rPr>
          <w:rFonts w:hint="eastAsia" w:ascii="仿宋" w:hAnsi="仿宋" w:eastAsia="仿宋" w:cs="仿宋"/>
          <w:bCs/>
          <w:color w:val="auto"/>
          <w:sz w:val="24"/>
          <w:szCs w:val="20"/>
          <w:highlight w:val="none"/>
          <w:lang w:val="en-US" w:eastAsia="zh-CN"/>
        </w:rPr>
        <w:t>完全响应</w:t>
      </w:r>
      <w:r>
        <w:rPr>
          <w:rFonts w:hint="eastAsia" w:ascii="仿宋" w:hAnsi="仿宋" w:eastAsia="仿宋" w:cs="仿宋"/>
          <w:bCs/>
          <w:color w:val="auto"/>
          <w:sz w:val="24"/>
          <w:szCs w:val="20"/>
          <w:highlight w:val="none"/>
        </w:rPr>
        <w:t>并且不存在重大偏离，</w:t>
      </w:r>
      <w:r>
        <w:rPr>
          <w:rFonts w:hint="eastAsia" w:ascii="仿宋" w:hAnsi="仿宋" w:eastAsia="仿宋" w:cs="仿宋"/>
          <w:bCs/>
          <w:color w:val="auto"/>
          <w:sz w:val="24"/>
          <w:szCs w:val="20"/>
          <w:highlight w:val="none"/>
          <w:lang w:val="en-US" w:eastAsia="zh-CN"/>
        </w:rPr>
        <w:t>具体内容详见投标文件。</w:t>
      </w:r>
    </w:p>
    <w:p w14:paraId="6071A3BF">
      <w:pPr>
        <w:pStyle w:val="328"/>
        <w:spacing w:line="600" w:lineRule="exact"/>
        <w:ind w:firstLine="480"/>
        <w:rPr>
          <w:rFonts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特此声明</w:t>
      </w:r>
    </w:p>
    <w:p w14:paraId="08566D15">
      <w:pPr>
        <w:pStyle w:val="328"/>
        <w:spacing w:line="600" w:lineRule="exact"/>
        <w:ind w:firstLine="480"/>
        <w:rPr>
          <w:rFonts w:hint="eastAsia"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lang w:val="en-US" w:eastAsia="zh-CN"/>
        </w:rPr>
        <w:t>（我司知晓下列处理原则：已提供本声明但投标文件不</w:t>
      </w:r>
      <w:r>
        <w:rPr>
          <w:rFonts w:hint="eastAsia" w:ascii="仿宋" w:hAnsi="仿宋" w:eastAsia="仿宋" w:cs="仿宋"/>
          <w:bCs/>
          <w:color w:val="auto"/>
          <w:sz w:val="24"/>
          <w:szCs w:val="20"/>
          <w:highlight w:val="none"/>
        </w:rPr>
        <w:t>符合</w:t>
      </w:r>
      <w:r>
        <w:rPr>
          <w:rFonts w:hint="eastAsia" w:ascii="仿宋" w:hAnsi="仿宋" w:eastAsia="仿宋" w:cs="仿宋"/>
          <w:bCs/>
          <w:color w:val="auto"/>
          <w:sz w:val="24"/>
          <w:szCs w:val="20"/>
          <w:highlight w:val="none"/>
          <w:lang w:eastAsia="zh-CN"/>
        </w:rPr>
        <w:t>招标文件</w:t>
      </w:r>
      <w:r>
        <w:rPr>
          <w:rFonts w:hint="eastAsia" w:ascii="仿宋" w:hAnsi="仿宋" w:eastAsia="仿宋" w:cs="仿宋"/>
          <w:bCs/>
          <w:color w:val="auto"/>
          <w:sz w:val="24"/>
          <w:szCs w:val="20"/>
          <w:highlight w:val="none"/>
        </w:rPr>
        <w:t>要求</w:t>
      </w:r>
      <w:r>
        <w:rPr>
          <w:rFonts w:hint="eastAsia" w:ascii="仿宋" w:hAnsi="仿宋" w:eastAsia="仿宋" w:cs="仿宋"/>
          <w:bCs/>
          <w:color w:val="auto"/>
          <w:sz w:val="24"/>
          <w:szCs w:val="20"/>
          <w:highlight w:val="none"/>
          <w:lang w:val="en-US" w:eastAsia="zh-CN"/>
        </w:rPr>
        <w:t>或</w:t>
      </w:r>
      <w:r>
        <w:rPr>
          <w:rFonts w:hint="eastAsia" w:ascii="仿宋" w:hAnsi="仿宋" w:eastAsia="仿宋" w:cs="仿宋"/>
          <w:bCs/>
          <w:color w:val="auto"/>
          <w:sz w:val="24"/>
          <w:szCs w:val="20"/>
          <w:highlight w:val="none"/>
        </w:rPr>
        <w:t>存在重大偏离</w:t>
      </w:r>
      <w:r>
        <w:rPr>
          <w:rFonts w:hint="eastAsia" w:ascii="仿宋" w:hAnsi="仿宋" w:eastAsia="仿宋" w:cs="仿宋"/>
          <w:bCs/>
          <w:color w:val="auto"/>
          <w:sz w:val="24"/>
          <w:szCs w:val="20"/>
          <w:highlight w:val="none"/>
          <w:lang w:val="en-US" w:eastAsia="zh-CN"/>
        </w:rPr>
        <w:t>的，本声明无效，并可能做不符性处理。）</w:t>
      </w:r>
    </w:p>
    <w:p w14:paraId="30995DD9">
      <w:pPr>
        <w:pStyle w:val="328"/>
        <w:spacing w:line="600" w:lineRule="exact"/>
        <w:ind w:firstLine="480"/>
        <w:rPr>
          <w:rFonts w:hint="default" w:ascii="仿宋" w:hAnsi="仿宋" w:eastAsia="仿宋" w:cs="仿宋"/>
          <w:bCs/>
          <w:color w:val="auto"/>
          <w:sz w:val="24"/>
          <w:szCs w:val="20"/>
          <w:highlight w:val="none"/>
          <w:lang w:val="en-US" w:eastAsia="zh-CN"/>
        </w:rPr>
      </w:pPr>
    </w:p>
    <w:p w14:paraId="4B86B843">
      <w:pPr>
        <w:pStyle w:val="323"/>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单位名称：</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w:t>
      </w:r>
      <w:r>
        <w:rPr>
          <w:rFonts w:hint="eastAsia" w:ascii="仿宋" w:hAnsi="仿宋" w:eastAsia="仿宋" w:cs="仿宋"/>
          <w:b/>
          <w:color w:val="auto"/>
          <w:sz w:val="24"/>
          <w:szCs w:val="20"/>
          <w:highlight w:val="none"/>
          <w:lang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091A6CD5">
      <w:pPr>
        <w:pStyle w:val="331"/>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法定代表人（或授权代表）：</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（签字</w:t>
      </w:r>
      <w:r>
        <w:rPr>
          <w:rFonts w:hint="eastAsia" w:ascii="仿宋" w:hAnsi="仿宋" w:eastAsia="仿宋" w:cs="仿宋"/>
          <w:b/>
          <w:color w:val="auto"/>
          <w:sz w:val="24"/>
          <w:szCs w:val="20"/>
          <w:highlight w:val="none"/>
          <w:lang w:val="en-US"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03C4A3F3">
      <w:pPr>
        <w:spacing w:line="520" w:lineRule="exact"/>
        <w:outlineLvl w:val="9"/>
        <w:rPr>
          <w:rFonts w:hint="eastAsia" w:ascii="仿宋" w:hAnsi="仿宋" w:eastAsia="仿宋" w:cs="仿宋"/>
          <w:color w:val="auto"/>
          <w:highlight w:val="none"/>
        </w:rPr>
      </w:pPr>
      <w:r>
        <w:rPr>
          <w:rFonts w:hint="eastAsia" w:ascii="仿宋" w:hAnsi="仿宋" w:eastAsia="仿宋" w:cs="仿宋"/>
          <w:b/>
          <w:bCs w:val="0"/>
          <w:color w:val="auto"/>
          <w:sz w:val="24"/>
          <w:szCs w:val="20"/>
          <w:highlight w:val="none"/>
          <w:lang w:val="en-US" w:eastAsia="zh-CN"/>
        </w:rPr>
        <w:t>日期：</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年</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月</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日</w:t>
      </w:r>
      <w:r>
        <w:rPr>
          <w:rFonts w:hint="eastAsia" w:ascii="仿宋" w:hAnsi="仿宋" w:eastAsia="仿宋" w:cs="仿宋"/>
          <w:color w:val="auto"/>
          <w:highlight w:val="none"/>
        </w:rPr>
        <w:br w:type="page" w:clear="all"/>
      </w:r>
    </w:p>
    <w:p w14:paraId="24E2C1ED">
      <w:pPr>
        <w:pStyle w:val="324"/>
        <w:outlineLvl w:val="1"/>
        <w:rPr>
          <w:rFonts w:hint="eastAsia" w:ascii="仿宋" w:hAnsi="仿宋" w:eastAsia="仿宋" w:cs="仿宋"/>
          <w:color w:val="auto"/>
          <w:highlight w:val="none"/>
        </w:rPr>
      </w:pPr>
      <w:bookmarkStart w:id="74" w:name="_Toc31014"/>
      <w:bookmarkStart w:id="75" w:name="_Toc3486"/>
      <w:bookmarkStart w:id="76" w:name="_Toc24919"/>
      <w:bookmarkStart w:id="77" w:name="_Toc9717"/>
      <w:r>
        <w:rPr>
          <w:rFonts w:hint="eastAsia" w:ascii="仿宋" w:hAnsi="仿宋" w:eastAsia="仿宋" w:cs="仿宋"/>
          <w:color w:val="auto"/>
          <w:highlight w:val="none"/>
          <w:lang w:val="en-US" w:eastAsia="zh-CN"/>
        </w:rPr>
        <w:t>（四）综合评审评分项</w:t>
      </w:r>
      <w:bookmarkEnd w:id="73"/>
      <w:bookmarkEnd w:id="74"/>
      <w:bookmarkEnd w:id="75"/>
      <w:bookmarkEnd w:id="76"/>
      <w:bookmarkEnd w:id="77"/>
    </w:p>
    <w:p w14:paraId="2A97F29D">
      <w:pPr>
        <w:pStyle w:val="337"/>
        <w:outlineLvl w:val="2"/>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需求</w:t>
      </w:r>
      <w:r>
        <w:rPr>
          <w:rFonts w:hint="eastAsia" w:ascii="仿宋" w:hAnsi="仿宋" w:eastAsia="仿宋" w:cs="仿宋"/>
          <w:color w:val="auto"/>
          <w:highlight w:val="none"/>
        </w:rPr>
        <w:t>响应</w:t>
      </w:r>
    </w:p>
    <w:p w14:paraId="127783ED">
      <w:pPr>
        <w:pStyle w:val="338"/>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技术响应偏离表</w:t>
      </w:r>
    </w:p>
    <w:p w14:paraId="38E4C408">
      <w:pPr>
        <w:pStyle w:val="340"/>
        <w:ind w:firstLine="480"/>
        <w:rPr>
          <w:rFonts w:ascii="仿宋" w:hAnsi="仿宋" w:eastAsia="仿宋" w:cs="仿宋"/>
          <w:color w:val="auto"/>
          <w:sz w:val="24"/>
          <w:szCs w:val="20"/>
          <w:highlight w:val="none"/>
        </w:rPr>
      </w:pPr>
    </w:p>
    <w:tbl>
      <w:tblPr>
        <w:tblStyle w:val="38"/>
        <w:tblW w:w="93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90"/>
        <w:gridCol w:w="2452"/>
        <w:gridCol w:w="2561"/>
        <w:gridCol w:w="1900"/>
      </w:tblGrid>
      <w:tr w14:paraId="11FA7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5" w:hRule="atLeast"/>
          <w:jc w:val="center"/>
        </w:trPr>
        <w:tc>
          <w:tcPr>
            <w:tcW w:w="2390" w:type="dxa"/>
            <w:noWrap w:val="0"/>
            <w:vAlign w:val="center"/>
          </w:tcPr>
          <w:p w14:paraId="6495CA2A">
            <w:pPr>
              <w:pStyle w:val="338"/>
              <w:widowControl/>
              <w:spacing w:before="100" w:beforeAutospacing="1" w:line="56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招标文件内容</w:t>
            </w:r>
          </w:p>
        </w:tc>
        <w:tc>
          <w:tcPr>
            <w:tcW w:w="2452" w:type="dxa"/>
            <w:noWrap w:val="0"/>
            <w:vAlign w:val="center"/>
          </w:tcPr>
          <w:p w14:paraId="4EEBF540">
            <w:pPr>
              <w:pStyle w:val="338"/>
              <w:widowControl/>
              <w:spacing w:before="100" w:beforeAutospacing="1" w:line="56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投标文件内容</w:t>
            </w:r>
          </w:p>
        </w:tc>
        <w:tc>
          <w:tcPr>
            <w:tcW w:w="2561" w:type="dxa"/>
            <w:noWrap w:val="0"/>
            <w:vAlign w:val="center"/>
          </w:tcPr>
          <w:p w14:paraId="5D0848DF">
            <w:pPr>
              <w:pStyle w:val="338"/>
              <w:widowControl/>
              <w:spacing w:before="100" w:beforeAutospacing="1" w:line="56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偏离内容及说明</w:t>
            </w:r>
          </w:p>
        </w:tc>
        <w:tc>
          <w:tcPr>
            <w:tcW w:w="1900" w:type="dxa"/>
            <w:noWrap w:val="0"/>
            <w:vAlign w:val="center"/>
          </w:tcPr>
          <w:p w14:paraId="647094E3">
            <w:pPr>
              <w:pStyle w:val="338"/>
              <w:widowControl/>
              <w:spacing w:before="100" w:beforeAutospacing="1" w:line="56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技术支持资料对应页码</w:t>
            </w:r>
          </w:p>
        </w:tc>
      </w:tr>
      <w:tr w14:paraId="7A218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2390" w:type="dxa"/>
            <w:noWrap w:val="0"/>
            <w:vAlign w:val="center"/>
          </w:tcPr>
          <w:p w14:paraId="528E7BBC">
            <w:pPr>
              <w:keepNext w:val="0"/>
              <w:keepLines w:val="0"/>
              <w:pageBreakBefore w:val="0"/>
              <w:widowControl w:val="0"/>
              <w:spacing w:line="360" w:lineRule="auto"/>
              <w:rPr>
                <w:rFonts w:ascii="仿宋" w:hAnsi="仿宋" w:eastAsia="仿宋" w:cs="仿宋"/>
                <w:color w:val="auto"/>
                <w:highlight w:val="none"/>
              </w:rPr>
            </w:pPr>
          </w:p>
        </w:tc>
        <w:tc>
          <w:tcPr>
            <w:tcW w:w="2452" w:type="dxa"/>
            <w:shd w:val="clear" w:color="auto" w:fill="auto"/>
            <w:noWrap w:val="0"/>
            <w:vAlign w:val="center"/>
          </w:tcPr>
          <w:p w14:paraId="0277667D">
            <w:pPr>
              <w:keepNext w:val="0"/>
              <w:keepLines w:val="0"/>
              <w:pageBreakBefore w:val="0"/>
              <w:widowControl w:val="0"/>
              <w:spacing w:line="360" w:lineRule="auto"/>
              <w:rPr>
                <w:rFonts w:hint="default" w:ascii="仿宋" w:hAnsi="仿宋" w:eastAsia="仿宋" w:cs="仿宋"/>
                <w:color w:val="auto"/>
                <w:sz w:val="24"/>
                <w:szCs w:val="24"/>
                <w:highlight w:val="none"/>
                <w:lang w:val="en-US" w:eastAsia="zh-CN" w:bidi="ar-SA"/>
              </w:rPr>
            </w:pPr>
          </w:p>
        </w:tc>
        <w:tc>
          <w:tcPr>
            <w:tcW w:w="2561" w:type="dxa"/>
            <w:noWrap w:val="0"/>
            <w:vAlign w:val="center"/>
          </w:tcPr>
          <w:p w14:paraId="72401EEE">
            <w:pPr>
              <w:spacing w:line="560" w:lineRule="exact"/>
              <w:jc w:val="center"/>
              <w:rPr>
                <w:rFonts w:ascii="仿宋" w:hAnsi="仿宋" w:eastAsia="仿宋" w:cs="仿宋"/>
                <w:color w:val="auto"/>
                <w:sz w:val="28"/>
                <w:szCs w:val="28"/>
                <w:highlight w:val="none"/>
              </w:rPr>
            </w:pPr>
          </w:p>
        </w:tc>
        <w:tc>
          <w:tcPr>
            <w:tcW w:w="1900" w:type="dxa"/>
            <w:noWrap w:val="0"/>
            <w:vAlign w:val="center"/>
          </w:tcPr>
          <w:p w14:paraId="6C694DCC">
            <w:pPr>
              <w:pStyle w:val="338"/>
              <w:spacing w:line="560" w:lineRule="exact"/>
              <w:jc w:val="center"/>
              <w:rPr>
                <w:rFonts w:hint="default" w:ascii="仿宋" w:hAnsi="仿宋" w:eastAsia="仿宋" w:cs="仿宋"/>
                <w:color w:val="auto"/>
                <w:sz w:val="28"/>
                <w:szCs w:val="28"/>
                <w:highlight w:val="none"/>
                <w:lang w:val="en-US" w:eastAsia="zh-CN"/>
              </w:rPr>
            </w:pPr>
          </w:p>
        </w:tc>
      </w:tr>
      <w:tr w14:paraId="0680A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390" w:type="dxa"/>
            <w:noWrap w:val="0"/>
            <w:vAlign w:val="center"/>
          </w:tcPr>
          <w:p w14:paraId="0CAC31C6">
            <w:pPr>
              <w:pStyle w:val="311"/>
              <w:spacing w:line="360" w:lineRule="auto"/>
              <w:ind w:left="0" w:firstLine="0"/>
              <w:rPr>
                <w:rFonts w:hint="default" w:ascii="仿宋" w:hAnsi="仿宋" w:eastAsia="仿宋" w:cs="仿宋"/>
                <w:color w:val="auto"/>
                <w:szCs w:val="22"/>
                <w:highlight w:val="none"/>
                <w:lang w:val="en-US" w:eastAsia="zh-CN"/>
              </w:rPr>
            </w:pPr>
          </w:p>
        </w:tc>
        <w:tc>
          <w:tcPr>
            <w:tcW w:w="2452" w:type="dxa"/>
            <w:shd w:val="clear" w:color="auto" w:fill="auto"/>
            <w:noWrap w:val="0"/>
            <w:vAlign w:val="center"/>
          </w:tcPr>
          <w:p w14:paraId="43FE4504">
            <w:pPr>
              <w:pStyle w:val="311"/>
              <w:spacing w:line="360" w:lineRule="auto"/>
              <w:ind w:left="0" w:firstLine="0"/>
              <w:rPr>
                <w:rFonts w:hint="default" w:ascii="仿宋" w:hAnsi="仿宋" w:eastAsia="仿宋" w:cs="仿宋"/>
                <w:color w:val="auto"/>
                <w:sz w:val="24"/>
                <w:szCs w:val="22"/>
                <w:highlight w:val="none"/>
                <w:lang w:val="en-US" w:eastAsia="zh-CN" w:bidi="ar-SA"/>
              </w:rPr>
            </w:pPr>
          </w:p>
        </w:tc>
        <w:tc>
          <w:tcPr>
            <w:tcW w:w="2561" w:type="dxa"/>
            <w:shd w:val="clear" w:color="auto" w:fill="auto"/>
            <w:noWrap w:val="0"/>
            <w:vAlign w:val="center"/>
          </w:tcPr>
          <w:p w14:paraId="2C814EBA">
            <w:pPr>
              <w:spacing w:line="560" w:lineRule="exact"/>
              <w:jc w:val="center"/>
              <w:rPr>
                <w:rFonts w:ascii="仿宋" w:hAnsi="仿宋" w:eastAsia="仿宋" w:cs="仿宋"/>
                <w:color w:val="auto"/>
                <w:sz w:val="28"/>
                <w:szCs w:val="28"/>
                <w:highlight w:val="none"/>
                <w:lang w:val="en-US" w:eastAsia="zh-CN" w:bidi="ar-SA"/>
              </w:rPr>
            </w:pPr>
          </w:p>
        </w:tc>
        <w:tc>
          <w:tcPr>
            <w:tcW w:w="1900" w:type="dxa"/>
            <w:shd w:val="clear" w:color="auto" w:fill="auto"/>
            <w:noWrap w:val="0"/>
            <w:vAlign w:val="center"/>
          </w:tcPr>
          <w:p w14:paraId="75936072">
            <w:pPr>
              <w:pStyle w:val="338"/>
              <w:spacing w:line="560" w:lineRule="exact"/>
              <w:jc w:val="center"/>
              <w:rPr>
                <w:rFonts w:ascii="仿宋" w:hAnsi="仿宋" w:eastAsia="仿宋" w:cs="仿宋"/>
                <w:color w:val="auto"/>
                <w:sz w:val="28"/>
                <w:szCs w:val="28"/>
                <w:highlight w:val="none"/>
                <w:lang w:val="en-US" w:eastAsia="zh-CN" w:bidi="ar-SA"/>
              </w:rPr>
            </w:pPr>
          </w:p>
        </w:tc>
      </w:tr>
      <w:tr w14:paraId="3CD8A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390" w:type="dxa"/>
            <w:noWrap w:val="0"/>
            <w:vAlign w:val="center"/>
          </w:tcPr>
          <w:p w14:paraId="14882AE1">
            <w:pPr>
              <w:spacing w:line="460" w:lineRule="exact"/>
              <w:rPr>
                <w:rFonts w:ascii="仿宋" w:hAnsi="仿宋" w:eastAsia="仿宋" w:cs="仿宋"/>
                <w:color w:val="auto"/>
                <w:szCs w:val="22"/>
                <w:highlight w:val="none"/>
              </w:rPr>
            </w:pPr>
          </w:p>
        </w:tc>
        <w:tc>
          <w:tcPr>
            <w:tcW w:w="2452" w:type="dxa"/>
            <w:noWrap w:val="0"/>
            <w:vAlign w:val="center"/>
          </w:tcPr>
          <w:p w14:paraId="6386D7E7">
            <w:pPr>
              <w:spacing w:line="460" w:lineRule="exact"/>
              <w:rPr>
                <w:rFonts w:ascii="仿宋" w:hAnsi="仿宋" w:eastAsia="仿宋" w:cs="仿宋"/>
                <w:color w:val="auto"/>
                <w:szCs w:val="22"/>
                <w:highlight w:val="none"/>
              </w:rPr>
            </w:pPr>
          </w:p>
        </w:tc>
        <w:tc>
          <w:tcPr>
            <w:tcW w:w="2561" w:type="dxa"/>
            <w:noWrap w:val="0"/>
            <w:vAlign w:val="center"/>
          </w:tcPr>
          <w:p w14:paraId="1380E419">
            <w:pPr>
              <w:pStyle w:val="338"/>
              <w:spacing w:line="560" w:lineRule="exact"/>
              <w:jc w:val="center"/>
              <w:rPr>
                <w:rFonts w:ascii="仿宋" w:hAnsi="仿宋" w:eastAsia="仿宋" w:cs="仿宋"/>
                <w:color w:val="auto"/>
                <w:sz w:val="24"/>
                <w:szCs w:val="22"/>
                <w:highlight w:val="none"/>
              </w:rPr>
            </w:pPr>
          </w:p>
        </w:tc>
        <w:tc>
          <w:tcPr>
            <w:tcW w:w="1900" w:type="dxa"/>
            <w:noWrap w:val="0"/>
            <w:vAlign w:val="center"/>
          </w:tcPr>
          <w:p w14:paraId="7116C938">
            <w:pPr>
              <w:pStyle w:val="338"/>
              <w:spacing w:line="560" w:lineRule="exact"/>
              <w:jc w:val="center"/>
              <w:rPr>
                <w:rFonts w:ascii="仿宋" w:hAnsi="仿宋" w:eastAsia="仿宋" w:cs="仿宋"/>
                <w:color w:val="auto"/>
                <w:sz w:val="24"/>
                <w:szCs w:val="22"/>
                <w:highlight w:val="none"/>
              </w:rPr>
            </w:pPr>
          </w:p>
        </w:tc>
      </w:tr>
      <w:tr w14:paraId="68B53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390" w:type="dxa"/>
            <w:noWrap w:val="0"/>
            <w:vAlign w:val="center"/>
          </w:tcPr>
          <w:p w14:paraId="7D03C4EB">
            <w:pPr>
              <w:spacing w:line="460" w:lineRule="exact"/>
              <w:rPr>
                <w:rFonts w:ascii="仿宋" w:hAnsi="仿宋" w:eastAsia="仿宋" w:cs="仿宋"/>
                <w:color w:val="auto"/>
                <w:szCs w:val="22"/>
                <w:highlight w:val="none"/>
              </w:rPr>
            </w:pPr>
          </w:p>
        </w:tc>
        <w:tc>
          <w:tcPr>
            <w:tcW w:w="2452" w:type="dxa"/>
            <w:noWrap w:val="0"/>
            <w:vAlign w:val="center"/>
          </w:tcPr>
          <w:p w14:paraId="10069433">
            <w:pPr>
              <w:spacing w:line="460" w:lineRule="exact"/>
              <w:rPr>
                <w:rFonts w:ascii="仿宋" w:hAnsi="仿宋" w:eastAsia="仿宋" w:cs="仿宋"/>
                <w:color w:val="auto"/>
                <w:szCs w:val="22"/>
                <w:highlight w:val="none"/>
              </w:rPr>
            </w:pPr>
          </w:p>
        </w:tc>
        <w:tc>
          <w:tcPr>
            <w:tcW w:w="2561" w:type="dxa"/>
            <w:noWrap w:val="0"/>
            <w:vAlign w:val="center"/>
          </w:tcPr>
          <w:p w14:paraId="17E5095C">
            <w:pPr>
              <w:pStyle w:val="338"/>
              <w:spacing w:line="560" w:lineRule="exact"/>
              <w:jc w:val="center"/>
              <w:rPr>
                <w:rFonts w:ascii="仿宋" w:hAnsi="仿宋" w:eastAsia="仿宋" w:cs="仿宋"/>
                <w:color w:val="auto"/>
                <w:sz w:val="24"/>
                <w:szCs w:val="22"/>
                <w:highlight w:val="none"/>
              </w:rPr>
            </w:pPr>
          </w:p>
        </w:tc>
        <w:tc>
          <w:tcPr>
            <w:tcW w:w="1900" w:type="dxa"/>
            <w:noWrap w:val="0"/>
            <w:vAlign w:val="center"/>
          </w:tcPr>
          <w:p w14:paraId="6D6AFA6E">
            <w:pPr>
              <w:pStyle w:val="338"/>
              <w:spacing w:line="560" w:lineRule="exact"/>
              <w:jc w:val="center"/>
              <w:rPr>
                <w:rFonts w:ascii="仿宋" w:hAnsi="仿宋" w:eastAsia="仿宋" w:cs="仿宋"/>
                <w:color w:val="auto"/>
                <w:sz w:val="24"/>
                <w:szCs w:val="22"/>
                <w:highlight w:val="none"/>
              </w:rPr>
            </w:pPr>
          </w:p>
        </w:tc>
      </w:tr>
    </w:tbl>
    <w:p w14:paraId="49A042FF">
      <w:pPr>
        <w:pStyle w:val="323"/>
        <w:spacing w:line="70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单位名称：</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（签章）</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09B018B6">
      <w:pPr>
        <w:pStyle w:val="331"/>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法定代表人（或授权代表）：</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（签字）</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55A26054">
      <w:pPr>
        <w:pStyle w:val="331"/>
        <w:numPr>
          <w:ilvl w:val="0"/>
          <w:numId w:val="0"/>
        </w:numPr>
        <w:rPr>
          <w:rFonts w:hint="eastAsia" w:ascii="仿宋" w:hAnsi="仿宋" w:eastAsia="仿宋" w:cs="仿宋"/>
          <w:b/>
          <w:bCs/>
          <w:color w:val="auto"/>
          <w:sz w:val="24"/>
          <w:szCs w:val="28"/>
          <w:highlight w:val="none"/>
        </w:rPr>
      </w:pPr>
      <w:r>
        <w:rPr>
          <w:rFonts w:hint="default" w:ascii="仿宋" w:hAnsi="仿宋" w:eastAsia="仿宋" w:cs="仿宋"/>
          <w:b/>
          <w:bCs/>
          <w:color w:val="auto"/>
          <w:sz w:val="24"/>
          <w:szCs w:val="28"/>
          <w:highlight w:val="none"/>
          <w:lang w:val="en-US" w:eastAsia="zh-CN" w:bidi="ar-SA"/>
        </w:rPr>
        <w:t>1</w:t>
      </w:r>
      <w:r>
        <w:rPr>
          <w:rFonts w:hint="eastAsia" w:ascii="仿宋" w:hAnsi="仿宋" w:eastAsia="仿宋" w:cs="仿宋"/>
          <w:b/>
          <w:bCs/>
          <w:color w:val="auto"/>
          <w:sz w:val="24"/>
          <w:szCs w:val="28"/>
          <w:highlight w:val="none"/>
          <w:lang w:val="en-US" w:eastAsia="zh-CN" w:bidi="ar-SA"/>
        </w:rPr>
        <w:t>.</w:t>
      </w:r>
      <w:r>
        <w:rPr>
          <w:rFonts w:hint="eastAsia" w:ascii="仿宋" w:hAnsi="仿宋" w:eastAsia="仿宋" w:cs="仿宋"/>
          <w:b/>
          <w:bCs/>
          <w:color w:val="auto"/>
          <w:sz w:val="24"/>
          <w:szCs w:val="28"/>
          <w:highlight w:val="none"/>
        </w:rPr>
        <w:t>招标文件第四部分采购需求</w:t>
      </w:r>
      <w:r>
        <w:rPr>
          <w:rFonts w:hint="eastAsia" w:ascii="仿宋" w:hAnsi="仿宋" w:eastAsia="仿宋" w:cs="仿宋"/>
          <w:b/>
          <w:bCs/>
          <w:color w:val="auto"/>
          <w:sz w:val="24"/>
          <w:szCs w:val="28"/>
          <w:highlight w:val="none"/>
          <w:lang w:val="en-US" w:eastAsia="zh-CN"/>
        </w:rPr>
        <w:t>中</w:t>
      </w:r>
      <w:r>
        <w:rPr>
          <w:rFonts w:hint="eastAsia" w:ascii="仿宋" w:hAnsi="仿宋" w:eastAsia="仿宋" w:cs="仿宋"/>
          <w:b/>
          <w:bCs/>
          <w:color w:val="FF0000"/>
          <w:sz w:val="24"/>
          <w:szCs w:val="28"/>
          <w:highlight w:val="none"/>
          <w:lang w:val="en-US" w:eastAsia="zh-CN"/>
        </w:rPr>
        <w:t>除商务合作要求的其他</w:t>
      </w:r>
      <w:r>
        <w:rPr>
          <w:rFonts w:hint="eastAsia" w:ascii="仿宋" w:hAnsi="仿宋" w:eastAsia="仿宋" w:cs="仿宋"/>
          <w:b/>
          <w:bCs/>
          <w:color w:val="FF0000"/>
          <w:sz w:val="24"/>
          <w:szCs w:val="28"/>
          <w:highlight w:val="none"/>
        </w:rPr>
        <w:t>所有内容</w:t>
      </w:r>
      <w:r>
        <w:rPr>
          <w:rFonts w:hint="eastAsia" w:ascii="仿宋" w:hAnsi="仿宋" w:eastAsia="仿宋" w:cs="仿宋"/>
          <w:b/>
          <w:bCs/>
          <w:color w:val="auto"/>
          <w:sz w:val="24"/>
          <w:szCs w:val="28"/>
          <w:highlight w:val="none"/>
        </w:rPr>
        <w:t>应当逐条在此表中列明并由</w:t>
      </w:r>
      <w:r>
        <w:rPr>
          <w:rFonts w:hint="eastAsia" w:ascii="仿宋" w:hAnsi="仿宋" w:eastAsia="仿宋" w:cs="仿宋"/>
          <w:b/>
          <w:bCs/>
          <w:color w:val="auto"/>
          <w:sz w:val="24"/>
          <w:szCs w:val="28"/>
          <w:highlight w:val="none"/>
          <w:lang w:eastAsia="zh-CN"/>
        </w:rPr>
        <w:t>投标人</w:t>
      </w:r>
      <w:r>
        <w:rPr>
          <w:rFonts w:hint="eastAsia" w:ascii="仿宋" w:hAnsi="仿宋" w:eastAsia="仿宋" w:cs="仿宋"/>
          <w:b/>
          <w:bCs/>
          <w:color w:val="auto"/>
          <w:sz w:val="24"/>
          <w:szCs w:val="28"/>
          <w:highlight w:val="none"/>
        </w:rPr>
        <w:t>逐条响应，</w:t>
      </w:r>
      <w:r>
        <w:rPr>
          <w:rFonts w:hint="eastAsia" w:ascii="仿宋" w:hAnsi="仿宋" w:eastAsia="仿宋" w:cs="仿宋"/>
          <w:b/>
          <w:bCs/>
          <w:color w:val="auto"/>
          <w:sz w:val="24"/>
          <w:szCs w:val="28"/>
          <w:highlight w:val="none"/>
          <w:lang w:val="en-US" w:eastAsia="zh-CN" w:bidi="ar-SA"/>
        </w:rPr>
        <w:t>所提供服务与招标文件没有偏离的，应在此表偏离内容及说明中注明“无偏离”；凡投标文件中所提供服务与招标文件有偏离的（包括正偏离和负偏离），均应在此表偏离内容及说明中注明“正偏离”或“负偏离”并详细列出偏离内容或说明理由。</w:t>
      </w:r>
    </w:p>
    <w:p w14:paraId="47234B28">
      <w:pPr>
        <w:pStyle w:val="331"/>
        <w:rPr>
          <w:rFonts w:ascii="仿宋" w:hAnsi="仿宋" w:eastAsia="仿宋" w:cs="仿宋"/>
          <w:b/>
          <w:bCs/>
          <w:color w:val="auto"/>
          <w:sz w:val="24"/>
          <w:szCs w:val="28"/>
          <w:highlight w:val="none"/>
        </w:rPr>
      </w:pPr>
      <w:r>
        <w:rPr>
          <w:rFonts w:hint="eastAsia" w:ascii="仿宋" w:hAnsi="仿宋" w:eastAsia="仿宋" w:cs="仿宋"/>
          <w:b/>
          <w:bCs/>
          <w:color w:val="auto"/>
          <w:sz w:val="24"/>
          <w:szCs w:val="28"/>
          <w:highlight w:val="none"/>
        </w:rPr>
        <w:t>2</w:t>
      </w:r>
      <w:r>
        <w:rPr>
          <w:rFonts w:hint="eastAsia" w:ascii="仿宋" w:hAnsi="仿宋" w:eastAsia="仿宋" w:cs="仿宋"/>
          <w:b/>
          <w:bCs/>
          <w:color w:val="auto"/>
          <w:sz w:val="24"/>
          <w:szCs w:val="28"/>
          <w:highlight w:val="none"/>
          <w:lang w:val="en-US" w:eastAsia="zh-CN"/>
        </w:rPr>
        <w:t>.</w:t>
      </w:r>
      <w:r>
        <w:rPr>
          <w:rFonts w:hint="eastAsia" w:ascii="仿宋" w:hAnsi="仿宋" w:eastAsia="仿宋" w:cs="仿宋"/>
          <w:b/>
          <w:bCs/>
          <w:color w:val="auto"/>
          <w:sz w:val="24"/>
          <w:szCs w:val="28"/>
          <w:highlight w:val="none"/>
        </w:rPr>
        <w:t>应后附详细说明及技术资料，并注明投标文件中对应的页码范围。</w:t>
      </w:r>
    </w:p>
    <w:p w14:paraId="0CE8537A">
      <w:pPr>
        <w:pStyle w:val="315"/>
        <w:jc w:val="left"/>
        <w:rPr>
          <w:rFonts w:ascii="仿宋" w:hAnsi="仿宋" w:eastAsia="仿宋" w:cs="仿宋"/>
          <w:b/>
          <w:bCs/>
          <w:color w:val="auto"/>
          <w:sz w:val="24"/>
          <w:szCs w:val="28"/>
          <w:highlight w:val="none"/>
        </w:rPr>
      </w:pPr>
      <w:r>
        <w:rPr>
          <w:rFonts w:hint="eastAsia" w:ascii="仿宋" w:hAnsi="仿宋" w:eastAsia="仿宋" w:cs="仿宋"/>
          <w:b/>
          <w:bCs/>
          <w:color w:val="auto"/>
          <w:sz w:val="24"/>
          <w:szCs w:val="28"/>
          <w:highlight w:val="none"/>
        </w:rPr>
        <w:t>3</w:t>
      </w:r>
      <w:r>
        <w:rPr>
          <w:rFonts w:hint="eastAsia" w:ascii="仿宋" w:hAnsi="仿宋" w:eastAsia="仿宋" w:cs="仿宋"/>
          <w:b/>
          <w:bCs/>
          <w:color w:val="auto"/>
          <w:sz w:val="24"/>
          <w:szCs w:val="28"/>
          <w:highlight w:val="none"/>
          <w:lang w:val="en-US" w:eastAsia="zh-CN"/>
        </w:rPr>
        <w:t>.</w:t>
      </w:r>
      <w:r>
        <w:rPr>
          <w:rFonts w:hint="eastAsia" w:ascii="仿宋" w:hAnsi="仿宋" w:eastAsia="仿宋" w:cs="仿宋"/>
          <w:b/>
          <w:bCs/>
          <w:color w:val="auto"/>
          <w:sz w:val="24"/>
          <w:szCs w:val="28"/>
          <w:highlight w:val="none"/>
        </w:rPr>
        <w:t>响应内容不得完全复制采购需求的内容，须</w:t>
      </w:r>
      <w:r>
        <w:rPr>
          <w:rFonts w:hint="eastAsia" w:ascii="仿宋" w:hAnsi="仿宋" w:eastAsia="仿宋" w:cs="仿宋"/>
          <w:b/>
          <w:bCs/>
          <w:color w:val="auto"/>
          <w:sz w:val="24"/>
          <w:szCs w:val="28"/>
          <w:highlight w:val="none"/>
          <w:lang w:eastAsia="zh-CN"/>
        </w:rPr>
        <w:t>投标人</w:t>
      </w:r>
      <w:r>
        <w:rPr>
          <w:rFonts w:hint="eastAsia" w:ascii="仿宋" w:hAnsi="仿宋" w:eastAsia="仿宋" w:cs="仿宋"/>
          <w:b/>
          <w:bCs/>
          <w:color w:val="auto"/>
          <w:sz w:val="24"/>
          <w:szCs w:val="28"/>
          <w:highlight w:val="none"/>
        </w:rPr>
        <w:t>自行进行响应。</w:t>
      </w:r>
    </w:p>
    <w:p w14:paraId="56A74BC6">
      <w:pPr>
        <w:pStyle w:val="315"/>
        <w:jc w:val="left"/>
        <w:rPr>
          <w:rFonts w:ascii="仿宋" w:hAnsi="仿宋" w:eastAsia="仿宋" w:cs="仿宋"/>
          <w:b/>
          <w:bCs/>
          <w:color w:val="auto"/>
          <w:sz w:val="24"/>
          <w:szCs w:val="28"/>
          <w:highlight w:val="none"/>
        </w:rPr>
      </w:pPr>
      <w:r>
        <w:rPr>
          <w:rFonts w:hint="eastAsia" w:ascii="仿宋" w:hAnsi="仿宋" w:eastAsia="仿宋" w:cs="仿宋"/>
          <w:b/>
          <w:bCs/>
          <w:color w:val="auto"/>
          <w:sz w:val="24"/>
          <w:szCs w:val="28"/>
          <w:highlight w:val="none"/>
          <w:lang w:val="en-US" w:eastAsia="zh-CN"/>
        </w:rPr>
        <w:t>4.</w:t>
      </w:r>
      <w:r>
        <w:rPr>
          <w:rFonts w:hint="eastAsia" w:ascii="仿宋" w:hAnsi="仿宋" w:eastAsia="仿宋" w:cs="仿宋"/>
          <w:b/>
          <w:bCs/>
          <w:color w:val="auto"/>
          <w:sz w:val="24"/>
          <w:szCs w:val="28"/>
          <w:highlight w:val="none"/>
        </w:rPr>
        <w:t>行数不够请自行添加。</w:t>
      </w:r>
    </w:p>
    <w:p w14:paraId="4C78682F">
      <w:pPr>
        <w:pStyle w:val="352"/>
        <w:outlineLvl w:val="2"/>
        <w:rPr>
          <w:rFonts w:ascii="仿宋" w:hAnsi="仿宋" w:eastAsia="仿宋" w:cs="仿宋"/>
          <w:color w:val="auto"/>
          <w:highlight w:val="none"/>
        </w:rPr>
      </w:pPr>
      <w:r>
        <w:rPr>
          <w:rFonts w:hint="eastAsia" w:ascii="仿宋" w:hAnsi="仿宋" w:eastAsia="仿宋" w:cs="仿宋"/>
          <w:b/>
          <w:bCs/>
          <w:color w:val="auto"/>
          <w:sz w:val="24"/>
          <w:szCs w:val="28"/>
          <w:highlight w:val="none"/>
        </w:rPr>
        <w:br w:type="page" w:clear="all"/>
      </w:r>
      <w:bookmarkEnd w:id="59"/>
      <w:r>
        <w:rPr>
          <w:rFonts w:hint="eastAsia" w:ascii="仿宋" w:hAnsi="仿宋" w:eastAsia="仿宋" w:cs="仿宋"/>
          <w:color w:val="auto"/>
          <w:highlight w:val="none"/>
        </w:rPr>
        <w:t>业绩一览表</w:t>
      </w:r>
    </w:p>
    <w:p w14:paraId="397EBF15">
      <w:pPr>
        <w:pStyle w:val="353"/>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业绩一览表</w:t>
      </w:r>
    </w:p>
    <w:tbl>
      <w:tblPr>
        <w:tblStyle w:val="38"/>
        <w:tblW w:w="93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3"/>
        <w:gridCol w:w="2775"/>
        <w:gridCol w:w="1846"/>
        <w:gridCol w:w="1592"/>
        <w:gridCol w:w="2061"/>
      </w:tblGrid>
      <w:tr w14:paraId="5E74F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jc w:val="center"/>
        </w:trPr>
        <w:tc>
          <w:tcPr>
            <w:tcW w:w="1123" w:type="dxa"/>
            <w:noWrap w:val="0"/>
            <w:vAlign w:val="center"/>
          </w:tcPr>
          <w:p w14:paraId="0F460FA8">
            <w:pPr>
              <w:pStyle w:val="353"/>
              <w:spacing w:line="56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序号</w:t>
            </w:r>
          </w:p>
        </w:tc>
        <w:tc>
          <w:tcPr>
            <w:tcW w:w="2775" w:type="dxa"/>
            <w:noWrap w:val="0"/>
            <w:vAlign w:val="center"/>
          </w:tcPr>
          <w:p w14:paraId="7BA517B5">
            <w:pPr>
              <w:pStyle w:val="353"/>
              <w:spacing w:line="56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项目名称</w:t>
            </w:r>
          </w:p>
        </w:tc>
        <w:tc>
          <w:tcPr>
            <w:tcW w:w="1846" w:type="dxa"/>
            <w:noWrap w:val="0"/>
            <w:vAlign w:val="center"/>
          </w:tcPr>
          <w:p w14:paraId="34F516C3">
            <w:pPr>
              <w:pStyle w:val="353"/>
              <w:spacing w:line="56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采购单位</w:t>
            </w:r>
          </w:p>
        </w:tc>
        <w:tc>
          <w:tcPr>
            <w:tcW w:w="1592" w:type="dxa"/>
            <w:noWrap w:val="0"/>
            <w:vAlign w:val="center"/>
          </w:tcPr>
          <w:p w14:paraId="5823E608">
            <w:pPr>
              <w:pStyle w:val="353"/>
              <w:spacing w:line="56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合同金额</w:t>
            </w:r>
          </w:p>
        </w:tc>
        <w:tc>
          <w:tcPr>
            <w:tcW w:w="2061" w:type="dxa"/>
            <w:noWrap w:val="0"/>
            <w:vAlign w:val="center"/>
          </w:tcPr>
          <w:p w14:paraId="01B14B17">
            <w:pPr>
              <w:pStyle w:val="353"/>
              <w:spacing w:line="56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合同签订时间</w:t>
            </w:r>
          </w:p>
        </w:tc>
      </w:tr>
      <w:tr w14:paraId="6F4AD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123" w:type="dxa"/>
            <w:noWrap w:val="0"/>
            <w:vAlign w:val="center"/>
          </w:tcPr>
          <w:p w14:paraId="25913658">
            <w:pPr>
              <w:pStyle w:val="353"/>
              <w:spacing w:line="560" w:lineRule="exact"/>
              <w:jc w:val="center"/>
              <w:rPr>
                <w:rFonts w:ascii="仿宋" w:hAnsi="仿宋" w:eastAsia="仿宋" w:cs="仿宋"/>
                <w:color w:val="auto"/>
                <w:sz w:val="28"/>
                <w:highlight w:val="none"/>
              </w:rPr>
            </w:pPr>
          </w:p>
        </w:tc>
        <w:tc>
          <w:tcPr>
            <w:tcW w:w="2775" w:type="dxa"/>
            <w:noWrap w:val="0"/>
            <w:vAlign w:val="center"/>
          </w:tcPr>
          <w:p w14:paraId="2840EA07">
            <w:pPr>
              <w:pStyle w:val="353"/>
              <w:spacing w:line="560" w:lineRule="exact"/>
              <w:jc w:val="center"/>
              <w:rPr>
                <w:rFonts w:ascii="仿宋" w:hAnsi="仿宋" w:eastAsia="仿宋" w:cs="仿宋"/>
                <w:color w:val="auto"/>
                <w:sz w:val="28"/>
                <w:highlight w:val="none"/>
              </w:rPr>
            </w:pPr>
          </w:p>
        </w:tc>
        <w:tc>
          <w:tcPr>
            <w:tcW w:w="1846" w:type="dxa"/>
            <w:noWrap w:val="0"/>
            <w:vAlign w:val="center"/>
          </w:tcPr>
          <w:p w14:paraId="640CCBE7">
            <w:pPr>
              <w:pStyle w:val="353"/>
              <w:spacing w:line="560" w:lineRule="exact"/>
              <w:jc w:val="center"/>
              <w:rPr>
                <w:rFonts w:ascii="仿宋" w:hAnsi="仿宋" w:eastAsia="仿宋" w:cs="仿宋"/>
                <w:color w:val="auto"/>
                <w:sz w:val="28"/>
                <w:highlight w:val="none"/>
              </w:rPr>
            </w:pPr>
          </w:p>
        </w:tc>
        <w:tc>
          <w:tcPr>
            <w:tcW w:w="1592" w:type="dxa"/>
            <w:noWrap w:val="0"/>
            <w:vAlign w:val="center"/>
          </w:tcPr>
          <w:p w14:paraId="6FA7D50E">
            <w:pPr>
              <w:pStyle w:val="353"/>
              <w:spacing w:line="560" w:lineRule="exact"/>
              <w:jc w:val="center"/>
              <w:rPr>
                <w:rFonts w:ascii="仿宋" w:hAnsi="仿宋" w:eastAsia="仿宋" w:cs="仿宋"/>
                <w:color w:val="auto"/>
                <w:sz w:val="28"/>
                <w:highlight w:val="none"/>
              </w:rPr>
            </w:pPr>
          </w:p>
        </w:tc>
        <w:tc>
          <w:tcPr>
            <w:tcW w:w="2061" w:type="dxa"/>
            <w:noWrap w:val="0"/>
            <w:vAlign w:val="center"/>
          </w:tcPr>
          <w:p w14:paraId="1749E439">
            <w:pPr>
              <w:pStyle w:val="353"/>
              <w:spacing w:line="560" w:lineRule="exact"/>
              <w:jc w:val="center"/>
              <w:rPr>
                <w:rFonts w:ascii="仿宋" w:hAnsi="仿宋" w:eastAsia="仿宋" w:cs="仿宋"/>
                <w:color w:val="auto"/>
                <w:sz w:val="28"/>
                <w:highlight w:val="none"/>
              </w:rPr>
            </w:pPr>
          </w:p>
        </w:tc>
      </w:tr>
      <w:tr w14:paraId="308FC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123" w:type="dxa"/>
            <w:noWrap w:val="0"/>
            <w:vAlign w:val="center"/>
          </w:tcPr>
          <w:p w14:paraId="34114A93">
            <w:pPr>
              <w:pStyle w:val="353"/>
              <w:spacing w:line="560" w:lineRule="exact"/>
              <w:jc w:val="center"/>
              <w:rPr>
                <w:rFonts w:ascii="仿宋" w:hAnsi="仿宋" w:eastAsia="仿宋" w:cs="仿宋"/>
                <w:color w:val="auto"/>
                <w:sz w:val="28"/>
                <w:highlight w:val="none"/>
              </w:rPr>
            </w:pPr>
          </w:p>
        </w:tc>
        <w:tc>
          <w:tcPr>
            <w:tcW w:w="2775" w:type="dxa"/>
            <w:noWrap w:val="0"/>
            <w:vAlign w:val="center"/>
          </w:tcPr>
          <w:p w14:paraId="278BD50F">
            <w:pPr>
              <w:pStyle w:val="353"/>
              <w:spacing w:line="560" w:lineRule="exact"/>
              <w:jc w:val="center"/>
              <w:rPr>
                <w:rFonts w:ascii="仿宋" w:hAnsi="仿宋" w:eastAsia="仿宋" w:cs="仿宋"/>
                <w:color w:val="auto"/>
                <w:sz w:val="28"/>
                <w:highlight w:val="none"/>
              </w:rPr>
            </w:pPr>
          </w:p>
        </w:tc>
        <w:tc>
          <w:tcPr>
            <w:tcW w:w="1846" w:type="dxa"/>
            <w:noWrap w:val="0"/>
            <w:vAlign w:val="center"/>
          </w:tcPr>
          <w:p w14:paraId="26D68DFE">
            <w:pPr>
              <w:pStyle w:val="353"/>
              <w:spacing w:line="560" w:lineRule="exact"/>
              <w:jc w:val="center"/>
              <w:rPr>
                <w:rFonts w:ascii="仿宋" w:hAnsi="仿宋" w:eastAsia="仿宋" w:cs="仿宋"/>
                <w:color w:val="auto"/>
                <w:sz w:val="28"/>
                <w:highlight w:val="none"/>
              </w:rPr>
            </w:pPr>
          </w:p>
        </w:tc>
        <w:tc>
          <w:tcPr>
            <w:tcW w:w="1592" w:type="dxa"/>
            <w:noWrap w:val="0"/>
            <w:vAlign w:val="center"/>
          </w:tcPr>
          <w:p w14:paraId="38992520">
            <w:pPr>
              <w:pStyle w:val="353"/>
              <w:spacing w:line="560" w:lineRule="exact"/>
              <w:jc w:val="center"/>
              <w:rPr>
                <w:rFonts w:ascii="仿宋" w:hAnsi="仿宋" w:eastAsia="仿宋" w:cs="仿宋"/>
                <w:color w:val="auto"/>
                <w:sz w:val="28"/>
                <w:highlight w:val="none"/>
              </w:rPr>
            </w:pPr>
          </w:p>
        </w:tc>
        <w:tc>
          <w:tcPr>
            <w:tcW w:w="2061" w:type="dxa"/>
            <w:noWrap w:val="0"/>
            <w:vAlign w:val="center"/>
          </w:tcPr>
          <w:p w14:paraId="4889A4AF">
            <w:pPr>
              <w:pStyle w:val="353"/>
              <w:spacing w:line="560" w:lineRule="exact"/>
              <w:jc w:val="center"/>
              <w:rPr>
                <w:rFonts w:ascii="仿宋" w:hAnsi="仿宋" w:eastAsia="仿宋" w:cs="仿宋"/>
                <w:color w:val="auto"/>
                <w:sz w:val="28"/>
                <w:highlight w:val="none"/>
              </w:rPr>
            </w:pPr>
          </w:p>
        </w:tc>
      </w:tr>
      <w:tr w14:paraId="271BD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123" w:type="dxa"/>
            <w:noWrap w:val="0"/>
            <w:vAlign w:val="center"/>
          </w:tcPr>
          <w:p w14:paraId="41DE6A26">
            <w:pPr>
              <w:pStyle w:val="353"/>
              <w:spacing w:line="560" w:lineRule="exact"/>
              <w:jc w:val="center"/>
              <w:rPr>
                <w:rFonts w:ascii="仿宋" w:hAnsi="仿宋" w:eastAsia="仿宋" w:cs="仿宋"/>
                <w:color w:val="auto"/>
                <w:sz w:val="28"/>
                <w:highlight w:val="none"/>
              </w:rPr>
            </w:pPr>
          </w:p>
        </w:tc>
        <w:tc>
          <w:tcPr>
            <w:tcW w:w="2775" w:type="dxa"/>
            <w:noWrap w:val="0"/>
            <w:vAlign w:val="center"/>
          </w:tcPr>
          <w:p w14:paraId="56182964">
            <w:pPr>
              <w:pStyle w:val="353"/>
              <w:spacing w:line="560" w:lineRule="exact"/>
              <w:jc w:val="center"/>
              <w:rPr>
                <w:rFonts w:ascii="仿宋" w:hAnsi="仿宋" w:eastAsia="仿宋" w:cs="仿宋"/>
                <w:color w:val="auto"/>
                <w:sz w:val="28"/>
                <w:highlight w:val="none"/>
              </w:rPr>
            </w:pPr>
          </w:p>
        </w:tc>
        <w:tc>
          <w:tcPr>
            <w:tcW w:w="1846" w:type="dxa"/>
            <w:noWrap w:val="0"/>
            <w:vAlign w:val="center"/>
          </w:tcPr>
          <w:p w14:paraId="5B6EF72D">
            <w:pPr>
              <w:pStyle w:val="353"/>
              <w:spacing w:line="560" w:lineRule="exact"/>
              <w:jc w:val="center"/>
              <w:rPr>
                <w:rFonts w:ascii="仿宋" w:hAnsi="仿宋" w:eastAsia="仿宋" w:cs="仿宋"/>
                <w:color w:val="auto"/>
                <w:sz w:val="28"/>
                <w:highlight w:val="none"/>
              </w:rPr>
            </w:pPr>
          </w:p>
        </w:tc>
        <w:tc>
          <w:tcPr>
            <w:tcW w:w="1592" w:type="dxa"/>
            <w:noWrap w:val="0"/>
            <w:vAlign w:val="center"/>
          </w:tcPr>
          <w:p w14:paraId="6BE76975">
            <w:pPr>
              <w:pStyle w:val="353"/>
              <w:spacing w:line="560" w:lineRule="exact"/>
              <w:jc w:val="center"/>
              <w:rPr>
                <w:rFonts w:ascii="仿宋" w:hAnsi="仿宋" w:eastAsia="仿宋" w:cs="仿宋"/>
                <w:color w:val="auto"/>
                <w:sz w:val="28"/>
                <w:highlight w:val="none"/>
              </w:rPr>
            </w:pPr>
          </w:p>
        </w:tc>
        <w:tc>
          <w:tcPr>
            <w:tcW w:w="2061" w:type="dxa"/>
            <w:noWrap w:val="0"/>
            <w:vAlign w:val="center"/>
          </w:tcPr>
          <w:p w14:paraId="36EBA060">
            <w:pPr>
              <w:pStyle w:val="353"/>
              <w:spacing w:line="560" w:lineRule="exact"/>
              <w:jc w:val="center"/>
              <w:rPr>
                <w:rFonts w:ascii="仿宋" w:hAnsi="仿宋" w:eastAsia="仿宋" w:cs="仿宋"/>
                <w:color w:val="auto"/>
                <w:sz w:val="28"/>
                <w:highlight w:val="none"/>
              </w:rPr>
            </w:pPr>
          </w:p>
        </w:tc>
      </w:tr>
      <w:tr w14:paraId="06E13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123" w:type="dxa"/>
            <w:noWrap w:val="0"/>
            <w:vAlign w:val="center"/>
          </w:tcPr>
          <w:p w14:paraId="7435948C">
            <w:pPr>
              <w:pStyle w:val="353"/>
              <w:spacing w:line="560" w:lineRule="exact"/>
              <w:jc w:val="center"/>
              <w:rPr>
                <w:rFonts w:ascii="仿宋" w:hAnsi="仿宋" w:eastAsia="仿宋" w:cs="仿宋"/>
                <w:color w:val="auto"/>
                <w:sz w:val="28"/>
                <w:highlight w:val="none"/>
              </w:rPr>
            </w:pPr>
          </w:p>
        </w:tc>
        <w:tc>
          <w:tcPr>
            <w:tcW w:w="2775" w:type="dxa"/>
            <w:noWrap w:val="0"/>
            <w:vAlign w:val="center"/>
          </w:tcPr>
          <w:p w14:paraId="3FF0EB5D">
            <w:pPr>
              <w:pStyle w:val="353"/>
              <w:spacing w:line="560" w:lineRule="exact"/>
              <w:jc w:val="center"/>
              <w:rPr>
                <w:rFonts w:ascii="仿宋" w:hAnsi="仿宋" w:eastAsia="仿宋" w:cs="仿宋"/>
                <w:color w:val="auto"/>
                <w:sz w:val="28"/>
                <w:highlight w:val="none"/>
              </w:rPr>
            </w:pPr>
          </w:p>
        </w:tc>
        <w:tc>
          <w:tcPr>
            <w:tcW w:w="1846" w:type="dxa"/>
            <w:noWrap w:val="0"/>
            <w:vAlign w:val="center"/>
          </w:tcPr>
          <w:p w14:paraId="272BA373">
            <w:pPr>
              <w:pStyle w:val="353"/>
              <w:spacing w:line="560" w:lineRule="exact"/>
              <w:jc w:val="center"/>
              <w:rPr>
                <w:rFonts w:ascii="仿宋" w:hAnsi="仿宋" w:eastAsia="仿宋" w:cs="仿宋"/>
                <w:color w:val="auto"/>
                <w:sz w:val="28"/>
                <w:highlight w:val="none"/>
              </w:rPr>
            </w:pPr>
          </w:p>
        </w:tc>
        <w:tc>
          <w:tcPr>
            <w:tcW w:w="1592" w:type="dxa"/>
            <w:noWrap w:val="0"/>
            <w:vAlign w:val="center"/>
          </w:tcPr>
          <w:p w14:paraId="7C3C0C8F">
            <w:pPr>
              <w:pStyle w:val="353"/>
              <w:spacing w:line="560" w:lineRule="exact"/>
              <w:jc w:val="center"/>
              <w:rPr>
                <w:rFonts w:ascii="仿宋" w:hAnsi="仿宋" w:eastAsia="仿宋" w:cs="仿宋"/>
                <w:color w:val="auto"/>
                <w:sz w:val="28"/>
                <w:highlight w:val="none"/>
              </w:rPr>
            </w:pPr>
          </w:p>
        </w:tc>
        <w:tc>
          <w:tcPr>
            <w:tcW w:w="2061" w:type="dxa"/>
            <w:noWrap w:val="0"/>
            <w:vAlign w:val="center"/>
          </w:tcPr>
          <w:p w14:paraId="18DAD314">
            <w:pPr>
              <w:pStyle w:val="353"/>
              <w:spacing w:line="560" w:lineRule="exact"/>
              <w:jc w:val="center"/>
              <w:rPr>
                <w:rFonts w:ascii="仿宋" w:hAnsi="仿宋" w:eastAsia="仿宋" w:cs="仿宋"/>
                <w:color w:val="auto"/>
                <w:sz w:val="28"/>
                <w:highlight w:val="none"/>
              </w:rPr>
            </w:pPr>
          </w:p>
        </w:tc>
      </w:tr>
      <w:tr w14:paraId="37407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123" w:type="dxa"/>
            <w:noWrap w:val="0"/>
            <w:vAlign w:val="center"/>
          </w:tcPr>
          <w:p w14:paraId="362E6A10">
            <w:pPr>
              <w:pStyle w:val="353"/>
              <w:spacing w:line="560" w:lineRule="exact"/>
              <w:jc w:val="center"/>
              <w:rPr>
                <w:rFonts w:ascii="仿宋" w:hAnsi="仿宋" w:eastAsia="仿宋" w:cs="仿宋"/>
                <w:color w:val="auto"/>
                <w:sz w:val="28"/>
                <w:highlight w:val="none"/>
              </w:rPr>
            </w:pPr>
          </w:p>
        </w:tc>
        <w:tc>
          <w:tcPr>
            <w:tcW w:w="2775" w:type="dxa"/>
            <w:noWrap w:val="0"/>
            <w:vAlign w:val="center"/>
          </w:tcPr>
          <w:p w14:paraId="41EA1155">
            <w:pPr>
              <w:pStyle w:val="353"/>
              <w:spacing w:line="560" w:lineRule="exact"/>
              <w:jc w:val="center"/>
              <w:rPr>
                <w:rFonts w:ascii="仿宋" w:hAnsi="仿宋" w:eastAsia="仿宋" w:cs="仿宋"/>
                <w:color w:val="auto"/>
                <w:sz w:val="28"/>
                <w:highlight w:val="none"/>
              </w:rPr>
            </w:pPr>
          </w:p>
        </w:tc>
        <w:tc>
          <w:tcPr>
            <w:tcW w:w="1846" w:type="dxa"/>
            <w:noWrap w:val="0"/>
            <w:vAlign w:val="center"/>
          </w:tcPr>
          <w:p w14:paraId="2B18E817">
            <w:pPr>
              <w:pStyle w:val="353"/>
              <w:spacing w:line="560" w:lineRule="exact"/>
              <w:jc w:val="center"/>
              <w:rPr>
                <w:rFonts w:ascii="仿宋" w:hAnsi="仿宋" w:eastAsia="仿宋" w:cs="仿宋"/>
                <w:color w:val="auto"/>
                <w:sz w:val="28"/>
                <w:highlight w:val="none"/>
              </w:rPr>
            </w:pPr>
          </w:p>
        </w:tc>
        <w:tc>
          <w:tcPr>
            <w:tcW w:w="1592" w:type="dxa"/>
            <w:noWrap w:val="0"/>
            <w:vAlign w:val="center"/>
          </w:tcPr>
          <w:p w14:paraId="16A46398">
            <w:pPr>
              <w:pStyle w:val="353"/>
              <w:spacing w:line="560" w:lineRule="exact"/>
              <w:jc w:val="center"/>
              <w:rPr>
                <w:rFonts w:ascii="仿宋" w:hAnsi="仿宋" w:eastAsia="仿宋" w:cs="仿宋"/>
                <w:color w:val="auto"/>
                <w:sz w:val="28"/>
                <w:highlight w:val="none"/>
              </w:rPr>
            </w:pPr>
          </w:p>
        </w:tc>
        <w:tc>
          <w:tcPr>
            <w:tcW w:w="2061" w:type="dxa"/>
            <w:noWrap w:val="0"/>
            <w:vAlign w:val="center"/>
          </w:tcPr>
          <w:p w14:paraId="039A73D9">
            <w:pPr>
              <w:pStyle w:val="353"/>
              <w:spacing w:line="560" w:lineRule="exact"/>
              <w:jc w:val="center"/>
              <w:rPr>
                <w:rFonts w:ascii="仿宋" w:hAnsi="仿宋" w:eastAsia="仿宋" w:cs="仿宋"/>
                <w:color w:val="auto"/>
                <w:sz w:val="28"/>
                <w:highlight w:val="none"/>
              </w:rPr>
            </w:pPr>
          </w:p>
        </w:tc>
      </w:tr>
      <w:tr w14:paraId="157D3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123" w:type="dxa"/>
            <w:noWrap w:val="0"/>
            <w:vAlign w:val="center"/>
          </w:tcPr>
          <w:p w14:paraId="74CE9AD8">
            <w:pPr>
              <w:pStyle w:val="353"/>
              <w:spacing w:line="560" w:lineRule="exact"/>
              <w:jc w:val="center"/>
              <w:rPr>
                <w:rFonts w:ascii="仿宋" w:hAnsi="仿宋" w:eastAsia="仿宋" w:cs="仿宋"/>
                <w:color w:val="auto"/>
                <w:sz w:val="28"/>
                <w:highlight w:val="none"/>
              </w:rPr>
            </w:pPr>
          </w:p>
        </w:tc>
        <w:tc>
          <w:tcPr>
            <w:tcW w:w="2775" w:type="dxa"/>
            <w:noWrap w:val="0"/>
            <w:vAlign w:val="center"/>
          </w:tcPr>
          <w:p w14:paraId="5027816D">
            <w:pPr>
              <w:pStyle w:val="353"/>
              <w:spacing w:line="560" w:lineRule="exact"/>
              <w:jc w:val="center"/>
              <w:rPr>
                <w:rFonts w:ascii="仿宋" w:hAnsi="仿宋" w:eastAsia="仿宋" w:cs="仿宋"/>
                <w:color w:val="auto"/>
                <w:sz w:val="28"/>
                <w:highlight w:val="none"/>
              </w:rPr>
            </w:pPr>
          </w:p>
        </w:tc>
        <w:tc>
          <w:tcPr>
            <w:tcW w:w="1846" w:type="dxa"/>
            <w:noWrap w:val="0"/>
            <w:vAlign w:val="center"/>
          </w:tcPr>
          <w:p w14:paraId="7724A12A">
            <w:pPr>
              <w:pStyle w:val="353"/>
              <w:spacing w:line="560" w:lineRule="exact"/>
              <w:jc w:val="center"/>
              <w:rPr>
                <w:rFonts w:ascii="仿宋" w:hAnsi="仿宋" w:eastAsia="仿宋" w:cs="仿宋"/>
                <w:color w:val="auto"/>
                <w:sz w:val="28"/>
                <w:highlight w:val="none"/>
              </w:rPr>
            </w:pPr>
          </w:p>
        </w:tc>
        <w:tc>
          <w:tcPr>
            <w:tcW w:w="1592" w:type="dxa"/>
            <w:noWrap w:val="0"/>
            <w:vAlign w:val="center"/>
          </w:tcPr>
          <w:p w14:paraId="1C2B35D1">
            <w:pPr>
              <w:pStyle w:val="353"/>
              <w:spacing w:line="560" w:lineRule="exact"/>
              <w:jc w:val="center"/>
              <w:rPr>
                <w:rFonts w:ascii="仿宋" w:hAnsi="仿宋" w:eastAsia="仿宋" w:cs="仿宋"/>
                <w:color w:val="auto"/>
                <w:sz w:val="28"/>
                <w:highlight w:val="none"/>
              </w:rPr>
            </w:pPr>
          </w:p>
        </w:tc>
        <w:tc>
          <w:tcPr>
            <w:tcW w:w="2061" w:type="dxa"/>
            <w:noWrap w:val="0"/>
            <w:vAlign w:val="center"/>
          </w:tcPr>
          <w:p w14:paraId="4BC4DC95">
            <w:pPr>
              <w:pStyle w:val="353"/>
              <w:spacing w:line="560" w:lineRule="exact"/>
              <w:jc w:val="center"/>
              <w:rPr>
                <w:rFonts w:ascii="仿宋" w:hAnsi="仿宋" w:eastAsia="仿宋" w:cs="仿宋"/>
                <w:color w:val="auto"/>
                <w:sz w:val="28"/>
                <w:highlight w:val="none"/>
              </w:rPr>
            </w:pPr>
          </w:p>
        </w:tc>
      </w:tr>
      <w:tr w14:paraId="29ACE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123" w:type="dxa"/>
            <w:noWrap w:val="0"/>
            <w:vAlign w:val="center"/>
          </w:tcPr>
          <w:p w14:paraId="4A863DD5">
            <w:pPr>
              <w:pStyle w:val="353"/>
              <w:spacing w:line="560" w:lineRule="exact"/>
              <w:jc w:val="center"/>
              <w:rPr>
                <w:rFonts w:ascii="仿宋" w:hAnsi="仿宋" w:eastAsia="仿宋" w:cs="仿宋"/>
                <w:color w:val="auto"/>
                <w:sz w:val="28"/>
                <w:highlight w:val="none"/>
              </w:rPr>
            </w:pPr>
          </w:p>
        </w:tc>
        <w:tc>
          <w:tcPr>
            <w:tcW w:w="2775" w:type="dxa"/>
            <w:noWrap w:val="0"/>
            <w:vAlign w:val="center"/>
          </w:tcPr>
          <w:p w14:paraId="3A991035">
            <w:pPr>
              <w:pStyle w:val="353"/>
              <w:spacing w:line="560" w:lineRule="exact"/>
              <w:jc w:val="center"/>
              <w:rPr>
                <w:rFonts w:ascii="仿宋" w:hAnsi="仿宋" w:eastAsia="仿宋" w:cs="仿宋"/>
                <w:color w:val="auto"/>
                <w:sz w:val="28"/>
                <w:highlight w:val="none"/>
              </w:rPr>
            </w:pPr>
          </w:p>
        </w:tc>
        <w:tc>
          <w:tcPr>
            <w:tcW w:w="1846" w:type="dxa"/>
            <w:noWrap w:val="0"/>
            <w:vAlign w:val="center"/>
          </w:tcPr>
          <w:p w14:paraId="5E6656DA">
            <w:pPr>
              <w:pStyle w:val="353"/>
              <w:spacing w:line="560" w:lineRule="exact"/>
              <w:jc w:val="center"/>
              <w:rPr>
                <w:rFonts w:ascii="仿宋" w:hAnsi="仿宋" w:eastAsia="仿宋" w:cs="仿宋"/>
                <w:color w:val="auto"/>
                <w:sz w:val="28"/>
                <w:highlight w:val="none"/>
              </w:rPr>
            </w:pPr>
          </w:p>
        </w:tc>
        <w:tc>
          <w:tcPr>
            <w:tcW w:w="1592" w:type="dxa"/>
            <w:noWrap w:val="0"/>
            <w:vAlign w:val="center"/>
          </w:tcPr>
          <w:p w14:paraId="73621122">
            <w:pPr>
              <w:pStyle w:val="353"/>
              <w:spacing w:line="560" w:lineRule="exact"/>
              <w:jc w:val="center"/>
              <w:rPr>
                <w:rFonts w:ascii="仿宋" w:hAnsi="仿宋" w:eastAsia="仿宋" w:cs="仿宋"/>
                <w:color w:val="auto"/>
                <w:sz w:val="28"/>
                <w:highlight w:val="none"/>
              </w:rPr>
            </w:pPr>
          </w:p>
        </w:tc>
        <w:tc>
          <w:tcPr>
            <w:tcW w:w="2061" w:type="dxa"/>
            <w:noWrap w:val="0"/>
            <w:vAlign w:val="center"/>
          </w:tcPr>
          <w:p w14:paraId="3B119EDB">
            <w:pPr>
              <w:pStyle w:val="353"/>
              <w:spacing w:line="560" w:lineRule="exact"/>
              <w:jc w:val="center"/>
              <w:rPr>
                <w:rFonts w:ascii="仿宋" w:hAnsi="仿宋" w:eastAsia="仿宋" w:cs="仿宋"/>
                <w:color w:val="auto"/>
                <w:sz w:val="28"/>
                <w:highlight w:val="none"/>
              </w:rPr>
            </w:pPr>
          </w:p>
        </w:tc>
      </w:tr>
      <w:tr w14:paraId="7A30A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123" w:type="dxa"/>
            <w:noWrap w:val="0"/>
            <w:vAlign w:val="center"/>
          </w:tcPr>
          <w:p w14:paraId="022A80DB">
            <w:pPr>
              <w:pStyle w:val="353"/>
              <w:spacing w:line="560" w:lineRule="exact"/>
              <w:jc w:val="center"/>
              <w:rPr>
                <w:rFonts w:ascii="仿宋" w:hAnsi="仿宋" w:eastAsia="仿宋" w:cs="仿宋"/>
                <w:color w:val="auto"/>
                <w:sz w:val="28"/>
                <w:highlight w:val="none"/>
              </w:rPr>
            </w:pPr>
          </w:p>
        </w:tc>
        <w:tc>
          <w:tcPr>
            <w:tcW w:w="2775" w:type="dxa"/>
            <w:noWrap w:val="0"/>
            <w:vAlign w:val="center"/>
          </w:tcPr>
          <w:p w14:paraId="43D326D0">
            <w:pPr>
              <w:pStyle w:val="353"/>
              <w:spacing w:line="560" w:lineRule="exact"/>
              <w:jc w:val="center"/>
              <w:rPr>
                <w:rFonts w:ascii="仿宋" w:hAnsi="仿宋" w:eastAsia="仿宋" w:cs="仿宋"/>
                <w:color w:val="auto"/>
                <w:sz w:val="28"/>
                <w:highlight w:val="none"/>
              </w:rPr>
            </w:pPr>
          </w:p>
        </w:tc>
        <w:tc>
          <w:tcPr>
            <w:tcW w:w="1846" w:type="dxa"/>
            <w:noWrap w:val="0"/>
            <w:vAlign w:val="center"/>
          </w:tcPr>
          <w:p w14:paraId="5F3D947A">
            <w:pPr>
              <w:pStyle w:val="353"/>
              <w:spacing w:line="560" w:lineRule="exact"/>
              <w:jc w:val="center"/>
              <w:rPr>
                <w:rFonts w:ascii="仿宋" w:hAnsi="仿宋" w:eastAsia="仿宋" w:cs="仿宋"/>
                <w:color w:val="auto"/>
                <w:sz w:val="28"/>
                <w:highlight w:val="none"/>
              </w:rPr>
            </w:pPr>
          </w:p>
        </w:tc>
        <w:tc>
          <w:tcPr>
            <w:tcW w:w="1592" w:type="dxa"/>
            <w:noWrap w:val="0"/>
            <w:vAlign w:val="center"/>
          </w:tcPr>
          <w:p w14:paraId="200C73BB">
            <w:pPr>
              <w:pStyle w:val="353"/>
              <w:spacing w:line="560" w:lineRule="exact"/>
              <w:jc w:val="center"/>
              <w:rPr>
                <w:rFonts w:ascii="仿宋" w:hAnsi="仿宋" w:eastAsia="仿宋" w:cs="仿宋"/>
                <w:color w:val="auto"/>
                <w:sz w:val="28"/>
                <w:highlight w:val="none"/>
              </w:rPr>
            </w:pPr>
          </w:p>
        </w:tc>
        <w:tc>
          <w:tcPr>
            <w:tcW w:w="2061" w:type="dxa"/>
            <w:noWrap w:val="0"/>
            <w:vAlign w:val="center"/>
          </w:tcPr>
          <w:p w14:paraId="4475945B">
            <w:pPr>
              <w:pStyle w:val="353"/>
              <w:spacing w:line="560" w:lineRule="exact"/>
              <w:jc w:val="center"/>
              <w:rPr>
                <w:rFonts w:ascii="仿宋" w:hAnsi="仿宋" w:eastAsia="仿宋" w:cs="仿宋"/>
                <w:color w:val="auto"/>
                <w:sz w:val="28"/>
                <w:highlight w:val="none"/>
              </w:rPr>
            </w:pPr>
          </w:p>
        </w:tc>
      </w:tr>
      <w:tr w14:paraId="400DA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123" w:type="dxa"/>
            <w:noWrap w:val="0"/>
            <w:vAlign w:val="center"/>
          </w:tcPr>
          <w:p w14:paraId="735805B9">
            <w:pPr>
              <w:pStyle w:val="353"/>
              <w:spacing w:line="560" w:lineRule="exact"/>
              <w:jc w:val="center"/>
              <w:rPr>
                <w:rFonts w:ascii="仿宋" w:hAnsi="仿宋" w:eastAsia="仿宋" w:cs="仿宋"/>
                <w:color w:val="auto"/>
                <w:sz w:val="28"/>
                <w:highlight w:val="none"/>
              </w:rPr>
            </w:pPr>
          </w:p>
        </w:tc>
        <w:tc>
          <w:tcPr>
            <w:tcW w:w="2775" w:type="dxa"/>
            <w:noWrap w:val="0"/>
            <w:vAlign w:val="center"/>
          </w:tcPr>
          <w:p w14:paraId="5ADCA8FA">
            <w:pPr>
              <w:pStyle w:val="353"/>
              <w:spacing w:line="560" w:lineRule="exact"/>
              <w:jc w:val="center"/>
              <w:rPr>
                <w:rFonts w:ascii="仿宋" w:hAnsi="仿宋" w:eastAsia="仿宋" w:cs="仿宋"/>
                <w:color w:val="auto"/>
                <w:sz w:val="28"/>
                <w:highlight w:val="none"/>
              </w:rPr>
            </w:pPr>
          </w:p>
        </w:tc>
        <w:tc>
          <w:tcPr>
            <w:tcW w:w="1846" w:type="dxa"/>
            <w:noWrap w:val="0"/>
            <w:vAlign w:val="center"/>
          </w:tcPr>
          <w:p w14:paraId="0D05B117">
            <w:pPr>
              <w:pStyle w:val="353"/>
              <w:spacing w:line="560" w:lineRule="exact"/>
              <w:jc w:val="center"/>
              <w:rPr>
                <w:rFonts w:ascii="仿宋" w:hAnsi="仿宋" w:eastAsia="仿宋" w:cs="仿宋"/>
                <w:color w:val="auto"/>
                <w:sz w:val="28"/>
                <w:highlight w:val="none"/>
              </w:rPr>
            </w:pPr>
          </w:p>
        </w:tc>
        <w:tc>
          <w:tcPr>
            <w:tcW w:w="1592" w:type="dxa"/>
            <w:noWrap w:val="0"/>
            <w:vAlign w:val="center"/>
          </w:tcPr>
          <w:p w14:paraId="7C47C940">
            <w:pPr>
              <w:pStyle w:val="353"/>
              <w:spacing w:line="560" w:lineRule="exact"/>
              <w:jc w:val="center"/>
              <w:rPr>
                <w:rFonts w:ascii="仿宋" w:hAnsi="仿宋" w:eastAsia="仿宋" w:cs="仿宋"/>
                <w:color w:val="auto"/>
                <w:sz w:val="28"/>
                <w:highlight w:val="none"/>
              </w:rPr>
            </w:pPr>
          </w:p>
        </w:tc>
        <w:tc>
          <w:tcPr>
            <w:tcW w:w="2061" w:type="dxa"/>
            <w:noWrap w:val="0"/>
            <w:vAlign w:val="center"/>
          </w:tcPr>
          <w:p w14:paraId="26C27F96">
            <w:pPr>
              <w:pStyle w:val="353"/>
              <w:spacing w:line="560" w:lineRule="exact"/>
              <w:jc w:val="center"/>
              <w:rPr>
                <w:rFonts w:ascii="仿宋" w:hAnsi="仿宋" w:eastAsia="仿宋" w:cs="仿宋"/>
                <w:color w:val="auto"/>
                <w:sz w:val="28"/>
                <w:highlight w:val="none"/>
              </w:rPr>
            </w:pPr>
          </w:p>
        </w:tc>
      </w:tr>
    </w:tbl>
    <w:p w14:paraId="3A626113">
      <w:pPr>
        <w:pStyle w:val="351"/>
        <w:spacing w:line="460" w:lineRule="exact"/>
        <w:ind w:firstLine="398"/>
        <w:rPr>
          <w:rFonts w:ascii="仿宋" w:hAnsi="仿宋" w:eastAsia="仿宋" w:cs="仿宋"/>
          <w:b/>
          <w:color w:val="auto"/>
          <w:sz w:val="24"/>
          <w:highlight w:val="none"/>
        </w:rPr>
      </w:pPr>
    </w:p>
    <w:p w14:paraId="5594A841">
      <w:pPr>
        <w:pStyle w:val="351"/>
        <w:spacing w:line="460" w:lineRule="exact"/>
        <w:ind w:firstLine="398"/>
        <w:rPr>
          <w:rFonts w:ascii="仿宋" w:hAnsi="仿宋" w:eastAsia="仿宋" w:cs="仿宋"/>
          <w:b/>
          <w:color w:val="auto"/>
          <w:sz w:val="24"/>
          <w:highlight w:val="none"/>
        </w:rPr>
      </w:pPr>
      <w:r>
        <w:rPr>
          <w:rFonts w:hint="eastAsia" w:ascii="仿宋" w:hAnsi="仿宋" w:eastAsia="仿宋" w:cs="仿宋"/>
          <w:b/>
          <w:color w:val="auto"/>
          <w:sz w:val="24"/>
          <w:highlight w:val="none"/>
        </w:rPr>
        <w:t>注：按</w:t>
      </w:r>
      <w:r>
        <w:rPr>
          <w:rFonts w:hint="eastAsia" w:ascii="仿宋" w:hAnsi="仿宋" w:eastAsia="仿宋" w:cs="仿宋"/>
          <w:b/>
          <w:color w:val="auto"/>
          <w:sz w:val="24"/>
          <w:highlight w:val="none"/>
          <w:lang w:eastAsia="zh-CN"/>
        </w:rPr>
        <w:t>招标文件</w:t>
      </w:r>
      <w:r>
        <w:rPr>
          <w:rFonts w:hint="eastAsia" w:ascii="仿宋" w:hAnsi="仿宋" w:eastAsia="仿宋" w:cs="仿宋"/>
          <w:b/>
          <w:color w:val="auto"/>
          <w:sz w:val="24"/>
          <w:highlight w:val="none"/>
        </w:rPr>
        <w:t>要求附证明材料</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如文件还需提供其他信息可以自行扩充表格列数</w:t>
      </w:r>
      <w:r>
        <w:rPr>
          <w:rFonts w:hint="eastAsia" w:ascii="仿宋" w:hAnsi="仿宋" w:eastAsia="仿宋" w:cs="仿宋"/>
          <w:b/>
          <w:color w:val="auto"/>
          <w:sz w:val="24"/>
          <w:highlight w:val="none"/>
        </w:rPr>
        <w:t>。</w:t>
      </w:r>
    </w:p>
    <w:p w14:paraId="65F9FCCD">
      <w:pPr>
        <w:pStyle w:val="323"/>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单位名称：</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w:t>
      </w:r>
      <w:r>
        <w:rPr>
          <w:rFonts w:hint="eastAsia" w:ascii="仿宋" w:hAnsi="仿宋" w:eastAsia="仿宋" w:cs="仿宋"/>
          <w:b/>
          <w:color w:val="auto"/>
          <w:sz w:val="24"/>
          <w:szCs w:val="20"/>
          <w:highlight w:val="none"/>
          <w:lang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44D34666">
      <w:pPr>
        <w:pStyle w:val="331"/>
        <w:keepNext w:val="0"/>
        <w:keepLines w:val="0"/>
        <w:pageBreakBefore w:val="0"/>
        <w:widowControl w:val="0"/>
        <w:spacing w:line="520" w:lineRule="exac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法定代表人（或授权代表）：</w:t>
      </w:r>
      <w:r>
        <w:rPr>
          <w:rFonts w:hint="eastAsia" w:ascii="仿宋" w:hAnsi="仿宋" w:eastAsia="仿宋" w:cs="仿宋"/>
          <w:color w:val="auto"/>
          <w:sz w:val="24"/>
          <w:szCs w:val="20"/>
          <w:highlight w:val="none"/>
          <w:u w:val="single"/>
        </w:rPr>
        <w:t xml:space="preserve">                 </w:t>
      </w:r>
      <w:r>
        <w:rPr>
          <w:rFonts w:hint="eastAsia" w:ascii="仿宋" w:hAnsi="仿宋" w:eastAsia="仿宋" w:cs="仿宋"/>
          <w:b/>
          <w:color w:val="auto"/>
          <w:sz w:val="24"/>
          <w:szCs w:val="20"/>
          <w:highlight w:val="none"/>
        </w:rPr>
        <w:t>（签字</w:t>
      </w:r>
      <w:r>
        <w:rPr>
          <w:rFonts w:hint="eastAsia" w:ascii="仿宋" w:hAnsi="仿宋" w:eastAsia="仿宋" w:cs="仿宋"/>
          <w:b/>
          <w:color w:val="auto"/>
          <w:sz w:val="24"/>
          <w:szCs w:val="20"/>
          <w:highlight w:val="none"/>
          <w:lang w:val="en-US" w:eastAsia="zh-CN"/>
        </w:rPr>
        <w:t>/签章</w:t>
      </w:r>
      <w:r>
        <w:rPr>
          <w:rFonts w:hint="eastAsia" w:ascii="仿宋" w:hAnsi="仿宋" w:eastAsia="仿宋" w:cs="仿宋"/>
          <w:b/>
          <w:color w:val="auto"/>
          <w:sz w:val="24"/>
          <w:szCs w:val="20"/>
          <w:highlight w:val="none"/>
        </w:rPr>
        <w:t>）</w:t>
      </w:r>
      <w:r>
        <w:rPr>
          <w:rFonts w:hint="eastAsia" w:ascii="仿宋" w:hAnsi="仿宋" w:eastAsia="仿宋" w:cs="仿宋"/>
          <w:color w:val="auto"/>
          <w:sz w:val="24"/>
          <w:szCs w:val="20"/>
          <w:highlight w:val="none"/>
        </w:rPr>
        <w:t xml:space="preserve"> </w:t>
      </w:r>
      <w:r>
        <w:rPr>
          <w:rFonts w:hint="eastAsia" w:ascii="仿宋" w:hAnsi="仿宋" w:eastAsia="仿宋" w:cs="仿宋"/>
          <w:b/>
          <w:color w:val="auto"/>
          <w:sz w:val="24"/>
          <w:szCs w:val="20"/>
          <w:highlight w:val="none"/>
        </w:rPr>
        <w:t xml:space="preserve">                   </w:t>
      </w:r>
    </w:p>
    <w:p w14:paraId="31832F58">
      <w:pPr>
        <w:spacing w:line="520" w:lineRule="exact"/>
        <w:outlineLvl w:val="9"/>
        <w:rPr>
          <w:rFonts w:hint="eastAsia" w:ascii="仿宋" w:hAnsi="仿宋" w:eastAsia="仿宋" w:cs="仿宋"/>
          <w:color w:val="auto"/>
          <w:highlight w:val="none"/>
        </w:rPr>
      </w:pPr>
      <w:r>
        <w:rPr>
          <w:rFonts w:hint="eastAsia" w:ascii="仿宋" w:hAnsi="仿宋" w:eastAsia="仿宋" w:cs="仿宋"/>
          <w:b/>
          <w:bCs w:val="0"/>
          <w:color w:val="auto"/>
          <w:sz w:val="24"/>
          <w:szCs w:val="20"/>
          <w:highlight w:val="none"/>
          <w:lang w:val="en-US" w:eastAsia="zh-CN"/>
        </w:rPr>
        <w:t>日期：</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年</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月</w:t>
      </w:r>
      <w:r>
        <w:rPr>
          <w:rFonts w:hint="eastAsia" w:ascii="仿宋" w:hAnsi="仿宋" w:eastAsia="仿宋" w:cs="仿宋"/>
          <w:b/>
          <w:bCs w:val="0"/>
          <w:color w:val="auto"/>
          <w:sz w:val="24"/>
          <w:szCs w:val="20"/>
          <w:highlight w:val="none"/>
          <w:u w:val="single"/>
          <w:lang w:val="en-US" w:eastAsia="zh-CN"/>
        </w:rPr>
        <w:t xml:space="preserve">    </w:t>
      </w:r>
      <w:r>
        <w:rPr>
          <w:rFonts w:hint="eastAsia" w:ascii="仿宋" w:hAnsi="仿宋" w:eastAsia="仿宋" w:cs="仿宋"/>
          <w:b/>
          <w:bCs w:val="0"/>
          <w:color w:val="auto"/>
          <w:sz w:val="24"/>
          <w:szCs w:val="20"/>
          <w:highlight w:val="none"/>
          <w:lang w:val="en-US" w:eastAsia="zh-CN"/>
        </w:rPr>
        <w:t>日</w:t>
      </w:r>
      <w:r>
        <w:rPr>
          <w:rFonts w:hint="eastAsia" w:ascii="仿宋" w:hAnsi="仿宋" w:eastAsia="仿宋" w:cs="仿宋"/>
          <w:color w:val="auto"/>
          <w:highlight w:val="none"/>
        </w:rPr>
        <w:br w:type="page" w:clear="all"/>
      </w:r>
    </w:p>
    <w:p w14:paraId="74A9FD97">
      <w:pPr>
        <w:pStyle w:val="324"/>
        <w:outlineLvl w:val="1"/>
        <w:rPr>
          <w:rFonts w:hint="default" w:ascii="仿宋" w:hAnsi="仿宋" w:eastAsia="仿宋" w:cs="仿宋"/>
          <w:color w:val="auto"/>
          <w:highlight w:val="none"/>
          <w:lang w:val="en-US" w:eastAsia="zh-CN"/>
        </w:rPr>
      </w:pPr>
      <w:bookmarkStart w:id="78" w:name="_Toc31497"/>
      <w:bookmarkStart w:id="79" w:name="_Toc25990"/>
      <w:bookmarkStart w:id="80" w:name="_Toc28466"/>
      <w:bookmarkStart w:id="81" w:name="_Toc8473"/>
      <w:r>
        <w:rPr>
          <w:rFonts w:hint="eastAsia" w:ascii="仿宋" w:hAnsi="仿宋" w:eastAsia="仿宋" w:cs="仿宋"/>
          <w:color w:val="auto"/>
          <w:highlight w:val="none"/>
          <w:lang w:val="en-US" w:eastAsia="zh-CN"/>
        </w:rPr>
        <w:t>（五）企业报价折扣证明</w:t>
      </w:r>
      <w:bookmarkEnd w:id="78"/>
      <w:bookmarkEnd w:id="79"/>
      <w:bookmarkEnd w:id="80"/>
      <w:bookmarkEnd w:id="81"/>
    </w:p>
    <w:p w14:paraId="51366E32">
      <w:pPr>
        <w:widowControl/>
        <w:jc w:val="center"/>
        <w:rPr>
          <w:highlight w:val="none"/>
        </w:rPr>
      </w:pPr>
      <w:r>
        <w:rPr>
          <w:rFonts w:hint="eastAsia" w:ascii="宋体" w:hAnsi="宋体" w:eastAsia="宋体" w:cs="宋体"/>
          <w:b/>
          <w:bCs/>
          <w:color w:val="000000"/>
          <w:sz w:val="36"/>
          <w:szCs w:val="36"/>
          <w:highlight w:val="none"/>
          <w:lang w:bidi="ar"/>
        </w:rPr>
        <w:t>中小企业声明函（工程、服务）</w:t>
      </w:r>
    </w:p>
    <w:p w14:paraId="26A69DA9">
      <w:pPr>
        <w:widowControl/>
        <w:spacing w:line="560" w:lineRule="exact"/>
        <w:ind w:firstLine="480"/>
        <w:jc w:val="left"/>
        <w:rPr>
          <w:rFonts w:ascii="仿宋" w:hAnsi="仿宋" w:eastAsia="仿宋" w:cs="仿宋"/>
          <w:highlight w:val="none"/>
        </w:rPr>
      </w:pPr>
      <w:r>
        <w:rPr>
          <w:rFonts w:hint="eastAsia" w:ascii="仿宋" w:hAnsi="仿宋" w:eastAsia="仿宋" w:cs="仿宋"/>
          <w:color w:val="000000"/>
          <w:highlight w:val="none"/>
          <w:lang w:bidi="ar"/>
        </w:rPr>
        <w:t>本公</w:t>
      </w:r>
      <w:r>
        <w:rPr>
          <w:rFonts w:hint="eastAsia" w:ascii="仿宋" w:hAnsi="仿宋" w:eastAsia="仿宋" w:cs="仿宋"/>
          <w:highlight w:val="none"/>
          <w:lang w:bidi="ar"/>
        </w:rPr>
        <w:t>司（联合体）郑重声明，根据《政府采购促进中小企业发展管理办法》（财库﹝2020﹞46 号）的规定，本公司（联合体）参加</w:t>
      </w:r>
      <w:r>
        <w:rPr>
          <w:rFonts w:hint="eastAsia" w:ascii="仿宋" w:hAnsi="仿宋" w:eastAsia="仿宋" w:cs="仿宋"/>
          <w:i/>
          <w:iCs/>
          <w:highlight w:val="none"/>
          <w:u w:val="single"/>
          <w:lang w:bidi="ar"/>
        </w:rPr>
        <w:t>（单位名称）</w:t>
      </w:r>
      <w:r>
        <w:rPr>
          <w:rFonts w:hint="eastAsia" w:ascii="仿宋" w:hAnsi="仿宋" w:eastAsia="仿宋" w:cs="仿宋"/>
          <w:highlight w:val="none"/>
          <w:lang w:bidi="ar"/>
        </w:rPr>
        <w:t>的</w:t>
      </w:r>
      <w:r>
        <w:rPr>
          <w:rFonts w:hint="eastAsia" w:ascii="仿宋" w:hAnsi="仿宋" w:eastAsia="仿宋" w:cs="仿宋"/>
          <w:i/>
          <w:iCs/>
          <w:highlight w:val="none"/>
          <w:u w:val="single"/>
          <w:lang w:bidi="ar"/>
        </w:rPr>
        <w:t>（项目名称）</w:t>
      </w:r>
      <w:r>
        <w:rPr>
          <w:rFonts w:hint="eastAsia" w:ascii="仿宋" w:hAnsi="仿宋" w:eastAsia="仿宋" w:cs="仿宋"/>
          <w:highlight w:val="none"/>
          <w:lang w:bidi="ar"/>
        </w:rPr>
        <w:t>采购活动，工程的施工单位全部为符合政策要求的中小企业（或者：服</w:t>
      </w:r>
      <w:r>
        <w:rPr>
          <w:rFonts w:hint="eastAsia" w:ascii="仿宋" w:hAnsi="仿宋" w:eastAsia="仿宋" w:cs="仿宋"/>
          <w:color w:val="000000"/>
          <w:highlight w:val="none"/>
          <w:lang w:bidi="ar"/>
        </w:rPr>
        <w:t xml:space="preserve">务全部由符合政策要求的中小企业承接）。相关企业（含联合体中的中小企业、签订分包意向协议的中小企业）的具体情况如下： </w:t>
      </w:r>
    </w:p>
    <w:p w14:paraId="778B4EBB">
      <w:pPr>
        <w:widowControl/>
        <w:spacing w:line="560" w:lineRule="exact"/>
        <w:ind w:firstLine="480"/>
        <w:jc w:val="left"/>
        <w:rPr>
          <w:rFonts w:ascii="仿宋" w:hAnsi="仿宋" w:eastAsia="仿宋" w:cs="仿宋"/>
          <w:highlight w:val="none"/>
        </w:rPr>
      </w:pPr>
      <w:r>
        <w:rPr>
          <w:rFonts w:hint="eastAsia" w:ascii="仿宋" w:hAnsi="仿宋" w:eastAsia="仿宋" w:cs="仿宋"/>
          <w:color w:val="000000"/>
          <w:highlight w:val="none"/>
          <w:lang w:bidi="ar"/>
        </w:rPr>
        <w:t xml:space="preserve">1. </w:t>
      </w:r>
      <w:r>
        <w:rPr>
          <w:rFonts w:hint="eastAsia" w:ascii="仿宋" w:hAnsi="仿宋" w:eastAsia="仿宋" w:cs="仿宋"/>
          <w:i/>
          <w:iCs/>
          <w:color w:val="000000"/>
          <w:highlight w:val="none"/>
          <w:u w:val="single"/>
          <w:lang w:bidi="ar"/>
        </w:rPr>
        <w:t xml:space="preserve">（标的名称） </w:t>
      </w:r>
      <w:r>
        <w:rPr>
          <w:rFonts w:hint="eastAsia" w:ascii="仿宋" w:hAnsi="仿宋" w:eastAsia="仿宋" w:cs="仿宋"/>
          <w:color w:val="000000"/>
          <w:highlight w:val="none"/>
          <w:lang w:bidi="ar"/>
        </w:rPr>
        <w:t>，属于</w:t>
      </w:r>
      <w:r>
        <w:rPr>
          <w:rFonts w:hint="eastAsia" w:ascii="仿宋" w:hAnsi="仿宋" w:eastAsia="仿宋" w:cs="仿宋"/>
          <w:i/>
          <w:iCs/>
          <w:color w:val="000000"/>
          <w:highlight w:val="none"/>
          <w:u w:val="single"/>
          <w:lang w:bidi="ar"/>
        </w:rPr>
        <w:t>（采购文件中明确的所属行业）</w:t>
      </w:r>
      <w:r>
        <w:rPr>
          <w:rFonts w:hint="eastAsia" w:ascii="仿宋" w:hAnsi="仿宋" w:eastAsia="仿宋" w:cs="仿宋"/>
          <w:color w:val="000000"/>
          <w:highlight w:val="none"/>
          <w:lang w:bidi="ar"/>
        </w:rPr>
        <w:t>；承建（承接）企业为</w:t>
      </w:r>
      <w:r>
        <w:rPr>
          <w:rFonts w:hint="eastAsia" w:ascii="仿宋" w:hAnsi="仿宋" w:eastAsia="仿宋" w:cs="仿宋"/>
          <w:i/>
          <w:iCs/>
          <w:color w:val="000000"/>
          <w:highlight w:val="none"/>
          <w:lang w:bidi="ar"/>
        </w:rPr>
        <w:t>（企业名称）</w:t>
      </w:r>
      <w:r>
        <w:rPr>
          <w:rFonts w:hint="eastAsia" w:ascii="仿宋" w:hAnsi="仿宋" w:eastAsia="仿宋" w:cs="仿宋"/>
          <w:color w:val="000000"/>
          <w:highlight w:val="none"/>
          <w:lang w:bidi="ar"/>
        </w:rPr>
        <w:t>，从业人员</w:t>
      </w:r>
      <w:r>
        <w:rPr>
          <w:rFonts w:hint="eastAsia" w:ascii="仿宋" w:hAnsi="仿宋" w:eastAsia="仿宋" w:cs="仿宋"/>
          <w:color w:val="000000"/>
          <w:highlight w:val="none"/>
          <w:u w:val="single"/>
          <w:lang w:bidi="ar"/>
        </w:rPr>
        <w:t xml:space="preserve">   </w:t>
      </w:r>
      <w:r>
        <w:rPr>
          <w:rFonts w:hint="eastAsia" w:ascii="仿宋" w:hAnsi="仿宋" w:eastAsia="仿宋" w:cs="仿宋"/>
          <w:color w:val="000000"/>
          <w:highlight w:val="none"/>
          <w:lang w:bidi="ar"/>
        </w:rPr>
        <w:t>人，营业收入为</w:t>
      </w:r>
      <w:r>
        <w:rPr>
          <w:rFonts w:hint="eastAsia" w:ascii="仿宋" w:hAnsi="仿宋" w:eastAsia="仿宋" w:cs="仿宋"/>
          <w:color w:val="000000"/>
          <w:highlight w:val="none"/>
          <w:u w:val="single"/>
          <w:lang w:bidi="ar"/>
        </w:rPr>
        <w:t xml:space="preserve">    </w:t>
      </w:r>
      <w:r>
        <w:rPr>
          <w:rFonts w:hint="eastAsia" w:ascii="仿宋" w:hAnsi="仿宋" w:eastAsia="仿宋" w:cs="仿宋"/>
          <w:color w:val="000000"/>
          <w:highlight w:val="none"/>
          <w:lang w:bidi="ar"/>
        </w:rPr>
        <w:t>万元，资产总额为</w:t>
      </w:r>
      <w:r>
        <w:rPr>
          <w:rFonts w:hint="eastAsia" w:ascii="仿宋" w:hAnsi="仿宋" w:eastAsia="仿宋" w:cs="仿宋"/>
          <w:color w:val="000000"/>
          <w:highlight w:val="none"/>
          <w:u w:val="single"/>
          <w:lang w:bidi="ar"/>
        </w:rPr>
        <w:t xml:space="preserve">   </w:t>
      </w:r>
      <w:r>
        <w:rPr>
          <w:rFonts w:hint="eastAsia" w:ascii="仿宋" w:hAnsi="仿宋" w:eastAsia="仿宋" w:cs="仿宋"/>
          <w:color w:val="000000"/>
          <w:highlight w:val="none"/>
          <w:lang w:bidi="ar"/>
        </w:rPr>
        <w:t>万元</w:t>
      </w:r>
      <w:r>
        <w:rPr>
          <w:rStyle w:val="46"/>
          <w:rFonts w:hint="eastAsia" w:ascii="仿宋" w:hAnsi="仿宋" w:eastAsia="仿宋" w:cs="仿宋"/>
          <w:color w:val="000000"/>
          <w:highlight w:val="none"/>
          <w:lang w:bidi="ar"/>
        </w:rPr>
        <w:footnoteReference w:id="0"/>
      </w:r>
      <w:r>
        <w:rPr>
          <w:rFonts w:hint="eastAsia" w:ascii="仿宋" w:hAnsi="仿宋" w:eastAsia="仿宋" w:cs="仿宋"/>
          <w:color w:val="000000"/>
          <w:highlight w:val="none"/>
          <w:lang w:bidi="ar"/>
        </w:rPr>
        <w:t>，属于</w:t>
      </w:r>
      <w:r>
        <w:rPr>
          <w:rFonts w:hint="eastAsia" w:ascii="仿宋" w:hAnsi="仿宋" w:eastAsia="仿宋" w:cs="仿宋"/>
          <w:i/>
          <w:iCs/>
          <w:color w:val="000000"/>
          <w:highlight w:val="none"/>
          <w:u w:val="single"/>
          <w:lang w:bidi="ar"/>
        </w:rPr>
        <w:t>（中型企业、小型企业、微型企业）</w:t>
      </w:r>
      <w:r>
        <w:rPr>
          <w:rFonts w:hint="eastAsia" w:ascii="仿宋" w:hAnsi="仿宋" w:eastAsia="仿宋" w:cs="仿宋"/>
          <w:color w:val="000000"/>
          <w:highlight w:val="none"/>
          <w:lang w:bidi="ar"/>
        </w:rPr>
        <w:t xml:space="preserve">； </w:t>
      </w:r>
    </w:p>
    <w:p w14:paraId="56E5A65A">
      <w:pPr>
        <w:widowControl/>
        <w:spacing w:line="560" w:lineRule="exact"/>
        <w:ind w:firstLine="480"/>
        <w:jc w:val="left"/>
        <w:rPr>
          <w:rFonts w:ascii="仿宋" w:hAnsi="仿宋" w:eastAsia="仿宋" w:cs="仿宋"/>
          <w:highlight w:val="none"/>
        </w:rPr>
      </w:pPr>
      <w:r>
        <w:rPr>
          <w:rFonts w:hint="eastAsia" w:ascii="仿宋" w:hAnsi="仿宋" w:eastAsia="仿宋" w:cs="仿宋"/>
          <w:color w:val="000000"/>
          <w:highlight w:val="none"/>
          <w:lang w:bidi="ar"/>
        </w:rPr>
        <w:t xml:space="preserve">2. </w:t>
      </w:r>
      <w:r>
        <w:rPr>
          <w:rFonts w:hint="eastAsia" w:ascii="仿宋" w:hAnsi="仿宋" w:eastAsia="仿宋" w:cs="仿宋"/>
          <w:i/>
          <w:iCs/>
          <w:color w:val="000000"/>
          <w:highlight w:val="none"/>
          <w:u w:val="single"/>
          <w:lang w:bidi="ar"/>
        </w:rPr>
        <w:t xml:space="preserve">（标的名称） </w:t>
      </w:r>
      <w:r>
        <w:rPr>
          <w:rFonts w:hint="eastAsia" w:ascii="仿宋" w:hAnsi="仿宋" w:eastAsia="仿宋" w:cs="仿宋"/>
          <w:color w:val="000000"/>
          <w:highlight w:val="none"/>
          <w:lang w:bidi="ar"/>
        </w:rPr>
        <w:t>，属于</w:t>
      </w:r>
      <w:r>
        <w:rPr>
          <w:rFonts w:hint="eastAsia" w:ascii="仿宋" w:hAnsi="仿宋" w:eastAsia="仿宋" w:cs="仿宋"/>
          <w:i/>
          <w:iCs/>
          <w:color w:val="000000"/>
          <w:highlight w:val="none"/>
          <w:u w:val="single"/>
          <w:lang w:bidi="ar"/>
        </w:rPr>
        <w:t>（采购文件中明确的所属行业）</w:t>
      </w:r>
      <w:r>
        <w:rPr>
          <w:rFonts w:hint="eastAsia" w:ascii="仿宋" w:hAnsi="仿宋" w:eastAsia="仿宋" w:cs="仿宋"/>
          <w:color w:val="000000"/>
          <w:highlight w:val="none"/>
          <w:lang w:bidi="ar"/>
        </w:rPr>
        <w:t>；承建（承接）企业为</w:t>
      </w:r>
      <w:r>
        <w:rPr>
          <w:rFonts w:hint="eastAsia" w:ascii="仿宋" w:hAnsi="仿宋" w:eastAsia="仿宋" w:cs="仿宋"/>
          <w:i/>
          <w:iCs/>
          <w:color w:val="000000"/>
          <w:highlight w:val="none"/>
          <w:lang w:bidi="ar"/>
        </w:rPr>
        <w:t>（企业名称）</w:t>
      </w:r>
      <w:r>
        <w:rPr>
          <w:rFonts w:hint="eastAsia" w:ascii="仿宋" w:hAnsi="仿宋" w:eastAsia="仿宋" w:cs="仿宋"/>
          <w:color w:val="000000"/>
          <w:highlight w:val="none"/>
          <w:lang w:bidi="ar"/>
        </w:rPr>
        <w:t>，从业人员</w:t>
      </w:r>
      <w:r>
        <w:rPr>
          <w:rFonts w:hint="eastAsia" w:ascii="仿宋" w:hAnsi="仿宋" w:eastAsia="仿宋" w:cs="仿宋"/>
          <w:color w:val="000000"/>
          <w:highlight w:val="none"/>
          <w:u w:val="single"/>
          <w:lang w:bidi="ar"/>
        </w:rPr>
        <w:t xml:space="preserve">   </w:t>
      </w:r>
      <w:r>
        <w:rPr>
          <w:rFonts w:hint="eastAsia" w:ascii="仿宋" w:hAnsi="仿宋" w:eastAsia="仿宋" w:cs="仿宋"/>
          <w:color w:val="000000"/>
          <w:highlight w:val="none"/>
          <w:lang w:bidi="ar"/>
        </w:rPr>
        <w:t>人，营业收入为</w:t>
      </w:r>
      <w:r>
        <w:rPr>
          <w:rFonts w:hint="eastAsia" w:ascii="仿宋" w:hAnsi="仿宋" w:eastAsia="仿宋" w:cs="仿宋"/>
          <w:color w:val="000000"/>
          <w:highlight w:val="none"/>
          <w:u w:val="single"/>
          <w:lang w:bidi="ar"/>
        </w:rPr>
        <w:t xml:space="preserve">    </w:t>
      </w:r>
      <w:r>
        <w:rPr>
          <w:rFonts w:hint="eastAsia" w:ascii="仿宋" w:hAnsi="仿宋" w:eastAsia="仿宋" w:cs="仿宋"/>
          <w:color w:val="000000"/>
          <w:highlight w:val="none"/>
          <w:lang w:bidi="ar"/>
        </w:rPr>
        <w:t>万元，资产总额为</w:t>
      </w:r>
      <w:r>
        <w:rPr>
          <w:rFonts w:hint="eastAsia" w:ascii="仿宋" w:hAnsi="仿宋" w:eastAsia="仿宋" w:cs="仿宋"/>
          <w:color w:val="000000"/>
          <w:highlight w:val="none"/>
          <w:u w:val="single"/>
          <w:lang w:bidi="ar"/>
        </w:rPr>
        <w:t xml:space="preserve">   </w:t>
      </w:r>
      <w:r>
        <w:rPr>
          <w:rFonts w:hint="eastAsia" w:ascii="仿宋" w:hAnsi="仿宋" w:eastAsia="仿宋" w:cs="仿宋"/>
          <w:color w:val="000000"/>
          <w:highlight w:val="none"/>
          <w:lang w:bidi="ar"/>
        </w:rPr>
        <w:t>万元，属于</w:t>
      </w:r>
      <w:r>
        <w:rPr>
          <w:rFonts w:hint="eastAsia" w:ascii="仿宋" w:hAnsi="仿宋" w:eastAsia="仿宋" w:cs="仿宋"/>
          <w:i/>
          <w:iCs/>
          <w:color w:val="000000"/>
          <w:highlight w:val="none"/>
          <w:u w:val="single"/>
          <w:lang w:bidi="ar"/>
        </w:rPr>
        <w:t>（中型企业、小型企业、微型企业）</w:t>
      </w:r>
      <w:r>
        <w:rPr>
          <w:rFonts w:hint="eastAsia" w:ascii="仿宋" w:hAnsi="仿宋" w:eastAsia="仿宋" w:cs="仿宋"/>
          <w:color w:val="000000"/>
          <w:highlight w:val="none"/>
          <w:lang w:bidi="ar"/>
        </w:rPr>
        <w:t>；</w:t>
      </w:r>
    </w:p>
    <w:p w14:paraId="4D95A21D">
      <w:pPr>
        <w:widowControl/>
        <w:spacing w:line="560" w:lineRule="exact"/>
        <w:ind w:firstLine="480"/>
        <w:jc w:val="left"/>
        <w:rPr>
          <w:rFonts w:ascii="仿宋" w:hAnsi="仿宋" w:eastAsia="仿宋" w:cs="仿宋"/>
          <w:highlight w:val="none"/>
        </w:rPr>
      </w:pPr>
      <w:r>
        <w:rPr>
          <w:rFonts w:hint="eastAsia" w:ascii="仿宋" w:hAnsi="仿宋" w:eastAsia="仿宋" w:cs="仿宋"/>
          <w:color w:val="000000"/>
          <w:highlight w:val="none"/>
          <w:lang w:bidi="ar"/>
        </w:rPr>
        <w:t xml:space="preserve">…… </w:t>
      </w:r>
    </w:p>
    <w:p w14:paraId="17DFBEA7">
      <w:pPr>
        <w:widowControl/>
        <w:spacing w:line="560" w:lineRule="exact"/>
        <w:ind w:firstLine="480"/>
        <w:jc w:val="left"/>
        <w:rPr>
          <w:rFonts w:ascii="仿宋" w:hAnsi="仿宋" w:eastAsia="仿宋" w:cs="仿宋"/>
          <w:highlight w:val="none"/>
        </w:rPr>
      </w:pPr>
      <w:r>
        <w:rPr>
          <w:rFonts w:hint="eastAsia" w:ascii="仿宋" w:hAnsi="仿宋" w:eastAsia="仿宋" w:cs="仿宋"/>
          <w:color w:val="000000"/>
          <w:highlight w:val="none"/>
          <w:lang w:bidi="ar"/>
        </w:rPr>
        <w:t xml:space="preserve">以上企业，不属于大企业的分支机构，不存在控股股东为大企业的情形，也不存在与大企业的负责人为同一人的情形。 </w:t>
      </w:r>
    </w:p>
    <w:p w14:paraId="59D32925">
      <w:pPr>
        <w:widowControl/>
        <w:spacing w:line="560" w:lineRule="exact"/>
        <w:ind w:firstLine="480"/>
        <w:jc w:val="left"/>
        <w:rPr>
          <w:rFonts w:ascii="仿宋" w:hAnsi="仿宋" w:eastAsia="仿宋" w:cs="仿宋"/>
          <w:highlight w:val="none"/>
        </w:rPr>
      </w:pPr>
      <w:r>
        <w:rPr>
          <w:rFonts w:hint="eastAsia" w:ascii="仿宋" w:hAnsi="仿宋" w:eastAsia="仿宋" w:cs="仿宋"/>
          <w:color w:val="000000"/>
          <w:highlight w:val="none"/>
          <w:lang w:bidi="ar"/>
        </w:rPr>
        <w:t xml:space="preserve">本企业对上述声明内容的真实性负责。如有虚假，将依法承担相应责任。 </w:t>
      </w:r>
    </w:p>
    <w:p w14:paraId="600C96DF">
      <w:pPr>
        <w:widowControl/>
        <w:spacing w:line="560" w:lineRule="exact"/>
        <w:jc w:val="center"/>
        <w:rPr>
          <w:rFonts w:ascii="仿宋" w:hAnsi="仿宋" w:eastAsia="仿宋" w:cs="仿宋"/>
          <w:highlight w:val="none"/>
        </w:rPr>
      </w:pPr>
      <w:r>
        <w:rPr>
          <w:rFonts w:hint="eastAsia" w:ascii="仿宋" w:hAnsi="仿宋" w:eastAsia="仿宋" w:cs="仿宋"/>
          <w:color w:val="000000"/>
          <w:highlight w:val="none"/>
          <w:lang w:bidi="ar"/>
        </w:rPr>
        <w:t xml:space="preserve">                    企业名称（盖章）：</w:t>
      </w:r>
    </w:p>
    <w:p w14:paraId="4D1C51FB">
      <w:pPr>
        <w:widowControl/>
        <w:spacing w:line="560" w:lineRule="exact"/>
        <w:jc w:val="center"/>
        <w:rPr>
          <w:rFonts w:ascii="仿宋" w:hAnsi="仿宋" w:eastAsia="仿宋" w:cs="仿宋"/>
          <w:highlight w:val="none"/>
        </w:rPr>
      </w:pPr>
      <w:r>
        <w:rPr>
          <w:rFonts w:hint="eastAsia" w:ascii="仿宋" w:hAnsi="仿宋" w:eastAsia="仿宋" w:cs="仿宋"/>
          <w:color w:val="000000"/>
          <w:highlight w:val="none"/>
          <w:lang w:bidi="ar"/>
        </w:rPr>
        <w:t xml:space="preserve">                日 期：</w:t>
      </w:r>
    </w:p>
    <w:p w14:paraId="48F9F2A0">
      <w:pPr>
        <w:pStyle w:val="315"/>
        <w:spacing w:line="560" w:lineRule="exact"/>
        <w:ind w:firstLine="6120"/>
        <w:rPr>
          <w:rStyle w:val="236"/>
          <w:rFonts w:ascii="仿宋" w:hAnsi="仿宋" w:eastAsia="仿宋" w:cs="仿宋"/>
          <w:sz w:val="18"/>
          <w:szCs w:val="18"/>
          <w:highlight w:val="none"/>
        </w:rPr>
      </w:pPr>
    </w:p>
    <w:p w14:paraId="4943DC79">
      <w:pPr>
        <w:pStyle w:val="315"/>
        <w:spacing w:before="151" w:after="151" w:line="600" w:lineRule="exact"/>
        <w:jc w:val="center"/>
        <w:rPr>
          <w:rStyle w:val="236"/>
          <w:rFonts w:ascii="仿宋" w:hAnsi="仿宋" w:eastAsia="仿宋" w:cs="仿宋"/>
          <w:b/>
          <w:bCs/>
          <w:sz w:val="32"/>
          <w:szCs w:val="32"/>
          <w:highlight w:val="none"/>
        </w:rPr>
      </w:pPr>
    </w:p>
    <w:p w14:paraId="7F1D6579">
      <w:pPr>
        <w:pStyle w:val="624"/>
        <w:spacing w:before="151" w:after="151" w:line="240" w:lineRule="atLeast"/>
        <w:ind w:firstLine="445"/>
        <w:rPr>
          <w:rStyle w:val="236"/>
          <w:rFonts w:ascii="仿宋" w:hAnsi="仿宋" w:eastAsia="仿宋" w:cs="仿宋"/>
          <w:color w:val="FF0000"/>
          <w:sz w:val="24"/>
          <w:highlight w:val="none"/>
        </w:rPr>
      </w:pPr>
      <w:r>
        <w:rPr>
          <w:rFonts w:hint="eastAsia" w:hAnsi="宋体"/>
          <w:szCs w:val="24"/>
          <w:highlight w:val="none"/>
        </w:rPr>
        <w:br w:type="page" w:clear="all"/>
      </w:r>
      <w:r>
        <w:rPr>
          <w:rStyle w:val="236"/>
          <w:rFonts w:hint="eastAsia" w:ascii="仿宋" w:hAnsi="仿宋" w:eastAsia="仿宋" w:cs="仿宋"/>
          <w:color w:val="FF0000"/>
          <w:sz w:val="24"/>
          <w:highlight w:val="none"/>
        </w:rPr>
        <w:t>根据</w:t>
      </w:r>
      <w:r>
        <w:rPr>
          <w:rStyle w:val="236"/>
          <w:rFonts w:hint="eastAsia" w:ascii="仿宋" w:hAnsi="仿宋" w:eastAsia="仿宋" w:cs="仿宋"/>
          <w:color w:val="FF0000"/>
          <w:sz w:val="24"/>
          <w:highlight w:val="none"/>
          <w:lang w:eastAsia="zh-CN"/>
        </w:rPr>
        <w:t>投标人</w:t>
      </w:r>
      <w:r>
        <w:rPr>
          <w:rStyle w:val="236"/>
          <w:rFonts w:hint="eastAsia" w:ascii="仿宋" w:hAnsi="仿宋" w:eastAsia="仿宋" w:cs="仿宋"/>
          <w:color w:val="FF0000"/>
          <w:sz w:val="24"/>
          <w:highlight w:val="none"/>
        </w:rPr>
        <w:t>和产品本身提供相关材料，不适用的无需提供</w:t>
      </w:r>
    </w:p>
    <w:p w14:paraId="0F6F8E38">
      <w:pPr>
        <w:spacing w:before="50" w:line="360" w:lineRule="auto"/>
        <w:ind w:left="100"/>
        <w:jc w:val="left"/>
        <w:outlineLvl w:val="2"/>
        <w:rPr>
          <w:rStyle w:val="236"/>
          <w:rFonts w:ascii="仿宋" w:hAnsi="仿宋" w:eastAsia="仿宋" w:cs="仿宋"/>
          <w:b/>
          <w:bCs/>
          <w:sz w:val="32"/>
          <w:szCs w:val="32"/>
          <w:highlight w:val="none"/>
        </w:rPr>
      </w:pPr>
      <w:r>
        <w:rPr>
          <w:rFonts w:hint="eastAsia" w:hAnsi="宋体"/>
          <w:b/>
          <w:bCs/>
          <w:highlight w:val="none"/>
        </w:rPr>
        <w:t>（一）残疾人福利性单位声明函格式</w:t>
      </w:r>
    </w:p>
    <w:p w14:paraId="1907C1B3">
      <w:pPr>
        <w:pStyle w:val="624"/>
        <w:spacing w:before="151" w:after="151" w:line="600" w:lineRule="exact"/>
        <w:jc w:val="center"/>
        <w:rPr>
          <w:rStyle w:val="236"/>
          <w:rFonts w:ascii="仿宋" w:hAnsi="仿宋" w:eastAsia="仿宋" w:cs="仿宋"/>
          <w:b/>
          <w:bCs/>
          <w:sz w:val="32"/>
          <w:szCs w:val="32"/>
          <w:highlight w:val="none"/>
        </w:rPr>
      </w:pPr>
      <w:r>
        <w:rPr>
          <w:rStyle w:val="236"/>
          <w:rFonts w:hint="eastAsia" w:ascii="仿宋" w:hAnsi="仿宋" w:eastAsia="仿宋" w:cs="仿宋"/>
          <w:b/>
          <w:bCs/>
          <w:sz w:val="32"/>
          <w:szCs w:val="32"/>
          <w:highlight w:val="none"/>
        </w:rPr>
        <w:t>残疾人福利性单位声明函</w:t>
      </w:r>
    </w:p>
    <w:p w14:paraId="7DA4204C">
      <w:pPr>
        <w:pStyle w:val="625"/>
        <w:spacing w:line="588" w:lineRule="exact"/>
        <w:rPr>
          <w:rStyle w:val="236"/>
          <w:rFonts w:ascii="仿宋" w:hAnsi="仿宋" w:eastAsia="仿宋" w:cs="仿宋"/>
          <w:b/>
          <w:spacing w:val="6"/>
          <w:sz w:val="30"/>
          <w:szCs w:val="30"/>
          <w:highlight w:val="none"/>
        </w:rPr>
      </w:pPr>
    </w:p>
    <w:p w14:paraId="319BD237">
      <w:pPr>
        <w:pStyle w:val="624"/>
        <w:spacing w:line="500" w:lineRule="exact"/>
        <w:ind w:firstLine="480"/>
        <w:rPr>
          <w:rStyle w:val="236"/>
          <w:rFonts w:ascii="仿宋" w:hAnsi="仿宋" w:eastAsia="仿宋" w:cs="仿宋"/>
          <w:sz w:val="24"/>
          <w:highlight w:val="none"/>
        </w:rPr>
      </w:pPr>
      <w:r>
        <w:rPr>
          <w:rStyle w:val="236"/>
          <w:rFonts w:hint="eastAsia" w:ascii="仿宋" w:hAnsi="仿宋" w:eastAsia="仿宋" w:cs="仿宋"/>
          <w:sz w:val="24"/>
          <w:highlight w:val="none"/>
        </w:rPr>
        <w:t>本单位郑重声明，根据《财政部 民政部 中国残疾人联合会关于促进残疾人就业政府采购政策的通知》（财库〔2017〕141号）的规定，本单位为符合条件的残疾人福利性单位，且本单位参加</w:t>
      </w:r>
      <w:r>
        <w:rPr>
          <w:rStyle w:val="236"/>
          <w:rFonts w:hint="eastAsia" w:ascii="仿宋" w:hAnsi="仿宋" w:eastAsia="仿宋" w:cs="仿宋"/>
          <w:sz w:val="24"/>
          <w:highlight w:val="none"/>
          <w:u w:val="single"/>
        </w:rPr>
        <w:t xml:space="preserve">          </w:t>
      </w:r>
      <w:r>
        <w:rPr>
          <w:rStyle w:val="236"/>
          <w:rFonts w:hint="eastAsia" w:ascii="仿宋" w:hAnsi="仿宋" w:eastAsia="仿宋" w:cs="仿宋"/>
          <w:sz w:val="24"/>
          <w:highlight w:val="none"/>
        </w:rPr>
        <w:t>的</w:t>
      </w:r>
      <w:r>
        <w:rPr>
          <w:rStyle w:val="236"/>
          <w:rFonts w:hint="eastAsia" w:ascii="仿宋" w:hAnsi="仿宋" w:eastAsia="仿宋" w:cs="仿宋"/>
          <w:sz w:val="24"/>
          <w:highlight w:val="none"/>
          <w:u w:val="single"/>
        </w:rPr>
        <w:t xml:space="preserve">                  </w:t>
      </w:r>
      <w:r>
        <w:rPr>
          <w:rStyle w:val="236"/>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14:paraId="17DD2143">
      <w:pPr>
        <w:pStyle w:val="624"/>
        <w:spacing w:line="500" w:lineRule="exact"/>
        <w:ind w:firstLine="480"/>
        <w:rPr>
          <w:rStyle w:val="236"/>
          <w:rFonts w:ascii="仿宋" w:hAnsi="仿宋" w:eastAsia="仿宋" w:cs="仿宋"/>
          <w:sz w:val="24"/>
          <w:highlight w:val="none"/>
        </w:rPr>
      </w:pPr>
      <w:r>
        <w:rPr>
          <w:rStyle w:val="236"/>
          <w:rFonts w:hint="eastAsia" w:ascii="仿宋" w:hAnsi="仿宋" w:eastAsia="仿宋" w:cs="仿宋"/>
          <w:sz w:val="24"/>
          <w:highlight w:val="none"/>
        </w:rPr>
        <w:t>本单位对上述声明的真实性负责。如有虚假，将依法承担相应责任。</w:t>
      </w:r>
    </w:p>
    <w:p w14:paraId="322668D0">
      <w:pPr>
        <w:pStyle w:val="626"/>
        <w:spacing w:line="500" w:lineRule="exact"/>
        <w:ind w:firstLine="3810"/>
        <w:rPr>
          <w:rStyle w:val="236"/>
          <w:rFonts w:ascii="仿宋" w:hAnsi="仿宋" w:eastAsia="仿宋" w:cs="仿宋"/>
          <w:spacing w:val="6"/>
          <w:sz w:val="24"/>
          <w:szCs w:val="24"/>
          <w:highlight w:val="none"/>
        </w:rPr>
      </w:pPr>
    </w:p>
    <w:p w14:paraId="38ADA39B">
      <w:pPr>
        <w:pStyle w:val="626"/>
        <w:spacing w:line="500" w:lineRule="exact"/>
        <w:ind w:firstLine="3628"/>
        <w:jc w:val="left"/>
        <w:rPr>
          <w:rStyle w:val="236"/>
          <w:rFonts w:ascii="仿宋" w:hAnsi="仿宋" w:eastAsia="仿宋" w:cs="仿宋"/>
          <w:sz w:val="24"/>
          <w:highlight w:val="none"/>
        </w:rPr>
      </w:pPr>
    </w:p>
    <w:p w14:paraId="5AD28DB5">
      <w:pPr>
        <w:pStyle w:val="626"/>
        <w:spacing w:line="500" w:lineRule="exact"/>
        <w:ind w:firstLine="480"/>
        <w:jc w:val="left"/>
        <w:rPr>
          <w:rStyle w:val="236"/>
          <w:rFonts w:ascii="仿宋" w:hAnsi="仿宋" w:eastAsia="仿宋" w:cs="仿宋"/>
          <w:sz w:val="24"/>
          <w:highlight w:val="none"/>
        </w:rPr>
      </w:pPr>
      <w:r>
        <w:rPr>
          <w:rStyle w:val="236"/>
          <w:rFonts w:hint="eastAsia" w:ascii="仿宋" w:hAnsi="仿宋" w:eastAsia="仿宋" w:cs="仿宋"/>
          <w:sz w:val="24"/>
          <w:highlight w:val="none"/>
        </w:rPr>
        <w:t>单位名称：</w:t>
      </w:r>
      <w:r>
        <w:rPr>
          <w:rStyle w:val="236"/>
          <w:rFonts w:hint="eastAsia" w:ascii="仿宋" w:hAnsi="仿宋" w:eastAsia="仿宋" w:cs="仿宋"/>
          <w:sz w:val="24"/>
          <w:highlight w:val="none"/>
          <w:u w:val="single"/>
        </w:rPr>
        <w:t xml:space="preserve">              </w:t>
      </w:r>
      <w:r>
        <w:rPr>
          <w:rStyle w:val="236"/>
          <w:rFonts w:hint="eastAsia" w:ascii="仿宋" w:hAnsi="仿宋" w:eastAsia="仿宋" w:cs="仿宋"/>
          <w:sz w:val="24"/>
          <w:highlight w:val="none"/>
        </w:rPr>
        <w:t>（签章）</w:t>
      </w:r>
    </w:p>
    <w:p w14:paraId="11784B7C">
      <w:pPr>
        <w:pStyle w:val="315"/>
        <w:spacing w:line="500" w:lineRule="exact"/>
        <w:ind w:firstLine="480"/>
        <w:jc w:val="left"/>
        <w:rPr>
          <w:rStyle w:val="236"/>
          <w:rFonts w:ascii="仿宋" w:hAnsi="仿宋" w:eastAsia="仿宋" w:cs="仿宋"/>
          <w:sz w:val="24"/>
          <w:szCs w:val="20"/>
          <w:highlight w:val="none"/>
        </w:rPr>
      </w:pPr>
      <w:r>
        <w:rPr>
          <w:rStyle w:val="236"/>
          <w:rFonts w:hint="eastAsia" w:ascii="仿宋" w:hAnsi="仿宋" w:eastAsia="仿宋" w:cs="仿宋"/>
          <w:sz w:val="24"/>
          <w:szCs w:val="20"/>
          <w:highlight w:val="none"/>
        </w:rPr>
        <w:t>日期：  年  月  日</w:t>
      </w:r>
    </w:p>
    <w:p w14:paraId="4EC7660F">
      <w:pPr>
        <w:pStyle w:val="627"/>
        <w:spacing w:line="500" w:lineRule="exact"/>
        <w:ind w:firstLine="0"/>
        <w:rPr>
          <w:rStyle w:val="236"/>
          <w:rFonts w:ascii="仿宋" w:hAnsi="仿宋" w:eastAsia="仿宋" w:cs="仿宋"/>
          <w:sz w:val="24"/>
          <w:szCs w:val="24"/>
          <w:highlight w:val="none"/>
        </w:rPr>
      </w:pPr>
    </w:p>
    <w:p w14:paraId="64BBF569">
      <w:pPr>
        <w:spacing w:before="50" w:line="360" w:lineRule="auto"/>
        <w:ind w:left="100"/>
        <w:jc w:val="left"/>
        <w:rPr>
          <w:rFonts w:hAnsi="宋体"/>
          <w:highlight w:val="none"/>
        </w:rPr>
      </w:pPr>
    </w:p>
    <w:p w14:paraId="7DABBFED">
      <w:pPr>
        <w:spacing w:before="50" w:line="360" w:lineRule="auto"/>
        <w:ind w:left="100"/>
        <w:jc w:val="left"/>
        <w:outlineLvl w:val="2"/>
        <w:rPr>
          <w:rFonts w:hAnsi="宋体"/>
          <w:b/>
          <w:bCs/>
          <w:highlight w:val="none"/>
        </w:rPr>
      </w:pPr>
      <w:r>
        <w:rPr>
          <w:rFonts w:hint="eastAsia" w:hAnsi="宋体"/>
          <w:b/>
          <w:bCs/>
          <w:highlight w:val="none"/>
        </w:rPr>
        <w:t>（二）属于监狱企业的证明文件</w:t>
      </w:r>
    </w:p>
    <w:p w14:paraId="3A501DC2">
      <w:pPr>
        <w:spacing w:line="360" w:lineRule="auto"/>
        <w:ind w:firstLine="480"/>
        <w:rPr>
          <w:rFonts w:hAnsi="宋体"/>
          <w:highlight w:val="none"/>
        </w:rPr>
      </w:pPr>
      <w:r>
        <w:rPr>
          <w:rFonts w:hint="eastAsia" w:hAnsi="宋体"/>
          <w:highlight w:val="none"/>
        </w:rPr>
        <w:t>提供由省级以上监狱管理局、戒毒管理局</w:t>
      </w:r>
      <w:r>
        <w:rPr>
          <w:rFonts w:hint="eastAsia" w:hAnsi="宋体" w:eastAsia="宋体"/>
          <w:highlight w:val="none"/>
          <w:lang w:eastAsia="zh-CN"/>
        </w:rPr>
        <w:t>（</w:t>
      </w:r>
      <w:r>
        <w:rPr>
          <w:rFonts w:hint="eastAsia" w:hAnsi="宋体"/>
          <w:highlight w:val="none"/>
        </w:rPr>
        <w:t>含新疆生产建设兵团</w:t>
      </w:r>
      <w:r>
        <w:rPr>
          <w:rFonts w:hint="eastAsia" w:hAnsi="宋体" w:eastAsia="宋体"/>
          <w:highlight w:val="none"/>
          <w:lang w:eastAsia="zh-CN"/>
        </w:rPr>
        <w:t>）</w:t>
      </w:r>
      <w:r>
        <w:rPr>
          <w:rFonts w:hint="eastAsia" w:hAnsi="宋体"/>
          <w:highlight w:val="none"/>
        </w:rPr>
        <w:t>出具的属于监狱企业的证明文件</w:t>
      </w:r>
    </w:p>
    <w:p w14:paraId="5355BC08">
      <w:pPr>
        <w:spacing w:line="360" w:lineRule="auto"/>
        <w:ind w:firstLine="480"/>
        <w:rPr>
          <w:rFonts w:hAnsi="宋体"/>
          <w:highlight w:val="none"/>
        </w:rPr>
      </w:pPr>
    </w:p>
    <w:p w14:paraId="015DF79D">
      <w:pPr>
        <w:spacing w:before="50" w:line="360" w:lineRule="auto"/>
        <w:ind w:left="100"/>
        <w:jc w:val="left"/>
        <w:outlineLvl w:val="2"/>
        <w:rPr>
          <w:rFonts w:hAnsi="宋体"/>
          <w:b/>
          <w:bCs/>
          <w:highlight w:val="none"/>
        </w:rPr>
      </w:pPr>
      <w:r>
        <w:rPr>
          <w:rFonts w:hint="eastAsia" w:hAnsi="宋体"/>
          <w:b/>
          <w:bCs/>
          <w:highlight w:val="none"/>
        </w:rPr>
        <w:t>（三）节能产品认证文件</w:t>
      </w:r>
    </w:p>
    <w:p w14:paraId="66ACEEE0">
      <w:pPr>
        <w:spacing w:line="360" w:lineRule="auto"/>
        <w:ind w:firstLine="480"/>
        <w:rPr>
          <w:rFonts w:hAnsi="宋体"/>
          <w:highlight w:val="none"/>
        </w:rPr>
      </w:pPr>
      <w:r>
        <w:rPr>
          <w:rFonts w:hint="eastAsia" w:hAnsi="宋体"/>
          <w:highlight w:val="none"/>
        </w:rPr>
        <w:t>提供其投标产品在《节能产品政府采购清单》中相应的页面截图及相关证明材料</w:t>
      </w:r>
    </w:p>
    <w:p w14:paraId="6714B8B0">
      <w:pPr>
        <w:spacing w:line="360" w:lineRule="auto"/>
        <w:ind w:firstLine="480"/>
        <w:rPr>
          <w:rFonts w:hAnsi="宋体"/>
          <w:highlight w:val="none"/>
        </w:rPr>
      </w:pPr>
    </w:p>
    <w:p w14:paraId="774BBB28">
      <w:pPr>
        <w:spacing w:before="50" w:line="360" w:lineRule="auto"/>
        <w:ind w:left="100"/>
        <w:jc w:val="left"/>
        <w:outlineLvl w:val="2"/>
        <w:rPr>
          <w:rFonts w:hAnsi="宋体"/>
          <w:b/>
          <w:bCs/>
          <w:highlight w:val="none"/>
        </w:rPr>
      </w:pPr>
      <w:r>
        <w:rPr>
          <w:rFonts w:hint="eastAsia" w:hAnsi="宋体"/>
          <w:b/>
          <w:bCs/>
          <w:highlight w:val="none"/>
        </w:rPr>
        <w:t>（四）环境标志产品认证文件</w:t>
      </w:r>
    </w:p>
    <w:p w14:paraId="2D90640C">
      <w:pPr>
        <w:spacing w:line="360" w:lineRule="auto"/>
        <w:ind w:firstLine="480"/>
        <w:rPr>
          <w:rFonts w:hint="eastAsia" w:hAnsi="宋体"/>
          <w:highlight w:val="none"/>
        </w:rPr>
      </w:pPr>
      <w:r>
        <w:rPr>
          <w:rFonts w:hint="eastAsia" w:hAnsi="宋体"/>
          <w:highlight w:val="none"/>
        </w:rPr>
        <w:t>提供其投标产品在《环境标志产品政府采购清单》中相应的页面截图及相关证明材料</w:t>
      </w:r>
    </w:p>
    <w:p w14:paraId="5C81BA16">
      <w:pPr>
        <w:rPr>
          <w:rFonts w:hint="eastAsia" w:hAnsi="宋体"/>
          <w:highlight w:val="none"/>
        </w:rPr>
      </w:pPr>
      <w:r>
        <w:rPr>
          <w:rFonts w:hint="eastAsia" w:hAnsi="宋体"/>
          <w:highlight w:val="none"/>
        </w:rPr>
        <w:br w:type="page"/>
      </w:r>
    </w:p>
    <w:p w14:paraId="343D333F">
      <w:pPr>
        <w:pStyle w:val="324"/>
        <w:outlineLvl w:val="1"/>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（六）联合体协议书（如为联合体应提供）</w:t>
      </w:r>
    </w:p>
    <w:p w14:paraId="2280CE8B">
      <w:pPr>
        <w:pStyle w:val="353"/>
        <w:jc w:val="center"/>
        <w:rPr>
          <w:rFonts w:hint="eastAsia" w:ascii="仿宋" w:hAnsi="仿宋" w:eastAsia="仿宋" w:cs="仿宋"/>
          <w:b/>
          <w:sz w:val="32"/>
          <w:szCs w:val="32"/>
          <w:highlight w:val="none"/>
        </w:rPr>
      </w:pPr>
    </w:p>
    <w:p w14:paraId="374B79A9">
      <w:pPr>
        <w:spacing w:line="411" w:lineRule="exact"/>
        <w:ind w:right="6"/>
        <w:jc w:val="center"/>
        <w:rPr>
          <w:rFonts w:hint="eastAsia" w:ascii="仿宋" w:hAnsi="仿宋" w:eastAsia="仿宋" w:cs="仿宋"/>
          <w:sz w:val="20"/>
        </w:rPr>
      </w:pPr>
      <w:r>
        <w:rPr>
          <w:rFonts w:hint="eastAsia" w:ascii="仿宋" w:hAnsi="仿宋" w:eastAsia="仿宋" w:cs="仿宋"/>
          <w:b/>
          <w:bCs/>
          <w:sz w:val="36"/>
          <w:szCs w:val="36"/>
        </w:rPr>
        <w:t>联合体协议书</w:t>
      </w:r>
    </w:p>
    <w:p w14:paraId="5F25B000">
      <w:pPr>
        <w:spacing w:line="264" w:lineRule="exact"/>
        <w:rPr>
          <w:rFonts w:hint="eastAsia" w:ascii="仿宋" w:hAnsi="仿宋" w:eastAsia="仿宋" w:cs="仿宋"/>
          <w:sz w:val="24"/>
          <w:szCs w:val="24"/>
        </w:rPr>
      </w:pPr>
    </w:p>
    <w:p w14:paraId="18B03C71">
      <w:pPr>
        <w:keepNext w:val="0"/>
        <w:keepLines w:val="0"/>
        <w:pageBreakBefore w:val="0"/>
        <w:widowControl w:val="0"/>
        <w:tabs>
          <w:tab w:val="left" w:pos="5240"/>
        </w:tabs>
        <w:kinsoku/>
        <w:wordWrap/>
        <w:overflowPunct/>
        <w:topLinePunct w:val="0"/>
        <w:autoSpaceDE/>
        <w:autoSpaceDN/>
        <w:bidi w:val="0"/>
        <w:adjustRightInd/>
        <w:snapToGrid/>
        <w:spacing w:line="440" w:lineRule="exact"/>
        <w:ind w:left="36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（甲公司名称）：</w:t>
      </w:r>
    </w:p>
    <w:p w14:paraId="728DD7D8">
      <w:pPr>
        <w:keepNext w:val="0"/>
        <w:keepLines w:val="0"/>
        <w:pageBreakBefore w:val="0"/>
        <w:widowControl w:val="0"/>
        <w:tabs>
          <w:tab w:val="left" w:pos="5240"/>
        </w:tabs>
        <w:kinsoku/>
        <w:wordWrap/>
        <w:overflowPunct/>
        <w:topLinePunct w:val="0"/>
        <w:autoSpaceDE/>
        <w:autoSpaceDN/>
        <w:bidi w:val="0"/>
        <w:adjustRightInd/>
        <w:snapToGrid/>
        <w:spacing w:line="440" w:lineRule="exact"/>
        <w:ind w:left="36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法定</w:t>
      </w:r>
      <w:r>
        <w:rPr>
          <w:rFonts w:hint="eastAsia" w:ascii="仿宋" w:hAnsi="仿宋" w:eastAsia="仿宋" w:cs="仿宋"/>
          <w:sz w:val="24"/>
          <w:szCs w:val="24"/>
          <w:lang w:val="en-US" w:eastAsia="zh-CN"/>
        </w:rPr>
        <w:t>代表</w:t>
      </w:r>
      <w:r>
        <w:rPr>
          <w:rFonts w:hint="eastAsia" w:ascii="仿宋" w:hAnsi="仿宋" w:eastAsia="仿宋" w:cs="仿宋"/>
          <w:sz w:val="24"/>
          <w:szCs w:val="24"/>
          <w:lang w:val="zh-CN"/>
        </w:rPr>
        <w:t>人：</w:t>
      </w:r>
    </w:p>
    <w:p w14:paraId="6F4AC760">
      <w:pPr>
        <w:keepNext w:val="0"/>
        <w:keepLines w:val="0"/>
        <w:pageBreakBefore w:val="0"/>
        <w:widowControl w:val="0"/>
        <w:tabs>
          <w:tab w:val="left" w:pos="5240"/>
        </w:tabs>
        <w:kinsoku/>
        <w:wordWrap/>
        <w:overflowPunct/>
        <w:topLinePunct w:val="0"/>
        <w:autoSpaceDE/>
        <w:autoSpaceDN/>
        <w:bidi w:val="0"/>
        <w:adjustRightInd/>
        <w:snapToGrid/>
        <w:spacing w:line="440" w:lineRule="exact"/>
        <w:ind w:left="36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法定住所：</w:t>
      </w:r>
    </w:p>
    <w:p w14:paraId="5A6AD92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lang w:val="zh-CN"/>
        </w:rPr>
      </w:pPr>
    </w:p>
    <w:p w14:paraId="2C212A58">
      <w:pPr>
        <w:keepNext w:val="0"/>
        <w:keepLines w:val="0"/>
        <w:pageBreakBefore w:val="0"/>
        <w:widowControl w:val="0"/>
        <w:tabs>
          <w:tab w:val="left" w:pos="5240"/>
        </w:tabs>
        <w:kinsoku/>
        <w:wordWrap/>
        <w:overflowPunct/>
        <w:topLinePunct w:val="0"/>
        <w:autoSpaceDE/>
        <w:autoSpaceDN/>
        <w:bidi w:val="0"/>
        <w:adjustRightInd/>
        <w:snapToGrid/>
        <w:spacing w:line="440" w:lineRule="exact"/>
        <w:ind w:left="36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lang w:val="en-US" w:eastAsia="zh-CN"/>
        </w:rPr>
        <w:t>乙</w:t>
      </w:r>
      <w:r>
        <w:rPr>
          <w:rFonts w:hint="eastAsia" w:ascii="仿宋" w:hAnsi="仿宋" w:eastAsia="仿宋" w:cs="仿宋"/>
          <w:sz w:val="24"/>
          <w:szCs w:val="24"/>
          <w:lang w:val="zh-CN"/>
        </w:rPr>
        <w:t>公司名称）：</w:t>
      </w:r>
    </w:p>
    <w:p w14:paraId="103C16F4">
      <w:pPr>
        <w:keepNext w:val="0"/>
        <w:keepLines w:val="0"/>
        <w:pageBreakBefore w:val="0"/>
        <w:widowControl w:val="0"/>
        <w:tabs>
          <w:tab w:val="left" w:pos="5240"/>
        </w:tabs>
        <w:kinsoku/>
        <w:wordWrap/>
        <w:overflowPunct/>
        <w:topLinePunct w:val="0"/>
        <w:autoSpaceDE/>
        <w:autoSpaceDN/>
        <w:bidi w:val="0"/>
        <w:adjustRightInd/>
        <w:snapToGrid/>
        <w:spacing w:line="440" w:lineRule="exact"/>
        <w:ind w:left="36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法定</w:t>
      </w:r>
      <w:r>
        <w:rPr>
          <w:rFonts w:hint="eastAsia" w:ascii="仿宋" w:hAnsi="仿宋" w:eastAsia="仿宋" w:cs="仿宋"/>
          <w:sz w:val="24"/>
          <w:szCs w:val="24"/>
          <w:lang w:val="en-US" w:eastAsia="zh-CN"/>
        </w:rPr>
        <w:t>代表</w:t>
      </w:r>
      <w:r>
        <w:rPr>
          <w:rFonts w:hint="eastAsia" w:ascii="仿宋" w:hAnsi="仿宋" w:eastAsia="仿宋" w:cs="仿宋"/>
          <w:sz w:val="24"/>
          <w:szCs w:val="24"/>
          <w:lang w:val="zh-CN"/>
        </w:rPr>
        <w:t>人：</w:t>
      </w:r>
    </w:p>
    <w:p w14:paraId="059406F1">
      <w:pPr>
        <w:keepNext w:val="0"/>
        <w:keepLines w:val="0"/>
        <w:pageBreakBefore w:val="0"/>
        <w:widowControl w:val="0"/>
        <w:tabs>
          <w:tab w:val="left" w:pos="5240"/>
        </w:tabs>
        <w:kinsoku/>
        <w:wordWrap/>
        <w:overflowPunct/>
        <w:topLinePunct w:val="0"/>
        <w:autoSpaceDE/>
        <w:autoSpaceDN/>
        <w:bidi w:val="0"/>
        <w:adjustRightInd/>
        <w:snapToGrid/>
        <w:spacing w:line="440" w:lineRule="exact"/>
        <w:ind w:left="36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法定住所：</w:t>
      </w:r>
    </w:p>
    <w:p w14:paraId="6CEFFD14">
      <w:pPr>
        <w:keepNext w:val="0"/>
        <w:keepLines w:val="0"/>
        <w:pageBreakBefore w:val="0"/>
        <w:widowControl w:val="0"/>
        <w:tabs>
          <w:tab w:val="left" w:pos="7240"/>
        </w:tabs>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lang w:val="zh-CN"/>
        </w:rPr>
      </w:pPr>
    </w:p>
    <w:p w14:paraId="1764EFCC">
      <w:pPr>
        <w:keepNext w:val="0"/>
        <w:keepLines w:val="0"/>
        <w:pageBreakBefore w:val="0"/>
        <w:widowControl w:val="0"/>
        <w:tabs>
          <w:tab w:val="left" w:pos="7240"/>
        </w:tabs>
        <w:kinsoku/>
        <w:wordWrap/>
        <w:overflowPunct/>
        <w:topLinePunct w:val="0"/>
        <w:autoSpaceDE/>
        <w:autoSpaceDN/>
        <w:bidi w:val="0"/>
        <w:adjustRightInd/>
        <w:snapToGrid/>
        <w:spacing w:line="440" w:lineRule="exact"/>
        <w:ind w:left="0" w:leftChars="0" w:firstLine="480" w:firstLineChars="200"/>
        <w:jc w:val="left"/>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鉴于上述各成员单位经过友好协商自愿组成联合体，参加</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项目（</w:t>
      </w:r>
      <w:r>
        <w:rPr>
          <w:rFonts w:hint="eastAsia" w:ascii="仿宋" w:hAnsi="仿宋" w:eastAsia="仿宋" w:cs="仿宋"/>
          <w:sz w:val="24"/>
          <w:szCs w:val="24"/>
          <w:lang w:val="en-US" w:eastAsia="zh-CN"/>
        </w:rPr>
        <w:t>项目编号：</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）投标。现就</w:t>
      </w:r>
      <w:r>
        <w:rPr>
          <w:rFonts w:hint="eastAsia" w:ascii="仿宋" w:hAnsi="仿宋" w:eastAsia="仿宋" w:cs="仿宋"/>
          <w:sz w:val="24"/>
          <w:szCs w:val="24"/>
        </w:rPr>
        <w:t>联合体投标</w:t>
      </w:r>
      <w:r>
        <w:rPr>
          <w:rFonts w:hint="eastAsia" w:ascii="仿宋" w:hAnsi="仿宋" w:eastAsia="仿宋" w:cs="仿宋"/>
          <w:sz w:val="24"/>
          <w:szCs w:val="24"/>
          <w:lang w:val="zh-CN"/>
        </w:rPr>
        <w:t>事宜订立如下协议：</w:t>
      </w:r>
    </w:p>
    <w:p w14:paraId="31F6F061">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1</w:t>
      </w:r>
      <w:r>
        <w:rPr>
          <w:rFonts w:hint="eastAsia" w:ascii="仿宋" w:hAnsi="仿宋" w:eastAsia="仿宋" w:cs="仿宋"/>
          <w:sz w:val="24"/>
          <w:szCs w:val="24"/>
          <w:lang w:val="en-US" w:eastAsia="zh-CN"/>
        </w:rPr>
        <w:t>.</w:t>
      </w:r>
      <w:r>
        <w:rPr>
          <w:rFonts w:hint="eastAsia" w:ascii="仿宋" w:hAnsi="仿宋" w:eastAsia="仿宋" w:cs="仿宋"/>
          <w:sz w:val="24"/>
          <w:szCs w:val="24"/>
          <w:u w:val="single"/>
          <w:lang w:val="zh-CN"/>
        </w:rPr>
        <w:t xml:space="preserve">   （甲公司名称）  </w:t>
      </w:r>
      <w:r>
        <w:rPr>
          <w:rFonts w:hint="eastAsia" w:ascii="仿宋" w:hAnsi="仿宋" w:eastAsia="仿宋" w:cs="仿宋"/>
          <w:sz w:val="24"/>
          <w:szCs w:val="24"/>
          <w:lang w:val="zh-CN"/>
        </w:rPr>
        <w:t>为联合体牵头人，</w:t>
      </w:r>
      <w:r>
        <w:rPr>
          <w:rFonts w:hint="eastAsia" w:ascii="仿宋" w:hAnsi="仿宋" w:eastAsia="仿宋" w:cs="仿宋"/>
          <w:sz w:val="24"/>
          <w:szCs w:val="24"/>
          <w:u w:val="single"/>
          <w:lang w:val="zh-CN"/>
        </w:rPr>
        <w:t xml:space="preserve">  （乙公司名称）  </w:t>
      </w:r>
      <w:r>
        <w:rPr>
          <w:rFonts w:hint="eastAsia" w:ascii="仿宋" w:hAnsi="仿宋" w:eastAsia="仿宋" w:cs="仿宋"/>
          <w:sz w:val="24"/>
          <w:szCs w:val="24"/>
          <w:lang w:val="zh-CN"/>
        </w:rPr>
        <w:t>为联合体成员；</w:t>
      </w:r>
    </w:p>
    <w:p w14:paraId="57D993B2">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2</w:t>
      </w:r>
      <w:r>
        <w:rPr>
          <w:rFonts w:hint="eastAsia" w:ascii="仿宋" w:hAnsi="仿宋" w:eastAsia="仿宋" w:cs="仿宋"/>
          <w:sz w:val="24"/>
          <w:szCs w:val="24"/>
          <w:lang w:val="en-US" w:eastAsia="zh-CN"/>
        </w:rPr>
        <w:t>.</w:t>
      </w:r>
      <w:r>
        <w:rPr>
          <w:rFonts w:hint="eastAsia" w:ascii="仿宋" w:hAnsi="仿宋" w:eastAsia="仿宋" w:cs="仿宋"/>
          <w:sz w:val="24"/>
          <w:szCs w:val="24"/>
          <w:lang w:val="zh-CN"/>
        </w:rPr>
        <w:t>双方均有义务提供足够的资料，以满足采购人对投标资格的要求。</w:t>
      </w:r>
    </w:p>
    <w:p w14:paraId="7361D129">
      <w:pPr>
        <w:keepNext w:val="0"/>
        <w:keepLines w:val="0"/>
        <w:pageBreakBefore w:val="0"/>
        <w:widowControl w:val="0"/>
        <w:kinsoku/>
        <w:wordWrap/>
        <w:overflowPunct/>
        <w:topLinePunct w:val="0"/>
        <w:autoSpaceDE/>
        <w:autoSpaceDN/>
        <w:bidi w:val="0"/>
        <w:adjustRightInd/>
        <w:snapToGrid/>
        <w:spacing w:line="440" w:lineRule="exact"/>
        <w:ind w:right="-13" w:firstLine="42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3</w:t>
      </w:r>
      <w:r>
        <w:rPr>
          <w:rFonts w:hint="eastAsia" w:ascii="仿宋" w:hAnsi="仿宋" w:eastAsia="仿宋" w:cs="仿宋"/>
          <w:sz w:val="24"/>
          <w:szCs w:val="24"/>
          <w:lang w:val="en-US" w:eastAsia="zh-CN"/>
        </w:rPr>
        <w:t>.</w:t>
      </w:r>
      <w:r>
        <w:rPr>
          <w:rFonts w:hint="eastAsia" w:ascii="仿宋" w:hAnsi="仿宋" w:eastAsia="仿宋" w:cs="仿宋"/>
          <w:sz w:val="24"/>
          <w:szCs w:val="24"/>
          <w:lang w:val="zh-CN"/>
        </w:rPr>
        <w:t>联合体的</w:t>
      </w:r>
      <w:r>
        <w:rPr>
          <w:rFonts w:hint="eastAsia" w:ascii="仿宋" w:hAnsi="仿宋" w:eastAsia="仿宋" w:cs="仿宋"/>
          <w:sz w:val="24"/>
          <w:szCs w:val="24"/>
          <w:lang w:val="en-US" w:eastAsia="zh-CN"/>
        </w:rPr>
        <w:t>响应</w:t>
      </w:r>
      <w:r>
        <w:rPr>
          <w:rFonts w:hint="eastAsia" w:ascii="仿宋" w:hAnsi="仿宋" w:eastAsia="仿宋" w:cs="仿宋"/>
          <w:sz w:val="24"/>
          <w:szCs w:val="24"/>
          <w:lang w:val="zh-CN"/>
        </w:rPr>
        <w:t>文件、采购人的</w:t>
      </w:r>
      <w:r>
        <w:rPr>
          <w:rFonts w:hint="eastAsia" w:ascii="仿宋" w:hAnsi="仿宋" w:eastAsia="仿宋" w:cs="仿宋"/>
          <w:sz w:val="24"/>
          <w:szCs w:val="24"/>
          <w:lang w:val="en-US" w:eastAsia="zh-CN"/>
        </w:rPr>
        <w:t>采购</w:t>
      </w:r>
      <w:r>
        <w:rPr>
          <w:rFonts w:hint="eastAsia" w:ascii="仿宋" w:hAnsi="仿宋" w:eastAsia="仿宋" w:cs="仿宋"/>
          <w:sz w:val="24"/>
          <w:szCs w:val="24"/>
          <w:lang w:val="zh-CN"/>
        </w:rPr>
        <w:t>文件、联合体与采购人签订的合同均对双方具有约束力。</w:t>
      </w:r>
    </w:p>
    <w:p w14:paraId="10E5E57A">
      <w:pPr>
        <w:keepNext w:val="0"/>
        <w:keepLines w:val="0"/>
        <w:pageBreakBefore w:val="0"/>
        <w:widowControl w:val="0"/>
        <w:kinsoku/>
        <w:wordWrap/>
        <w:overflowPunct/>
        <w:topLinePunct w:val="0"/>
        <w:autoSpaceDE/>
        <w:autoSpaceDN/>
        <w:bidi w:val="0"/>
        <w:adjustRightInd/>
        <w:snapToGrid/>
        <w:spacing w:line="440" w:lineRule="exact"/>
        <w:ind w:right="-13" w:firstLine="42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4</w:t>
      </w:r>
      <w:r>
        <w:rPr>
          <w:rFonts w:hint="eastAsia" w:ascii="仿宋" w:hAnsi="仿宋" w:eastAsia="仿宋" w:cs="仿宋"/>
          <w:sz w:val="24"/>
          <w:szCs w:val="24"/>
          <w:lang w:val="en-US" w:eastAsia="zh-CN"/>
        </w:rPr>
        <w:t>.</w:t>
      </w:r>
      <w:r>
        <w:rPr>
          <w:rFonts w:hint="eastAsia" w:ascii="仿宋" w:hAnsi="仿宋" w:eastAsia="仿宋" w:cs="仿宋"/>
          <w:bCs w:val="0"/>
          <w:color w:val="auto"/>
          <w:sz w:val="24"/>
          <w:szCs w:val="24"/>
          <w:highlight w:val="none"/>
        </w:rPr>
        <w:t>联合体各方应当共同与采购人签订采购合同，就采购合同约定的事项对采购人承担连带责任。</w:t>
      </w:r>
    </w:p>
    <w:p w14:paraId="57E4F305">
      <w:pPr>
        <w:keepNext w:val="0"/>
        <w:keepLines w:val="0"/>
        <w:pageBreakBefore w:val="0"/>
        <w:widowControl w:val="0"/>
        <w:kinsoku/>
        <w:wordWrap/>
        <w:overflowPunct/>
        <w:topLinePunct w:val="0"/>
        <w:autoSpaceDE/>
        <w:autoSpaceDN/>
        <w:bidi w:val="0"/>
        <w:adjustRightInd/>
        <w:snapToGrid/>
        <w:spacing w:line="440" w:lineRule="exact"/>
        <w:ind w:firstLine="440"/>
        <w:jc w:val="left"/>
        <w:textAlignment w:val="auto"/>
        <w:rPr>
          <w:rFonts w:hint="eastAsia" w:ascii="仿宋" w:hAnsi="仿宋" w:eastAsia="仿宋" w:cs="仿宋"/>
          <w:color w:val="auto"/>
          <w:sz w:val="24"/>
          <w:szCs w:val="24"/>
          <w:highlight w:val="none"/>
          <w:u w:val="single"/>
        </w:rPr>
      </w:pPr>
      <w:r>
        <w:rPr>
          <w:rFonts w:hint="eastAsia" w:ascii="仿宋" w:hAnsi="仿宋" w:eastAsia="仿宋" w:cs="仿宋"/>
          <w:sz w:val="24"/>
          <w:szCs w:val="24"/>
          <w:lang w:val="zh-CN"/>
        </w:rPr>
        <w:t>5</w:t>
      </w:r>
      <w:r>
        <w:rPr>
          <w:rFonts w:hint="eastAsia" w:ascii="仿宋" w:hAnsi="仿宋" w:eastAsia="仿宋" w:cs="仿宋"/>
          <w:sz w:val="24"/>
          <w:szCs w:val="24"/>
          <w:lang w:val="en-US" w:eastAsia="zh-CN"/>
        </w:rPr>
        <w:t>.</w:t>
      </w:r>
      <w:r>
        <w:rPr>
          <w:rFonts w:hint="eastAsia" w:ascii="仿宋" w:hAnsi="仿宋" w:eastAsia="仿宋" w:cs="仿宋"/>
          <w:color w:val="auto"/>
          <w:sz w:val="24"/>
          <w:szCs w:val="24"/>
          <w:highlight w:val="none"/>
        </w:rPr>
        <w:t>联合体各成员单位内部的职责分工</w:t>
      </w:r>
      <w:r>
        <w:rPr>
          <w:rFonts w:hint="eastAsia" w:ascii="仿宋" w:hAnsi="仿宋" w:eastAsia="仿宋" w:cs="仿宋"/>
          <w:color w:val="auto"/>
          <w:sz w:val="24"/>
          <w:szCs w:val="24"/>
          <w:highlight w:val="none"/>
          <w:lang w:val="en-US" w:eastAsia="zh-CN"/>
        </w:rPr>
        <w:t>如</w:t>
      </w:r>
      <w:r>
        <w:rPr>
          <w:rFonts w:hint="eastAsia" w:ascii="仿宋" w:hAnsi="仿宋" w:eastAsia="仿宋" w:cs="仿宋"/>
          <w:color w:val="auto"/>
          <w:sz w:val="24"/>
          <w:szCs w:val="24"/>
          <w:highlight w:val="none"/>
          <w:lang w:eastAsia="zh-CN"/>
        </w:rPr>
        <w:t>下</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3DA4C59B">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按照本条上述分工，联合体成员单位各自所承担的</w:t>
      </w:r>
      <w:r>
        <w:rPr>
          <w:rFonts w:hint="eastAsia" w:ascii="仿宋" w:hAnsi="仿宋" w:eastAsia="仿宋" w:cs="仿宋"/>
          <w:color w:val="auto"/>
          <w:sz w:val="24"/>
          <w:szCs w:val="24"/>
          <w:highlight w:val="none"/>
          <w:lang w:val="en-US" w:eastAsia="zh-CN"/>
        </w:rPr>
        <w:t>工作义务</w:t>
      </w:r>
      <w:r>
        <w:rPr>
          <w:rFonts w:hint="eastAsia" w:ascii="仿宋" w:hAnsi="仿宋" w:eastAsia="仿宋" w:cs="仿宋"/>
          <w:color w:val="auto"/>
          <w:sz w:val="24"/>
          <w:szCs w:val="24"/>
          <w:highlight w:val="none"/>
        </w:rPr>
        <w:t>如下：</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053BFDBA">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6.联合体双方均承诺</w:t>
      </w:r>
      <w:r>
        <w:rPr>
          <w:rFonts w:hint="eastAsia" w:ascii="仿宋" w:hAnsi="仿宋" w:eastAsia="仿宋" w:cs="仿宋"/>
          <w:color w:val="auto"/>
          <w:highlight w:val="none"/>
          <w:lang w:val="en-US" w:eastAsia="zh-CN"/>
        </w:rPr>
        <w:t>不再单独参加或者与其他供应商另外组成联合体参加本项目。</w:t>
      </w:r>
    </w:p>
    <w:p w14:paraId="21322C96">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sz w:val="24"/>
          <w:szCs w:val="24"/>
          <w:lang w:val="zh-CN"/>
        </w:rPr>
      </w:pPr>
      <w:r>
        <w:rPr>
          <w:rFonts w:hint="eastAsia" w:ascii="仿宋" w:hAnsi="仿宋" w:eastAsia="仿宋" w:cs="仿宋"/>
          <w:sz w:val="24"/>
          <w:szCs w:val="24"/>
          <w:lang w:val="en-US" w:eastAsia="zh-CN"/>
        </w:rPr>
        <w:t>7.</w:t>
      </w:r>
      <w:r>
        <w:rPr>
          <w:rFonts w:hint="eastAsia" w:ascii="仿宋" w:hAnsi="仿宋" w:eastAsia="仿宋" w:cs="仿宋"/>
          <w:sz w:val="24"/>
          <w:szCs w:val="24"/>
          <w:lang w:val="zh-CN"/>
        </w:rPr>
        <w:t>联合体内部有关事项规定如下：</w:t>
      </w:r>
    </w:p>
    <w:p w14:paraId="099E1F30">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（1）联合体由牵头人负责与</w:t>
      </w:r>
      <w:r>
        <w:rPr>
          <w:rFonts w:hint="eastAsia" w:ascii="仿宋" w:hAnsi="仿宋" w:eastAsia="仿宋" w:cs="仿宋"/>
          <w:sz w:val="24"/>
          <w:szCs w:val="24"/>
          <w:lang w:val="en-US" w:eastAsia="zh-CN"/>
        </w:rPr>
        <w:t>采购人</w:t>
      </w:r>
      <w:r>
        <w:rPr>
          <w:rFonts w:hint="eastAsia" w:ascii="仿宋" w:hAnsi="仿宋" w:eastAsia="仿宋" w:cs="仿宋"/>
          <w:sz w:val="24"/>
          <w:szCs w:val="24"/>
          <w:lang w:val="zh-CN"/>
        </w:rPr>
        <w:t>联系。</w:t>
      </w:r>
    </w:p>
    <w:p w14:paraId="6E447DA2">
      <w:pPr>
        <w:keepNext w:val="0"/>
        <w:keepLines w:val="0"/>
        <w:pageBreakBefore w:val="0"/>
        <w:widowControl w:val="0"/>
        <w:kinsoku/>
        <w:wordWrap/>
        <w:overflowPunct/>
        <w:topLinePunct w:val="0"/>
        <w:autoSpaceDE/>
        <w:autoSpaceDN/>
        <w:bidi w:val="0"/>
        <w:adjustRightInd/>
        <w:snapToGrid/>
        <w:spacing w:line="440" w:lineRule="exact"/>
        <w:ind w:right="-13" w:firstLine="42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（2）投标工作由联合体牵头人负责，由双方组成的投标小组具体实施；联合体牵头人代表联合体办理投标事宜，联合体牵头人在</w:t>
      </w:r>
      <w:r>
        <w:rPr>
          <w:rFonts w:hint="eastAsia" w:ascii="仿宋" w:hAnsi="仿宋" w:eastAsia="仿宋" w:cs="仿宋"/>
          <w:sz w:val="24"/>
          <w:szCs w:val="24"/>
          <w:lang w:val="en-US" w:eastAsia="zh-CN"/>
        </w:rPr>
        <w:t>响应</w:t>
      </w:r>
      <w:r>
        <w:rPr>
          <w:rFonts w:hint="eastAsia" w:ascii="仿宋" w:hAnsi="仿宋" w:eastAsia="仿宋" w:cs="仿宋"/>
          <w:sz w:val="24"/>
          <w:szCs w:val="24"/>
          <w:lang w:val="zh-CN"/>
        </w:rPr>
        <w:t>文件中的所有承诺均代表了联合体各成员。</w:t>
      </w:r>
    </w:p>
    <w:p w14:paraId="1491D1E2">
      <w:pPr>
        <w:keepNext w:val="0"/>
        <w:keepLines w:val="0"/>
        <w:pageBreakBefore w:val="0"/>
        <w:widowControl w:val="0"/>
        <w:kinsoku/>
        <w:wordWrap/>
        <w:overflowPunct/>
        <w:topLinePunct w:val="0"/>
        <w:autoSpaceDE/>
        <w:autoSpaceDN/>
        <w:bidi w:val="0"/>
        <w:adjustRightInd/>
        <w:snapToGrid/>
        <w:spacing w:line="440" w:lineRule="exact"/>
        <w:ind w:right="-13" w:firstLine="42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（3）联合体将严格按照</w:t>
      </w:r>
      <w:r>
        <w:rPr>
          <w:rFonts w:hint="eastAsia" w:ascii="仿宋" w:hAnsi="仿宋" w:eastAsia="仿宋" w:cs="仿宋"/>
          <w:sz w:val="24"/>
          <w:szCs w:val="24"/>
          <w:lang w:val="en-US" w:eastAsia="zh-CN"/>
        </w:rPr>
        <w:t>采购</w:t>
      </w:r>
      <w:r>
        <w:rPr>
          <w:rFonts w:hint="eastAsia" w:ascii="仿宋" w:hAnsi="仿宋" w:eastAsia="仿宋" w:cs="仿宋"/>
          <w:sz w:val="24"/>
          <w:szCs w:val="24"/>
          <w:lang w:val="zh-CN"/>
        </w:rPr>
        <w:t>文件的各项要求，递交响应文件，切实执行一切合同文件，共同承担合同规定的一切义务和责任，同时按照内部职责的划分，承担自身所负的责任和风险，</w:t>
      </w:r>
      <w:r>
        <w:rPr>
          <w:rFonts w:hint="eastAsia" w:ascii="仿宋" w:hAnsi="仿宋" w:eastAsia="仿宋" w:cs="仿宋"/>
          <w:sz w:val="24"/>
          <w:szCs w:val="24"/>
          <w:lang w:val="en-US" w:eastAsia="zh-CN"/>
        </w:rPr>
        <w:t>并向采购人</w:t>
      </w:r>
      <w:r>
        <w:rPr>
          <w:rFonts w:hint="eastAsia" w:ascii="仿宋" w:hAnsi="仿宋" w:eastAsia="仿宋" w:cs="仿宋"/>
          <w:sz w:val="24"/>
          <w:szCs w:val="24"/>
          <w:lang w:val="zh-CN"/>
        </w:rPr>
        <w:t>承担连带责任。</w:t>
      </w:r>
    </w:p>
    <w:p w14:paraId="7135C848">
      <w:pPr>
        <w:keepNext w:val="0"/>
        <w:keepLines w:val="0"/>
        <w:pageBreakBefore w:val="0"/>
        <w:widowControl w:val="0"/>
        <w:kinsoku/>
        <w:wordWrap/>
        <w:overflowPunct/>
        <w:topLinePunct w:val="0"/>
        <w:autoSpaceDE/>
        <w:autoSpaceDN/>
        <w:bidi w:val="0"/>
        <w:adjustRightInd/>
        <w:snapToGrid/>
        <w:spacing w:line="440" w:lineRule="exact"/>
        <w:ind w:right="-13" w:firstLine="42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w:t>
      </w:r>
      <w:r>
        <w:rPr>
          <w:rFonts w:hint="eastAsia" w:ascii="仿宋" w:hAnsi="仿宋" w:eastAsia="仿宋" w:cs="仿宋"/>
          <w:sz w:val="24"/>
          <w:szCs w:val="24"/>
        </w:rPr>
        <w:t>联合体牵头人合法代表联合体各成员负责本项目响应文件编制和合同谈判活动，代表联合体提交和接收相关的资料、信息及指示，处理与之有关的一切事务，并负责合同实施阶段的主办、组织和协调工作。</w:t>
      </w:r>
    </w:p>
    <w:p w14:paraId="50783209">
      <w:pPr>
        <w:keepNext w:val="0"/>
        <w:keepLines w:val="0"/>
        <w:pageBreakBefore w:val="0"/>
        <w:widowControl w:val="0"/>
        <w:kinsoku/>
        <w:wordWrap/>
        <w:overflowPunct/>
        <w:topLinePunct w:val="0"/>
        <w:autoSpaceDE/>
        <w:autoSpaceDN/>
        <w:bidi w:val="0"/>
        <w:adjustRightInd/>
        <w:snapToGrid/>
        <w:spacing w:line="440" w:lineRule="exact"/>
        <w:ind w:right="-13" w:firstLine="420"/>
        <w:textAlignment w:val="auto"/>
        <w:rPr>
          <w:rFonts w:hint="eastAsia" w:ascii="仿宋" w:hAnsi="仿宋" w:eastAsia="仿宋" w:cs="仿宋"/>
          <w:sz w:val="24"/>
          <w:szCs w:val="24"/>
          <w:lang w:val="zh-CN"/>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5</w:t>
      </w:r>
      <w:r>
        <w:rPr>
          <w:rFonts w:hint="eastAsia" w:ascii="仿宋" w:hAnsi="仿宋" w:eastAsia="仿宋" w:cs="仿宋"/>
          <w:sz w:val="24"/>
          <w:szCs w:val="24"/>
          <w:lang w:eastAsia="zh-CN"/>
        </w:rPr>
        <w:t>）</w:t>
      </w:r>
      <w:r>
        <w:rPr>
          <w:rFonts w:hint="eastAsia" w:ascii="仿宋" w:hAnsi="仿宋" w:eastAsia="仿宋" w:cs="仿宋"/>
          <w:sz w:val="24"/>
          <w:szCs w:val="24"/>
          <w:lang w:val="zh-CN"/>
        </w:rPr>
        <w:t>如</w:t>
      </w:r>
      <w:r>
        <w:rPr>
          <w:rFonts w:hint="eastAsia" w:ascii="仿宋" w:hAnsi="仿宋" w:eastAsia="仿宋" w:cs="仿宋"/>
          <w:sz w:val="24"/>
          <w:szCs w:val="24"/>
          <w:lang w:val="en-US" w:eastAsia="zh-CN"/>
        </w:rPr>
        <w:t>成交</w:t>
      </w:r>
      <w:r>
        <w:rPr>
          <w:rFonts w:hint="eastAsia" w:ascii="仿宋" w:hAnsi="仿宋" w:eastAsia="仿宋" w:cs="仿宋"/>
          <w:sz w:val="24"/>
          <w:szCs w:val="24"/>
          <w:lang w:val="zh-CN"/>
        </w:rPr>
        <w:t>，联合体内部将遵守以下规定：</w:t>
      </w:r>
    </w:p>
    <w:p w14:paraId="5810BB95">
      <w:pPr>
        <w:keepNext w:val="0"/>
        <w:keepLines w:val="0"/>
        <w:pageBreakBefore w:val="0"/>
        <w:widowControl w:val="0"/>
        <w:kinsoku/>
        <w:wordWrap/>
        <w:overflowPunct/>
        <w:topLinePunct w:val="0"/>
        <w:autoSpaceDE/>
        <w:autoSpaceDN/>
        <w:bidi w:val="0"/>
        <w:adjustRightInd/>
        <w:snapToGrid/>
        <w:spacing w:line="440" w:lineRule="exact"/>
        <w:ind w:right="6" w:firstLine="42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a．联合体牵头人代表联合体成员承担责任和接受采购人的指令、指示和通知，并且在整个合同实施过程中的全部事宜均由联合体牵头人负责；联合体内部的资金结算、拨付由联合体内部协议确定，与采购人无关。</w:t>
      </w:r>
    </w:p>
    <w:p w14:paraId="728B246C">
      <w:pPr>
        <w:keepNext w:val="0"/>
        <w:keepLines w:val="0"/>
        <w:pageBreakBefore w:val="0"/>
        <w:widowControl w:val="0"/>
        <w:kinsoku/>
        <w:wordWrap/>
        <w:overflowPunct/>
        <w:topLinePunct w:val="0"/>
        <w:autoSpaceDE/>
        <w:autoSpaceDN/>
        <w:bidi w:val="0"/>
        <w:adjustRightInd/>
        <w:snapToGrid/>
        <w:spacing w:line="440" w:lineRule="exact"/>
        <w:ind w:right="-13" w:firstLine="42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b．联合体分工原则：</w:t>
      </w:r>
      <w:r>
        <w:rPr>
          <w:rFonts w:hint="eastAsia" w:ascii="仿宋" w:hAnsi="仿宋" w:eastAsia="仿宋" w:cs="仿宋"/>
          <w:sz w:val="24"/>
          <w:szCs w:val="24"/>
          <w:lang w:val="en-US" w:eastAsia="zh-CN"/>
        </w:rPr>
        <w:t>采购</w:t>
      </w:r>
      <w:r>
        <w:rPr>
          <w:rFonts w:hint="eastAsia" w:ascii="仿宋" w:hAnsi="仿宋" w:eastAsia="仿宋" w:cs="仿宋"/>
          <w:sz w:val="24"/>
          <w:szCs w:val="24"/>
          <w:lang w:val="zh-CN"/>
        </w:rPr>
        <w:t>文件规定的所有内容牵头实施，负责协调联合体内部事宜。联合体各成员负责本</w:t>
      </w:r>
      <w:r>
        <w:rPr>
          <w:rFonts w:hint="eastAsia" w:ascii="仿宋" w:hAnsi="仿宋" w:eastAsia="仿宋" w:cs="仿宋"/>
          <w:sz w:val="24"/>
          <w:szCs w:val="24"/>
          <w:lang w:val="en-US" w:eastAsia="zh-CN"/>
        </w:rPr>
        <w:t>项目采购</w:t>
      </w:r>
      <w:r>
        <w:rPr>
          <w:rFonts w:hint="eastAsia" w:ascii="仿宋" w:hAnsi="仿宋" w:eastAsia="仿宋" w:cs="仿宋"/>
          <w:sz w:val="24"/>
          <w:szCs w:val="24"/>
          <w:lang w:val="zh-CN"/>
        </w:rPr>
        <w:t>文件要求规定的各项工作。</w:t>
      </w:r>
    </w:p>
    <w:p w14:paraId="20692083">
      <w:pPr>
        <w:keepNext w:val="0"/>
        <w:keepLines w:val="0"/>
        <w:pageBreakBefore w:val="0"/>
        <w:widowControl w:val="0"/>
        <w:kinsoku/>
        <w:wordWrap/>
        <w:overflowPunct/>
        <w:topLinePunct w:val="0"/>
        <w:autoSpaceDE/>
        <w:autoSpaceDN/>
        <w:bidi w:val="0"/>
        <w:adjustRightInd/>
        <w:snapToGrid/>
        <w:spacing w:line="440" w:lineRule="exact"/>
        <w:ind w:right="-13" w:firstLine="42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lang w:val="en-US" w:eastAsia="zh-CN"/>
        </w:rPr>
        <w:t>6</w:t>
      </w:r>
      <w:r>
        <w:rPr>
          <w:rFonts w:hint="eastAsia" w:ascii="仿宋" w:hAnsi="仿宋" w:eastAsia="仿宋" w:cs="仿宋"/>
          <w:sz w:val="24"/>
          <w:szCs w:val="24"/>
          <w:lang w:val="zh-CN"/>
        </w:rPr>
        <w:t>）投标工作和联合体在</w:t>
      </w:r>
      <w:r>
        <w:rPr>
          <w:rFonts w:hint="eastAsia" w:ascii="仿宋" w:hAnsi="仿宋" w:eastAsia="仿宋" w:cs="仿宋"/>
          <w:sz w:val="24"/>
          <w:szCs w:val="24"/>
          <w:lang w:val="en-US" w:eastAsia="zh-CN"/>
        </w:rPr>
        <w:t>成交</w:t>
      </w:r>
      <w:r>
        <w:rPr>
          <w:rFonts w:hint="eastAsia" w:ascii="仿宋" w:hAnsi="仿宋" w:eastAsia="仿宋" w:cs="仿宋"/>
          <w:sz w:val="24"/>
          <w:szCs w:val="24"/>
          <w:lang w:val="zh-CN"/>
        </w:rPr>
        <w:t>后实施过程中的有关费用由联合体牵头人统一承担，联合体内部按各自承担的工作量分摊。</w:t>
      </w:r>
    </w:p>
    <w:p w14:paraId="61F98904">
      <w:pPr>
        <w:keepNext w:val="0"/>
        <w:keepLines w:val="0"/>
        <w:pageBreakBefore w:val="0"/>
        <w:widowControl w:val="0"/>
        <w:kinsoku/>
        <w:wordWrap/>
        <w:overflowPunct/>
        <w:topLinePunct w:val="0"/>
        <w:autoSpaceDE/>
        <w:autoSpaceDN/>
        <w:bidi w:val="0"/>
        <w:adjustRightInd/>
        <w:snapToGrid/>
        <w:spacing w:line="440" w:lineRule="exact"/>
        <w:ind w:right="6" w:firstLine="420"/>
        <w:textAlignment w:val="auto"/>
        <w:rPr>
          <w:rFonts w:hint="eastAsia" w:ascii="仿宋" w:hAnsi="仿宋" w:eastAsia="仿宋" w:cs="仿宋"/>
          <w:sz w:val="24"/>
          <w:szCs w:val="24"/>
          <w:lang w:val="zh-CN"/>
        </w:rPr>
      </w:pPr>
      <w:r>
        <w:rPr>
          <w:rFonts w:hint="eastAsia" w:ascii="仿宋" w:hAnsi="仿宋" w:eastAsia="仿宋" w:cs="仿宋"/>
          <w:sz w:val="24"/>
          <w:szCs w:val="24"/>
          <w:lang w:val="en-US" w:eastAsia="zh-CN"/>
        </w:rPr>
        <w:t>8.</w:t>
      </w:r>
      <w:r>
        <w:rPr>
          <w:rFonts w:hint="eastAsia" w:ascii="仿宋" w:hAnsi="仿宋" w:eastAsia="仿宋" w:cs="仿宋"/>
          <w:sz w:val="24"/>
          <w:szCs w:val="24"/>
          <w:lang w:val="zh-CN"/>
        </w:rPr>
        <w:t>本协议书自签署之日起生效，在</w:t>
      </w:r>
      <w:r>
        <w:rPr>
          <w:rFonts w:hint="eastAsia" w:ascii="仿宋" w:hAnsi="仿宋" w:eastAsia="仿宋" w:cs="仿宋"/>
          <w:sz w:val="24"/>
          <w:szCs w:val="24"/>
          <w:lang w:val="en-US" w:eastAsia="zh-CN"/>
        </w:rPr>
        <w:t>本项目合同履行完毕</w:t>
      </w:r>
      <w:r>
        <w:rPr>
          <w:rFonts w:hint="eastAsia" w:ascii="仿宋" w:hAnsi="仿宋" w:eastAsia="仿宋" w:cs="仿宋"/>
          <w:sz w:val="24"/>
          <w:szCs w:val="24"/>
          <w:lang w:val="zh-CN"/>
        </w:rPr>
        <w:t>后自行失效；如</w:t>
      </w:r>
      <w:r>
        <w:rPr>
          <w:rFonts w:hint="eastAsia" w:ascii="仿宋" w:hAnsi="仿宋" w:eastAsia="仿宋" w:cs="仿宋"/>
          <w:sz w:val="24"/>
          <w:szCs w:val="24"/>
          <w:lang w:val="en-US" w:eastAsia="zh-CN"/>
        </w:rPr>
        <w:t>成交</w:t>
      </w:r>
      <w:r>
        <w:rPr>
          <w:rFonts w:hint="eastAsia" w:ascii="仿宋" w:hAnsi="仿宋" w:eastAsia="仿宋" w:cs="仿宋"/>
          <w:sz w:val="24"/>
          <w:szCs w:val="24"/>
          <w:lang w:val="zh-CN"/>
        </w:rPr>
        <w:t>后，联合体内部另有协议的，联合体牵头人应将该协议书送交采购人。</w:t>
      </w:r>
      <w:r>
        <w:rPr>
          <w:rFonts w:hint="eastAsia" w:ascii="仿宋" w:hAnsi="仿宋" w:eastAsia="仿宋" w:cs="仿宋"/>
          <w:sz w:val="24"/>
          <w:szCs w:val="24"/>
          <w:lang w:val="en-US" w:eastAsia="zh-CN"/>
        </w:rPr>
        <w:t>本</w:t>
      </w:r>
      <w:r>
        <w:rPr>
          <w:rFonts w:hint="eastAsia" w:ascii="仿宋" w:hAnsi="仿宋" w:eastAsia="仿宋" w:cs="仿宋"/>
          <w:sz w:val="24"/>
          <w:szCs w:val="24"/>
          <w:lang w:val="zh-CN"/>
        </w:rPr>
        <w:t>联合体协议作为合同附件，在履行合同过程中，未经采购人同意，不得修改联合体协议。</w:t>
      </w:r>
    </w:p>
    <w:p w14:paraId="13AFD3C7">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sz w:val="24"/>
          <w:szCs w:val="24"/>
          <w:lang w:val="zh-CN"/>
        </w:rPr>
      </w:pPr>
      <w:r>
        <w:rPr>
          <w:rFonts w:hint="eastAsia" w:ascii="仿宋" w:hAnsi="仿宋" w:eastAsia="仿宋" w:cs="仿宋"/>
          <w:sz w:val="24"/>
          <w:szCs w:val="24"/>
          <w:lang w:val="en-US" w:eastAsia="zh-CN"/>
        </w:rPr>
        <w:t>9.</w:t>
      </w:r>
      <w:r>
        <w:rPr>
          <w:rFonts w:hint="eastAsia" w:ascii="仿宋" w:hAnsi="仿宋" w:eastAsia="仿宋" w:cs="仿宋"/>
          <w:sz w:val="24"/>
          <w:szCs w:val="24"/>
          <w:lang w:val="zh-CN"/>
        </w:rPr>
        <w:t>在实施过程中，本协议未尽事宜，由双方协商解决。</w:t>
      </w:r>
    </w:p>
    <w:p w14:paraId="0BFAA259">
      <w:pPr>
        <w:keepNext w:val="0"/>
        <w:keepLines w:val="0"/>
        <w:pageBreakBefore w:val="0"/>
        <w:widowControl w:val="0"/>
        <w:kinsoku/>
        <w:wordWrap/>
        <w:overflowPunct/>
        <w:topLinePunct w:val="0"/>
        <w:autoSpaceDE/>
        <w:autoSpaceDN/>
        <w:bidi w:val="0"/>
        <w:adjustRightInd/>
        <w:snapToGrid/>
        <w:spacing w:line="440" w:lineRule="exact"/>
        <w:ind w:right="-13" w:firstLine="420"/>
        <w:textAlignment w:val="auto"/>
        <w:rPr>
          <w:rFonts w:hint="eastAsia" w:ascii="仿宋" w:hAnsi="仿宋" w:eastAsia="仿宋" w:cs="仿宋"/>
          <w:sz w:val="24"/>
          <w:szCs w:val="24"/>
          <w:lang w:val="zh-CN"/>
        </w:rPr>
      </w:pPr>
      <w:r>
        <w:rPr>
          <w:rFonts w:hint="eastAsia" w:ascii="仿宋" w:hAnsi="仿宋" w:eastAsia="仿宋" w:cs="仿宋"/>
          <w:sz w:val="24"/>
          <w:szCs w:val="24"/>
          <w:lang w:val="en-US" w:eastAsia="zh-CN"/>
        </w:rPr>
        <w:t>10.</w:t>
      </w:r>
      <w:r>
        <w:rPr>
          <w:rFonts w:hint="eastAsia" w:ascii="仿宋" w:hAnsi="仿宋" w:eastAsia="仿宋" w:cs="仿宋"/>
          <w:sz w:val="24"/>
          <w:szCs w:val="24"/>
          <w:lang w:val="zh-CN"/>
        </w:rPr>
        <w:t>本协议书一式</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份，送采购人</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份，投标时递交</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份，联合体成员各</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份。</w:t>
      </w:r>
    </w:p>
    <w:p w14:paraId="04E68E7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lang w:val="zh-CN"/>
        </w:rPr>
      </w:pPr>
    </w:p>
    <w:p w14:paraId="110CB2D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lang w:val="zh-CN"/>
        </w:rPr>
      </w:pPr>
    </w:p>
    <w:p w14:paraId="7E568F4D">
      <w:pPr>
        <w:keepNext w:val="0"/>
        <w:keepLines w:val="0"/>
        <w:pageBreakBefore w:val="0"/>
        <w:widowControl w:val="0"/>
        <w:tabs>
          <w:tab w:val="left" w:pos="5440"/>
        </w:tabs>
        <w:kinsoku/>
        <w:wordWrap/>
        <w:overflowPunct/>
        <w:topLinePunct w:val="0"/>
        <w:autoSpaceDE/>
        <w:autoSpaceDN/>
        <w:bidi w:val="0"/>
        <w:adjustRightInd/>
        <w:snapToGrid/>
        <w:spacing w:line="440" w:lineRule="exact"/>
        <w:ind w:left="36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甲公司名称：（全称）（盖章）</w:t>
      </w:r>
      <w:r>
        <w:rPr>
          <w:rFonts w:hint="eastAsia" w:ascii="仿宋" w:hAnsi="仿宋" w:eastAsia="仿宋" w:cs="仿宋"/>
          <w:sz w:val="24"/>
          <w:szCs w:val="24"/>
          <w:lang w:val="zh-CN"/>
        </w:rPr>
        <w:tab/>
      </w:r>
      <w:r>
        <w:rPr>
          <w:rFonts w:hint="eastAsia" w:ascii="仿宋" w:hAnsi="仿宋" w:eastAsia="仿宋" w:cs="仿宋"/>
          <w:sz w:val="24"/>
          <w:szCs w:val="24"/>
          <w:lang w:val="zh-CN"/>
        </w:rPr>
        <w:t>乙公司名称：（全称）（盖章）</w:t>
      </w:r>
    </w:p>
    <w:p w14:paraId="5AA66A6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lang w:val="zh-CN"/>
        </w:rPr>
      </w:pPr>
    </w:p>
    <w:p w14:paraId="4244A28E">
      <w:pPr>
        <w:keepNext w:val="0"/>
        <w:keepLines w:val="0"/>
        <w:pageBreakBefore w:val="0"/>
        <w:widowControl w:val="0"/>
        <w:tabs>
          <w:tab w:val="left" w:pos="5380"/>
        </w:tabs>
        <w:kinsoku/>
        <w:wordWrap/>
        <w:overflowPunct/>
        <w:topLinePunct w:val="0"/>
        <w:autoSpaceDE/>
        <w:autoSpaceDN/>
        <w:bidi w:val="0"/>
        <w:adjustRightInd/>
        <w:snapToGrid/>
        <w:spacing w:line="440" w:lineRule="exact"/>
        <w:ind w:left="36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法定代表人：（签字</w:t>
      </w:r>
      <w:r>
        <w:rPr>
          <w:rFonts w:hint="eastAsia" w:ascii="仿宋" w:hAnsi="仿宋" w:eastAsia="仿宋" w:cs="仿宋"/>
          <w:sz w:val="24"/>
          <w:szCs w:val="24"/>
          <w:lang w:val="en-US" w:eastAsia="zh-CN"/>
        </w:rPr>
        <w:t>或签</w:t>
      </w:r>
      <w:r>
        <w:rPr>
          <w:rFonts w:hint="eastAsia" w:ascii="仿宋" w:hAnsi="仿宋" w:eastAsia="仿宋" w:cs="仿宋"/>
          <w:sz w:val="24"/>
          <w:szCs w:val="24"/>
          <w:lang w:val="zh-CN"/>
        </w:rPr>
        <w:t>章）</w:t>
      </w:r>
      <w:r>
        <w:rPr>
          <w:rFonts w:hint="eastAsia" w:ascii="仿宋" w:hAnsi="仿宋" w:eastAsia="仿宋" w:cs="仿宋"/>
          <w:sz w:val="24"/>
          <w:szCs w:val="24"/>
          <w:lang w:val="zh-CN"/>
        </w:rPr>
        <w:tab/>
      </w:r>
      <w:r>
        <w:rPr>
          <w:rFonts w:hint="eastAsia" w:ascii="仿宋" w:hAnsi="仿宋" w:eastAsia="仿宋" w:cs="仿宋"/>
          <w:sz w:val="24"/>
          <w:szCs w:val="24"/>
          <w:lang w:val="zh-CN"/>
        </w:rPr>
        <w:t>法定代表人：（签字</w:t>
      </w:r>
      <w:r>
        <w:rPr>
          <w:rFonts w:hint="eastAsia" w:ascii="仿宋" w:hAnsi="仿宋" w:eastAsia="仿宋" w:cs="仿宋"/>
          <w:sz w:val="24"/>
          <w:szCs w:val="24"/>
          <w:lang w:val="en-US" w:eastAsia="zh-CN"/>
        </w:rPr>
        <w:t>或签</w:t>
      </w:r>
      <w:r>
        <w:rPr>
          <w:rFonts w:hint="eastAsia" w:ascii="仿宋" w:hAnsi="仿宋" w:eastAsia="仿宋" w:cs="仿宋"/>
          <w:sz w:val="24"/>
          <w:szCs w:val="24"/>
          <w:lang w:val="zh-CN"/>
        </w:rPr>
        <w:t>章）</w:t>
      </w:r>
    </w:p>
    <w:p w14:paraId="6DB9BB8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lang w:val="zh-CN"/>
        </w:rPr>
      </w:pPr>
    </w:p>
    <w:p w14:paraId="6A7261E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lang w:val="zh-CN"/>
        </w:rPr>
      </w:pPr>
    </w:p>
    <w:p w14:paraId="3CCC6350">
      <w:pPr>
        <w:keepNext w:val="0"/>
        <w:keepLines w:val="0"/>
        <w:pageBreakBefore w:val="0"/>
        <w:widowControl w:val="0"/>
        <w:tabs>
          <w:tab w:val="left" w:pos="2020"/>
          <w:tab w:val="left" w:pos="2860"/>
          <w:tab w:val="left" w:pos="6100"/>
          <w:tab w:val="left" w:pos="7060"/>
          <w:tab w:val="left" w:pos="7900"/>
        </w:tabs>
        <w:kinsoku/>
        <w:wordWrap/>
        <w:overflowPunct/>
        <w:topLinePunct w:val="0"/>
        <w:autoSpaceDE/>
        <w:autoSpaceDN/>
        <w:bidi w:val="0"/>
        <w:adjustRightInd/>
        <w:snapToGrid/>
        <w:spacing w:line="440" w:lineRule="exact"/>
        <w:ind w:left="108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年</w:t>
      </w:r>
      <w:r>
        <w:rPr>
          <w:rFonts w:hint="eastAsia" w:ascii="仿宋" w:hAnsi="仿宋" w:eastAsia="仿宋" w:cs="仿宋"/>
          <w:sz w:val="24"/>
          <w:szCs w:val="24"/>
          <w:lang w:val="zh-CN"/>
        </w:rPr>
        <w:tab/>
      </w:r>
      <w:r>
        <w:rPr>
          <w:rFonts w:hint="eastAsia" w:ascii="仿宋" w:hAnsi="仿宋" w:eastAsia="仿宋" w:cs="仿宋"/>
          <w:sz w:val="24"/>
          <w:szCs w:val="24"/>
          <w:lang w:val="zh-CN"/>
        </w:rPr>
        <w:t>月</w:t>
      </w:r>
      <w:r>
        <w:rPr>
          <w:rFonts w:hint="eastAsia" w:ascii="仿宋" w:hAnsi="仿宋" w:eastAsia="仿宋" w:cs="仿宋"/>
          <w:sz w:val="24"/>
          <w:szCs w:val="24"/>
          <w:lang w:val="zh-CN"/>
        </w:rPr>
        <w:tab/>
      </w:r>
      <w:r>
        <w:rPr>
          <w:rFonts w:hint="eastAsia" w:ascii="仿宋" w:hAnsi="仿宋" w:eastAsia="仿宋" w:cs="仿宋"/>
          <w:sz w:val="24"/>
          <w:szCs w:val="24"/>
          <w:lang w:val="zh-CN"/>
        </w:rPr>
        <w:t>日</w:t>
      </w:r>
      <w:r>
        <w:rPr>
          <w:rFonts w:hint="eastAsia" w:ascii="仿宋" w:hAnsi="仿宋" w:eastAsia="仿宋" w:cs="仿宋"/>
          <w:sz w:val="24"/>
          <w:szCs w:val="24"/>
          <w:lang w:val="zh-CN"/>
        </w:rPr>
        <w:tab/>
      </w:r>
      <w:r>
        <w:rPr>
          <w:rFonts w:hint="eastAsia" w:ascii="仿宋" w:hAnsi="仿宋" w:eastAsia="仿宋" w:cs="仿宋"/>
          <w:sz w:val="24"/>
          <w:szCs w:val="24"/>
          <w:lang w:val="zh-CN"/>
        </w:rPr>
        <w:t>年</w:t>
      </w:r>
      <w:r>
        <w:rPr>
          <w:rFonts w:hint="eastAsia" w:ascii="仿宋" w:hAnsi="仿宋" w:eastAsia="仿宋" w:cs="仿宋"/>
          <w:sz w:val="24"/>
          <w:szCs w:val="24"/>
          <w:lang w:val="zh-CN"/>
        </w:rPr>
        <w:tab/>
      </w:r>
      <w:r>
        <w:rPr>
          <w:rFonts w:hint="eastAsia" w:ascii="仿宋" w:hAnsi="仿宋" w:eastAsia="仿宋" w:cs="仿宋"/>
          <w:sz w:val="24"/>
          <w:szCs w:val="24"/>
          <w:lang w:val="zh-CN"/>
        </w:rPr>
        <w:t>月</w:t>
      </w:r>
      <w:r>
        <w:rPr>
          <w:rFonts w:hint="eastAsia" w:ascii="仿宋" w:hAnsi="仿宋" w:eastAsia="仿宋" w:cs="仿宋"/>
          <w:sz w:val="24"/>
          <w:szCs w:val="24"/>
          <w:lang w:val="zh-CN"/>
        </w:rPr>
        <w:tab/>
      </w:r>
      <w:r>
        <w:rPr>
          <w:rFonts w:hint="eastAsia" w:ascii="仿宋" w:hAnsi="仿宋" w:eastAsia="仿宋" w:cs="仿宋"/>
          <w:sz w:val="24"/>
          <w:szCs w:val="24"/>
          <w:lang w:val="zh-CN"/>
        </w:rPr>
        <w:t>日</w:t>
      </w:r>
    </w:p>
    <w:p w14:paraId="06226589">
      <w:pPr>
        <w:spacing w:after="120"/>
        <w:ind w:firstLine="420"/>
        <w:rPr>
          <w:rFonts w:ascii="宋体" w:hAnsi="宋体" w:cs="仿宋"/>
          <w:szCs w:val="24"/>
          <w:lang w:val="zh-CN"/>
        </w:rPr>
      </w:pPr>
    </w:p>
    <w:p w14:paraId="7CEDEB05">
      <w:pPr>
        <w:spacing w:line="360" w:lineRule="auto"/>
        <w:ind w:firstLine="480"/>
        <w:rPr>
          <w:rFonts w:hint="eastAsia" w:hAnsi="宋体"/>
          <w:highlight w:val="none"/>
        </w:rPr>
      </w:pPr>
    </w:p>
    <w:p w14:paraId="322A33E2">
      <w:pPr>
        <w:rPr>
          <w:rFonts w:hint="eastAsia" w:hAnsi="宋体"/>
          <w:color w:val="auto"/>
          <w:highlight w:val="none"/>
        </w:rPr>
      </w:pPr>
    </w:p>
    <w:p w14:paraId="1BE99279"/>
    <w:p w14:paraId="405806D2"/>
    <w:p w14:paraId="14D4480E"/>
    <w:sectPr>
      <w:pgSz w:w="11906" w:h="16838"/>
      <w:pgMar w:top="1440" w:right="1474" w:bottom="1440" w:left="1588" w:header="851" w:footer="992" w:gutter="0"/>
      <w:pgNumType w:fmt="decimal"/>
      <w:cols w:space="1701"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51F1F39-1A63-44FC-BFEA-A7B14E078AC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180DAF7E-0CF2-440B-904B-958AD84BB17A}"/>
  </w:font>
  <w:font w:name="仿宋_GB2312">
    <w:altName w:val="仿宋"/>
    <w:panose1 w:val="02010609030101010101"/>
    <w:charset w:val="86"/>
    <w:family w:val="auto"/>
    <w:pitch w:val="default"/>
    <w:sig w:usb0="00000000" w:usb1="00000000" w:usb2="00000000" w:usb3="00000000" w:csb0="00040000" w:csb1="00000000"/>
    <w:embedRegular r:id="rId3" w:fontKey="{9C5CCBBD-9034-4308-863A-00B9E6FEA3A7}"/>
  </w:font>
  <w:font w:name="仿宋">
    <w:panose1 w:val="02010609060101010101"/>
    <w:charset w:val="86"/>
    <w:family w:val="auto"/>
    <w:pitch w:val="default"/>
    <w:sig w:usb0="800002BF" w:usb1="38CF7CFA" w:usb2="00000016" w:usb3="00000000" w:csb0="00040001" w:csb1="00000000"/>
    <w:embedRegular r:id="rId4" w:fontKey="{F590ADCD-306A-4DCD-A219-112546106AB2}"/>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embedRegular r:id="rId5" w:fontKey="{265A8117-7A2D-4093-B508-E72F96F43839}"/>
  </w:font>
  <w:font w:name="Verdana">
    <w:panose1 w:val="020B0604030504040204"/>
    <w:charset w:val="00"/>
    <w:family w:val="auto"/>
    <w:pitch w:val="default"/>
    <w:sig w:usb0="A00006FF" w:usb1="4000205B" w:usb2="00000010" w:usb3="00000000" w:csb0="2000019F" w:csb1="00000000"/>
  </w:font>
  <w:font w:name="楷体_GB2312">
    <w:altName w:val="楷体"/>
    <w:panose1 w:val="02010609060101010101"/>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Arial Unicode MS">
    <w:altName w:val="宋体"/>
    <w:panose1 w:val="020B0604020202020204"/>
    <w:charset w:val="86"/>
    <w:family w:val="auto"/>
    <w:pitch w:val="default"/>
    <w:sig w:usb0="00000000" w:usb1="00000000" w:usb2="0000007F" w:usb3="00000000" w:csb0="203F01FF" w:csb1="DFFF0000"/>
  </w:font>
  <w:font w:name="Kingsoft Phonetic Plain">
    <w:altName w:val="DejaVu Math TeX Gyre"/>
    <w:panose1 w:val="020B0503020202020204"/>
    <w:charset w:val="00"/>
    <w:family w:val="auto"/>
    <w:pitch w:val="default"/>
    <w:sig w:usb0="00000000" w:usb1="00000000" w:usb2="00000000" w:usb3="00000000" w:csb0="00000000" w:csb1="00000000"/>
  </w:font>
  <w:font w:name="DejaVu Math TeX Gyre">
    <w:panose1 w:val="02000503000000000000"/>
    <w:charset w:val="00"/>
    <w:family w:val="auto"/>
    <w:pitch w:val="default"/>
    <w:sig w:usb0="A10000EF" w:usb1="4201F9EE" w:usb2="02000000" w:usb3="00000000" w:csb0="60000193" w:csb1="0DD40000"/>
  </w:font>
  <w:font w:name="Helvetica">
    <w:altName w:val="Arial"/>
    <w:panose1 w:val="020B0604020202020204"/>
    <w:charset w:val="00"/>
    <w:family w:val="auto"/>
    <w:pitch w:val="default"/>
    <w:sig w:usb0="00000000" w:usb1="00000000" w:usb2="00000000" w:usb3="00000000" w:csb0="00000000" w:csb1="00000000"/>
  </w:font>
  <w:font w:name="幼圆">
    <w:panose1 w:val="02010509060101010101"/>
    <w:charset w:val="86"/>
    <w:family w:val="auto"/>
    <w:pitch w:val="default"/>
    <w:sig w:usb0="00000001" w:usb1="080E0000" w:usb2="00000000" w:usb3="00000000" w:csb0="00040000" w:csb1="00000000"/>
  </w:font>
  <w:font w:name="Helvetica-Light">
    <w:altName w:val="DejaVu Math TeX Gyre"/>
    <w:panose1 w:val="020B0503020202020204"/>
    <w:charset w:val="00"/>
    <w:family w:val="auto"/>
    <w:pitch w:val="default"/>
    <w:sig w:usb0="00000000" w:usb1="00000000" w:usb2="00000000" w:usb3="00000000" w:csb0="00000000" w:csb1="00000000"/>
  </w:font>
  <w:font w:name="Book Antiqua">
    <w:panose1 w:val="02040602050305030304"/>
    <w:charset w:val="00"/>
    <w:family w:val="auto"/>
    <w:pitch w:val="default"/>
    <w:sig w:usb0="00000287" w:usb1="00000000" w:usb2="00000000" w:usb3="00000000" w:csb0="2000009F" w:csb1="DFD70000"/>
  </w:font>
  <w:font w:name="GE Inspira San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Narrow">
    <w:panose1 w:val="020B0606020202030204"/>
    <w:charset w:val="00"/>
    <w:family w:val="swiss"/>
    <w:pitch w:val="default"/>
    <w:sig w:usb0="00000287" w:usb1="00000800" w:usb2="00000000" w:usb3="00000000" w:csb0="2000009F" w:csb1="DFD70000"/>
  </w:font>
  <w:font w:name="华文琥珀">
    <w:panose1 w:val="02010800040101010101"/>
    <w:charset w:val="86"/>
    <w:family w:val="auto"/>
    <w:pitch w:val="default"/>
    <w:sig w:usb0="00000001" w:usb1="080F0000" w:usb2="00000000" w:usb3="00000000" w:csb0="00040000" w:csb1="00000000"/>
    <w:embedRegular r:id="rId6" w:fontKey="{3E94CDA4-3C91-46FC-8900-9E38432E1C2A}"/>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C0E84">
    <w:pPr>
      <w:pStyle w:val="274"/>
      <w:framePr w:wrap="around" w:vAnchor="text" w:hAnchor="margin" w:xAlign="right" w:y="1"/>
      <w:jc w:val="center"/>
      <w:rPr>
        <w:rStyle w:val="301"/>
      </w:rPr>
    </w:pPr>
  </w:p>
  <w:p w14:paraId="6BB93D5A">
    <w:pPr>
      <w:pStyle w:val="27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94151">
    <w:pPr>
      <w:pStyle w:val="23"/>
      <w:tabs>
        <w:tab w:val="left" w:pos="3900"/>
        <w:tab w:val="center" w:pos="4960"/>
      </w:tabs>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763380">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B763380">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BDFED">
    <w:pPr>
      <w:pStyle w:val="274"/>
      <w:jc w:val="center"/>
      <w:rPr>
        <w:rStyle w:val="301"/>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484AAF">
                          <w:pPr>
                            <w:pStyle w:val="2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9484AAF">
                    <w:pPr>
                      <w:pStyle w:val="23"/>
                    </w:pPr>
                    <w:r>
                      <w:fldChar w:fldCharType="begin"/>
                    </w:r>
                    <w:r>
                      <w:instrText xml:space="preserve"> PAGE  \* MERGEFORMAT </w:instrText>
                    </w:r>
                    <w:r>
                      <w:fldChar w:fldCharType="separate"/>
                    </w:r>
                    <w:r>
                      <w:t>32</w:t>
                    </w:r>
                    <w:r>
                      <w:fldChar w:fldCharType="end"/>
                    </w:r>
                  </w:p>
                </w:txbxContent>
              </v:textbox>
            </v:shape>
          </w:pict>
        </mc:Fallback>
      </mc:AlternateContent>
    </w:r>
  </w:p>
  <w:p w14:paraId="4BC6D44B">
    <w:pPr>
      <w:pStyle w:val="27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213663A0">
      <w:pPr>
        <w:pStyle w:val="29"/>
      </w:pPr>
      <w:r>
        <w:rPr>
          <w:rStyle w:val="46"/>
          <w:sz w:val="24"/>
        </w:rPr>
        <w:footnoteRef/>
      </w:r>
      <w:r>
        <w:t xml:space="preserve"> </w:t>
      </w:r>
      <w:r>
        <w:rPr>
          <w:rFonts w:hint="eastAsia" w:ascii="宋体" w:hAnsi="宋体" w:eastAsia="宋体" w:cs="宋体"/>
          <w:color w:val="000000"/>
          <w:szCs w:val="18"/>
          <w:lang w:bidi="ar"/>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290A3">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DBC8E"/>
    <w:multiLevelType w:val="multilevel"/>
    <w:tmpl w:val="8BDDBC8E"/>
    <w:lvl w:ilvl="0" w:tentative="0">
      <w:start w:val="1"/>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CF092B84"/>
    <w:multiLevelType w:val="multilevel"/>
    <w:tmpl w:val="CF092B84"/>
    <w:lvl w:ilvl="0" w:tentative="0">
      <w:start w:val="1"/>
      <w:numFmt w:val="bullet"/>
      <w:lvlText w:val=""/>
      <w:lvlJc w:val="left"/>
      <w:pPr>
        <w:tabs>
          <w:tab w:val="left" w:pos="900"/>
        </w:tabs>
        <w:ind w:left="900" w:hanging="420"/>
      </w:pPr>
      <w:rPr>
        <w:rFonts w:ascii="Wingdings" w:hAnsi="Wingdings"/>
      </w:rPr>
    </w:lvl>
    <w:lvl w:ilvl="1" w:tentative="0">
      <w:start w:val="1"/>
      <w:numFmt w:val="bullet"/>
      <w:lvlText w:val=""/>
      <w:lvlJc w:val="left"/>
      <w:pPr>
        <w:tabs>
          <w:tab w:val="left" w:pos="0"/>
        </w:tabs>
        <w:ind w:left="1320" w:hanging="420"/>
      </w:pPr>
      <w:rPr>
        <w:rFonts w:ascii="Wingdings" w:hAnsi="Wingdings"/>
      </w:rPr>
    </w:lvl>
    <w:lvl w:ilvl="2" w:tentative="0">
      <w:start w:val="1"/>
      <w:numFmt w:val="bullet"/>
      <w:pStyle w:val="558"/>
      <w:lvlText w:val=""/>
      <w:lvlJc w:val="left"/>
      <w:pPr>
        <w:tabs>
          <w:tab w:val="left" w:pos="0"/>
        </w:tabs>
        <w:ind w:left="1740" w:hanging="420"/>
      </w:pPr>
      <w:rPr>
        <w:rFonts w:ascii="Wingdings" w:hAnsi="Wingdings"/>
      </w:rPr>
    </w:lvl>
    <w:lvl w:ilvl="3" w:tentative="0">
      <w:start w:val="1"/>
      <w:numFmt w:val="bullet"/>
      <w:lvlText w:val=""/>
      <w:lvlJc w:val="left"/>
      <w:pPr>
        <w:tabs>
          <w:tab w:val="left" w:pos="0"/>
        </w:tabs>
        <w:ind w:left="2160" w:hanging="420"/>
      </w:pPr>
      <w:rPr>
        <w:rFonts w:ascii="Wingdings" w:hAnsi="Wingdings"/>
      </w:rPr>
    </w:lvl>
    <w:lvl w:ilvl="4" w:tentative="0">
      <w:start w:val="1"/>
      <w:numFmt w:val="bullet"/>
      <w:lvlText w:val=""/>
      <w:lvlJc w:val="left"/>
      <w:pPr>
        <w:tabs>
          <w:tab w:val="left" w:pos="0"/>
        </w:tabs>
        <w:ind w:left="2580" w:hanging="420"/>
      </w:pPr>
      <w:rPr>
        <w:rFonts w:ascii="Wingdings" w:hAnsi="Wingdings"/>
      </w:rPr>
    </w:lvl>
    <w:lvl w:ilvl="5" w:tentative="0">
      <w:start w:val="1"/>
      <w:numFmt w:val="bullet"/>
      <w:lvlText w:val=""/>
      <w:lvlJc w:val="left"/>
      <w:pPr>
        <w:tabs>
          <w:tab w:val="left" w:pos="0"/>
        </w:tabs>
        <w:ind w:left="3000" w:hanging="420"/>
      </w:pPr>
      <w:rPr>
        <w:rFonts w:ascii="Wingdings" w:hAnsi="Wingdings"/>
      </w:rPr>
    </w:lvl>
    <w:lvl w:ilvl="6" w:tentative="0">
      <w:start w:val="1"/>
      <w:numFmt w:val="bullet"/>
      <w:lvlText w:val=""/>
      <w:lvlJc w:val="left"/>
      <w:pPr>
        <w:tabs>
          <w:tab w:val="left" w:pos="0"/>
        </w:tabs>
        <w:ind w:left="3420" w:hanging="420"/>
      </w:pPr>
      <w:rPr>
        <w:rFonts w:ascii="Wingdings" w:hAnsi="Wingdings"/>
      </w:rPr>
    </w:lvl>
    <w:lvl w:ilvl="7" w:tentative="0">
      <w:start w:val="1"/>
      <w:numFmt w:val="bullet"/>
      <w:lvlText w:val=""/>
      <w:lvlJc w:val="left"/>
      <w:pPr>
        <w:tabs>
          <w:tab w:val="left" w:pos="0"/>
        </w:tabs>
        <w:ind w:left="3840" w:hanging="420"/>
      </w:pPr>
      <w:rPr>
        <w:rFonts w:ascii="Wingdings" w:hAnsi="Wingdings"/>
      </w:rPr>
    </w:lvl>
    <w:lvl w:ilvl="8" w:tentative="0">
      <w:start w:val="1"/>
      <w:numFmt w:val="bullet"/>
      <w:lvlText w:val=""/>
      <w:lvlJc w:val="left"/>
      <w:pPr>
        <w:tabs>
          <w:tab w:val="left" w:pos="0"/>
        </w:tabs>
        <w:ind w:left="4260" w:hanging="420"/>
      </w:pPr>
      <w:rPr>
        <w:rFonts w:ascii="Wingdings" w:hAnsi="Wingdings"/>
      </w:rPr>
    </w:lvl>
  </w:abstractNum>
  <w:abstractNum w:abstractNumId="2">
    <w:nsid w:val="0053208E"/>
    <w:multiLevelType w:val="multilevel"/>
    <w:tmpl w:val="0053208E"/>
    <w:lvl w:ilvl="0" w:tentative="0">
      <w:start w:val="1"/>
      <w:numFmt w:val="bullet"/>
      <w:pStyle w:val="535"/>
      <w:lvlText w:val="◆"/>
      <w:lvlJc w:val="left"/>
      <w:pPr>
        <w:tabs>
          <w:tab w:val="left" w:pos="930"/>
        </w:tabs>
        <w:ind w:left="930" w:hanging="210"/>
      </w:pPr>
      <w:rPr>
        <w:rFonts w:hint="eastAsia" w:ascii="宋体" w:hAnsi="宋体"/>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3">
    <w:nsid w:val="2A579C0D"/>
    <w:multiLevelType w:val="singleLevel"/>
    <w:tmpl w:val="2A579C0D"/>
    <w:lvl w:ilvl="0" w:tentative="0">
      <w:start w:val="1"/>
      <w:numFmt w:val="decimal"/>
      <w:suff w:val="nothing"/>
      <w:lvlText w:val="(%1)"/>
      <w:lvlJc w:val="left"/>
      <w:pPr>
        <w:ind w:left="425" w:hanging="425"/>
      </w:pPr>
      <w:rPr>
        <w:rFonts w:hint="default"/>
      </w:rPr>
    </w:lvl>
  </w:abstractNum>
  <w:abstractNum w:abstractNumId="4">
    <w:nsid w:val="38E7DC60"/>
    <w:multiLevelType w:val="singleLevel"/>
    <w:tmpl w:val="38E7DC60"/>
    <w:lvl w:ilvl="0" w:tentative="0">
      <w:start w:val="4"/>
      <w:numFmt w:val="chineseCounting"/>
      <w:suff w:val="space"/>
      <w:lvlText w:val="第%1部分"/>
      <w:lvlJc w:val="left"/>
      <w:rPr>
        <w:rFonts w:hint="eastAsia"/>
      </w:rPr>
    </w:lvl>
  </w:abstractNum>
  <w:abstractNum w:abstractNumId="5">
    <w:nsid w:val="59ADCABA"/>
    <w:multiLevelType w:val="multilevel"/>
    <w:tmpl w:val="59ADCABA"/>
    <w:lvl w:ilvl="0" w:tentative="0">
      <w:start w:val="1"/>
      <w:numFmt w:val="decimal"/>
      <w:lvlText w:val="%1、"/>
      <w:lvlJc w:val="left"/>
      <w:pPr>
        <w:tabs>
          <w:tab w:val="left" w:pos="840"/>
        </w:tabs>
        <w:ind w:left="840" w:hanging="420"/>
      </w:pPr>
      <w:rPr>
        <w:rFonts w:hint="eastAsia"/>
      </w:rPr>
    </w:lvl>
    <w:lvl w:ilvl="1" w:tentative="0">
      <w:start w:val="1"/>
      <w:numFmt w:val="lowerLetter"/>
      <w:lvlText w:val="%2)"/>
      <w:lvlJc w:val="left"/>
      <w:pPr>
        <w:tabs>
          <w:tab w:val="left" w:pos="1260"/>
        </w:tabs>
        <w:ind w:left="1260" w:hanging="420"/>
      </w:pPr>
    </w:lvl>
    <w:lvl w:ilvl="2" w:tentative="0">
      <w:start w:val="1"/>
      <w:numFmt w:val="lowerRoman"/>
      <w:pStyle w:val="559"/>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6">
    <w:nsid w:val="5A241D34"/>
    <w:multiLevelType w:val="multilevel"/>
    <w:tmpl w:val="5A241D34"/>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5D4691D9"/>
    <w:multiLevelType w:val="multilevel"/>
    <w:tmpl w:val="5D4691D9"/>
    <w:lvl w:ilvl="0" w:tentative="0">
      <w:start w:val="1"/>
      <w:numFmt w:val="decimal"/>
      <w:suff w:val="nothing"/>
      <w:lvlText w:val="%1．"/>
      <w:lvlJc w:val="left"/>
      <w:pPr>
        <w:ind w:left="0" w:firstLine="400"/>
      </w:pPr>
      <w:rPr>
        <w:rFonts w:hint="default"/>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5"/>
  </w:num>
  <w:num w:numId="4">
    <w:abstractNumId w:val="4"/>
  </w:num>
  <w:num w:numId="5">
    <w:abstractNumId w:val="6"/>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TrueTypeFonts/>
  <w:saveSubsetFonts/>
  <w:bordersDoNotSurroundHeader w:val="0"/>
  <w:bordersDoNotSurroundFooter w:val="0"/>
  <w:trackRevisions w:val="1"/>
  <w:documentProtection w:enforcement="0"/>
  <w:defaultTabStop w:val="420"/>
  <w:displayHorizontalDrawingGridEvery w:val="0"/>
  <w:displayVerticalDrawingGridEvery w:val="2"/>
  <w:characterSpacingControl w:val="doNotCompress"/>
  <w:footnotePr>
    <w:footnote w:id="2"/>
    <w:footnote w:id="3"/>
  </w:footnotePr>
  <w:compat>
    <w:balanceSingleByteDoubleByteWidth/>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C5C38"/>
    <w:rsid w:val="00930024"/>
    <w:rsid w:val="00A42231"/>
    <w:rsid w:val="00A572A4"/>
    <w:rsid w:val="00DC7C1D"/>
    <w:rsid w:val="010333FC"/>
    <w:rsid w:val="01080A12"/>
    <w:rsid w:val="013C246A"/>
    <w:rsid w:val="01560C54"/>
    <w:rsid w:val="01831A44"/>
    <w:rsid w:val="01916C5A"/>
    <w:rsid w:val="019B7711"/>
    <w:rsid w:val="01D628BE"/>
    <w:rsid w:val="01F62F61"/>
    <w:rsid w:val="01F708A0"/>
    <w:rsid w:val="021F0CFD"/>
    <w:rsid w:val="02557B9E"/>
    <w:rsid w:val="025C1016"/>
    <w:rsid w:val="0266375B"/>
    <w:rsid w:val="02866093"/>
    <w:rsid w:val="02A05AB6"/>
    <w:rsid w:val="02C170CB"/>
    <w:rsid w:val="02FA438B"/>
    <w:rsid w:val="03044293"/>
    <w:rsid w:val="03232102"/>
    <w:rsid w:val="032F2286"/>
    <w:rsid w:val="0330604B"/>
    <w:rsid w:val="038A7E04"/>
    <w:rsid w:val="03AA7B5F"/>
    <w:rsid w:val="03F71ED2"/>
    <w:rsid w:val="0405748B"/>
    <w:rsid w:val="04117BDE"/>
    <w:rsid w:val="04506958"/>
    <w:rsid w:val="04844854"/>
    <w:rsid w:val="049D299F"/>
    <w:rsid w:val="04AB1DE0"/>
    <w:rsid w:val="04DF5F2E"/>
    <w:rsid w:val="04E42829"/>
    <w:rsid w:val="050732B5"/>
    <w:rsid w:val="053A3164"/>
    <w:rsid w:val="05622323"/>
    <w:rsid w:val="05750A4E"/>
    <w:rsid w:val="05C56ED2"/>
    <w:rsid w:val="05FB0A7C"/>
    <w:rsid w:val="064047AA"/>
    <w:rsid w:val="06543ADB"/>
    <w:rsid w:val="06587D46"/>
    <w:rsid w:val="06661C2F"/>
    <w:rsid w:val="068931F1"/>
    <w:rsid w:val="068E3768"/>
    <w:rsid w:val="069A088E"/>
    <w:rsid w:val="06D575E9"/>
    <w:rsid w:val="06F53E38"/>
    <w:rsid w:val="07100621"/>
    <w:rsid w:val="07A25619"/>
    <w:rsid w:val="07C51AD8"/>
    <w:rsid w:val="07CD02C0"/>
    <w:rsid w:val="07DC141F"/>
    <w:rsid w:val="07FE2B6F"/>
    <w:rsid w:val="08872B64"/>
    <w:rsid w:val="088C24AE"/>
    <w:rsid w:val="089B216C"/>
    <w:rsid w:val="08AD0ED6"/>
    <w:rsid w:val="08DC4C5E"/>
    <w:rsid w:val="09047D11"/>
    <w:rsid w:val="092E2FE0"/>
    <w:rsid w:val="092E7C7D"/>
    <w:rsid w:val="0983332C"/>
    <w:rsid w:val="09C0632E"/>
    <w:rsid w:val="0A894972"/>
    <w:rsid w:val="0AAC240E"/>
    <w:rsid w:val="0AB37C41"/>
    <w:rsid w:val="0B674587"/>
    <w:rsid w:val="0B7B3D41"/>
    <w:rsid w:val="0B8D0124"/>
    <w:rsid w:val="0BEA1661"/>
    <w:rsid w:val="0C114650"/>
    <w:rsid w:val="0C2F02BB"/>
    <w:rsid w:val="0C877CDB"/>
    <w:rsid w:val="0CB8153E"/>
    <w:rsid w:val="0CD914B5"/>
    <w:rsid w:val="0CE515B5"/>
    <w:rsid w:val="0D2E35AF"/>
    <w:rsid w:val="0D8B6C53"/>
    <w:rsid w:val="0DA6583B"/>
    <w:rsid w:val="0DB31D06"/>
    <w:rsid w:val="0DC14423"/>
    <w:rsid w:val="0DE3083D"/>
    <w:rsid w:val="0DEA0A83"/>
    <w:rsid w:val="0DEC0AAE"/>
    <w:rsid w:val="0E147C11"/>
    <w:rsid w:val="0E417312"/>
    <w:rsid w:val="0E72036A"/>
    <w:rsid w:val="0EE066EC"/>
    <w:rsid w:val="0EE3661B"/>
    <w:rsid w:val="0F44530B"/>
    <w:rsid w:val="0F501F02"/>
    <w:rsid w:val="0F6C03BE"/>
    <w:rsid w:val="0F9D2C6D"/>
    <w:rsid w:val="0FB73D2F"/>
    <w:rsid w:val="10152698"/>
    <w:rsid w:val="101822F4"/>
    <w:rsid w:val="1053164E"/>
    <w:rsid w:val="10572E1C"/>
    <w:rsid w:val="105A1740"/>
    <w:rsid w:val="106A58FD"/>
    <w:rsid w:val="106D0892"/>
    <w:rsid w:val="106F63B8"/>
    <w:rsid w:val="1071678E"/>
    <w:rsid w:val="10CA7A92"/>
    <w:rsid w:val="10D95F27"/>
    <w:rsid w:val="10E00739"/>
    <w:rsid w:val="10E70644"/>
    <w:rsid w:val="110F3F53"/>
    <w:rsid w:val="111D7BC2"/>
    <w:rsid w:val="114F7019"/>
    <w:rsid w:val="11672D49"/>
    <w:rsid w:val="1178129C"/>
    <w:rsid w:val="11B06C88"/>
    <w:rsid w:val="11C20769"/>
    <w:rsid w:val="11DC32E0"/>
    <w:rsid w:val="12502219"/>
    <w:rsid w:val="126161D4"/>
    <w:rsid w:val="127203E1"/>
    <w:rsid w:val="13283A05"/>
    <w:rsid w:val="13333E15"/>
    <w:rsid w:val="13533D6F"/>
    <w:rsid w:val="13767A5D"/>
    <w:rsid w:val="139014D4"/>
    <w:rsid w:val="13BB1914"/>
    <w:rsid w:val="13BB22A9"/>
    <w:rsid w:val="13C44C6D"/>
    <w:rsid w:val="13D1738A"/>
    <w:rsid w:val="13E40E6B"/>
    <w:rsid w:val="140C03C2"/>
    <w:rsid w:val="1430394D"/>
    <w:rsid w:val="145D29CB"/>
    <w:rsid w:val="14872992"/>
    <w:rsid w:val="14B33B02"/>
    <w:rsid w:val="14B7628A"/>
    <w:rsid w:val="153D4CD7"/>
    <w:rsid w:val="1573694A"/>
    <w:rsid w:val="15A2042A"/>
    <w:rsid w:val="15B5773F"/>
    <w:rsid w:val="15BE5406"/>
    <w:rsid w:val="15EF5E66"/>
    <w:rsid w:val="163F4A7E"/>
    <w:rsid w:val="16442095"/>
    <w:rsid w:val="167C35DD"/>
    <w:rsid w:val="16876C81"/>
    <w:rsid w:val="16CD3E38"/>
    <w:rsid w:val="16DC22CD"/>
    <w:rsid w:val="16F5338F"/>
    <w:rsid w:val="174F0CF1"/>
    <w:rsid w:val="17546308"/>
    <w:rsid w:val="177E15D6"/>
    <w:rsid w:val="1796247C"/>
    <w:rsid w:val="179761F4"/>
    <w:rsid w:val="17AA5F28"/>
    <w:rsid w:val="17B9260F"/>
    <w:rsid w:val="17E256C1"/>
    <w:rsid w:val="1816180F"/>
    <w:rsid w:val="182361E3"/>
    <w:rsid w:val="18454274"/>
    <w:rsid w:val="18833B89"/>
    <w:rsid w:val="189A41EE"/>
    <w:rsid w:val="18AB01A9"/>
    <w:rsid w:val="18D21BDA"/>
    <w:rsid w:val="199C7AF2"/>
    <w:rsid w:val="19A90B8D"/>
    <w:rsid w:val="19B331ED"/>
    <w:rsid w:val="19BD1895"/>
    <w:rsid w:val="19E52AA1"/>
    <w:rsid w:val="19E80F89"/>
    <w:rsid w:val="1A59214F"/>
    <w:rsid w:val="1A6525DA"/>
    <w:rsid w:val="1A750A6F"/>
    <w:rsid w:val="1A7D7923"/>
    <w:rsid w:val="1A8B2040"/>
    <w:rsid w:val="1A974E89"/>
    <w:rsid w:val="1AD9671D"/>
    <w:rsid w:val="1AEB6F83"/>
    <w:rsid w:val="1B100797"/>
    <w:rsid w:val="1B1E1106"/>
    <w:rsid w:val="1B3C77DE"/>
    <w:rsid w:val="1BB9498B"/>
    <w:rsid w:val="1BD87507"/>
    <w:rsid w:val="1BEC6B0F"/>
    <w:rsid w:val="1BED2887"/>
    <w:rsid w:val="1C00357A"/>
    <w:rsid w:val="1C224C26"/>
    <w:rsid w:val="1C2F4C4D"/>
    <w:rsid w:val="1C5D7A0C"/>
    <w:rsid w:val="1C6C7C4F"/>
    <w:rsid w:val="1C766D20"/>
    <w:rsid w:val="1CBF2475"/>
    <w:rsid w:val="1D0D31E0"/>
    <w:rsid w:val="1D0F2980"/>
    <w:rsid w:val="1D1502E7"/>
    <w:rsid w:val="1D483B2F"/>
    <w:rsid w:val="1D5523BA"/>
    <w:rsid w:val="1D864D41"/>
    <w:rsid w:val="1DAC0C4B"/>
    <w:rsid w:val="1DAF6046"/>
    <w:rsid w:val="1DB01DBE"/>
    <w:rsid w:val="1DE859FC"/>
    <w:rsid w:val="1DFC5003"/>
    <w:rsid w:val="1E4E1D03"/>
    <w:rsid w:val="1EC65D3D"/>
    <w:rsid w:val="1EC91827"/>
    <w:rsid w:val="1EFA362B"/>
    <w:rsid w:val="1F2111C5"/>
    <w:rsid w:val="1FC35DD8"/>
    <w:rsid w:val="1FF42436"/>
    <w:rsid w:val="202B5423"/>
    <w:rsid w:val="203171E6"/>
    <w:rsid w:val="206D7DC3"/>
    <w:rsid w:val="20717F2A"/>
    <w:rsid w:val="20791213"/>
    <w:rsid w:val="20847C5E"/>
    <w:rsid w:val="20DB53A4"/>
    <w:rsid w:val="20EC4113"/>
    <w:rsid w:val="20FB0B9A"/>
    <w:rsid w:val="212B5B86"/>
    <w:rsid w:val="212E5E1B"/>
    <w:rsid w:val="21316D8A"/>
    <w:rsid w:val="21505D92"/>
    <w:rsid w:val="21771570"/>
    <w:rsid w:val="217A1CC9"/>
    <w:rsid w:val="218477E9"/>
    <w:rsid w:val="21867A05"/>
    <w:rsid w:val="218F025D"/>
    <w:rsid w:val="21937A2C"/>
    <w:rsid w:val="21D95D87"/>
    <w:rsid w:val="21E07116"/>
    <w:rsid w:val="220A354D"/>
    <w:rsid w:val="22743D02"/>
    <w:rsid w:val="228026A7"/>
    <w:rsid w:val="22813D29"/>
    <w:rsid w:val="22833F45"/>
    <w:rsid w:val="22916662"/>
    <w:rsid w:val="229E48DB"/>
    <w:rsid w:val="22A24C73"/>
    <w:rsid w:val="22B42350"/>
    <w:rsid w:val="22C97BAA"/>
    <w:rsid w:val="22FA2933"/>
    <w:rsid w:val="2360696F"/>
    <w:rsid w:val="23693AAA"/>
    <w:rsid w:val="23965563"/>
    <w:rsid w:val="23AD1279"/>
    <w:rsid w:val="23C93BD9"/>
    <w:rsid w:val="24107A5A"/>
    <w:rsid w:val="241E2177"/>
    <w:rsid w:val="24387728"/>
    <w:rsid w:val="244B6FCF"/>
    <w:rsid w:val="245060A9"/>
    <w:rsid w:val="24506195"/>
    <w:rsid w:val="24521E21"/>
    <w:rsid w:val="24883A94"/>
    <w:rsid w:val="248F6BD1"/>
    <w:rsid w:val="24B54F43"/>
    <w:rsid w:val="24BA19B8"/>
    <w:rsid w:val="24D80578"/>
    <w:rsid w:val="250004B3"/>
    <w:rsid w:val="25056E93"/>
    <w:rsid w:val="250A1BD7"/>
    <w:rsid w:val="25537BFE"/>
    <w:rsid w:val="25867FD4"/>
    <w:rsid w:val="25D05B3C"/>
    <w:rsid w:val="25D6438C"/>
    <w:rsid w:val="25E35426"/>
    <w:rsid w:val="25FF043F"/>
    <w:rsid w:val="2601765A"/>
    <w:rsid w:val="2613738E"/>
    <w:rsid w:val="26393298"/>
    <w:rsid w:val="263A3574"/>
    <w:rsid w:val="265A2900"/>
    <w:rsid w:val="270513CC"/>
    <w:rsid w:val="27155585"/>
    <w:rsid w:val="2751016E"/>
    <w:rsid w:val="276D516D"/>
    <w:rsid w:val="2781544F"/>
    <w:rsid w:val="27A6171B"/>
    <w:rsid w:val="27F05BD9"/>
    <w:rsid w:val="28017DE6"/>
    <w:rsid w:val="284877C3"/>
    <w:rsid w:val="2873599C"/>
    <w:rsid w:val="28DE0127"/>
    <w:rsid w:val="28F843D5"/>
    <w:rsid w:val="29190238"/>
    <w:rsid w:val="297E535E"/>
    <w:rsid w:val="299566E9"/>
    <w:rsid w:val="29995DFC"/>
    <w:rsid w:val="29AA1DB7"/>
    <w:rsid w:val="2A2D1392"/>
    <w:rsid w:val="2A5F2BA2"/>
    <w:rsid w:val="2A795826"/>
    <w:rsid w:val="2AB949A8"/>
    <w:rsid w:val="2AD01929"/>
    <w:rsid w:val="2ADB3399"/>
    <w:rsid w:val="2AE15CAC"/>
    <w:rsid w:val="2AEB08D9"/>
    <w:rsid w:val="2AEB67F3"/>
    <w:rsid w:val="2B724B56"/>
    <w:rsid w:val="2B9351F9"/>
    <w:rsid w:val="2BB313F7"/>
    <w:rsid w:val="2BD575BF"/>
    <w:rsid w:val="2BEE242F"/>
    <w:rsid w:val="2BFD6B16"/>
    <w:rsid w:val="2BFF463C"/>
    <w:rsid w:val="2C41012C"/>
    <w:rsid w:val="2C464019"/>
    <w:rsid w:val="2CF15706"/>
    <w:rsid w:val="2D0F4D53"/>
    <w:rsid w:val="2D1C2FCC"/>
    <w:rsid w:val="2D2D6F87"/>
    <w:rsid w:val="2D4349FC"/>
    <w:rsid w:val="2D6904DB"/>
    <w:rsid w:val="2D6A1F89"/>
    <w:rsid w:val="2DB476A8"/>
    <w:rsid w:val="2DC9215F"/>
    <w:rsid w:val="2DF71945"/>
    <w:rsid w:val="2E0028ED"/>
    <w:rsid w:val="2E35167A"/>
    <w:rsid w:val="2E6B420B"/>
    <w:rsid w:val="2E7D5C9D"/>
    <w:rsid w:val="2F085C7D"/>
    <w:rsid w:val="2F0D0E1E"/>
    <w:rsid w:val="2F113465"/>
    <w:rsid w:val="2F1F0B51"/>
    <w:rsid w:val="2F212B1B"/>
    <w:rsid w:val="2F5922B5"/>
    <w:rsid w:val="2F827A5E"/>
    <w:rsid w:val="2F917CA1"/>
    <w:rsid w:val="2FD91648"/>
    <w:rsid w:val="2FDE6C5E"/>
    <w:rsid w:val="2FFE4C0B"/>
    <w:rsid w:val="30004E27"/>
    <w:rsid w:val="30055F99"/>
    <w:rsid w:val="301306B6"/>
    <w:rsid w:val="30405042"/>
    <w:rsid w:val="305552F1"/>
    <w:rsid w:val="309B3C13"/>
    <w:rsid w:val="30AA08EF"/>
    <w:rsid w:val="30AC4D31"/>
    <w:rsid w:val="30BF25EC"/>
    <w:rsid w:val="30E554C0"/>
    <w:rsid w:val="311F752F"/>
    <w:rsid w:val="3152520E"/>
    <w:rsid w:val="3186135C"/>
    <w:rsid w:val="31A6555A"/>
    <w:rsid w:val="31D8405B"/>
    <w:rsid w:val="321610B2"/>
    <w:rsid w:val="32180206"/>
    <w:rsid w:val="322F37A1"/>
    <w:rsid w:val="323808A8"/>
    <w:rsid w:val="32407BF8"/>
    <w:rsid w:val="324F5BF1"/>
    <w:rsid w:val="328E671A"/>
    <w:rsid w:val="32987598"/>
    <w:rsid w:val="32B20CD9"/>
    <w:rsid w:val="32CE2FBA"/>
    <w:rsid w:val="32EC3440"/>
    <w:rsid w:val="333A41AC"/>
    <w:rsid w:val="3341378C"/>
    <w:rsid w:val="33723946"/>
    <w:rsid w:val="34034EE6"/>
    <w:rsid w:val="342F0ECA"/>
    <w:rsid w:val="344C4197"/>
    <w:rsid w:val="34866C8B"/>
    <w:rsid w:val="349618B6"/>
    <w:rsid w:val="3511718E"/>
    <w:rsid w:val="3542559A"/>
    <w:rsid w:val="35691E05"/>
    <w:rsid w:val="35773495"/>
    <w:rsid w:val="35CB37E1"/>
    <w:rsid w:val="3679148F"/>
    <w:rsid w:val="368D6C2E"/>
    <w:rsid w:val="36926914"/>
    <w:rsid w:val="36C02C1A"/>
    <w:rsid w:val="36E95BF8"/>
    <w:rsid w:val="36EC2A2B"/>
    <w:rsid w:val="36FA25D0"/>
    <w:rsid w:val="37353608"/>
    <w:rsid w:val="374B6987"/>
    <w:rsid w:val="375A4E1C"/>
    <w:rsid w:val="37F039D3"/>
    <w:rsid w:val="38207A24"/>
    <w:rsid w:val="382A2A41"/>
    <w:rsid w:val="382D2531"/>
    <w:rsid w:val="38545D10"/>
    <w:rsid w:val="387737AC"/>
    <w:rsid w:val="388365F5"/>
    <w:rsid w:val="3885236D"/>
    <w:rsid w:val="38A85A29"/>
    <w:rsid w:val="38D25C01"/>
    <w:rsid w:val="38FD1F03"/>
    <w:rsid w:val="39131727"/>
    <w:rsid w:val="39461AFC"/>
    <w:rsid w:val="395A0760"/>
    <w:rsid w:val="39946F30"/>
    <w:rsid w:val="39AB5E03"/>
    <w:rsid w:val="39B73377"/>
    <w:rsid w:val="39CE1AF2"/>
    <w:rsid w:val="39E82BB3"/>
    <w:rsid w:val="39FA28E7"/>
    <w:rsid w:val="3A086DB2"/>
    <w:rsid w:val="3A1A6AE5"/>
    <w:rsid w:val="3A233BEC"/>
    <w:rsid w:val="3A345DF9"/>
    <w:rsid w:val="3A4122C4"/>
    <w:rsid w:val="3A52428A"/>
    <w:rsid w:val="3AB807D8"/>
    <w:rsid w:val="3B2319C9"/>
    <w:rsid w:val="3B392F9B"/>
    <w:rsid w:val="3B3A450A"/>
    <w:rsid w:val="3B424545"/>
    <w:rsid w:val="3B5D137F"/>
    <w:rsid w:val="3B8701AA"/>
    <w:rsid w:val="3B8C6B31"/>
    <w:rsid w:val="3BD258C9"/>
    <w:rsid w:val="3BDF1D94"/>
    <w:rsid w:val="3BF13195"/>
    <w:rsid w:val="3C157564"/>
    <w:rsid w:val="3C4228E1"/>
    <w:rsid w:val="3C6978B0"/>
    <w:rsid w:val="3C8D7A42"/>
    <w:rsid w:val="3CC1149A"/>
    <w:rsid w:val="3CD1792F"/>
    <w:rsid w:val="3CF33D49"/>
    <w:rsid w:val="3D1837B0"/>
    <w:rsid w:val="3D232155"/>
    <w:rsid w:val="3D89645B"/>
    <w:rsid w:val="3D92731B"/>
    <w:rsid w:val="3DB64D77"/>
    <w:rsid w:val="3DD84CED"/>
    <w:rsid w:val="3DFE2E5B"/>
    <w:rsid w:val="3E391C30"/>
    <w:rsid w:val="3E42660A"/>
    <w:rsid w:val="3E7A3FF6"/>
    <w:rsid w:val="3E8A248B"/>
    <w:rsid w:val="3EA31D8C"/>
    <w:rsid w:val="3EB2553E"/>
    <w:rsid w:val="3EDC25BB"/>
    <w:rsid w:val="3EE576C2"/>
    <w:rsid w:val="3EFB5137"/>
    <w:rsid w:val="3F422D66"/>
    <w:rsid w:val="3F485EA2"/>
    <w:rsid w:val="3F5D2714"/>
    <w:rsid w:val="3FA94B93"/>
    <w:rsid w:val="3FAF1FBA"/>
    <w:rsid w:val="3FC7326B"/>
    <w:rsid w:val="40117970"/>
    <w:rsid w:val="40175FA1"/>
    <w:rsid w:val="401D79C8"/>
    <w:rsid w:val="401E25E6"/>
    <w:rsid w:val="406875FD"/>
    <w:rsid w:val="40A11D0E"/>
    <w:rsid w:val="40B5371C"/>
    <w:rsid w:val="40FE0346"/>
    <w:rsid w:val="412850C7"/>
    <w:rsid w:val="41377F7D"/>
    <w:rsid w:val="414506B9"/>
    <w:rsid w:val="41AA074E"/>
    <w:rsid w:val="41D1217F"/>
    <w:rsid w:val="421E5A06"/>
    <w:rsid w:val="42204EB5"/>
    <w:rsid w:val="423C0AB9"/>
    <w:rsid w:val="42497F67"/>
    <w:rsid w:val="42894808"/>
    <w:rsid w:val="42975177"/>
    <w:rsid w:val="42A1737B"/>
    <w:rsid w:val="42B07FE6"/>
    <w:rsid w:val="43120CA1"/>
    <w:rsid w:val="43324E9F"/>
    <w:rsid w:val="43536A9C"/>
    <w:rsid w:val="435A1D77"/>
    <w:rsid w:val="43F00892"/>
    <w:rsid w:val="440C56F0"/>
    <w:rsid w:val="44462BF8"/>
    <w:rsid w:val="44735770"/>
    <w:rsid w:val="447425FE"/>
    <w:rsid w:val="447D039C"/>
    <w:rsid w:val="4493196E"/>
    <w:rsid w:val="449556E6"/>
    <w:rsid w:val="44B06EA3"/>
    <w:rsid w:val="44C2721D"/>
    <w:rsid w:val="44CD4E80"/>
    <w:rsid w:val="44F47403"/>
    <w:rsid w:val="452743CD"/>
    <w:rsid w:val="456638B8"/>
    <w:rsid w:val="45961716"/>
    <w:rsid w:val="45992FB4"/>
    <w:rsid w:val="45AF27D7"/>
    <w:rsid w:val="45EC7588"/>
    <w:rsid w:val="461D1E37"/>
    <w:rsid w:val="467F664E"/>
    <w:rsid w:val="46C6602A"/>
    <w:rsid w:val="46CC1167"/>
    <w:rsid w:val="47634EF5"/>
    <w:rsid w:val="478A34FC"/>
    <w:rsid w:val="47961EA1"/>
    <w:rsid w:val="47D97FDF"/>
    <w:rsid w:val="47DC187E"/>
    <w:rsid w:val="47F91D12"/>
    <w:rsid w:val="48627FD5"/>
    <w:rsid w:val="487B2E45"/>
    <w:rsid w:val="48853CC3"/>
    <w:rsid w:val="48AC2377"/>
    <w:rsid w:val="48C742DC"/>
    <w:rsid w:val="48F0738F"/>
    <w:rsid w:val="49097A4F"/>
    <w:rsid w:val="493D15C2"/>
    <w:rsid w:val="493F752A"/>
    <w:rsid w:val="49627B61"/>
    <w:rsid w:val="498910C9"/>
    <w:rsid w:val="49C820BA"/>
    <w:rsid w:val="4A090CB4"/>
    <w:rsid w:val="4A761B16"/>
    <w:rsid w:val="4AA24EF0"/>
    <w:rsid w:val="4AA91EEB"/>
    <w:rsid w:val="4AD52CE0"/>
    <w:rsid w:val="4ADB406F"/>
    <w:rsid w:val="4AFA62A3"/>
    <w:rsid w:val="4B015F26"/>
    <w:rsid w:val="4B094738"/>
    <w:rsid w:val="4B2B0B52"/>
    <w:rsid w:val="4B5736F5"/>
    <w:rsid w:val="4B7342A7"/>
    <w:rsid w:val="4B871B00"/>
    <w:rsid w:val="4BDA4326"/>
    <w:rsid w:val="4BED5E07"/>
    <w:rsid w:val="4BF61160"/>
    <w:rsid w:val="4C650094"/>
    <w:rsid w:val="4D123CF0"/>
    <w:rsid w:val="4D641C13"/>
    <w:rsid w:val="4D6640C3"/>
    <w:rsid w:val="4D752628"/>
    <w:rsid w:val="4DB52955"/>
    <w:rsid w:val="4E0833CC"/>
    <w:rsid w:val="4E217FEA"/>
    <w:rsid w:val="4E326C84"/>
    <w:rsid w:val="4E353A96"/>
    <w:rsid w:val="4E600B13"/>
    <w:rsid w:val="4EC866B8"/>
    <w:rsid w:val="4F0F447A"/>
    <w:rsid w:val="4F1B342E"/>
    <w:rsid w:val="4F337FD5"/>
    <w:rsid w:val="4F344C24"/>
    <w:rsid w:val="4F391364"/>
    <w:rsid w:val="4FB670DF"/>
    <w:rsid w:val="4FC5767B"/>
    <w:rsid w:val="4FEE214E"/>
    <w:rsid w:val="4FFD05E3"/>
    <w:rsid w:val="50067498"/>
    <w:rsid w:val="502A587C"/>
    <w:rsid w:val="507E3251"/>
    <w:rsid w:val="50AA6653"/>
    <w:rsid w:val="50B52C6C"/>
    <w:rsid w:val="50F54C60"/>
    <w:rsid w:val="512C2F2E"/>
    <w:rsid w:val="513F7105"/>
    <w:rsid w:val="515B0E48"/>
    <w:rsid w:val="51713037"/>
    <w:rsid w:val="518C60C3"/>
    <w:rsid w:val="51FE0D6E"/>
    <w:rsid w:val="5248023B"/>
    <w:rsid w:val="5253098E"/>
    <w:rsid w:val="52E02DF6"/>
    <w:rsid w:val="52FB3500"/>
    <w:rsid w:val="5349426B"/>
    <w:rsid w:val="534C5B09"/>
    <w:rsid w:val="535449BE"/>
    <w:rsid w:val="536568FB"/>
    <w:rsid w:val="537868FE"/>
    <w:rsid w:val="53A21BCD"/>
    <w:rsid w:val="53B84F4D"/>
    <w:rsid w:val="540E2DBF"/>
    <w:rsid w:val="54302D35"/>
    <w:rsid w:val="543A1E06"/>
    <w:rsid w:val="546D101B"/>
    <w:rsid w:val="5473772A"/>
    <w:rsid w:val="548C2AFB"/>
    <w:rsid w:val="54A92A2F"/>
    <w:rsid w:val="54B716A8"/>
    <w:rsid w:val="55012924"/>
    <w:rsid w:val="550342DA"/>
    <w:rsid w:val="55116E7A"/>
    <w:rsid w:val="55195EBF"/>
    <w:rsid w:val="551B1C37"/>
    <w:rsid w:val="553D7E00"/>
    <w:rsid w:val="55DA73FC"/>
    <w:rsid w:val="560D3B4D"/>
    <w:rsid w:val="560E354A"/>
    <w:rsid w:val="564005F4"/>
    <w:rsid w:val="56486A5C"/>
    <w:rsid w:val="564A2C07"/>
    <w:rsid w:val="56690780"/>
    <w:rsid w:val="56867584"/>
    <w:rsid w:val="56A17F1A"/>
    <w:rsid w:val="56A703F5"/>
    <w:rsid w:val="56DC53F6"/>
    <w:rsid w:val="5712706A"/>
    <w:rsid w:val="577B4C0F"/>
    <w:rsid w:val="578515EA"/>
    <w:rsid w:val="57AD27A3"/>
    <w:rsid w:val="57CE70A5"/>
    <w:rsid w:val="57EE3633"/>
    <w:rsid w:val="57FB3721"/>
    <w:rsid w:val="58112E7E"/>
    <w:rsid w:val="581B5AAA"/>
    <w:rsid w:val="585039A6"/>
    <w:rsid w:val="5881379E"/>
    <w:rsid w:val="58B70EC2"/>
    <w:rsid w:val="58B71C77"/>
    <w:rsid w:val="596671F9"/>
    <w:rsid w:val="596A4F3B"/>
    <w:rsid w:val="598C3104"/>
    <w:rsid w:val="59C06909"/>
    <w:rsid w:val="5A13112F"/>
    <w:rsid w:val="5A3532E5"/>
    <w:rsid w:val="5A6951F3"/>
    <w:rsid w:val="5AA93841"/>
    <w:rsid w:val="5AE147BC"/>
    <w:rsid w:val="5B525C87"/>
    <w:rsid w:val="5B89602D"/>
    <w:rsid w:val="5BB324C6"/>
    <w:rsid w:val="5BD81B13"/>
    <w:rsid w:val="5BF44F90"/>
    <w:rsid w:val="5BF61401"/>
    <w:rsid w:val="5BFC705E"/>
    <w:rsid w:val="5C164F06"/>
    <w:rsid w:val="5C5A1297"/>
    <w:rsid w:val="5C6905FD"/>
    <w:rsid w:val="5CC22998"/>
    <w:rsid w:val="5CDA26BA"/>
    <w:rsid w:val="5D0631CD"/>
    <w:rsid w:val="5D30024A"/>
    <w:rsid w:val="5D616655"/>
    <w:rsid w:val="5D7B6CF8"/>
    <w:rsid w:val="5D902A97"/>
    <w:rsid w:val="5DD76917"/>
    <w:rsid w:val="5DEC4171"/>
    <w:rsid w:val="5E03197C"/>
    <w:rsid w:val="5E400EEE"/>
    <w:rsid w:val="5E4A0E97"/>
    <w:rsid w:val="5E6E102A"/>
    <w:rsid w:val="5E80230A"/>
    <w:rsid w:val="5E826883"/>
    <w:rsid w:val="5E8D62B8"/>
    <w:rsid w:val="5E914D18"/>
    <w:rsid w:val="5E9A302B"/>
    <w:rsid w:val="5EE17A4E"/>
    <w:rsid w:val="5F0C3816"/>
    <w:rsid w:val="5F2738BA"/>
    <w:rsid w:val="5F3D27B5"/>
    <w:rsid w:val="5F7A57AC"/>
    <w:rsid w:val="5FA56CCD"/>
    <w:rsid w:val="5FBC4017"/>
    <w:rsid w:val="5FE83CF1"/>
    <w:rsid w:val="5FF376CE"/>
    <w:rsid w:val="60031C46"/>
    <w:rsid w:val="603B4F3C"/>
    <w:rsid w:val="60634408"/>
    <w:rsid w:val="6065020A"/>
    <w:rsid w:val="607D5184"/>
    <w:rsid w:val="608B4978"/>
    <w:rsid w:val="609803EB"/>
    <w:rsid w:val="60A01243"/>
    <w:rsid w:val="60A56859"/>
    <w:rsid w:val="60B129A1"/>
    <w:rsid w:val="60DA29A7"/>
    <w:rsid w:val="61181721"/>
    <w:rsid w:val="613D2F35"/>
    <w:rsid w:val="616404C2"/>
    <w:rsid w:val="620F6680"/>
    <w:rsid w:val="6244318A"/>
    <w:rsid w:val="624C6271"/>
    <w:rsid w:val="62507E03"/>
    <w:rsid w:val="6280757E"/>
    <w:rsid w:val="62BF2CDF"/>
    <w:rsid w:val="632F68AE"/>
    <w:rsid w:val="63493E13"/>
    <w:rsid w:val="635A706D"/>
    <w:rsid w:val="636B6048"/>
    <w:rsid w:val="636E5628"/>
    <w:rsid w:val="63716EC6"/>
    <w:rsid w:val="638B1822"/>
    <w:rsid w:val="63B514A9"/>
    <w:rsid w:val="644545DB"/>
    <w:rsid w:val="6477050C"/>
    <w:rsid w:val="6481138B"/>
    <w:rsid w:val="64B27796"/>
    <w:rsid w:val="64CC2606"/>
    <w:rsid w:val="64F1206D"/>
    <w:rsid w:val="65295CAB"/>
    <w:rsid w:val="652C7549"/>
    <w:rsid w:val="655351C1"/>
    <w:rsid w:val="656729B8"/>
    <w:rsid w:val="656B62C3"/>
    <w:rsid w:val="657B5DDA"/>
    <w:rsid w:val="65847385"/>
    <w:rsid w:val="65CB4FB4"/>
    <w:rsid w:val="65FA13F5"/>
    <w:rsid w:val="661B499D"/>
    <w:rsid w:val="66552ACF"/>
    <w:rsid w:val="665E1984"/>
    <w:rsid w:val="66AF3F8D"/>
    <w:rsid w:val="66B07D06"/>
    <w:rsid w:val="66B5531C"/>
    <w:rsid w:val="66CD4D5B"/>
    <w:rsid w:val="66D57641"/>
    <w:rsid w:val="66D71736"/>
    <w:rsid w:val="66E77BCB"/>
    <w:rsid w:val="67095D94"/>
    <w:rsid w:val="67206C39"/>
    <w:rsid w:val="675D1C3B"/>
    <w:rsid w:val="67825B46"/>
    <w:rsid w:val="67871780"/>
    <w:rsid w:val="67AE693B"/>
    <w:rsid w:val="67B4774E"/>
    <w:rsid w:val="67E20EE9"/>
    <w:rsid w:val="683706DE"/>
    <w:rsid w:val="68692862"/>
    <w:rsid w:val="688D47A2"/>
    <w:rsid w:val="689F36C2"/>
    <w:rsid w:val="68C161FA"/>
    <w:rsid w:val="68CC6004"/>
    <w:rsid w:val="68EA5751"/>
    <w:rsid w:val="690F51B7"/>
    <w:rsid w:val="69284CD5"/>
    <w:rsid w:val="69974C19"/>
    <w:rsid w:val="699B2EEF"/>
    <w:rsid w:val="69F34AD9"/>
    <w:rsid w:val="6A6B28C1"/>
    <w:rsid w:val="6A99742E"/>
    <w:rsid w:val="6AA13425"/>
    <w:rsid w:val="6AD064F1"/>
    <w:rsid w:val="6B07083C"/>
    <w:rsid w:val="6B2C2051"/>
    <w:rsid w:val="6B39476E"/>
    <w:rsid w:val="6B4A0729"/>
    <w:rsid w:val="6B7439F8"/>
    <w:rsid w:val="6BE02E3B"/>
    <w:rsid w:val="6BEC23D9"/>
    <w:rsid w:val="6C0E5BFA"/>
    <w:rsid w:val="6C133210"/>
    <w:rsid w:val="6C3A69EF"/>
    <w:rsid w:val="6C9216F8"/>
    <w:rsid w:val="6CA200F0"/>
    <w:rsid w:val="6CAF0E12"/>
    <w:rsid w:val="6CC462B9"/>
    <w:rsid w:val="6CCE0EE6"/>
    <w:rsid w:val="6CEB7CE9"/>
    <w:rsid w:val="6DAA1953"/>
    <w:rsid w:val="6DBC44AB"/>
    <w:rsid w:val="6E7E5AC4"/>
    <w:rsid w:val="6E8126B3"/>
    <w:rsid w:val="6EE449F0"/>
    <w:rsid w:val="6F077FF4"/>
    <w:rsid w:val="6F1A2584"/>
    <w:rsid w:val="6F1A48B6"/>
    <w:rsid w:val="6F297F33"/>
    <w:rsid w:val="6F9208F0"/>
    <w:rsid w:val="6F946416"/>
    <w:rsid w:val="6FB97C2B"/>
    <w:rsid w:val="6FCF3F44"/>
    <w:rsid w:val="6FD40F09"/>
    <w:rsid w:val="70480FAF"/>
    <w:rsid w:val="705B5186"/>
    <w:rsid w:val="706109EE"/>
    <w:rsid w:val="706933FF"/>
    <w:rsid w:val="70B76860"/>
    <w:rsid w:val="71213CDA"/>
    <w:rsid w:val="714F4CEB"/>
    <w:rsid w:val="715E30A1"/>
    <w:rsid w:val="7162317B"/>
    <w:rsid w:val="718D75C1"/>
    <w:rsid w:val="71D50007"/>
    <w:rsid w:val="71F56214"/>
    <w:rsid w:val="71F94C57"/>
    <w:rsid w:val="72165809"/>
    <w:rsid w:val="7237734E"/>
    <w:rsid w:val="72563E57"/>
    <w:rsid w:val="728A58AF"/>
    <w:rsid w:val="728E35F1"/>
    <w:rsid w:val="730613D9"/>
    <w:rsid w:val="7318735E"/>
    <w:rsid w:val="735D4921"/>
    <w:rsid w:val="738D38A8"/>
    <w:rsid w:val="73B3501B"/>
    <w:rsid w:val="73D2266C"/>
    <w:rsid w:val="73D239B1"/>
    <w:rsid w:val="74161AF0"/>
    <w:rsid w:val="7430160F"/>
    <w:rsid w:val="744228E5"/>
    <w:rsid w:val="745B5755"/>
    <w:rsid w:val="745F6F38"/>
    <w:rsid w:val="74616FE7"/>
    <w:rsid w:val="749D3FBF"/>
    <w:rsid w:val="74A40EAA"/>
    <w:rsid w:val="74AC4202"/>
    <w:rsid w:val="74B179C8"/>
    <w:rsid w:val="7513602F"/>
    <w:rsid w:val="751C3136"/>
    <w:rsid w:val="75466405"/>
    <w:rsid w:val="756920F3"/>
    <w:rsid w:val="75AE5A84"/>
    <w:rsid w:val="75BE243F"/>
    <w:rsid w:val="76147094"/>
    <w:rsid w:val="76165DD7"/>
    <w:rsid w:val="76516E0F"/>
    <w:rsid w:val="76690E58"/>
    <w:rsid w:val="766D176F"/>
    <w:rsid w:val="767B31BB"/>
    <w:rsid w:val="76C54D62"/>
    <w:rsid w:val="76CE0460"/>
    <w:rsid w:val="76DB2B7D"/>
    <w:rsid w:val="76EB2CD4"/>
    <w:rsid w:val="771A18F7"/>
    <w:rsid w:val="77657D84"/>
    <w:rsid w:val="777D1E86"/>
    <w:rsid w:val="77955421"/>
    <w:rsid w:val="77A45665"/>
    <w:rsid w:val="780C1FAA"/>
    <w:rsid w:val="7818598B"/>
    <w:rsid w:val="78362E17"/>
    <w:rsid w:val="787C2949"/>
    <w:rsid w:val="78CA10FB"/>
    <w:rsid w:val="78DB68F6"/>
    <w:rsid w:val="78DE4104"/>
    <w:rsid w:val="78E4576E"/>
    <w:rsid w:val="792425B9"/>
    <w:rsid w:val="792720A9"/>
    <w:rsid w:val="79671949"/>
    <w:rsid w:val="797572B9"/>
    <w:rsid w:val="79CB512B"/>
    <w:rsid w:val="79CD0EA3"/>
    <w:rsid w:val="79CD2C51"/>
    <w:rsid w:val="79DA7324"/>
    <w:rsid w:val="7A0F14BB"/>
    <w:rsid w:val="7A205476"/>
    <w:rsid w:val="7A2D36EF"/>
    <w:rsid w:val="7A746966"/>
    <w:rsid w:val="7A811C8D"/>
    <w:rsid w:val="7AAE0A34"/>
    <w:rsid w:val="7AAF05A8"/>
    <w:rsid w:val="7AB7745D"/>
    <w:rsid w:val="7AE364A4"/>
    <w:rsid w:val="7AE42B0A"/>
    <w:rsid w:val="7AEF309B"/>
    <w:rsid w:val="7B0F1047"/>
    <w:rsid w:val="7B14665D"/>
    <w:rsid w:val="7B1B79EC"/>
    <w:rsid w:val="7B2965AD"/>
    <w:rsid w:val="7B4654F6"/>
    <w:rsid w:val="7B5353D8"/>
    <w:rsid w:val="7B6018A2"/>
    <w:rsid w:val="7B7A2964"/>
    <w:rsid w:val="7B931C78"/>
    <w:rsid w:val="7C4D25C5"/>
    <w:rsid w:val="7C5A4544"/>
    <w:rsid w:val="7C725D31"/>
    <w:rsid w:val="7C9E437D"/>
    <w:rsid w:val="7CCA16C9"/>
    <w:rsid w:val="7CD10CAA"/>
    <w:rsid w:val="7D2C4132"/>
    <w:rsid w:val="7D2F6E7D"/>
    <w:rsid w:val="7D447155"/>
    <w:rsid w:val="7DAE4B47"/>
    <w:rsid w:val="7DB3215D"/>
    <w:rsid w:val="7DFC1D56"/>
    <w:rsid w:val="7E1B3C67"/>
    <w:rsid w:val="7E861620"/>
    <w:rsid w:val="7E997AC0"/>
    <w:rsid w:val="7EB97C47"/>
    <w:rsid w:val="7EEF5417"/>
    <w:rsid w:val="7F037115"/>
    <w:rsid w:val="7F182BC0"/>
    <w:rsid w:val="7F3B240A"/>
    <w:rsid w:val="7F3D3AAE"/>
    <w:rsid w:val="7F8E4C30"/>
    <w:rsid w:val="7FA75CF2"/>
    <w:rsid w:val="7FDF7F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qFormat="1" w:uiPriority="99" w:semiHidden="0" w:name="envelope return"/>
    <w:lsdException w:qFormat="1" w:uiPriority="99" w:semiHidden="0" w:name="footnote reference"/>
    <w:lsdException w:qFormat="1" w:uiPriority="99"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default" w:ascii="Times New Roman" w:hAnsi="Times New Roman" w:eastAsia="Times New Roman" w:cs="Times New Roman"/>
      <w:sz w:val="24"/>
      <w:szCs w:val="24"/>
      <w:lang w:val="en-US" w:eastAsia="zh-CN" w:bidi="ar-SA"/>
    </w:rPr>
  </w:style>
  <w:style w:type="paragraph" w:styleId="2">
    <w:name w:val="heading 1"/>
    <w:basedOn w:val="1"/>
    <w:next w:val="1"/>
    <w:link w:val="86"/>
    <w:qFormat/>
    <w:uiPriority w:val="9"/>
    <w:pPr>
      <w:keepNext/>
      <w:keepLines/>
      <w:spacing w:before="480" w:after="200"/>
      <w:outlineLvl w:val="0"/>
    </w:pPr>
    <w:rPr>
      <w:rFonts w:ascii="Arial" w:hAnsi="Arial" w:eastAsia="Arial" w:cs="Arial"/>
      <w:sz w:val="40"/>
      <w:szCs w:val="40"/>
    </w:rPr>
  </w:style>
  <w:style w:type="paragraph" w:styleId="3">
    <w:name w:val="heading 2"/>
    <w:basedOn w:val="1"/>
    <w:next w:val="1"/>
    <w:unhideWhenUsed/>
    <w:qFormat/>
    <w:uiPriority w:val="9"/>
    <w:pPr>
      <w:keepNext/>
      <w:keepLines/>
      <w:spacing w:before="360" w:after="200"/>
      <w:outlineLvl w:val="1"/>
    </w:pPr>
    <w:rPr>
      <w:rFonts w:ascii="Arial" w:hAnsi="Arial" w:eastAsia="Arial" w:cs="Arial"/>
      <w:sz w:val="34"/>
    </w:rPr>
  </w:style>
  <w:style w:type="paragraph" w:styleId="4">
    <w:name w:val="heading 3"/>
    <w:basedOn w:val="1"/>
    <w:next w:val="1"/>
    <w:unhideWhenUsed/>
    <w:qFormat/>
    <w:uiPriority w:val="9"/>
    <w:pPr>
      <w:keepNext/>
      <w:keepLines/>
      <w:spacing w:before="320" w:after="200"/>
      <w:outlineLvl w:val="2"/>
    </w:pPr>
    <w:rPr>
      <w:rFonts w:ascii="Arial" w:hAnsi="Arial" w:eastAsia="Arial" w:cs="Arial"/>
      <w:sz w:val="30"/>
      <w:szCs w:val="30"/>
    </w:rPr>
  </w:style>
  <w:style w:type="paragraph" w:styleId="5">
    <w:name w:val="heading 4"/>
    <w:basedOn w:val="1"/>
    <w:next w:val="1"/>
    <w:unhideWhenUsed/>
    <w:qFormat/>
    <w:uiPriority w:val="9"/>
    <w:pPr>
      <w:keepNext/>
      <w:keepLines/>
      <w:spacing w:before="320" w:after="200"/>
      <w:outlineLvl w:val="3"/>
    </w:pPr>
    <w:rPr>
      <w:rFonts w:ascii="Arial" w:hAnsi="Arial" w:eastAsia="Arial" w:cs="Arial"/>
      <w:b/>
      <w:bCs/>
      <w:sz w:val="26"/>
      <w:szCs w:val="26"/>
    </w:rPr>
  </w:style>
  <w:style w:type="paragraph" w:styleId="6">
    <w:name w:val="heading 5"/>
    <w:basedOn w:val="1"/>
    <w:next w:val="1"/>
    <w:link w:val="87"/>
    <w:unhideWhenUsed/>
    <w:qFormat/>
    <w:uiPriority w:val="9"/>
    <w:pPr>
      <w:keepNext/>
      <w:keepLines/>
      <w:spacing w:before="320" w:after="200"/>
      <w:outlineLvl w:val="4"/>
    </w:pPr>
    <w:rPr>
      <w:rFonts w:ascii="Arial" w:hAnsi="Arial" w:eastAsia="Arial" w:cs="Arial"/>
      <w:b/>
      <w:bCs/>
    </w:rPr>
  </w:style>
  <w:style w:type="paragraph" w:styleId="7">
    <w:name w:val="heading 6"/>
    <w:basedOn w:val="1"/>
    <w:next w:val="1"/>
    <w:link w:val="88"/>
    <w:unhideWhenUsed/>
    <w:qFormat/>
    <w:uiPriority w:val="9"/>
    <w:pPr>
      <w:keepNext/>
      <w:keepLines/>
      <w:spacing w:before="320" w:after="200"/>
      <w:outlineLvl w:val="5"/>
    </w:pPr>
    <w:rPr>
      <w:rFonts w:ascii="Arial" w:hAnsi="Arial" w:eastAsia="Arial" w:cs="Arial"/>
      <w:b/>
      <w:bCs/>
      <w:sz w:val="22"/>
      <w:szCs w:val="22"/>
    </w:rPr>
  </w:style>
  <w:style w:type="paragraph" w:styleId="8">
    <w:name w:val="heading 7"/>
    <w:basedOn w:val="1"/>
    <w:next w:val="1"/>
    <w:link w:val="89"/>
    <w:unhideWhenUsed/>
    <w:qFormat/>
    <w:uiPriority w:val="9"/>
    <w:pPr>
      <w:keepNext/>
      <w:keepLines/>
      <w:spacing w:before="320" w:after="200"/>
      <w:outlineLvl w:val="6"/>
    </w:pPr>
    <w:rPr>
      <w:rFonts w:ascii="Arial" w:hAnsi="Arial" w:eastAsia="Arial" w:cs="Arial"/>
      <w:b/>
      <w:bCs/>
      <w:i/>
      <w:iCs/>
      <w:sz w:val="22"/>
      <w:szCs w:val="22"/>
    </w:rPr>
  </w:style>
  <w:style w:type="paragraph" w:styleId="9">
    <w:name w:val="heading 8"/>
    <w:basedOn w:val="1"/>
    <w:next w:val="1"/>
    <w:link w:val="90"/>
    <w:unhideWhenUsed/>
    <w:qFormat/>
    <w:uiPriority w:val="9"/>
    <w:pPr>
      <w:keepNext/>
      <w:keepLines/>
      <w:spacing w:before="320" w:after="200"/>
      <w:outlineLvl w:val="7"/>
    </w:pPr>
    <w:rPr>
      <w:rFonts w:ascii="Arial" w:hAnsi="Arial" w:eastAsia="Arial" w:cs="Arial"/>
      <w:i/>
      <w:iCs/>
      <w:sz w:val="22"/>
      <w:szCs w:val="22"/>
    </w:rPr>
  </w:style>
  <w:style w:type="paragraph" w:styleId="10">
    <w:name w:val="heading 9"/>
    <w:basedOn w:val="1"/>
    <w:next w:val="1"/>
    <w:link w:val="91"/>
    <w:unhideWhenUsed/>
    <w:qFormat/>
    <w:uiPriority w:val="9"/>
    <w:pPr>
      <w:keepNext/>
      <w:keepLines/>
      <w:spacing w:before="320" w:after="200"/>
      <w:outlineLvl w:val="8"/>
    </w:pPr>
    <w:rPr>
      <w:rFonts w:ascii="Arial" w:hAnsi="Arial" w:eastAsia="Arial" w:cs="Arial"/>
      <w:i/>
      <w:iCs/>
      <w:sz w:val="21"/>
      <w:szCs w:val="21"/>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after="57"/>
      <w:ind w:left="1701"/>
    </w:pPr>
  </w:style>
  <w:style w:type="paragraph" w:styleId="12">
    <w:name w:val="Normal Indent"/>
    <w:basedOn w:val="1"/>
    <w:qFormat/>
    <w:uiPriority w:val="0"/>
    <w:pPr>
      <w:ind w:firstLine="420"/>
    </w:pPr>
    <w:rPr>
      <w:rFonts w:ascii="宋体"/>
      <w:color w:val="000000"/>
      <w:sz w:val="24"/>
      <w:szCs w:val="20"/>
    </w:rPr>
  </w:style>
  <w:style w:type="paragraph" w:styleId="13">
    <w:name w:val="caption"/>
    <w:basedOn w:val="1"/>
    <w:next w:val="1"/>
    <w:semiHidden/>
    <w:unhideWhenUsed/>
    <w:qFormat/>
    <w:uiPriority w:val="35"/>
    <w:pPr>
      <w:spacing w:line="276" w:lineRule="auto"/>
    </w:pPr>
    <w:rPr>
      <w:b/>
      <w:bCs/>
      <w:color w:val="4F81BD" w:themeColor="accent1"/>
      <w:sz w:val="18"/>
      <w:szCs w:val="18"/>
      <w14:textFill>
        <w14:solidFill>
          <w14:schemeClr w14:val="accent1"/>
        </w14:solidFill>
      </w14:textFill>
    </w:rPr>
  </w:style>
  <w:style w:type="paragraph" w:styleId="14">
    <w:name w:val="annotation text"/>
    <w:basedOn w:val="1"/>
    <w:link w:val="640"/>
    <w:semiHidden/>
    <w:unhideWhenUsed/>
    <w:qFormat/>
    <w:uiPriority w:val="99"/>
    <w:pPr>
      <w:jc w:val="left"/>
    </w:pPr>
  </w:style>
  <w:style w:type="paragraph" w:styleId="15">
    <w:name w:val="Body Text"/>
    <w:basedOn w:val="1"/>
    <w:next w:val="1"/>
    <w:qFormat/>
    <w:uiPriority w:val="0"/>
    <w:pPr>
      <w:ind w:firstLine="482"/>
      <w:jc w:val="center"/>
    </w:pPr>
    <w:rPr>
      <w:rFonts w:hAnsi="宋体"/>
      <w:color w:val="000000"/>
      <w:lang w:val="zh-CN"/>
    </w:rPr>
  </w:style>
  <w:style w:type="paragraph" w:styleId="16">
    <w:name w:val="Body Text Indent"/>
    <w:basedOn w:val="1"/>
    <w:qFormat/>
    <w:uiPriority w:val="0"/>
    <w:pPr>
      <w:ind w:firstLine="225"/>
    </w:pPr>
    <w:rPr>
      <w:rFonts w:ascii="仿宋_GB2312" w:eastAsia="仿宋_GB2312"/>
      <w:sz w:val="32"/>
    </w:rPr>
  </w:style>
  <w:style w:type="paragraph" w:styleId="17">
    <w:name w:val="toc 5"/>
    <w:basedOn w:val="1"/>
    <w:next w:val="1"/>
    <w:unhideWhenUsed/>
    <w:qFormat/>
    <w:uiPriority w:val="39"/>
    <w:pPr>
      <w:spacing w:after="57"/>
      <w:ind w:left="1134"/>
    </w:pPr>
  </w:style>
  <w:style w:type="paragraph" w:styleId="18">
    <w:name w:val="toc 3"/>
    <w:basedOn w:val="1"/>
    <w:next w:val="1"/>
    <w:unhideWhenUsed/>
    <w:qFormat/>
    <w:uiPriority w:val="39"/>
    <w:pPr>
      <w:spacing w:after="57"/>
      <w:ind w:left="567"/>
    </w:pPr>
  </w:style>
  <w:style w:type="paragraph" w:styleId="19">
    <w:name w:val="Plain Text"/>
    <w:basedOn w:val="1"/>
    <w:qFormat/>
    <w:uiPriority w:val="0"/>
    <w:rPr>
      <w:rFonts w:ascii="宋体" w:cs="Courier New"/>
    </w:rPr>
  </w:style>
  <w:style w:type="paragraph" w:styleId="20">
    <w:name w:val="toc 8"/>
    <w:basedOn w:val="1"/>
    <w:next w:val="1"/>
    <w:unhideWhenUsed/>
    <w:qFormat/>
    <w:uiPriority w:val="39"/>
    <w:pPr>
      <w:spacing w:after="57"/>
      <w:ind w:left="1984"/>
    </w:pPr>
  </w:style>
  <w:style w:type="paragraph" w:styleId="21">
    <w:name w:val="endnote text"/>
    <w:basedOn w:val="1"/>
    <w:link w:val="226"/>
    <w:semiHidden/>
    <w:unhideWhenUsed/>
    <w:qFormat/>
    <w:uiPriority w:val="99"/>
    <w:rPr>
      <w:sz w:val="20"/>
    </w:rPr>
  </w:style>
  <w:style w:type="paragraph" w:styleId="22">
    <w:name w:val="Balloon Text"/>
    <w:basedOn w:val="1"/>
    <w:link w:val="639"/>
    <w:semiHidden/>
    <w:unhideWhenUsed/>
    <w:qFormat/>
    <w:uiPriority w:val="99"/>
    <w:rPr>
      <w:sz w:val="18"/>
      <w:szCs w:val="18"/>
    </w:rPr>
  </w:style>
  <w:style w:type="paragraph" w:styleId="23">
    <w:name w:val="footer"/>
    <w:basedOn w:val="1"/>
    <w:link w:val="99"/>
    <w:unhideWhenUsed/>
    <w:qFormat/>
    <w:uiPriority w:val="99"/>
    <w:pPr>
      <w:tabs>
        <w:tab w:val="center" w:pos="7143"/>
        <w:tab w:val="right" w:pos="14287"/>
      </w:tabs>
    </w:pPr>
  </w:style>
  <w:style w:type="paragraph" w:styleId="24">
    <w:name w:val="envelope return"/>
    <w:basedOn w:val="1"/>
    <w:unhideWhenUsed/>
    <w:qFormat/>
    <w:uiPriority w:val="99"/>
    <w:rPr>
      <w:rFonts w:ascii="Arial" w:hAnsi="Arial"/>
    </w:rPr>
  </w:style>
  <w:style w:type="paragraph" w:styleId="25">
    <w:name w:val="header"/>
    <w:basedOn w:val="1"/>
    <w:unhideWhenUsed/>
    <w:qFormat/>
    <w:uiPriority w:val="99"/>
    <w:pPr>
      <w:tabs>
        <w:tab w:val="center" w:pos="7143"/>
        <w:tab w:val="right" w:pos="14287"/>
      </w:tabs>
    </w:pPr>
  </w:style>
  <w:style w:type="paragraph" w:styleId="26">
    <w:name w:val="toc 1"/>
    <w:basedOn w:val="1"/>
    <w:next w:val="1"/>
    <w:unhideWhenUsed/>
    <w:qFormat/>
    <w:uiPriority w:val="39"/>
    <w:pPr>
      <w:spacing w:after="57"/>
    </w:pPr>
  </w:style>
  <w:style w:type="paragraph" w:styleId="27">
    <w:name w:val="toc 4"/>
    <w:basedOn w:val="1"/>
    <w:next w:val="1"/>
    <w:unhideWhenUsed/>
    <w:qFormat/>
    <w:uiPriority w:val="39"/>
    <w:pPr>
      <w:spacing w:after="57"/>
      <w:ind w:left="850"/>
    </w:pPr>
  </w:style>
  <w:style w:type="paragraph" w:styleId="28">
    <w:name w:val="Subtitle"/>
    <w:basedOn w:val="1"/>
    <w:next w:val="1"/>
    <w:link w:val="94"/>
    <w:qFormat/>
    <w:uiPriority w:val="11"/>
    <w:pPr>
      <w:spacing w:before="200" w:after="200"/>
    </w:pPr>
  </w:style>
  <w:style w:type="paragraph" w:styleId="29">
    <w:name w:val="footnote text"/>
    <w:basedOn w:val="1"/>
    <w:link w:val="225"/>
    <w:semiHidden/>
    <w:unhideWhenUsed/>
    <w:qFormat/>
    <w:uiPriority w:val="99"/>
    <w:pPr>
      <w:spacing w:after="40"/>
    </w:pPr>
    <w:rPr>
      <w:sz w:val="18"/>
    </w:rPr>
  </w:style>
  <w:style w:type="paragraph" w:styleId="30">
    <w:name w:val="toc 6"/>
    <w:basedOn w:val="1"/>
    <w:next w:val="1"/>
    <w:unhideWhenUsed/>
    <w:qFormat/>
    <w:uiPriority w:val="39"/>
    <w:pPr>
      <w:spacing w:after="57"/>
      <w:ind w:left="1417"/>
    </w:pPr>
  </w:style>
  <w:style w:type="paragraph" w:styleId="31">
    <w:name w:val="table of figures"/>
    <w:basedOn w:val="1"/>
    <w:next w:val="1"/>
    <w:unhideWhenUsed/>
    <w:qFormat/>
    <w:uiPriority w:val="99"/>
  </w:style>
  <w:style w:type="paragraph" w:styleId="32">
    <w:name w:val="toc 2"/>
    <w:basedOn w:val="1"/>
    <w:next w:val="1"/>
    <w:unhideWhenUsed/>
    <w:qFormat/>
    <w:uiPriority w:val="39"/>
    <w:pPr>
      <w:spacing w:after="57"/>
      <w:ind w:left="283"/>
    </w:pPr>
  </w:style>
  <w:style w:type="paragraph" w:styleId="33">
    <w:name w:val="toc 9"/>
    <w:basedOn w:val="1"/>
    <w:next w:val="1"/>
    <w:unhideWhenUsed/>
    <w:qFormat/>
    <w:uiPriority w:val="39"/>
    <w:pPr>
      <w:spacing w:after="57"/>
      <w:ind w:left="2268"/>
    </w:pPr>
  </w:style>
  <w:style w:type="paragraph" w:styleId="34">
    <w:name w:val="Normal (Web)"/>
    <w:basedOn w:val="1"/>
    <w:semiHidden/>
    <w:unhideWhenUsed/>
    <w:qFormat/>
    <w:uiPriority w:val="99"/>
    <w:pPr>
      <w:spacing w:beforeAutospacing="1" w:afterAutospacing="1"/>
      <w:jc w:val="left"/>
    </w:pPr>
  </w:style>
  <w:style w:type="paragraph" w:styleId="35">
    <w:name w:val="Title"/>
    <w:basedOn w:val="1"/>
    <w:next w:val="1"/>
    <w:link w:val="93"/>
    <w:qFormat/>
    <w:uiPriority w:val="10"/>
    <w:pPr>
      <w:spacing w:before="300" w:after="200"/>
      <w:contextualSpacing/>
    </w:pPr>
    <w:rPr>
      <w:sz w:val="48"/>
      <w:szCs w:val="48"/>
    </w:rPr>
  </w:style>
  <w:style w:type="paragraph" w:styleId="36">
    <w:name w:val="annotation subject"/>
    <w:basedOn w:val="14"/>
    <w:next w:val="14"/>
    <w:link w:val="641"/>
    <w:semiHidden/>
    <w:unhideWhenUsed/>
    <w:qFormat/>
    <w:uiPriority w:val="99"/>
    <w:rPr>
      <w:b/>
      <w:bCs/>
    </w:rPr>
  </w:style>
  <w:style w:type="paragraph" w:styleId="37">
    <w:name w:val="Body Text First Indent 2"/>
    <w:basedOn w:val="16"/>
    <w:qFormat/>
    <w:uiPriority w:val="0"/>
    <w:pPr>
      <w:spacing w:after="120"/>
      <w:ind w:left="200" w:firstLine="200"/>
    </w:pPr>
    <w:rPr>
      <w:rFonts w:ascii="Times New Roman"/>
      <w:sz w:val="24"/>
    </w:rPr>
  </w:style>
  <w:style w:type="table" w:styleId="39">
    <w:name w:val="Table Gri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1">
    <w:name w:val="endnote reference"/>
    <w:semiHidden/>
    <w:unhideWhenUsed/>
    <w:qFormat/>
    <w:uiPriority w:val="99"/>
    <w:rPr>
      <w:vertAlign w:val="superscript"/>
    </w:rPr>
  </w:style>
  <w:style w:type="character" w:styleId="42">
    <w:name w:val="page number"/>
    <w:qFormat/>
    <w:uiPriority w:val="0"/>
  </w:style>
  <w:style w:type="character" w:styleId="43">
    <w:name w:val="Emphasis"/>
    <w:qFormat/>
    <w:uiPriority w:val="0"/>
    <w:rPr>
      <w:i/>
    </w:rPr>
  </w:style>
  <w:style w:type="character" w:styleId="44">
    <w:name w:val="Hyperlink"/>
    <w:unhideWhenUsed/>
    <w:qFormat/>
    <w:uiPriority w:val="99"/>
    <w:rPr>
      <w:color w:val="0000FF" w:themeColor="hyperlink"/>
      <w:u w:val="single"/>
      <w14:textFill>
        <w14:solidFill>
          <w14:schemeClr w14:val="hlink"/>
        </w14:solidFill>
      </w14:textFill>
    </w:rPr>
  </w:style>
  <w:style w:type="character" w:styleId="45">
    <w:name w:val="annotation reference"/>
    <w:basedOn w:val="40"/>
    <w:semiHidden/>
    <w:unhideWhenUsed/>
    <w:qFormat/>
    <w:uiPriority w:val="99"/>
    <w:rPr>
      <w:sz w:val="21"/>
      <w:szCs w:val="21"/>
    </w:rPr>
  </w:style>
  <w:style w:type="character" w:styleId="46">
    <w:name w:val="footnote reference"/>
    <w:basedOn w:val="40"/>
    <w:unhideWhenUsed/>
    <w:qFormat/>
    <w:uiPriority w:val="99"/>
    <w:rPr>
      <w:vertAlign w:val="superscript"/>
    </w:rPr>
  </w:style>
  <w:style w:type="table" w:customStyle="1" w:styleId="47">
    <w:name w:val="Plain Table 1"/>
    <w:basedOn w:val="38"/>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48">
    <w:name w:val="Plain Table 2"/>
    <w:basedOn w:val="38"/>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49">
    <w:name w:val="Plain Table 3"/>
    <w:basedOn w:val="38"/>
    <w:qFormat/>
    <w:uiPriority w:val="99"/>
    <w:pPr>
      <w:spacing w:after="0" w:line="240" w:lineRule="auto"/>
    </w:p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50">
    <w:name w:val="Plain Table 4"/>
    <w:basedOn w:val="38"/>
    <w:qFormat/>
    <w:uiPriority w:val="99"/>
    <w:pPr>
      <w:spacing w:after="0" w:line="240" w:lineRule="auto"/>
    </w:p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51">
    <w:name w:val="Plain Table 5"/>
    <w:basedOn w:val="38"/>
    <w:qFormat/>
    <w:uiPriority w:val="99"/>
    <w:pPr>
      <w:spacing w:after="0" w:line="240" w:lineRule="auto"/>
    </w:p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52">
    <w:name w:val="Grid Table 1 Light"/>
    <w:basedOn w:val="38"/>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53">
    <w:name w:val="Grid Table 2"/>
    <w:basedOn w:val="38"/>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54">
    <w:name w:val="Grid Table 3"/>
    <w:basedOn w:val="38"/>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55">
    <w:name w:val="Grid Table 4"/>
    <w:basedOn w:val="38"/>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56">
    <w:name w:val="Grid Table 5 Dark"/>
    <w:basedOn w:val="38"/>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57">
    <w:name w:val="Grid Table 6 Colorful"/>
    <w:basedOn w:val="38"/>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58">
    <w:name w:val="Grid Table 7 Colorful"/>
    <w:basedOn w:val="38"/>
    <w:qFormat/>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59">
    <w:name w:val="List Table 1 Light"/>
    <w:basedOn w:val="38"/>
    <w:qFormat/>
    <w:uiPriority w:val="99"/>
    <w:pPr>
      <w:spacing w:after="0" w:line="240" w:lineRule="auto"/>
    </w:p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60">
    <w:name w:val="List Table 2"/>
    <w:basedOn w:val="38"/>
    <w:qFormat/>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61">
    <w:name w:val="List Table 3"/>
    <w:basedOn w:val="38"/>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62">
    <w:name w:val="List Table 4"/>
    <w:basedOn w:val="38"/>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63">
    <w:name w:val="List Table 5 Dark"/>
    <w:basedOn w:val="38"/>
    <w:qFormat/>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64">
    <w:name w:val="List Table 6 Colorful"/>
    <w:basedOn w:val="38"/>
    <w:qFormat/>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style>
  <w:style w:type="table" w:customStyle="1" w:styleId="65">
    <w:name w:val="List Table 7 Colorful"/>
    <w:basedOn w:val="38"/>
    <w:qFormat/>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paragraph" w:customStyle="1" w:styleId="66">
    <w:name w:val="TOC Heading"/>
    <w:unhideWhenUsed/>
    <w:qFormat/>
    <w:uiPriority w:val="39"/>
    <w:rPr>
      <w:rFonts w:hint="default" w:ascii="Times New Roman" w:hAnsi="Times New Roman" w:eastAsia="宋体" w:cs="Times New Roman"/>
    </w:rPr>
  </w:style>
  <w:style w:type="paragraph" w:customStyle="1" w:styleId="67">
    <w:name w:val="BodyText"/>
    <w:basedOn w:val="1"/>
    <w:next w:val="68"/>
    <w:qFormat/>
    <w:uiPriority w:val="0"/>
    <w:pPr>
      <w:spacing w:line="360" w:lineRule="exact"/>
    </w:pPr>
  </w:style>
  <w:style w:type="paragraph" w:customStyle="1" w:styleId="68">
    <w:name w:val="UserStyle_6"/>
    <w:basedOn w:val="69"/>
    <w:next w:val="70"/>
    <w:qFormat/>
    <w:uiPriority w:val="0"/>
    <w:pPr>
      <w:spacing w:line="240" w:lineRule="auto"/>
      <w:ind w:left="420"/>
    </w:pPr>
  </w:style>
  <w:style w:type="paragraph" w:customStyle="1" w:styleId="69">
    <w:name w:val="UserStyle_7"/>
    <w:next w:val="1"/>
    <w:qFormat/>
    <w:uiPriority w:val="0"/>
    <w:pPr>
      <w:spacing w:line="360" w:lineRule="auto"/>
      <w:jc w:val="both"/>
    </w:pPr>
    <w:rPr>
      <w:rFonts w:hint="default" w:ascii="黑体" w:hAnsi="等线" w:eastAsia="黑体" w:cs="等线"/>
      <w:sz w:val="21"/>
      <w:szCs w:val="21"/>
      <w:lang w:val="en-US" w:eastAsia="zh-CN" w:bidi="ar-SA"/>
    </w:rPr>
  </w:style>
  <w:style w:type="paragraph" w:customStyle="1" w:styleId="70">
    <w:name w:val="UserStyle_8"/>
    <w:next w:val="1"/>
    <w:qFormat/>
    <w:uiPriority w:val="0"/>
    <w:pPr>
      <w:ind w:firstLine="200"/>
      <w:jc w:val="both"/>
    </w:pPr>
    <w:rPr>
      <w:rFonts w:hint="default" w:ascii="宋体" w:hAnsi="等线" w:eastAsia="等线" w:cs="等线"/>
      <w:sz w:val="21"/>
      <w:szCs w:val="21"/>
      <w:lang w:val="en-US" w:eastAsia="zh-CN" w:bidi="ar-SA"/>
    </w:rPr>
  </w:style>
  <w:style w:type="paragraph" w:customStyle="1" w:styleId="71">
    <w:name w:val="标题 31"/>
    <w:basedOn w:val="1"/>
    <w:next w:val="1"/>
    <w:link w:val="238"/>
    <w:qFormat/>
    <w:uiPriority w:val="0"/>
    <w:pPr>
      <w:keepNext/>
      <w:keepLines/>
      <w:spacing w:before="260" w:after="260" w:line="413" w:lineRule="auto"/>
      <w:outlineLvl w:val="2"/>
    </w:pPr>
    <w:rPr>
      <w:rFonts w:eastAsia="宋体"/>
      <w:b/>
      <w:sz w:val="32"/>
      <w:szCs w:val="20"/>
    </w:rPr>
  </w:style>
  <w:style w:type="character" w:customStyle="1" w:styleId="72">
    <w:name w:val="Heading 1 Char"/>
    <w:basedOn w:val="40"/>
    <w:qFormat/>
    <w:uiPriority w:val="9"/>
    <w:rPr>
      <w:rFonts w:ascii="Arial" w:hAnsi="Arial" w:eastAsia="Arial" w:cs="Arial"/>
      <w:sz w:val="40"/>
      <w:szCs w:val="40"/>
    </w:rPr>
  </w:style>
  <w:style w:type="character" w:customStyle="1" w:styleId="73">
    <w:name w:val="Heading 5 Char"/>
    <w:basedOn w:val="40"/>
    <w:qFormat/>
    <w:uiPriority w:val="9"/>
    <w:rPr>
      <w:rFonts w:ascii="Arial" w:hAnsi="Arial" w:eastAsia="Arial" w:cs="Arial"/>
      <w:b/>
      <w:bCs/>
      <w:sz w:val="24"/>
      <w:szCs w:val="24"/>
    </w:rPr>
  </w:style>
  <w:style w:type="character" w:customStyle="1" w:styleId="74">
    <w:name w:val="Heading 6 Char"/>
    <w:basedOn w:val="40"/>
    <w:qFormat/>
    <w:uiPriority w:val="9"/>
    <w:rPr>
      <w:rFonts w:ascii="Arial" w:hAnsi="Arial" w:eastAsia="Arial" w:cs="Arial"/>
      <w:b/>
      <w:bCs/>
      <w:sz w:val="22"/>
      <w:szCs w:val="22"/>
    </w:rPr>
  </w:style>
  <w:style w:type="character" w:customStyle="1" w:styleId="75">
    <w:name w:val="Heading 7 Char"/>
    <w:basedOn w:val="40"/>
    <w:qFormat/>
    <w:uiPriority w:val="9"/>
    <w:rPr>
      <w:rFonts w:ascii="Arial" w:hAnsi="Arial" w:eastAsia="Arial" w:cs="Arial"/>
      <w:b/>
      <w:bCs/>
      <w:i/>
      <w:iCs/>
      <w:sz w:val="22"/>
      <w:szCs w:val="22"/>
    </w:rPr>
  </w:style>
  <w:style w:type="character" w:customStyle="1" w:styleId="76">
    <w:name w:val="Heading 8 Char"/>
    <w:basedOn w:val="40"/>
    <w:qFormat/>
    <w:uiPriority w:val="9"/>
    <w:rPr>
      <w:rFonts w:ascii="Arial" w:hAnsi="Arial" w:eastAsia="Arial" w:cs="Arial"/>
      <w:i/>
      <w:iCs/>
      <w:sz w:val="22"/>
      <w:szCs w:val="22"/>
    </w:rPr>
  </w:style>
  <w:style w:type="character" w:customStyle="1" w:styleId="77">
    <w:name w:val="Heading 9 Char"/>
    <w:basedOn w:val="40"/>
    <w:qFormat/>
    <w:uiPriority w:val="9"/>
    <w:rPr>
      <w:rFonts w:ascii="Arial" w:hAnsi="Arial" w:eastAsia="Arial" w:cs="Arial"/>
      <w:i/>
      <w:iCs/>
      <w:sz w:val="21"/>
      <w:szCs w:val="21"/>
    </w:rPr>
  </w:style>
  <w:style w:type="character" w:customStyle="1" w:styleId="78">
    <w:name w:val="Title Char"/>
    <w:basedOn w:val="40"/>
    <w:qFormat/>
    <w:uiPriority w:val="10"/>
    <w:rPr>
      <w:sz w:val="48"/>
      <w:szCs w:val="48"/>
    </w:rPr>
  </w:style>
  <w:style w:type="character" w:customStyle="1" w:styleId="79">
    <w:name w:val="Subtitle Char"/>
    <w:basedOn w:val="40"/>
    <w:qFormat/>
    <w:uiPriority w:val="11"/>
    <w:rPr>
      <w:sz w:val="24"/>
      <w:szCs w:val="24"/>
    </w:rPr>
  </w:style>
  <w:style w:type="character" w:customStyle="1" w:styleId="80">
    <w:name w:val="Quote Char"/>
    <w:qFormat/>
    <w:uiPriority w:val="29"/>
    <w:rPr>
      <w:i/>
    </w:rPr>
  </w:style>
  <w:style w:type="character" w:customStyle="1" w:styleId="81">
    <w:name w:val="Intense Quote Char"/>
    <w:qFormat/>
    <w:uiPriority w:val="30"/>
    <w:rPr>
      <w:i/>
    </w:rPr>
  </w:style>
  <w:style w:type="character" w:customStyle="1" w:styleId="82">
    <w:name w:val="Caption Char"/>
    <w:qFormat/>
    <w:uiPriority w:val="99"/>
  </w:style>
  <w:style w:type="character" w:customStyle="1" w:styleId="83">
    <w:name w:val="Footnote Text Char"/>
    <w:qFormat/>
    <w:uiPriority w:val="99"/>
    <w:rPr>
      <w:sz w:val="18"/>
    </w:rPr>
  </w:style>
  <w:style w:type="character" w:customStyle="1" w:styleId="84">
    <w:name w:val="Endnote Text Char"/>
    <w:qFormat/>
    <w:uiPriority w:val="99"/>
    <w:rPr>
      <w:sz w:val="20"/>
    </w:rPr>
  </w:style>
  <w:style w:type="paragraph" w:customStyle="1" w:styleId="85">
    <w:name w:val="TOC 标题1"/>
    <w:unhideWhenUsed/>
    <w:qFormat/>
    <w:uiPriority w:val="39"/>
    <w:rPr>
      <w:rFonts w:hint="default" w:ascii="Times New Roman" w:hAnsi="Times New Roman" w:eastAsia="宋体" w:cs="Times New Roman"/>
      <w:lang w:val="en-US" w:eastAsia="zh-CN" w:bidi="ar-SA"/>
    </w:rPr>
  </w:style>
  <w:style w:type="character" w:customStyle="1" w:styleId="86">
    <w:name w:val="标题 1 字符"/>
    <w:link w:val="2"/>
    <w:qFormat/>
    <w:uiPriority w:val="9"/>
    <w:rPr>
      <w:rFonts w:ascii="Arial" w:hAnsi="Arial" w:eastAsia="Arial" w:cs="Arial"/>
      <w:sz w:val="40"/>
      <w:szCs w:val="40"/>
    </w:rPr>
  </w:style>
  <w:style w:type="character" w:customStyle="1" w:styleId="87">
    <w:name w:val="标题 5 字符"/>
    <w:link w:val="6"/>
    <w:qFormat/>
    <w:uiPriority w:val="9"/>
    <w:rPr>
      <w:rFonts w:ascii="Arial" w:hAnsi="Arial" w:eastAsia="Arial" w:cs="Arial"/>
      <w:b/>
      <w:bCs/>
      <w:sz w:val="24"/>
      <w:szCs w:val="24"/>
    </w:rPr>
  </w:style>
  <w:style w:type="character" w:customStyle="1" w:styleId="88">
    <w:name w:val="标题 6 字符"/>
    <w:link w:val="7"/>
    <w:qFormat/>
    <w:uiPriority w:val="9"/>
    <w:rPr>
      <w:rFonts w:ascii="Arial" w:hAnsi="Arial" w:eastAsia="Arial" w:cs="Arial"/>
      <w:b/>
      <w:bCs/>
      <w:sz w:val="22"/>
      <w:szCs w:val="22"/>
    </w:rPr>
  </w:style>
  <w:style w:type="character" w:customStyle="1" w:styleId="89">
    <w:name w:val="标题 7 字符"/>
    <w:link w:val="8"/>
    <w:qFormat/>
    <w:uiPriority w:val="9"/>
    <w:rPr>
      <w:rFonts w:ascii="Arial" w:hAnsi="Arial" w:eastAsia="Arial" w:cs="Arial"/>
      <w:b/>
      <w:bCs/>
      <w:i/>
      <w:iCs/>
      <w:sz w:val="22"/>
      <w:szCs w:val="22"/>
    </w:rPr>
  </w:style>
  <w:style w:type="character" w:customStyle="1" w:styleId="90">
    <w:name w:val="标题 8 字符"/>
    <w:link w:val="9"/>
    <w:qFormat/>
    <w:uiPriority w:val="9"/>
    <w:rPr>
      <w:rFonts w:ascii="Arial" w:hAnsi="Arial" w:eastAsia="Arial" w:cs="Arial"/>
      <w:i/>
      <w:iCs/>
      <w:sz w:val="22"/>
      <w:szCs w:val="22"/>
    </w:rPr>
  </w:style>
  <w:style w:type="character" w:customStyle="1" w:styleId="91">
    <w:name w:val="标题 9 字符"/>
    <w:link w:val="10"/>
    <w:qFormat/>
    <w:uiPriority w:val="9"/>
    <w:rPr>
      <w:rFonts w:ascii="Arial" w:hAnsi="Arial" w:eastAsia="Arial" w:cs="Arial"/>
      <w:i/>
      <w:iCs/>
      <w:sz w:val="21"/>
      <w:szCs w:val="21"/>
    </w:rPr>
  </w:style>
  <w:style w:type="paragraph" w:styleId="92">
    <w:name w:val="No Spacing"/>
    <w:qFormat/>
    <w:uiPriority w:val="1"/>
    <w:rPr>
      <w:rFonts w:hint="default" w:ascii="Times New Roman" w:hAnsi="Times New Roman" w:eastAsia="宋体" w:cs="Times New Roman"/>
      <w:lang w:val="en-US" w:eastAsia="zh-CN" w:bidi="ar-SA"/>
    </w:rPr>
  </w:style>
  <w:style w:type="character" w:customStyle="1" w:styleId="93">
    <w:name w:val="标题 字符"/>
    <w:link w:val="35"/>
    <w:qFormat/>
    <w:uiPriority w:val="10"/>
    <w:rPr>
      <w:sz w:val="48"/>
      <w:szCs w:val="48"/>
    </w:rPr>
  </w:style>
  <w:style w:type="character" w:customStyle="1" w:styleId="94">
    <w:name w:val="副标题 字符"/>
    <w:link w:val="28"/>
    <w:qFormat/>
    <w:uiPriority w:val="11"/>
    <w:rPr>
      <w:sz w:val="24"/>
      <w:szCs w:val="24"/>
    </w:rPr>
  </w:style>
  <w:style w:type="paragraph" w:styleId="95">
    <w:name w:val="Quote"/>
    <w:basedOn w:val="1"/>
    <w:next w:val="1"/>
    <w:link w:val="96"/>
    <w:qFormat/>
    <w:uiPriority w:val="29"/>
    <w:pPr>
      <w:ind w:left="720" w:right="720"/>
    </w:pPr>
    <w:rPr>
      <w:i/>
    </w:rPr>
  </w:style>
  <w:style w:type="character" w:customStyle="1" w:styleId="96">
    <w:name w:val="引用 字符"/>
    <w:link w:val="95"/>
    <w:qFormat/>
    <w:uiPriority w:val="29"/>
    <w:rPr>
      <w:i/>
    </w:rPr>
  </w:style>
  <w:style w:type="paragraph" w:styleId="97">
    <w:name w:val="Intense Quote"/>
    <w:basedOn w:val="1"/>
    <w:next w:val="1"/>
    <w:link w:val="98"/>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customStyle="1" w:styleId="98">
    <w:name w:val="明显引用 字符"/>
    <w:link w:val="97"/>
    <w:qFormat/>
    <w:uiPriority w:val="30"/>
    <w:rPr>
      <w:i/>
    </w:rPr>
  </w:style>
  <w:style w:type="character" w:customStyle="1" w:styleId="99">
    <w:name w:val="页脚 字符"/>
    <w:link w:val="23"/>
    <w:qFormat/>
    <w:uiPriority w:val="99"/>
  </w:style>
  <w:style w:type="table" w:customStyle="1" w:styleId="100">
    <w:name w:val="Table Grid Light"/>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style>
  <w:style w:type="table" w:customStyle="1" w:styleId="101">
    <w:name w:val="无格式表格 11"/>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102">
    <w:name w:val="无格式表格 21"/>
    <w:qFormat/>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103">
    <w:name w:val="无格式表格 31"/>
    <w:qFormat/>
    <w:uiPriority w:val="99"/>
    <w:tblPr>
      <w:tblCellMar>
        <w:top w:w="0" w:type="dxa"/>
        <w:left w:w="0" w:type="dxa"/>
        <w:bottom w:w="0" w:type="dxa"/>
        <w:right w:w="0" w:type="dxa"/>
      </w:tblCellMa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104">
    <w:name w:val="无格式表格 41"/>
    <w:qFormat/>
    <w:uiPriority w:val="99"/>
    <w:tblPr>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105">
    <w:name w:val="无格式表格 51"/>
    <w:qFormat/>
    <w:uiPriority w:val="99"/>
    <w:tblPr>
      <w:tblCellMar>
        <w:top w:w="0" w:type="dxa"/>
        <w:left w:w="0" w:type="dxa"/>
        <w:bottom w:w="0" w:type="dxa"/>
        <w:right w:w="0" w:type="dxa"/>
      </w:tblCellMa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106">
    <w:name w:val="网格表 1 浅色1"/>
    <w:qFormat/>
    <w:uiPriority w:val="99"/>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CellMar>
        <w:top w:w="0" w:type="dxa"/>
        <w:left w:w="0" w:type="dxa"/>
        <w:bottom w:w="0" w:type="dxa"/>
        <w:right w:w="0" w:type="dxa"/>
      </w:tblCellMar>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107">
    <w:name w:val="Grid Table 1 Light - Accent 1"/>
    <w:qFormat/>
    <w:uiPriority w:val="99"/>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CellMar>
        <w:top w:w="0" w:type="dxa"/>
        <w:left w:w="0" w:type="dxa"/>
        <w:bottom w:w="0" w:type="dxa"/>
        <w:right w:w="0" w:type="dxa"/>
      </w:tblCellMar>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108">
    <w:name w:val="Grid Table 1 Light - Accent 2"/>
    <w:qFormat/>
    <w:uiPriority w:val="99"/>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CellMar>
        <w:top w:w="0" w:type="dxa"/>
        <w:left w:w="0" w:type="dxa"/>
        <w:bottom w:w="0" w:type="dxa"/>
        <w:right w:w="0" w:type="dxa"/>
      </w:tblCellMar>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109">
    <w:name w:val="Grid Table 1 Light - Accent 3"/>
    <w:qFormat/>
    <w:uiPriority w:val="99"/>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top w:w="0" w:type="dxa"/>
        <w:left w:w="0" w:type="dxa"/>
        <w:bottom w:w="0" w:type="dxa"/>
        <w:right w:w="0" w:type="dxa"/>
      </w:tblCellMar>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110">
    <w:name w:val="Grid Table 1 Light - Accent 4"/>
    <w:qFormat/>
    <w:uiPriority w:val="99"/>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top w:w="0" w:type="dxa"/>
        <w:left w:w="0" w:type="dxa"/>
        <w:bottom w:w="0" w:type="dxa"/>
        <w:right w:w="0" w:type="dxa"/>
      </w:tblCellMar>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111">
    <w:name w:val="Grid Table 1 Light - Accent 5"/>
    <w:qFormat/>
    <w:uiPriority w:val="99"/>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CellMar>
        <w:top w:w="0" w:type="dxa"/>
        <w:left w:w="0" w:type="dxa"/>
        <w:bottom w:w="0" w:type="dxa"/>
        <w:right w:w="0" w:type="dxa"/>
      </w:tblCellMar>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112">
    <w:name w:val="Grid Table 1 Light - Accent 6"/>
    <w:qFormat/>
    <w:uiPriority w:val="99"/>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top w:w="0" w:type="dxa"/>
        <w:left w:w="0" w:type="dxa"/>
        <w:bottom w:w="0" w:type="dxa"/>
        <w:right w:w="0" w:type="dxa"/>
      </w:tblCellMar>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table" w:customStyle="1" w:styleId="113">
    <w:name w:val="网格表 21"/>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CellMar>
        <w:top w:w="0" w:type="dxa"/>
        <w:left w:w="0" w:type="dxa"/>
        <w:bottom w:w="0" w:type="dxa"/>
        <w:right w:w="0" w:type="dxa"/>
      </w:tblCellMar>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14">
    <w:name w:val="Grid Table 2 - Accent 1"/>
    <w:qFormat/>
    <w:uiPriority w:val="99"/>
    <w:tblPr>
      <w:tblBorders>
        <w:bottom w:val="single" w:color="5D8BC2" w:themeColor="accent1" w:themeTint="EA" w:sz="4" w:space="0"/>
        <w:insideH w:val="single" w:color="5D8BC2" w:themeColor="accent1" w:themeTint="EA" w:sz="4" w:space="0"/>
        <w:insideV w:val="single" w:color="5D8BC2" w:themeColor="accent1" w:themeTint="EA" w:sz="4" w:space="0"/>
      </w:tblBorders>
      <w:tblCellMar>
        <w:top w:w="0" w:type="dxa"/>
        <w:left w:w="0" w:type="dxa"/>
        <w:bottom w:w="0" w:type="dxa"/>
        <w:right w:w="0" w:type="dxa"/>
      </w:tblCellMar>
    </w:tblPr>
    <w:tblStylePr w:type="firstRow">
      <w:rPr>
        <w:b/>
        <w:color w:val="404040"/>
      </w:rPr>
      <w:tcPr>
        <w:tcBorders>
          <w:top w:val="nil"/>
          <w:left w:val="nil"/>
          <w:bottom w:val="single" w:color="5D8BC2" w:themeColor="accent1" w:themeTint="EA" w:sz="12" w:space="0"/>
          <w:right w:val="nil"/>
        </w:tcBorders>
        <w:shd w:val="clear" w:color="FFFFFF" w:fill="auto"/>
      </w:tcPr>
    </w:tblStylePr>
    <w:tblStylePr w:type="lastRow">
      <w:rPr>
        <w:b/>
        <w:color w:val="404040"/>
      </w:rPr>
      <w:tcPr>
        <w:tcBorders>
          <w:top w:val="single" w:color="5D8BC2"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115">
    <w:name w:val="Grid Table 2 - Accent 2"/>
    <w:qFormat/>
    <w:uiPriority w:val="99"/>
    <w:tblPr>
      <w:tblBorders>
        <w:bottom w:val="single" w:color="D99795" w:themeColor="accent2" w:themeTint="97" w:sz="4" w:space="0"/>
        <w:insideH w:val="single" w:color="D99795" w:themeColor="accent2" w:themeTint="97" w:sz="4" w:space="0"/>
        <w:insideV w:val="single" w:color="D99795" w:themeColor="accent2" w:themeTint="97" w:sz="4" w:space="0"/>
      </w:tblBorders>
      <w:tblCellMar>
        <w:top w:w="0" w:type="dxa"/>
        <w:left w:w="0" w:type="dxa"/>
        <w:bottom w:w="0" w:type="dxa"/>
        <w:right w:w="0" w:type="dxa"/>
      </w:tblCellMar>
    </w:tblPr>
    <w:tblStylePr w:type="firstRow">
      <w:rPr>
        <w:b/>
        <w:color w:val="404040"/>
      </w:rPr>
      <w:tcPr>
        <w:tcBorders>
          <w:top w:val="nil"/>
          <w:left w:val="nil"/>
          <w:bottom w:val="single" w:color="D99795" w:themeColor="accent2" w:themeTint="97" w:sz="12" w:space="0"/>
          <w:right w:val="nil"/>
        </w:tcBorders>
        <w:shd w:val="clear" w:color="FFFFFF" w:fill="auto"/>
      </w:tcPr>
    </w:tblStylePr>
    <w:tblStylePr w:type="lastRow">
      <w:rPr>
        <w:b/>
        <w:color w:val="404040"/>
      </w:rPr>
      <w:tcPr>
        <w:tcBorders>
          <w:top w:val="single" w:color="D9979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116">
    <w:name w:val="Grid Table 2 - Accent 3"/>
    <w:qFormat/>
    <w:uiPriority w:val="99"/>
    <w:tblPr>
      <w:tblBorders>
        <w:bottom w:val="single" w:color="9BBB59" w:themeColor="accent3" w:themeTint="FE" w:sz="4" w:space="0"/>
        <w:insideH w:val="single" w:color="9BBB59" w:themeColor="accent3" w:themeTint="FE" w:sz="4" w:space="0"/>
        <w:insideV w:val="single" w:color="9BBB59" w:themeColor="accent3" w:themeTint="FE" w:sz="4" w:space="0"/>
      </w:tblBorders>
      <w:tblCellMar>
        <w:top w:w="0" w:type="dxa"/>
        <w:left w:w="0" w:type="dxa"/>
        <w:bottom w:w="0" w:type="dxa"/>
        <w:right w:w="0" w:type="dxa"/>
      </w:tblCellMar>
    </w:tblPr>
    <w:tblStylePr w:type="firstRow">
      <w:rPr>
        <w:b/>
        <w:color w:val="404040"/>
      </w:rPr>
      <w:tcPr>
        <w:tcBorders>
          <w:top w:val="nil"/>
          <w:left w:val="nil"/>
          <w:bottom w:val="single" w:color="9BBB59" w:themeColor="accent3" w:themeTint="FE" w:sz="12" w:space="0"/>
          <w:right w:val="nil"/>
        </w:tcBorders>
        <w:shd w:val="clear" w:color="FFFFFF" w:fill="auto"/>
      </w:tcPr>
    </w:tblStylePr>
    <w:tblStylePr w:type="lastRow">
      <w:rPr>
        <w:b/>
        <w:color w:val="404040"/>
      </w:rPr>
      <w:tcPr>
        <w:tcBorders>
          <w:top w:val="single" w:color="9BBB59"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117">
    <w:name w:val="Grid Table 2 - Accent 4"/>
    <w:qFormat/>
    <w:uiPriority w:val="99"/>
    <w:tblPr>
      <w:tblBorders>
        <w:bottom w:val="single" w:color="B2A1C6" w:themeColor="accent4" w:themeTint="9A" w:sz="4" w:space="0"/>
        <w:insideH w:val="single" w:color="B2A1C6" w:themeColor="accent4" w:themeTint="9A" w:sz="4" w:space="0"/>
        <w:insideV w:val="single" w:color="B2A1C6" w:themeColor="accent4" w:themeTint="9A" w:sz="4" w:space="0"/>
      </w:tblBorders>
      <w:tblCellMar>
        <w:top w:w="0" w:type="dxa"/>
        <w:left w:w="0" w:type="dxa"/>
        <w:bottom w:w="0" w:type="dxa"/>
        <w:right w:w="0" w:type="dxa"/>
      </w:tblCellMar>
    </w:tblPr>
    <w:tblStylePr w:type="firstRow">
      <w:rPr>
        <w:b/>
        <w:color w:val="404040"/>
      </w:rPr>
      <w:tcPr>
        <w:tcBorders>
          <w:top w:val="nil"/>
          <w:left w:val="nil"/>
          <w:bottom w:val="single" w:color="B2A1C6" w:themeColor="accent4" w:themeTint="9A" w:sz="12" w:space="0"/>
          <w:right w:val="nil"/>
        </w:tcBorders>
        <w:shd w:val="clear" w:color="FFFFFF" w:fill="auto"/>
      </w:tcPr>
    </w:tblStylePr>
    <w:tblStylePr w:type="lastRow">
      <w:rPr>
        <w:b/>
        <w:color w:val="404040"/>
      </w:rPr>
      <w:tcPr>
        <w:tcBorders>
          <w:top w:val="single" w:color="B2A1C6"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118">
    <w:name w:val="Grid Table 2 - Accent 5"/>
    <w:qFormat/>
    <w:uiPriority w:val="99"/>
    <w:tblPr>
      <w:tblBorders>
        <w:bottom w:val="single" w:color="4BACC6" w:themeColor="accent5" w:sz="4" w:space="0"/>
        <w:insideH w:val="single" w:color="4BACC6" w:themeColor="accent5" w:sz="4" w:space="0"/>
        <w:insideV w:val="single" w:color="4BACC6" w:themeColor="accent5" w:sz="4" w:space="0"/>
      </w:tblBorders>
      <w:tblCellMar>
        <w:top w:w="0" w:type="dxa"/>
        <w:left w:w="0" w:type="dxa"/>
        <w:bottom w:w="0" w:type="dxa"/>
        <w:right w:w="0" w:type="dxa"/>
      </w:tblCellMar>
    </w:tblPr>
    <w:tblStylePr w:type="firstRow">
      <w:rPr>
        <w:b/>
        <w:color w:val="404040"/>
      </w:rPr>
      <w:tcPr>
        <w:tcBorders>
          <w:top w:val="nil"/>
          <w:left w:val="nil"/>
          <w:bottom w:val="single" w:color="4BACC6" w:themeColor="accent5" w:sz="12" w:space="0"/>
          <w:right w:val="nil"/>
        </w:tcBorders>
        <w:shd w:val="clear" w:color="FFFFFF" w:fill="auto"/>
      </w:tcPr>
    </w:tblStylePr>
    <w:tblStylePr w:type="lastRow">
      <w:rPr>
        <w:b/>
        <w:color w:val="404040"/>
      </w:rPr>
      <w:tcPr>
        <w:tcBorders>
          <w:top w:val="single" w:color="4BACC6"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119">
    <w:name w:val="Grid Table 2 - Accent 6"/>
    <w:qFormat/>
    <w:uiPriority w:val="99"/>
    <w:tblPr>
      <w:tblBorders>
        <w:bottom w:val="single" w:color="F79646" w:themeColor="accent6" w:sz="4" w:space="0"/>
        <w:insideH w:val="single" w:color="F79646" w:themeColor="accent6" w:sz="4" w:space="0"/>
        <w:insideV w:val="single" w:color="F79646" w:themeColor="accent6" w:sz="4" w:space="0"/>
      </w:tblBorders>
      <w:tblCellMar>
        <w:top w:w="0" w:type="dxa"/>
        <w:left w:w="0" w:type="dxa"/>
        <w:bottom w:w="0" w:type="dxa"/>
        <w:right w:w="0" w:type="dxa"/>
      </w:tblCellMar>
    </w:tblPr>
    <w:tblStylePr w:type="firstRow">
      <w:rPr>
        <w:b/>
        <w:color w:val="404040"/>
      </w:rPr>
      <w:tcPr>
        <w:tcBorders>
          <w:top w:val="nil"/>
          <w:left w:val="nil"/>
          <w:bottom w:val="single" w:color="F79646" w:themeColor="accent6" w:sz="12" w:space="0"/>
          <w:right w:val="nil"/>
        </w:tcBorders>
        <w:shd w:val="clear" w:color="FFFFFF" w:fill="auto"/>
      </w:tcPr>
    </w:tblStylePr>
    <w:tblStylePr w:type="lastRow">
      <w:rPr>
        <w:b/>
        <w:color w:val="404040"/>
      </w:rPr>
      <w:tcPr>
        <w:tcBorders>
          <w:top w:val="single" w:color="F79646"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120">
    <w:name w:val="网格表 31"/>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21">
    <w:name w:val="Grid Table 3 - Accent 1"/>
    <w:qFormat/>
    <w:uiPriority w:val="99"/>
    <w:tblPr>
      <w:tblBorders>
        <w:bottom w:val="single" w:color="5D8BC2" w:themeColor="accent1" w:themeTint="EA" w:sz="4" w:space="0"/>
        <w:insideH w:val="single" w:color="5D8BC2" w:themeColor="accent1" w:themeTint="EA" w:sz="4" w:space="0"/>
        <w:insideV w:val="single" w:color="5D8BC2" w:themeColor="accent1" w:themeTint="EA" w:sz="4" w:space="0"/>
      </w:tblBorders>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122">
    <w:name w:val="Grid Table 3 - Accent 2"/>
    <w:qFormat/>
    <w:uiPriority w:val="99"/>
    <w:tblPr>
      <w:tblBorders>
        <w:bottom w:val="single" w:color="D99795" w:themeColor="accent2" w:themeTint="97" w:sz="4" w:space="0"/>
        <w:insideH w:val="single" w:color="D99795" w:themeColor="accent2" w:themeTint="97" w:sz="4" w:space="0"/>
        <w:insideV w:val="single" w:color="D99795" w:themeColor="accent2" w:themeTint="97" w:sz="4" w:space="0"/>
      </w:tblBorders>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123">
    <w:name w:val="Grid Table 3 - Accent 3"/>
    <w:qFormat/>
    <w:uiPriority w:val="99"/>
    <w:tblPr>
      <w:tblBorders>
        <w:bottom w:val="single" w:color="9BBB59" w:themeColor="accent3" w:themeTint="FE" w:sz="4" w:space="0"/>
        <w:insideH w:val="single" w:color="9BBB59" w:themeColor="accent3" w:themeTint="FE" w:sz="4" w:space="0"/>
        <w:insideV w:val="single" w:color="9BBB59" w:themeColor="accent3" w:themeTint="FE" w:sz="4" w:space="0"/>
      </w:tblBorders>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124">
    <w:name w:val="Grid Table 3 - Accent 4"/>
    <w:qFormat/>
    <w:uiPriority w:val="99"/>
    <w:tblPr>
      <w:tblBorders>
        <w:bottom w:val="single" w:color="B2A1C6" w:themeColor="accent4" w:themeTint="9A" w:sz="4" w:space="0"/>
        <w:insideH w:val="single" w:color="B2A1C6" w:themeColor="accent4" w:themeTint="9A" w:sz="4" w:space="0"/>
        <w:insideV w:val="single" w:color="B2A1C6" w:themeColor="accent4" w:themeTint="9A" w:sz="4" w:space="0"/>
      </w:tblBorders>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125">
    <w:name w:val="Grid Table 3 - Accent 5"/>
    <w:qFormat/>
    <w:uiPriority w:val="99"/>
    <w:tblPr>
      <w:tblBorders>
        <w:bottom w:val="single" w:color="4BACC6" w:themeColor="accent5" w:sz="4" w:space="0"/>
        <w:insideH w:val="single" w:color="4BACC6" w:themeColor="accent5" w:sz="4" w:space="0"/>
        <w:insideV w:val="single" w:color="4BACC6" w:themeColor="accent5" w:sz="4" w:space="0"/>
      </w:tblBorders>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126">
    <w:name w:val="Grid Table 3 - Accent 6"/>
    <w:qFormat/>
    <w:uiPriority w:val="99"/>
    <w:tblPr>
      <w:tblBorders>
        <w:bottom w:val="single" w:color="F79646" w:themeColor="accent6" w:sz="4" w:space="0"/>
        <w:insideH w:val="single" w:color="F79646" w:themeColor="accent6" w:sz="4" w:space="0"/>
        <w:insideV w:val="single" w:color="F79646" w:themeColor="accent6" w:sz="4" w:space="0"/>
      </w:tblBorders>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127">
    <w:name w:val="网格表 41"/>
    <w:qFormat/>
    <w:uiPriority w:val="59"/>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CellMar>
        <w:top w:w="0" w:type="dxa"/>
        <w:left w:w="0" w:type="dxa"/>
        <w:bottom w:w="0" w:type="dxa"/>
        <w:right w:w="0" w:type="dxa"/>
      </w:tblCellMar>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28">
    <w:name w:val="Grid Table 4 - Accent 1"/>
    <w:qFormat/>
    <w:uiPriority w:val="59"/>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CellMar>
        <w:top w:w="0" w:type="dxa"/>
        <w:left w:w="0" w:type="dxa"/>
        <w:bottom w:w="0" w:type="dxa"/>
        <w:right w:w="0" w:type="dxa"/>
      </w:tblCellMar>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1Horz">
      <w:rPr>
        <w:rFonts w:ascii="Arial" w:hAnsi="Arial"/>
        <w:color w:val="404040"/>
        <w:sz w:val="22"/>
      </w:rPr>
      <w:tcPr>
        <w:shd w:val="clear" w:color="DCE6F2" w:themeColor="accent1" w:themeTint="32" w:fill="DCE6F2" w:themeFill="accent1" w:themeFillTint="32"/>
      </w:tcPr>
    </w:tblStylePr>
  </w:style>
  <w:style w:type="table" w:customStyle="1" w:styleId="129">
    <w:name w:val="Grid Table 4 - Accent 2"/>
    <w:qFormat/>
    <w:uiPriority w:val="59"/>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CellMar>
        <w:top w:w="0" w:type="dxa"/>
        <w:left w:w="0" w:type="dxa"/>
        <w:bottom w:w="0" w:type="dxa"/>
        <w:right w:w="0" w:type="dxa"/>
      </w:tblCellMar>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130">
    <w:name w:val="Grid Table 4 - Accent 3"/>
    <w:qFormat/>
    <w:uiPriority w:val="59"/>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CellMar>
        <w:top w:w="0" w:type="dxa"/>
        <w:left w:w="0" w:type="dxa"/>
        <w:bottom w:w="0" w:type="dxa"/>
        <w:right w:w="0" w:type="dxa"/>
      </w:tblCellMar>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131">
    <w:name w:val="Grid Table 4 - Accent 4"/>
    <w:qFormat/>
    <w:uiPriority w:val="59"/>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CellMar>
        <w:top w:w="0" w:type="dxa"/>
        <w:left w:w="0" w:type="dxa"/>
        <w:bottom w:w="0" w:type="dxa"/>
        <w:right w:w="0" w:type="dxa"/>
      </w:tblCellMar>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132">
    <w:name w:val="Grid Table 4 - Accent 5"/>
    <w:qFormat/>
    <w:uiPriority w:val="59"/>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top w:w="0" w:type="dxa"/>
        <w:left w:w="0" w:type="dxa"/>
        <w:bottom w:w="0" w:type="dxa"/>
        <w:right w:w="0" w:type="dxa"/>
      </w:tblCellMar>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133">
    <w:name w:val="Grid Table 4 - Accent 6"/>
    <w:qFormat/>
    <w:uiPriority w:val="59"/>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top w:w="0" w:type="dxa"/>
        <w:left w:w="0" w:type="dxa"/>
        <w:bottom w:w="0" w:type="dxa"/>
        <w:right w:w="0" w:type="dxa"/>
      </w:tblCellMar>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134">
    <w:name w:val="网格表 5 深色1"/>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135">
    <w:name w:val="Grid Table 5 Dark- Accent 1"/>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5E0" w:themeColor="accent1" w:themeTint="75" w:fill="AEC5E0" w:themeFill="accent1" w:themeFillTint="75"/>
      </w:tcPr>
    </w:tblStylePr>
    <w:tblStylePr w:type="band1Horz">
      <w:tcPr>
        <w:shd w:val="clear" w:color="AEC5E0" w:themeColor="accent1" w:themeTint="75" w:fill="AEC5E0" w:themeFill="accent1" w:themeFillTint="75"/>
      </w:tcPr>
    </w:tblStylePr>
  </w:style>
  <w:style w:type="table" w:customStyle="1" w:styleId="136">
    <w:name w:val="Grid Table 5 Dark - Accent 2"/>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1Horz">
      <w:tcPr>
        <w:shd w:val="clear" w:color="E2AEAD" w:themeColor="accent2" w:themeTint="75" w:fill="E2AEAD" w:themeFill="accent2" w:themeFillTint="75"/>
      </w:tcPr>
    </w:tblStylePr>
  </w:style>
  <w:style w:type="table" w:customStyle="1" w:styleId="137">
    <w:name w:val="Grid Table 5 Dark - Accent 3"/>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1DFB2" w:themeColor="accent3" w:themeTint="75" w:fill="D1DFB2" w:themeFill="accent3" w:themeFillTint="75"/>
      </w:tcPr>
    </w:tblStylePr>
    <w:tblStylePr w:type="band1Horz">
      <w:tcPr>
        <w:shd w:val="clear" w:color="D1DFB2" w:themeColor="accent3" w:themeTint="75" w:fill="D1DFB2" w:themeFill="accent3" w:themeFillTint="75"/>
      </w:tcPr>
    </w:tblStylePr>
  </w:style>
  <w:style w:type="table" w:customStyle="1" w:styleId="138">
    <w:name w:val="Grid Table 5 Dark- Accent 4"/>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1Horz">
      <w:tcPr>
        <w:shd w:val="clear" w:color="C4B7D4" w:themeColor="accent4" w:themeTint="75" w:fill="C4B7D4" w:themeFill="accent4" w:themeFillTint="75"/>
      </w:tcPr>
    </w:tblStylePr>
  </w:style>
  <w:style w:type="table" w:customStyle="1" w:styleId="139">
    <w:name w:val="Grid Table 5 Dark - Accent 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1Horz">
      <w:tcPr>
        <w:shd w:val="clear" w:color="ACD8E4" w:themeColor="accent5" w:themeTint="75" w:fill="ACD8E4" w:themeFill="accent5" w:themeFillTint="75"/>
      </w:tcPr>
    </w:tblStylePr>
  </w:style>
  <w:style w:type="table" w:customStyle="1" w:styleId="140">
    <w:name w:val="Grid Table 5 Dark - Accent 6"/>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1Horz">
      <w:tcPr>
        <w:shd w:val="clear" w:color="FBCEAA" w:themeColor="accent6" w:themeTint="75" w:fill="FBCEAA" w:themeFill="accent6" w:themeFillTint="75"/>
      </w:tcPr>
    </w:tblStylePr>
  </w:style>
  <w:style w:type="table" w:customStyle="1" w:styleId="141">
    <w:name w:val="网格表 6 彩色1"/>
    <w:qFormat/>
    <w:uiPriority w:val="99"/>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CellMar>
        <w:top w:w="0" w:type="dxa"/>
        <w:left w:w="0" w:type="dxa"/>
        <w:bottom w:w="0" w:type="dxa"/>
        <w:right w:w="0" w:type="dxa"/>
      </w:tblCellMar>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42">
    <w:name w:val="Grid Table 6 Colorful - Accent 1"/>
    <w:qFormat/>
    <w:uiPriority w:val="99"/>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top w:w="0" w:type="dxa"/>
        <w:left w:w="0" w:type="dxa"/>
        <w:bottom w:w="0" w:type="dxa"/>
        <w:right w:w="0" w:type="dxa"/>
      </w:tblCellMar>
    </w:tblPr>
    <w:tblStylePr w:type="firstRow">
      <w:rPr>
        <w:b/>
        <w:color w:val="A7C0DE" w:themeColor="accent1" w:themeTint="80"/>
        <w14:textFill>
          <w14:solidFill>
            <w14:schemeClr w14:val="accent1">
              <w14:lumMod w14:val="50000"/>
              <w14:lumOff w14:val="50000"/>
            </w14:schemeClr>
          </w14:solidFill>
        </w14:textFill>
      </w:rPr>
      <w:tcPr>
        <w:tcBorders>
          <w:bottom w:val="single" w:color="A6BFDD" w:themeColor="accent1" w:themeTint="80" w:sz="12" w:space="0"/>
        </w:tcBorders>
      </w:tcPr>
    </w:tblStylePr>
    <w:tblStylePr w:type="lastRow">
      <w:rPr>
        <w:b/>
        <w:color w:val="A7C0DE" w:themeColor="accent1" w:themeTint="80"/>
        <w14:textFill>
          <w14:solidFill>
            <w14:schemeClr w14:val="accent1">
              <w14:lumMod w14:val="50000"/>
              <w14:lumOff w14:val="50000"/>
            </w14:schemeClr>
          </w14:solidFill>
        </w14:textFill>
      </w:rPr>
    </w:tblStylePr>
    <w:tblStylePr w:type="firstCol">
      <w:rPr>
        <w:b/>
        <w:color w:val="A7C0DE" w:themeColor="accent1" w:themeTint="80"/>
        <w14:textFill>
          <w14:solidFill>
            <w14:schemeClr w14:val="accent1">
              <w14:lumMod w14:val="50000"/>
              <w14:lumOff w14:val="50000"/>
            </w14:schemeClr>
          </w14:solidFill>
        </w14:textFill>
      </w:rPr>
    </w:tblStylePr>
    <w:tblStylePr w:type="lastCol">
      <w:rPr>
        <w:b/>
        <w:color w:val="A7C0DE" w:themeColor="accent1" w:themeTint="80"/>
        <w14:textFill>
          <w14:solidFill>
            <w14:schemeClr w14:val="accent1">
              <w14:lumMod w14:val="50000"/>
              <w14:lumOff w14:val="50000"/>
            </w14:schemeClr>
          </w14:solidFill>
        </w14:textFill>
      </w:rPr>
    </w:tblStylePr>
    <w:tblStylePr w:type="band1Vert">
      <w:tcPr>
        <w:shd w:val="clear" w:color="DBE5F1" w:themeColor="accent1" w:themeTint="34" w:fill="DBE5F1" w:themeFill="accent1" w:themeFillTint="34"/>
      </w:tc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style>
  <w:style w:type="table" w:customStyle="1" w:styleId="143">
    <w:name w:val="Grid Table 6 Colorful - Accent 2"/>
    <w:qFormat/>
    <w:uiPriority w:val="99"/>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CellMar>
        <w:top w:w="0" w:type="dxa"/>
        <w:left w:w="0" w:type="dxa"/>
        <w:bottom w:w="0" w:type="dxa"/>
        <w:right w:w="0" w:type="dxa"/>
      </w:tblCellMar>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12" w:space="0"/>
        </w:tcBorders>
      </w:tcPr>
    </w:tblStylePr>
    <w:tblStylePr w:type="lastRow">
      <w:rPr>
        <w:b/>
        <w:color w:val="DA9896" w:themeColor="accent2" w:themeTint="96"/>
        <w14:textFill>
          <w14:solidFill>
            <w14:schemeClr w14:val="accent2">
              <w14:lumMod w14:val="59000"/>
              <w14:lumOff w14:val="41000"/>
            </w14:schemeClr>
          </w14:solidFill>
        </w14:textFill>
      </w:r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F2DCDC" w:themeColor="accent2" w:themeTint="32" w:fill="F2DCDC" w:themeFill="accent2" w:themeFillTint="32"/>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44">
    <w:name w:val="Grid Table 6 Colorful - Accent 3"/>
    <w:qFormat/>
    <w:uiPriority w:val="99"/>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CellMar>
        <w:top w:w="0" w:type="dxa"/>
        <w:left w:w="0" w:type="dxa"/>
        <w:bottom w:w="0" w:type="dxa"/>
        <w:right w:w="0" w:type="dxa"/>
      </w:tblCellMar>
    </w:tblPr>
    <w:tblStylePr w:type="firstRow">
      <w:rPr>
        <w:b/>
        <w:color w:val="9BBB59" w:themeColor="accent3"/>
        <w14:textFill>
          <w14:solidFill>
            <w14:schemeClr w14:val="accent3"/>
          </w14:solidFill>
        </w14:textFill>
      </w:rPr>
      <w:tcPr>
        <w:tcBorders>
          <w:bottom w:val="single" w:color="9BBB59" w:themeColor="accent3" w:themeTint="FE" w:sz="12" w:space="0"/>
        </w:tcBorders>
      </w:tcPr>
    </w:tblStylePr>
    <w:tblStylePr w:type="lastRow">
      <w:rPr>
        <w:b/>
        <w:color w:val="9BBB59" w:themeColor="accent3"/>
        <w14:textFill>
          <w14:solidFill>
            <w14:schemeClr w14:val="accent3"/>
          </w14:solidFill>
        </w14:textFill>
      </w:rPr>
    </w:tblStylePr>
    <w:tblStylePr w:type="firstCol">
      <w:rPr>
        <w:b/>
        <w:color w:val="9BBB59" w:themeColor="accent3"/>
        <w14:textFill>
          <w14:solidFill>
            <w14:schemeClr w14:val="accent3"/>
          </w14:solidFill>
        </w14:textFill>
      </w:rPr>
    </w:tblStylePr>
    <w:tblStylePr w:type="lastCol">
      <w:rPr>
        <w:b/>
        <w:color w:val="9BBB59" w:themeColor="accent3"/>
        <w14:textFill>
          <w14:solidFill>
            <w14:schemeClr w14:val="accent3"/>
          </w14:solidFill>
        </w14:textFill>
      </w:rPr>
    </w:tblStylePr>
    <w:tblStylePr w:type="band1Vert">
      <w:tcPr>
        <w:shd w:val="clear" w:color="EAF1DD" w:themeColor="accent3" w:themeTint="34" w:fill="EAF1DD" w:themeFill="accent3" w:themeFillTint="34"/>
      </w:tcPr>
    </w:tblStylePr>
    <w:tblStylePr w:type="band1Horz">
      <w:rPr>
        <w:rFonts w:ascii="Arial" w:hAnsi="Arial"/>
        <w:color w:val="9BBB59" w:themeColor="accent3"/>
        <w:sz w:val="22"/>
        <w14:textFill>
          <w14:solidFill>
            <w14:schemeClr w14:val="accent3"/>
          </w14:solidFill>
        </w14:textFill>
      </w:rPr>
      <w:tcPr>
        <w:shd w:val="clear" w:color="EAF1DD" w:themeColor="accent3" w:themeTint="34" w:fill="EAF1DD" w:themeFill="accent3" w:themeFillTint="34"/>
      </w:tcPr>
    </w:tblStylePr>
    <w:tblStylePr w:type="band2Horz">
      <w:rPr>
        <w:rFonts w:ascii="Arial" w:hAnsi="Arial"/>
        <w:color w:val="9BBB59" w:themeColor="accent3"/>
        <w:sz w:val="22"/>
        <w14:textFill>
          <w14:solidFill>
            <w14:schemeClr w14:val="accent3"/>
          </w14:solidFill>
        </w14:textFill>
      </w:rPr>
    </w:tblStylePr>
  </w:style>
  <w:style w:type="table" w:customStyle="1" w:styleId="145">
    <w:name w:val="Grid Table 6 Colorful - Accent 4"/>
    <w:qFormat/>
    <w:uiPriority w:val="99"/>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top w:w="0" w:type="dxa"/>
        <w:left w:w="0" w:type="dxa"/>
        <w:bottom w:w="0" w:type="dxa"/>
        <w:right w:w="0" w:type="dxa"/>
      </w:tblCellMar>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12" w:space="0"/>
        </w:tcBorders>
      </w:tcPr>
    </w:tblStylePr>
    <w:tblStylePr w:type="lastRow">
      <w:rPr>
        <w:b/>
        <w:color w:val="B3A2C7" w:themeColor="accent4" w:themeTint="99"/>
        <w14:textFill>
          <w14:solidFill>
            <w14:schemeClr w14:val="accent4">
              <w14:lumMod w14:val="60000"/>
              <w14:lumOff w14:val="40000"/>
            </w14:schemeClr>
          </w14:solidFill>
        </w14:textFill>
      </w:r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E5DFEC" w:themeColor="accent4" w:themeTint="34" w:fill="E5DFEC" w:themeFill="accent4" w:themeFillTint="34"/>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46">
    <w:name w:val="Grid Table 6 Colorful - Accent 5"/>
    <w:qFormat/>
    <w:uiPriority w:val="99"/>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CellMar>
        <w:top w:w="0" w:type="dxa"/>
        <w:left w:w="0" w:type="dxa"/>
        <w:bottom w:w="0" w:type="dxa"/>
        <w:right w:w="0" w:type="dxa"/>
      </w:tblCellMar>
    </w:tblPr>
    <w:tblStylePr w:type="firstRow">
      <w:rPr>
        <w:b/>
        <w:color w:val="266778" w:themeColor="accent5" w:themeShade="94"/>
      </w:rPr>
      <w:tcPr>
        <w:tcBorders>
          <w:bottom w:val="single" w:color="4BACC6" w:themeColor="accent5"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DAEEF3" w:themeColor="accent5" w:themeTint="34" w:fill="DAEEF3" w:themeFill="accent5" w:themeFillTint="34"/>
      </w:tcPr>
    </w:tblStylePr>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style>
  <w:style w:type="table" w:customStyle="1" w:styleId="147">
    <w:name w:val="Grid Table 6 Colorful - Accent 6"/>
    <w:qFormat/>
    <w:uiPriority w:val="99"/>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CellMar>
        <w:top w:w="0" w:type="dxa"/>
        <w:left w:w="0" w:type="dxa"/>
        <w:bottom w:w="0" w:type="dxa"/>
        <w:right w:w="0" w:type="dxa"/>
      </w:tblCellMar>
    </w:tblPr>
    <w:tblStylePr w:type="firstRow">
      <w:rPr>
        <w:b/>
        <w:color w:val="266778" w:themeColor="accent5" w:themeShade="94"/>
      </w:rPr>
      <w:tcPr>
        <w:tcBorders>
          <w:bottom w:val="single" w:color="F79646" w:themeColor="accent6"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FDE9D9" w:themeColor="accent6" w:themeTint="34" w:fill="FDE9D9" w:themeFill="accent6" w:themeFillTint="34"/>
      </w:tcPr>
    </w:tblStylePr>
    <w:tblStylePr w:type="band1Horz">
      <w:rPr>
        <w:rFonts w:ascii="Arial" w:hAnsi="Arial"/>
        <w:color w:val="266778" w:themeColor="accent5" w:themeShade="94"/>
        <w:sz w:val="22"/>
      </w:rPr>
      <w:tcPr>
        <w:shd w:val="clear" w:color="FDE9D9" w:themeColor="accent6" w:themeTint="34" w:fill="FDE9D9" w:themeFill="accent6" w:themeFillTint="34"/>
      </w:tcPr>
    </w:tblStylePr>
    <w:tblStylePr w:type="band2Horz">
      <w:rPr>
        <w:rFonts w:ascii="Arial" w:hAnsi="Arial"/>
        <w:color w:val="266778" w:themeColor="accent5" w:themeShade="94"/>
        <w:sz w:val="22"/>
      </w:rPr>
    </w:tblStylePr>
  </w:style>
  <w:style w:type="table" w:customStyle="1" w:styleId="148">
    <w:name w:val="网格表 7 彩色1"/>
    <w:qFormat/>
    <w:uiPriority w:val="99"/>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CellMar>
        <w:top w:w="0" w:type="dxa"/>
        <w:left w:w="0" w:type="dxa"/>
        <w:bottom w:w="0" w:type="dxa"/>
        <w:right w:w="0" w:type="dxa"/>
      </w:tblCellMar>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49">
    <w:name w:val="Grid Table 7 Colorful - Accent 1"/>
    <w:qFormat/>
    <w:uiPriority w:val="99"/>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top w:w="0" w:type="dxa"/>
        <w:left w:w="0" w:type="dxa"/>
        <w:bottom w:w="0" w:type="dxa"/>
        <w:right w:w="0" w:type="dxa"/>
      </w:tblCellMar>
    </w:tblPr>
    <w:tblStylePr w:type="firstRow">
      <w:rPr>
        <w:rFonts w:ascii="Arial" w:hAnsi="Arial"/>
        <w:b/>
        <w:color w:val="A7C0DE" w:themeColor="accent1" w:themeTint="80"/>
        <w:sz w:val="22"/>
        <w14:textFill>
          <w14:solidFill>
            <w14:schemeClr w14:val="accent1">
              <w14:lumMod w14:val="50000"/>
              <w14:lumOff w14:val="50000"/>
            </w14:schemeClr>
          </w14:solidFill>
        </w14:textFill>
      </w:r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7C0DE" w:themeColor="accent1" w:themeTint="80"/>
        <w:sz w:val="22"/>
        <w14:textFill>
          <w14:solidFill>
            <w14:schemeClr w14:val="accent1">
              <w14:lumMod w14:val="50000"/>
              <w14:lumOff w14:val="50000"/>
            </w14:schemeClr>
          </w14:solidFill>
        </w14:textFill>
      </w:r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single" w:color="A6BFDD" w:themeColor="accent1" w:themeTint="80" w:sz="4" w:space="0"/>
          <w:bottom w:val="nil"/>
          <w:right w:val="nil"/>
        </w:tcBorders>
        <w:shd w:val="clear" w:color="FFFFFF" w:fill="auto"/>
      </w:tcPr>
    </w:tblStylePr>
    <w:tblStylePr w:type="band1Vert">
      <w:tcPr>
        <w:shd w:val="clear" w:color="DBE5F1" w:themeColor="accent1" w:themeTint="34" w:fill="DBE5F1" w:themeFill="accent1" w:themeFillTint="34"/>
      </w:tc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style>
  <w:style w:type="table" w:customStyle="1" w:styleId="150">
    <w:name w:val="Grid Table 7 Colorful - Accent 2"/>
    <w:qFormat/>
    <w:uiPriority w:val="99"/>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CellMar>
        <w:top w:w="0" w:type="dxa"/>
        <w:left w:w="0" w:type="dxa"/>
        <w:bottom w:w="0" w:type="dxa"/>
        <w:right w:w="0" w:type="dxa"/>
      </w:tblCellMar>
    </w:tblPr>
    <w:tblStylePr w:type="firstRow">
      <w:rPr>
        <w:rFonts w:ascii="Arial" w:hAnsi="Arial"/>
        <w:b/>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F2DCDC" w:themeColor="accent2" w:themeTint="32" w:fill="F2DCDC" w:themeFill="accent2" w:themeFillTint="32"/>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51">
    <w:name w:val="Grid Table 7 Colorful - Accent 3"/>
    <w:qFormat/>
    <w:uiPriority w:val="99"/>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CellMar>
        <w:top w:w="0" w:type="dxa"/>
        <w:left w:w="0" w:type="dxa"/>
        <w:bottom w:w="0" w:type="dxa"/>
        <w:right w:w="0" w:type="dxa"/>
      </w:tblCellMar>
    </w:tblPr>
    <w:tblStylePr w:type="firstRow">
      <w:rPr>
        <w:rFonts w:ascii="Arial" w:hAnsi="Arial"/>
        <w:b/>
        <w:color w:val="9BBB59" w:themeColor="accent3"/>
        <w:sz w:val="22"/>
        <w14:textFill>
          <w14:solidFill>
            <w14:schemeClr w14:val="accent3"/>
          </w14:solidFill>
        </w14:textFill>
      </w:r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sz w:val="22"/>
        <w14:textFill>
          <w14:solidFill>
            <w14:schemeClr w14:val="accent3"/>
          </w14:solidFill>
        </w14:textFill>
      </w:r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sz w:val="22"/>
        <w14:textFill>
          <w14:solidFill>
            <w14:schemeClr w14:val="accent3"/>
          </w14:solidFill>
        </w14:textFill>
      </w:r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sz w:val="22"/>
        <w14:textFill>
          <w14:solidFill>
            <w14:schemeClr w14:val="accent3"/>
          </w14:solidFill>
        </w14:textFill>
      </w:rPr>
      <w:tcPr>
        <w:tcBorders>
          <w:top w:val="nil"/>
          <w:left w:val="single" w:color="9BBB59" w:themeColor="accent3" w:themeTint="FE" w:sz="4" w:space="0"/>
          <w:bottom w:val="nil"/>
          <w:right w:val="nil"/>
        </w:tcBorders>
        <w:shd w:val="clear" w:color="FFFFFF" w:fill="auto"/>
      </w:tcPr>
    </w:tblStylePr>
    <w:tblStylePr w:type="band1Vert">
      <w:tcPr>
        <w:shd w:val="clear" w:color="EAF1DD" w:themeColor="accent3" w:themeTint="34" w:fill="EAF1DD" w:themeFill="accent3" w:themeFillTint="34"/>
      </w:tcPr>
    </w:tblStylePr>
    <w:tblStylePr w:type="band1Horz">
      <w:rPr>
        <w:rFonts w:ascii="Arial" w:hAnsi="Arial"/>
        <w:color w:val="9BBB59" w:themeColor="accent3"/>
        <w:sz w:val="22"/>
        <w14:textFill>
          <w14:solidFill>
            <w14:schemeClr w14:val="accent3"/>
          </w14:solidFill>
        </w14:textFill>
      </w:rPr>
      <w:tcPr>
        <w:shd w:val="clear" w:color="EAF1DD" w:themeColor="accent3" w:themeTint="34" w:fill="EAF1DD" w:themeFill="accent3" w:themeFillTint="34"/>
      </w:tcPr>
    </w:tblStylePr>
    <w:tblStylePr w:type="band2Horz">
      <w:rPr>
        <w:rFonts w:ascii="Arial" w:hAnsi="Arial"/>
        <w:color w:val="9BBB59" w:themeColor="accent3"/>
        <w:sz w:val="22"/>
        <w14:textFill>
          <w14:solidFill>
            <w14:schemeClr w14:val="accent3"/>
          </w14:solidFill>
        </w14:textFill>
      </w:rPr>
    </w:tblStylePr>
  </w:style>
  <w:style w:type="table" w:customStyle="1" w:styleId="152">
    <w:name w:val="Grid Table 7 Colorful - Accent 4"/>
    <w:qFormat/>
    <w:uiPriority w:val="99"/>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top w:w="0" w:type="dxa"/>
        <w:left w:w="0" w:type="dxa"/>
        <w:bottom w:w="0" w:type="dxa"/>
        <w:right w:w="0" w:type="dxa"/>
      </w:tblCellMar>
    </w:tblPr>
    <w:tblStylePr w:type="firstRow">
      <w:rPr>
        <w:rFonts w:ascii="Arial" w:hAnsi="Arial"/>
        <w:b/>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E5DFEC" w:themeColor="accent4" w:themeTint="34" w:fill="E5DFEC" w:themeFill="accent4" w:themeFillTint="34"/>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53">
    <w:name w:val="Grid Table 7 Colorful - Accent 5"/>
    <w:qFormat/>
    <w:uiPriority w:val="99"/>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top w:w="0" w:type="dxa"/>
        <w:left w:w="0" w:type="dxa"/>
        <w:bottom w:w="0" w:type="dxa"/>
        <w:right w:w="0" w:type="dxa"/>
      </w:tblCellMar>
    </w:tblPr>
    <w:tblStylePr w:type="firstRow">
      <w:rPr>
        <w:rFonts w:ascii="Arial" w:hAnsi="Arial"/>
        <w:b/>
        <w:color w:val="266778" w:themeColor="accent5" w:themeShade="94"/>
        <w:sz w:val="22"/>
      </w:r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8" w:themeColor="accent5" w:themeShade="94"/>
        <w:sz w:val="22"/>
      </w:r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8" w:themeColor="accent5" w:themeShade="94"/>
        <w:sz w:val="22"/>
      </w:r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8" w:themeColor="accent5" w:themeShade="94"/>
        <w:sz w:val="22"/>
      </w:rPr>
      <w:tcPr>
        <w:tcBorders>
          <w:top w:val="nil"/>
          <w:left w:val="single" w:color="99D0DE" w:themeColor="accent5" w:themeTint="90" w:sz="4" w:space="0"/>
          <w:bottom w:val="nil"/>
          <w:right w:val="nil"/>
        </w:tcBorders>
        <w:shd w:val="clear" w:color="FFFFFF" w:fill="auto"/>
      </w:tcPr>
    </w:tblStylePr>
    <w:tblStylePr w:type="band1Vert">
      <w:tcPr>
        <w:shd w:val="clear" w:color="DAEEF3" w:themeColor="accent5" w:themeTint="34" w:fill="DAEEF3" w:themeFill="accent5" w:themeFillTint="34"/>
      </w:tcPr>
    </w:tblStylePr>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style>
  <w:style w:type="table" w:customStyle="1" w:styleId="154">
    <w:name w:val="Grid Table 7 Colorful - Accent 6"/>
    <w:qFormat/>
    <w:uiPriority w:val="99"/>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top w:w="0" w:type="dxa"/>
        <w:left w:w="0" w:type="dxa"/>
        <w:bottom w:w="0" w:type="dxa"/>
        <w:right w:w="0" w:type="dxa"/>
      </w:tblCellMar>
    </w:tblPr>
    <w:tblStylePr w:type="firstRow">
      <w:rPr>
        <w:rFonts w:ascii="Arial" w:hAnsi="Arial"/>
        <w:b/>
        <w:color w:val="B05408" w:themeColor="accent6" w:themeShade="94"/>
        <w:sz w:val="22"/>
      </w:r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05408" w:themeColor="accent6" w:themeShade="94"/>
        <w:sz w:val="22"/>
      </w:r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05408" w:themeColor="accent6" w:themeShade="94"/>
        <w:sz w:val="22"/>
      </w:r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05408" w:themeColor="accent6" w:themeShade="94"/>
        <w:sz w:val="22"/>
      </w:rPr>
      <w:tcPr>
        <w:tcBorders>
          <w:top w:val="nil"/>
          <w:left w:val="single" w:color="FAC396" w:themeColor="accent6" w:themeTint="90" w:sz="4" w:space="0"/>
          <w:bottom w:val="nil"/>
          <w:right w:val="nil"/>
        </w:tcBorders>
        <w:shd w:val="clear" w:color="FFFFFF" w:fill="auto"/>
      </w:tcPr>
    </w:tblStylePr>
    <w:tblStylePr w:type="band1Vert">
      <w:tcPr>
        <w:shd w:val="clear" w:color="FDE9D9" w:themeColor="accent6" w:themeTint="34" w:fill="FDE9D9" w:themeFill="accent6" w:themeFillTint="34"/>
      </w:tcPr>
    </w:tblStylePr>
    <w:tblStylePr w:type="band1Horz">
      <w:rPr>
        <w:rFonts w:ascii="Arial" w:hAnsi="Arial"/>
        <w:color w:val="B05408" w:themeColor="accent6" w:themeShade="94"/>
        <w:sz w:val="22"/>
      </w:rPr>
      <w:tcPr>
        <w:shd w:val="clear" w:color="FDE9D9" w:themeColor="accent6" w:themeTint="34" w:fill="FDE9D9" w:themeFill="accent6" w:themeFillTint="34"/>
      </w:tcPr>
    </w:tblStylePr>
    <w:tblStylePr w:type="band2Horz">
      <w:rPr>
        <w:rFonts w:ascii="Arial" w:hAnsi="Arial"/>
        <w:color w:val="B05408" w:themeColor="accent6" w:themeShade="94"/>
        <w:sz w:val="22"/>
      </w:rPr>
    </w:tblStylePr>
  </w:style>
  <w:style w:type="table" w:customStyle="1" w:styleId="155">
    <w:name w:val="清单表 1 浅色1"/>
    <w:qFormat/>
    <w:uiPriority w:val="99"/>
    <w:tblPr>
      <w:tblCellMar>
        <w:top w:w="0" w:type="dxa"/>
        <w:left w:w="0" w:type="dxa"/>
        <w:bottom w:w="0" w:type="dxa"/>
        <w:right w:w="0" w:type="dxa"/>
      </w:tblCellMar>
    </w:tbl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156">
    <w:name w:val="List Table 1 Light - Accent 1"/>
    <w:qFormat/>
    <w:uiPriority w:val="99"/>
    <w:tblPr>
      <w:tblCellMar>
        <w:top w:w="0" w:type="dxa"/>
        <w:left w:w="0" w:type="dxa"/>
        <w:bottom w:w="0" w:type="dxa"/>
        <w:right w:w="0" w:type="dxa"/>
      </w:tblCellMar>
    </w:tblPr>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1Horz">
      <w:tcPr>
        <w:shd w:val="clear" w:color="D2DFEE" w:themeColor="accent1" w:themeTint="40" w:fill="D2DFEE" w:themeFill="accent1" w:themeFillTint="40"/>
      </w:tcPr>
    </w:tblStylePr>
  </w:style>
  <w:style w:type="table" w:customStyle="1" w:styleId="157">
    <w:name w:val="List Table 1 Light - Accent 2"/>
    <w:qFormat/>
    <w:uiPriority w:val="99"/>
    <w:tblPr>
      <w:tblCellMar>
        <w:top w:w="0" w:type="dxa"/>
        <w:left w:w="0" w:type="dxa"/>
        <w:bottom w:w="0" w:type="dxa"/>
        <w:right w:w="0" w:type="dxa"/>
      </w:tblCellMar>
    </w:tblPr>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3D2" w:themeColor="accent2" w:themeTint="40" w:fill="EFD3D2" w:themeFill="accent2" w:themeFillTint="40"/>
      </w:tcPr>
    </w:tblStylePr>
    <w:tblStylePr w:type="band1Horz">
      <w:tcPr>
        <w:shd w:val="clear" w:color="EFD3D2" w:themeColor="accent2" w:themeTint="40" w:fill="EFD3D2" w:themeFill="accent2" w:themeFillTint="40"/>
      </w:tcPr>
    </w:tblStylePr>
  </w:style>
  <w:style w:type="table" w:customStyle="1" w:styleId="158">
    <w:name w:val="List Table 1 Light - Accent 3"/>
    <w:qFormat/>
    <w:uiPriority w:val="99"/>
    <w:tblPr>
      <w:tblCellMar>
        <w:top w:w="0" w:type="dxa"/>
        <w:left w:w="0" w:type="dxa"/>
        <w:bottom w:w="0" w:type="dxa"/>
        <w:right w:w="0" w:type="dxa"/>
      </w:tblCellMar>
    </w:tblPr>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DD5" w:themeColor="accent3" w:themeTint="40" w:fill="E5EDD5" w:themeFill="accent3" w:themeFillTint="40"/>
      </w:tcPr>
    </w:tblStylePr>
    <w:tblStylePr w:type="band1Horz">
      <w:tcPr>
        <w:shd w:val="clear" w:color="E5EDD5" w:themeColor="accent3" w:themeTint="40" w:fill="E5EDD5" w:themeFill="accent3" w:themeFillTint="40"/>
      </w:tcPr>
    </w:tblStylePr>
  </w:style>
  <w:style w:type="table" w:customStyle="1" w:styleId="159">
    <w:name w:val="List Table 1 Light - Accent 4"/>
    <w:qFormat/>
    <w:uiPriority w:val="99"/>
    <w:tblPr>
      <w:tblCellMar>
        <w:top w:w="0" w:type="dxa"/>
        <w:left w:w="0" w:type="dxa"/>
        <w:bottom w:w="0" w:type="dxa"/>
        <w:right w:w="0" w:type="dxa"/>
      </w:tblCellMar>
    </w:tblPr>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1Horz">
      <w:tcPr>
        <w:shd w:val="clear" w:color="DFD8E7" w:themeColor="accent4" w:themeTint="40" w:fill="DFD8E7" w:themeFill="accent4" w:themeFillTint="40"/>
      </w:tcPr>
    </w:tblStylePr>
  </w:style>
  <w:style w:type="table" w:customStyle="1" w:styleId="160">
    <w:name w:val="List Table 1 Light - Accent 5"/>
    <w:qFormat/>
    <w:uiPriority w:val="99"/>
    <w:tblPr>
      <w:tblCellMar>
        <w:top w:w="0" w:type="dxa"/>
        <w:left w:w="0" w:type="dxa"/>
        <w:bottom w:w="0" w:type="dxa"/>
        <w:right w:w="0" w:type="dxa"/>
      </w:tblCellMar>
    </w:tblPr>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1Horz">
      <w:tcPr>
        <w:shd w:val="clear" w:color="D1EAF0" w:themeColor="accent5" w:themeTint="40" w:fill="D1EAF0" w:themeFill="accent5" w:themeFillTint="40"/>
      </w:tcPr>
    </w:tblStylePr>
  </w:style>
  <w:style w:type="table" w:customStyle="1" w:styleId="161">
    <w:name w:val="List Table 1 Light - Accent 6"/>
    <w:qFormat/>
    <w:uiPriority w:val="99"/>
    <w:tblPr>
      <w:tblCellMar>
        <w:top w:w="0" w:type="dxa"/>
        <w:left w:w="0" w:type="dxa"/>
        <w:bottom w:w="0" w:type="dxa"/>
        <w:right w:w="0" w:type="dxa"/>
      </w:tblCellMar>
    </w:tblPr>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CE4D0" w:themeColor="accent6" w:themeTint="40" w:fill="FCE4D0" w:themeFill="accent6" w:themeFillTint="40"/>
      </w:tcPr>
    </w:tblStylePr>
    <w:tblStylePr w:type="band1Horz">
      <w:tcPr>
        <w:shd w:val="clear" w:color="FCE4D0" w:themeColor="accent6" w:themeTint="40" w:fill="FCE4D0" w:themeFill="accent6" w:themeFillTint="40"/>
      </w:tcPr>
    </w:tblStylePr>
  </w:style>
  <w:style w:type="table" w:customStyle="1" w:styleId="162">
    <w:name w:val="清单表 21"/>
    <w:qFormat/>
    <w:uiPriority w:val="99"/>
    <w:tblPr>
      <w:tblBorders>
        <w:top w:val="single" w:color="6E6E6E" w:themeColor="text1" w:themeTint="90" w:sz="4" w:space="0"/>
        <w:bottom w:val="single" w:color="6E6E6E" w:themeColor="text1" w:themeTint="90" w:sz="4" w:space="0"/>
        <w:insideH w:val="single" w:color="6E6E6E" w:themeColor="text1" w:themeTint="90" w:sz="4" w:space="0"/>
      </w:tblBorders>
      <w:tblCellMar>
        <w:top w:w="0" w:type="dxa"/>
        <w:left w:w="0" w:type="dxa"/>
        <w:bottom w:w="0" w:type="dxa"/>
        <w:right w:w="0" w:type="dxa"/>
      </w:tblCellMar>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63">
    <w:name w:val="List Table 2 - Accent 1"/>
    <w:qFormat/>
    <w:uiPriority w:val="99"/>
    <w:tblPr>
      <w:tblBorders>
        <w:top w:val="single" w:color="9BB7D9" w:themeColor="accent1" w:themeTint="90" w:sz="4" w:space="0"/>
        <w:bottom w:val="single" w:color="9BB7D9" w:themeColor="accent1" w:themeTint="90" w:sz="4" w:space="0"/>
        <w:insideH w:val="single" w:color="9BB7D9" w:themeColor="accent1" w:themeTint="90" w:sz="4" w:space="0"/>
      </w:tblBorders>
      <w:tblCellMar>
        <w:top w:w="0" w:type="dxa"/>
        <w:left w:w="0" w:type="dxa"/>
        <w:bottom w:w="0" w:type="dxa"/>
        <w:right w:w="0" w:type="dxa"/>
      </w:tblCellMar>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64">
    <w:name w:val="List Table 2 - Accent 2"/>
    <w:qFormat/>
    <w:uiPriority w:val="99"/>
    <w:tblPr>
      <w:tblBorders>
        <w:top w:val="single" w:color="DB9C9A" w:themeColor="accent2" w:themeTint="90" w:sz="4" w:space="0"/>
        <w:bottom w:val="single" w:color="DB9C9A" w:themeColor="accent2" w:themeTint="90" w:sz="4" w:space="0"/>
        <w:insideH w:val="single" w:color="DB9C9A" w:themeColor="accent2" w:themeTint="90" w:sz="4" w:space="0"/>
      </w:tblBorders>
      <w:tblCellMar>
        <w:top w:w="0" w:type="dxa"/>
        <w:left w:w="0" w:type="dxa"/>
        <w:bottom w:w="0" w:type="dxa"/>
        <w:right w:w="0" w:type="dxa"/>
      </w:tblCellMar>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65">
    <w:name w:val="List Table 2 - Accent 3"/>
    <w:qFormat/>
    <w:uiPriority w:val="99"/>
    <w:tblPr>
      <w:tblBorders>
        <w:top w:val="single" w:color="C6D8A1" w:themeColor="accent3" w:themeTint="90" w:sz="4" w:space="0"/>
        <w:bottom w:val="single" w:color="C6D8A1" w:themeColor="accent3" w:themeTint="90" w:sz="4" w:space="0"/>
        <w:insideH w:val="single" w:color="C6D8A1" w:themeColor="accent3" w:themeTint="90" w:sz="4" w:space="0"/>
      </w:tblBorders>
      <w:tblCellMar>
        <w:top w:w="0" w:type="dxa"/>
        <w:left w:w="0" w:type="dxa"/>
        <w:bottom w:w="0" w:type="dxa"/>
        <w:right w:w="0" w:type="dxa"/>
      </w:tblCellMar>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66">
    <w:name w:val="List Table 2 - Accent 4"/>
    <w:qFormat/>
    <w:uiPriority w:val="99"/>
    <w:tblPr>
      <w:tblBorders>
        <w:top w:val="single" w:color="B7A7CA" w:themeColor="accent4" w:themeTint="90" w:sz="4" w:space="0"/>
        <w:bottom w:val="single" w:color="B7A7CA" w:themeColor="accent4" w:themeTint="90" w:sz="4" w:space="0"/>
        <w:insideH w:val="single" w:color="B7A7CA" w:themeColor="accent4" w:themeTint="90" w:sz="4" w:space="0"/>
      </w:tblBorders>
      <w:tblCellMar>
        <w:top w:w="0" w:type="dxa"/>
        <w:left w:w="0" w:type="dxa"/>
        <w:bottom w:w="0" w:type="dxa"/>
        <w:right w:w="0" w:type="dxa"/>
      </w:tblCellMar>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67">
    <w:name w:val="List Table 2 - Accent 5"/>
    <w:qFormat/>
    <w:uiPriority w:val="99"/>
    <w:tblPr>
      <w:tblBorders>
        <w:top w:val="single" w:color="99D0DE" w:themeColor="accent5" w:themeTint="90" w:sz="4" w:space="0"/>
        <w:bottom w:val="single" w:color="99D0DE" w:themeColor="accent5" w:themeTint="90" w:sz="4" w:space="0"/>
        <w:insideH w:val="single" w:color="99D0DE" w:themeColor="accent5" w:themeTint="90" w:sz="4" w:space="0"/>
      </w:tblBorders>
      <w:tblCellMar>
        <w:top w:w="0" w:type="dxa"/>
        <w:left w:w="0" w:type="dxa"/>
        <w:bottom w:w="0" w:type="dxa"/>
        <w:right w:w="0" w:type="dxa"/>
      </w:tblCellMar>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68">
    <w:name w:val="List Table 2 - Accent 6"/>
    <w:qFormat/>
    <w:uiPriority w:val="99"/>
    <w:tblPr>
      <w:tblBorders>
        <w:top w:val="single" w:color="FAC396" w:themeColor="accent6" w:themeTint="90" w:sz="4" w:space="0"/>
        <w:bottom w:val="single" w:color="FAC396" w:themeColor="accent6" w:themeTint="90" w:sz="4" w:space="0"/>
        <w:insideH w:val="single" w:color="FAC396" w:themeColor="accent6" w:themeTint="90" w:sz="4" w:space="0"/>
      </w:tblBorders>
      <w:tblCellMar>
        <w:top w:w="0" w:type="dxa"/>
        <w:left w:w="0" w:type="dxa"/>
        <w:bottom w:w="0" w:type="dxa"/>
        <w:right w:w="0" w:type="dxa"/>
      </w:tblCellMar>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69">
    <w:name w:val="清单表 31"/>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top w:w="0" w:type="dxa"/>
        <w:left w:w="0" w:type="dxa"/>
        <w:bottom w:w="0" w:type="dxa"/>
        <w:right w:w="0" w:type="dxa"/>
      </w:tblCellMar>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70">
    <w:name w:val="List Table 3 - Accent 1"/>
    <w:qFormat/>
    <w:uiPriority w:val="99"/>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CellMar>
        <w:top w:w="0" w:type="dxa"/>
        <w:left w:w="0" w:type="dxa"/>
        <w:bottom w:w="0" w:type="dxa"/>
        <w:right w:w="0" w:type="dxa"/>
      </w:tblCellMar>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1Horz">
      <w:rPr>
        <w:rFonts w:ascii="Arial" w:hAnsi="Arial"/>
        <w:color w:val="404040"/>
        <w:sz w:val="22"/>
      </w:rPr>
      <w:tcPr>
        <w:tcBorders>
          <w:top w:val="single" w:color="4F81BD" w:themeColor="accent1" w:sz="4" w:space="0"/>
          <w:bottom w:val="single" w:color="4F81BD" w:themeColor="accent1" w:sz="4" w:space="0"/>
        </w:tcBorders>
      </w:tcPr>
    </w:tblStylePr>
  </w:style>
  <w:style w:type="table" w:customStyle="1" w:styleId="171">
    <w:name w:val="List Table 3 - Accent 2"/>
    <w:qFormat/>
    <w:uiPriority w:val="99"/>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CellMar>
        <w:top w:w="0" w:type="dxa"/>
        <w:left w:w="0" w:type="dxa"/>
        <w:bottom w:w="0" w:type="dxa"/>
        <w:right w:w="0" w:type="dxa"/>
      </w:tblCellMar>
    </w:tblPr>
    <w:tblStylePr w:type="firstRow">
      <w:rPr>
        <w:rFonts w:ascii="Arial" w:hAnsi="Arial"/>
        <w:b/>
        <w:color w:val="FFFFFF"/>
        <w:sz w:val="22"/>
      </w:rPr>
      <w:tcPr>
        <w:shd w:val="clear" w:color="D99795" w:themeColor="accent2" w:themeTint="97" w:fill="D997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style>
  <w:style w:type="table" w:customStyle="1" w:styleId="172">
    <w:name w:val="List Table 3 - Accent 3"/>
    <w:qFormat/>
    <w:uiPriority w:val="99"/>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CellMar>
        <w:top w:w="0" w:type="dxa"/>
        <w:left w:w="0" w:type="dxa"/>
        <w:bottom w:w="0" w:type="dxa"/>
        <w:right w:w="0" w:type="dxa"/>
      </w:tblCellMar>
    </w:tblPr>
    <w:tblStylePr w:type="firstRow">
      <w:rPr>
        <w:rFonts w:ascii="Arial" w:hAnsi="Arial"/>
        <w:b/>
        <w:color w:val="FFFFFF"/>
        <w:sz w:val="22"/>
      </w:rPr>
      <w:tcPr>
        <w:shd w:val="clear" w:color="C3D69C" w:themeColor="accent3" w:themeTint="98" w:fill="C3D69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style>
  <w:style w:type="table" w:customStyle="1" w:styleId="173">
    <w:name w:val="List Table 3 - Accent 4"/>
    <w:qFormat/>
    <w:uiPriority w:val="99"/>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CellMar>
        <w:top w:w="0" w:type="dxa"/>
        <w:left w:w="0" w:type="dxa"/>
        <w:bottom w:w="0" w:type="dxa"/>
        <w:right w:w="0" w:type="dxa"/>
      </w:tblCellMar>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style>
  <w:style w:type="table" w:customStyle="1" w:styleId="174">
    <w:name w:val="List Table 3 - Accent 5"/>
    <w:qFormat/>
    <w:uiPriority w:val="99"/>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CellMar>
        <w:top w:w="0" w:type="dxa"/>
        <w:left w:w="0" w:type="dxa"/>
        <w:bottom w:w="0" w:type="dxa"/>
        <w:right w:w="0" w:type="dxa"/>
      </w:tblCellMar>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style>
  <w:style w:type="table" w:customStyle="1" w:styleId="175">
    <w:name w:val="List Table 3 - Accent 6"/>
    <w:qFormat/>
    <w:uiPriority w:val="99"/>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CellMar>
        <w:top w:w="0" w:type="dxa"/>
        <w:left w:w="0" w:type="dxa"/>
        <w:bottom w:w="0" w:type="dxa"/>
        <w:right w:w="0" w:type="dxa"/>
      </w:tblCellMar>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style>
  <w:style w:type="table" w:customStyle="1" w:styleId="176">
    <w:name w:val="清单表 41"/>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CellMar>
        <w:top w:w="0" w:type="dxa"/>
        <w:left w:w="0" w:type="dxa"/>
        <w:bottom w:w="0" w:type="dxa"/>
        <w:right w:w="0" w:type="dxa"/>
      </w:tblCellMar>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77">
    <w:name w:val="List Table 4 - Accent 1"/>
    <w:qFormat/>
    <w:uiPriority w:val="99"/>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CellMar>
        <w:top w:w="0" w:type="dxa"/>
        <w:left w:w="0" w:type="dxa"/>
        <w:bottom w:w="0" w:type="dxa"/>
        <w:right w:w="0" w:type="dxa"/>
      </w:tblCellMar>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78">
    <w:name w:val="List Table 4 - Accent 2"/>
    <w:qFormat/>
    <w:uiPriority w:val="99"/>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CellMar>
        <w:top w:w="0" w:type="dxa"/>
        <w:left w:w="0" w:type="dxa"/>
        <w:bottom w:w="0" w:type="dxa"/>
        <w:right w:w="0" w:type="dxa"/>
      </w:tblCellMar>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79">
    <w:name w:val="List Table 4 - Accent 3"/>
    <w:qFormat/>
    <w:uiPriority w:val="99"/>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CellMar>
        <w:top w:w="0" w:type="dxa"/>
        <w:left w:w="0" w:type="dxa"/>
        <w:bottom w:w="0" w:type="dxa"/>
        <w:right w:w="0" w:type="dxa"/>
      </w:tblCellMar>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80">
    <w:name w:val="List Table 4 - Accent 4"/>
    <w:qFormat/>
    <w:uiPriority w:val="99"/>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CellMar>
        <w:top w:w="0" w:type="dxa"/>
        <w:left w:w="0" w:type="dxa"/>
        <w:bottom w:w="0" w:type="dxa"/>
        <w:right w:w="0" w:type="dxa"/>
      </w:tblCellMar>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81">
    <w:name w:val="List Table 4 - Accent 5"/>
    <w:qFormat/>
    <w:uiPriority w:val="99"/>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CellMar>
        <w:top w:w="0" w:type="dxa"/>
        <w:left w:w="0" w:type="dxa"/>
        <w:bottom w:w="0" w:type="dxa"/>
        <w:right w:w="0" w:type="dxa"/>
      </w:tblCellMar>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82">
    <w:name w:val="List Table 4 - Accent 6"/>
    <w:qFormat/>
    <w:uiPriority w:val="99"/>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CellMar>
        <w:top w:w="0" w:type="dxa"/>
        <w:left w:w="0" w:type="dxa"/>
        <w:bottom w:w="0" w:type="dxa"/>
        <w:right w:w="0" w:type="dxa"/>
      </w:tblCellMar>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83">
    <w:name w:val="清单表 5 深色1"/>
    <w:qFormat/>
    <w:uiPriority w:val="99"/>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184">
    <w:name w:val="List Table 5 Dark - Accent 1"/>
    <w:qFormat/>
    <w:uiPriority w:val="99"/>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style>
  <w:style w:type="table" w:customStyle="1" w:styleId="185">
    <w:name w:val="List Table 5 Dark - Accent 2"/>
    <w:qFormat/>
    <w:uiPriority w:val="99"/>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style>
  <w:style w:type="table" w:customStyle="1" w:styleId="186">
    <w:name w:val="List Table 5 Dark - Accent 3"/>
    <w:qFormat/>
    <w:uiPriority w:val="99"/>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style>
  <w:style w:type="table" w:customStyle="1" w:styleId="187">
    <w:name w:val="List Table 5 Dark - Accent 4"/>
    <w:qFormat/>
    <w:uiPriority w:val="99"/>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style>
  <w:style w:type="table" w:customStyle="1" w:styleId="188">
    <w:name w:val="List Table 5 Dark - Accent 5"/>
    <w:qFormat/>
    <w:uiPriority w:val="99"/>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style>
  <w:style w:type="table" w:customStyle="1" w:styleId="189">
    <w:name w:val="List Table 5 Dark - Accent 6"/>
    <w:qFormat/>
    <w:uiPriority w:val="99"/>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style>
  <w:style w:type="table" w:customStyle="1" w:styleId="190">
    <w:name w:val="清单表 6 彩色1"/>
    <w:qFormat/>
    <w:uiPriority w:val="99"/>
    <w:tblPr>
      <w:tblBorders>
        <w:top w:val="single" w:color="7E7E7E" w:themeColor="text1" w:themeTint="80" w:sz="4" w:space="0"/>
        <w:bottom w:val="single" w:color="7E7E7E" w:themeColor="text1" w:themeTint="80" w:sz="4" w:space="0"/>
      </w:tblBorders>
      <w:tblCellMar>
        <w:top w:w="0" w:type="dxa"/>
        <w:left w:w="0" w:type="dxa"/>
        <w:bottom w:w="0" w:type="dxa"/>
        <w:right w:w="0" w:type="dxa"/>
      </w:tblCellMar>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style>
  <w:style w:type="table" w:customStyle="1" w:styleId="191">
    <w:name w:val="List Table 6 Colorful - Accent 1"/>
    <w:qFormat/>
    <w:uiPriority w:val="99"/>
    <w:tblPr>
      <w:tblBorders>
        <w:top w:val="single" w:color="4F81BD" w:themeColor="accent1" w:sz="4" w:space="0"/>
        <w:bottom w:val="single" w:color="4F81BD" w:themeColor="accent1" w:sz="4" w:space="0"/>
      </w:tblBorders>
      <w:tblCellMar>
        <w:top w:w="0" w:type="dxa"/>
        <w:left w:w="0" w:type="dxa"/>
        <w:bottom w:w="0" w:type="dxa"/>
        <w:right w:w="0" w:type="dxa"/>
      </w:tblCellMar>
    </w:tblPr>
    <w:tblStylePr w:type="firstRow">
      <w:rPr>
        <w:b/>
        <w:color w:val="2A4B71" w:themeColor="accent1" w:themeShade="94"/>
      </w:rPr>
      <w:tcPr>
        <w:tcBorders>
          <w:bottom w:val="single" w:color="4F81BD" w:themeColor="accent1" w:sz="4" w:space="0"/>
        </w:tcBorders>
      </w:tcPr>
    </w:tblStylePr>
    <w:tblStylePr w:type="lastRow">
      <w:rPr>
        <w:b/>
        <w:color w:val="2A4B71" w:themeColor="accent1" w:themeShade="94"/>
      </w:rPr>
      <w:tcPr>
        <w:tcBorders>
          <w:top w:val="single" w:color="4F81BD" w:themeColor="accent1" w:sz="4" w:space="0"/>
        </w:tcBorders>
      </w:tcPr>
    </w:tblStylePr>
    <w:tblStylePr w:type="firstCol">
      <w:rPr>
        <w:b/>
        <w:color w:val="2A4B71" w:themeColor="accent1" w:themeShade="94"/>
      </w:rPr>
    </w:tblStylePr>
    <w:tblStylePr w:type="lastCol">
      <w:rPr>
        <w:b/>
        <w:color w:val="2A4B71" w:themeColor="accent1" w:themeShade="94"/>
      </w:r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style>
  <w:style w:type="table" w:customStyle="1" w:styleId="192">
    <w:name w:val="List Table 6 Colorful - Accent 2"/>
    <w:qFormat/>
    <w:uiPriority w:val="99"/>
    <w:tblPr>
      <w:tblBorders>
        <w:top w:val="single" w:color="D99795" w:themeColor="accent2" w:themeTint="97" w:sz="4" w:space="0"/>
        <w:bottom w:val="single" w:color="D99795" w:themeColor="accent2" w:themeTint="97" w:sz="4" w:space="0"/>
      </w:tblBorders>
      <w:tblCellMar>
        <w:top w:w="0" w:type="dxa"/>
        <w:left w:w="0" w:type="dxa"/>
        <w:bottom w:w="0" w:type="dxa"/>
        <w:right w:w="0" w:type="dxa"/>
      </w:tblCellMar>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4" w:space="0"/>
        </w:tcBorders>
      </w:tcPr>
    </w:tblStylePr>
    <w:tblStylePr w:type="lastRow">
      <w:rPr>
        <w:b/>
        <w:color w:val="DA9896" w:themeColor="accent2" w:themeTint="96"/>
        <w14:textFill>
          <w14:solidFill>
            <w14:schemeClr w14:val="accent2">
              <w14:lumMod w14:val="59000"/>
              <w14:lumOff w14:val="41000"/>
            </w14:schemeClr>
          </w14:solidFill>
        </w14:textFill>
      </w:rPr>
      <w:tcPr>
        <w:tcBorders>
          <w:top w:val="single" w:color="D99795" w:themeColor="accent2" w:themeTint="97" w:sz="4" w:space="0"/>
        </w:tcBorders>
      </w:tc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EFD3D2" w:themeColor="accent2" w:themeTint="40" w:fill="EFD3D2" w:themeFill="accent2" w:themeFillTint="40"/>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93">
    <w:name w:val="List Table 6 Colorful - Accent 3"/>
    <w:qFormat/>
    <w:uiPriority w:val="99"/>
    <w:tblPr>
      <w:tblBorders>
        <w:top w:val="single" w:color="C3D69C" w:themeColor="accent3" w:themeTint="98" w:sz="4" w:space="0"/>
        <w:bottom w:val="single" w:color="C3D69C" w:themeColor="accent3" w:themeTint="98" w:sz="4" w:space="0"/>
      </w:tblBorders>
      <w:tblCellMar>
        <w:top w:w="0" w:type="dxa"/>
        <w:left w:w="0" w:type="dxa"/>
        <w:bottom w:w="0" w:type="dxa"/>
        <w:right w:w="0" w:type="dxa"/>
      </w:tblCellMar>
    </w:tblPr>
    <w:tblStylePr w:type="firstRow">
      <w:rPr>
        <w:b/>
        <w:color w:val="C3D69B" w:themeColor="accent3" w:themeTint="99"/>
        <w14:textFill>
          <w14:solidFill>
            <w14:schemeClr w14:val="accent3">
              <w14:lumMod w14:val="60000"/>
              <w14:lumOff w14:val="40000"/>
            </w14:schemeClr>
          </w14:solidFill>
        </w14:textFill>
      </w:rPr>
      <w:tcPr>
        <w:tcBorders>
          <w:bottom w:val="single" w:color="C3D69C" w:themeColor="accent3" w:themeTint="98" w:sz="4" w:space="0"/>
        </w:tcBorders>
      </w:tcPr>
    </w:tblStylePr>
    <w:tblStylePr w:type="lastRow">
      <w:rPr>
        <w:b/>
        <w:color w:val="C3D69B" w:themeColor="accent3" w:themeTint="99"/>
        <w14:textFill>
          <w14:solidFill>
            <w14:schemeClr w14:val="accent3">
              <w14:lumMod w14:val="60000"/>
              <w14:lumOff w14:val="40000"/>
            </w14:schemeClr>
          </w14:solidFill>
        </w14:textFill>
      </w:rPr>
      <w:tcPr>
        <w:tcBorders>
          <w:top w:val="single" w:color="C3D69C" w:themeColor="accent3" w:themeTint="98" w:sz="4" w:space="0"/>
        </w:tcBorders>
      </w:tcPr>
    </w:tblStylePr>
    <w:tblStylePr w:type="firstCol">
      <w:rPr>
        <w:b/>
        <w:color w:val="C3D69B" w:themeColor="accent3" w:themeTint="99"/>
        <w14:textFill>
          <w14:solidFill>
            <w14:schemeClr w14:val="accent3">
              <w14:lumMod w14:val="60000"/>
              <w14:lumOff w14:val="40000"/>
            </w14:schemeClr>
          </w14:solidFill>
        </w14:textFill>
      </w:rPr>
    </w:tblStylePr>
    <w:tblStylePr w:type="lastCol">
      <w:rPr>
        <w:b/>
        <w:color w:val="C3D69B" w:themeColor="accent3" w:themeTint="99"/>
        <w14:textFill>
          <w14:solidFill>
            <w14:schemeClr w14:val="accent3">
              <w14:lumMod w14:val="60000"/>
              <w14:lumOff w14:val="40000"/>
            </w14:schemeClr>
          </w14:solidFill>
        </w14:textFill>
      </w:rPr>
    </w:tblStylePr>
    <w:tblStylePr w:type="band1Vert">
      <w:tcPr>
        <w:shd w:val="clear" w:color="E5EDD5" w:themeColor="accent3" w:themeTint="40" w:fill="E5EDD5" w:themeFill="accent3" w:themeFillTint="40"/>
      </w:tc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style>
  <w:style w:type="table" w:customStyle="1" w:styleId="194">
    <w:name w:val="List Table 6 Colorful - Accent 4"/>
    <w:qFormat/>
    <w:uiPriority w:val="99"/>
    <w:tblPr>
      <w:tblBorders>
        <w:top w:val="single" w:color="B2A1C6" w:themeColor="accent4" w:themeTint="9A" w:sz="4" w:space="0"/>
        <w:bottom w:val="single" w:color="B2A1C6" w:themeColor="accent4" w:themeTint="9A" w:sz="4" w:space="0"/>
      </w:tblBorders>
      <w:tblCellMar>
        <w:top w:w="0" w:type="dxa"/>
        <w:left w:w="0" w:type="dxa"/>
        <w:bottom w:w="0" w:type="dxa"/>
        <w:right w:w="0" w:type="dxa"/>
      </w:tblCellMar>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4" w:space="0"/>
        </w:tcBorders>
      </w:tcPr>
    </w:tblStylePr>
    <w:tblStylePr w:type="lastRow">
      <w:rPr>
        <w:b/>
        <w:color w:val="B3A2C7" w:themeColor="accent4" w:themeTint="99"/>
        <w14:textFill>
          <w14:solidFill>
            <w14:schemeClr w14:val="accent4">
              <w14:lumMod w14:val="60000"/>
              <w14:lumOff w14:val="40000"/>
            </w14:schemeClr>
          </w14:solidFill>
        </w14:textFill>
      </w:rPr>
      <w:tcPr>
        <w:tcBorders>
          <w:top w:val="single" w:color="B2A1C6" w:themeColor="accent4" w:themeTint="9A" w:sz="4" w:space="0"/>
        </w:tcBorders>
      </w:tc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DFD8E7" w:themeColor="accent4" w:themeTint="40" w:fill="DFD8E7" w:themeFill="accent4" w:themeFillTint="40"/>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95">
    <w:name w:val="List Table 6 Colorful - Accent 5"/>
    <w:qFormat/>
    <w:uiPriority w:val="99"/>
    <w:tblPr>
      <w:tblBorders>
        <w:top w:val="single" w:color="92CCDC" w:themeColor="accent5" w:themeTint="9A" w:sz="4" w:space="0"/>
        <w:bottom w:val="single" w:color="92CCDC" w:themeColor="accent5" w:themeTint="9A" w:sz="4" w:space="0"/>
      </w:tblBorders>
      <w:tblCellMar>
        <w:top w:w="0" w:type="dxa"/>
        <w:left w:w="0" w:type="dxa"/>
        <w:bottom w:w="0" w:type="dxa"/>
        <w:right w:w="0" w:type="dxa"/>
      </w:tblCellMar>
    </w:tblPr>
    <w:tblStylePr w:type="firstRow">
      <w:rPr>
        <w:b/>
        <w:color w:val="93CDDD" w:themeColor="accent5" w:themeTint="99"/>
        <w14:textFill>
          <w14:solidFill>
            <w14:schemeClr w14:val="accent5">
              <w14:lumMod w14:val="60000"/>
              <w14:lumOff w14:val="40000"/>
            </w14:schemeClr>
          </w14:solidFill>
        </w14:textFill>
      </w:rPr>
      <w:tcPr>
        <w:tcBorders>
          <w:bottom w:val="single" w:color="92CCDC" w:themeColor="accent5" w:themeTint="9A" w:sz="4" w:space="0"/>
        </w:tcBorders>
      </w:tcPr>
    </w:tblStylePr>
    <w:tblStylePr w:type="lastRow">
      <w:rPr>
        <w:b/>
        <w:color w:val="93CDDD" w:themeColor="accent5" w:themeTint="99"/>
        <w14:textFill>
          <w14:solidFill>
            <w14:schemeClr w14:val="accent5">
              <w14:lumMod w14:val="60000"/>
              <w14:lumOff w14:val="40000"/>
            </w14:schemeClr>
          </w14:solidFill>
        </w14:textFill>
      </w:rPr>
      <w:tcPr>
        <w:tcBorders>
          <w:top w:val="single" w:color="92CCDC" w:themeColor="accent5" w:themeTint="9A" w:sz="4" w:space="0"/>
        </w:tcBorders>
      </w:tcPr>
    </w:tblStylePr>
    <w:tblStylePr w:type="firstCol">
      <w:rPr>
        <w:b/>
        <w:color w:val="93CDDD" w:themeColor="accent5" w:themeTint="99"/>
        <w14:textFill>
          <w14:solidFill>
            <w14:schemeClr w14:val="accent5">
              <w14:lumMod w14:val="60000"/>
              <w14:lumOff w14:val="40000"/>
            </w14:schemeClr>
          </w14:solidFill>
        </w14:textFill>
      </w:rPr>
    </w:tblStylePr>
    <w:tblStylePr w:type="lastCol">
      <w:rPr>
        <w:b/>
        <w:color w:val="93CDDD" w:themeColor="accent5" w:themeTint="99"/>
        <w14:textFill>
          <w14:solidFill>
            <w14:schemeClr w14:val="accent5">
              <w14:lumMod w14:val="60000"/>
              <w14:lumOff w14:val="40000"/>
            </w14:schemeClr>
          </w14:solidFill>
        </w14:textFill>
      </w:rPr>
    </w:tblStylePr>
    <w:tblStylePr w:type="band1Vert">
      <w:tcPr>
        <w:shd w:val="clear" w:color="D1EAF0" w:themeColor="accent5" w:themeTint="40" w:fill="D1EAF0" w:themeFill="accent5" w:themeFillTint="40"/>
      </w:tc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style>
  <w:style w:type="table" w:customStyle="1" w:styleId="196">
    <w:name w:val="List Table 6 Colorful - Accent 6"/>
    <w:qFormat/>
    <w:uiPriority w:val="99"/>
    <w:tblPr>
      <w:tblBorders>
        <w:top w:val="single" w:color="FAC090" w:themeColor="accent6" w:themeTint="98" w:sz="4" w:space="0"/>
        <w:bottom w:val="single" w:color="FAC090" w:themeColor="accent6" w:themeTint="98" w:sz="4" w:space="0"/>
      </w:tblBorders>
      <w:tblCellMar>
        <w:top w:w="0" w:type="dxa"/>
        <w:left w:w="0" w:type="dxa"/>
        <w:bottom w:w="0" w:type="dxa"/>
        <w:right w:w="0" w:type="dxa"/>
      </w:tblCellMar>
    </w:tblPr>
    <w:tblStylePr w:type="firstRow">
      <w:rPr>
        <w:b/>
        <w:color w:val="FAC090" w:themeColor="accent6" w:themeTint="99"/>
        <w14:textFill>
          <w14:solidFill>
            <w14:schemeClr w14:val="accent6">
              <w14:lumMod w14:val="60000"/>
              <w14:lumOff w14:val="40000"/>
            </w14:schemeClr>
          </w14:solidFill>
        </w14:textFill>
      </w:rPr>
      <w:tcPr>
        <w:tcBorders>
          <w:bottom w:val="single" w:color="FAC090" w:themeColor="accent6" w:themeTint="98" w:sz="4" w:space="0"/>
        </w:tcBorders>
      </w:tcPr>
    </w:tblStylePr>
    <w:tblStylePr w:type="lastRow">
      <w:rPr>
        <w:b/>
        <w:color w:val="FAC090" w:themeColor="accent6" w:themeTint="99"/>
        <w14:textFill>
          <w14:solidFill>
            <w14:schemeClr w14:val="accent6">
              <w14:lumMod w14:val="60000"/>
              <w14:lumOff w14:val="40000"/>
            </w14:schemeClr>
          </w14:solidFill>
        </w14:textFill>
      </w:rPr>
      <w:tcPr>
        <w:tcBorders>
          <w:top w:val="single" w:color="FAC090" w:themeColor="accent6" w:themeTint="98" w:sz="4" w:space="0"/>
        </w:tcBorders>
      </w:tcPr>
    </w:tblStylePr>
    <w:tblStylePr w:type="firstCol">
      <w:rPr>
        <w:b/>
        <w:color w:val="FAC090" w:themeColor="accent6" w:themeTint="99"/>
        <w14:textFill>
          <w14:solidFill>
            <w14:schemeClr w14:val="accent6">
              <w14:lumMod w14:val="60000"/>
              <w14:lumOff w14:val="40000"/>
            </w14:schemeClr>
          </w14:solidFill>
        </w14:textFill>
      </w:rPr>
    </w:tblStylePr>
    <w:tblStylePr w:type="lastCol">
      <w:rPr>
        <w:b/>
        <w:color w:val="FAC090" w:themeColor="accent6" w:themeTint="99"/>
        <w14:textFill>
          <w14:solidFill>
            <w14:schemeClr w14:val="accent6">
              <w14:lumMod w14:val="60000"/>
              <w14:lumOff w14:val="40000"/>
            </w14:schemeClr>
          </w14:solidFill>
        </w14:textFill>
      </w:r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style>
  <w:style w:type="table" w:customStyle="1" w:styleId="197">
    <w:name w:val="清单表 7 彩色1"/>
    <w:qFormat/>
    <w:uiPriority w:val="99"/>
    <w:tblPr>
      <w:tblBorders>
        <w:right w:val="single" w:color="7E7E7E" w:themeColor="text1" w:themeTint="80" w:sz="4" w:space="0"/>
      </w:tblBorders>
      <w:tblCellMar>
        <w:top w:w="0" w:type="dxa"/>
        <w:left w:w="0" w:type="dxa"/>
        <w:bottom w:w="0" w:type="dxa"/>
        <w:right w:w="0" w:type="dxa"/>
      </w:tblCellMar>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98">
    <w:name w:val="List Table 7 Colorful - Accent 1"/>
    <w:qFormat/>
    <w:uiPriority w:val="99"/>
    <w:tblPr>
      <w:tblBorders>
        <w:right w:val="single" w:color="4F81BD" w:themeColor="accent1" w:sz="4" w:space="0"/>
      </w:tblBorders>
      <w:tblCellMar>
        <w:top w:w="0" w:type="dxa"/>
        <w:left w:w="0" w:type="dxa"/>
        <w:bottom w:w="0" w:type="dxa"/>
        <w:right w:w="0" w:type="dxa"/>
      </w:tblCellMar>
    </w:tblPr>
    <w:tblStylePr w:type="firstRow">
      <w:rPr>
        <w:rFonts w:ascii="Arial" w:hAnsi="Arial"/>
        <w:i/>
        <w:color w:val="2A4B71" w:themeColor="accent1" w:themeShade="94"/>
        <w:sz w:val="22"/>
      </w:r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4"/>
        <w:sz w:val="22"/>
      </w:r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4"/>
        <w:sz w:val="22"/>
      </w:r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4"/>
        <w:sz w:val="22"/>
      </w:rPr>
      <w:tcPr>
        <w:tcBorders>
          <w:top w:val="nil"/>
          <w:left w:val="single" w:color="4F81BD" w:themeColor="accent1" w:sz="4" w:space="0"/>
          <w:bottom w:val="nil"/>
          <w:right w:val="nil"/>
        </w:tcBorders>
        <w:shd w:val="clear" w:color="FFFFFF" w:fill="auto"/>
      </w:tc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style>
  <w:style w:type="table" w:customStyle="1" w:styleId="199">
    <w:name w:val="List Table 7 Colorful - Accent 2"/>
    <w:qFormat/>
    <w:uiPriority w:val="99"/>
    <w:tblPr>
      <w:tblBorders>
        <w:right w:val="single" w:color="D99795" w:themeColor="accent2" w:themeTint="97" w:sz="4" w:space="0"/>
      </w:tblBorders>
      <w:tblCellMar>
        <w:top w:w="0" w:type="dxa"/>
        <w:left w:w="0" w:type="dxa"/>
        <w:bottom w:w="0" w:type="dxa"/>
        <w:right w:w="0" w:type="dxa"/>
      </w:tblCellMar>
    </w:tblPr>
    <w:tblStylePr w:type="firstRow">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EFD3D2" w:themeColor="accent2" w:themeTint="40" w:fill="EFD3D2" w:themeFill="accent2" w:themeFillTint="40"/>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200">
    <w:name w:val="List Table 7 Colorful - Accent 3"/>
    <w:qFormat/>
    <w:uiPriority w:val="99"/>
    <w:tblPr>
      <w:tblBorders>
        <w:right w:val="single" w:color="C3D69C" w:themeColor="accent3" w:themeTint="98" w:sz="4" w:space="0"/>
      </w:tblBorders>
      <w:tblCellMar>
        <w:top w:w="0" w:type="dxa"/>
        <w:left w:w="0" w:type="dxa"/>
        <w:bottom w:w="0" w:type="dxa"/>
        <w:right w:w="0" w:type="dxa"/>
      </w:tblCellMar>
    </w:tblPr>
    <w:tblStylePr w:type="firstRow">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B" w:themeColor="accent3" w:themeTint="99"/>
        <w:sz w:val="22"/>
        <w14:textFill>
          <w14:solidFill>
            <w14:schemeClr w14:val="accent3">
              <w14:lumMod w14:val="60000"/>
              <w14:lumOff w14:val="40000"/>
            </w14:schemeClr>
          </w14:solidFill>
        </w14:textFill>
      </w:r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single" w:color="C3D69C" w:themeColor="accent3" w:themeTint="98" w:sz="4" w:space="0"/>
          <w:bottom w:val="nil"/>
          <w:right w:val="nil"/>
        </w:tcBorders>
        <w:shd w:val="clear" w:color="FFFFFF" w:fill="auto"/>
      </w:tcPr>
    </w:tblStylePr>
    <w:tblStylePr w:type="band1Vert">
      <w:tcPr>
        <w:shd w:val="clear" w:color="E5EDD5" w:themeColor="accent3" w:themeTint="40" w:fill="E5EDD5" w:themeFill="accent3" w:themeFillTint="40"/>
      </w:tc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style>
  <w:style w:type="table" w:customStyle="1" w:styleId="201">
    <w:name w:val="List Table 7 Colorful - Accent 4"/>
    <w:qFormat/>
    <w:uiPriority w:val="99"/>
    <w:tblPr>
      <w:tblBorders>
        <w:right w:val="single" w:color="B2A1C6" w:themeColor="accent4" w:themeTint="9A" w:sz="4" w:space="0"/>
      </w:tblBorders>
      <w:tblCellMar>
        <w:top w:w="0" w:type="dxa"/>
        <w:left w:w="0" w:type="dxa"/>
        <w:bottom w:w="0" w:type="dxa"/>
        <w:right w:w="0" w:type="dxa"/>
      </w:tblCellMar>
    </w:tblPr>
    <w:tblStylePr w:type="firstRow">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DFD8E7" w:themeColor="accent4" w:themeTint="40" w:fill="DFD8E7" w:themeFill="accent4" w:themeFillTint="40"/>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202">
    <w:name w:val="List Table 7 Colorful - Accent 5"/>
    <w:qFormat/>
    <w:uiPriority w:val="99"/>
    <w:tblPr>
      <w:tblBorders>
        <w:right w:val="single" w:color="92CCDC" w:themeColor="accent5" w:themeTint="9A" w:sz="4" w:space="0"/>
      </w:tblBorders>
      <w:tblCellMar>
        <w:top w:w="0" w:type="dxa"/>
        <w:left w:w="0" w:type="dxa"/>
        <w:bottom w:w="0" w:type="dxa"/>
        <w:right w:w="0" w:type="dxa"/>
      </w:tblCellMar>
    </w:tblPr>
    <w:tblStylePr w:type="firstRow">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3CDDD" w:themeColor="accent5" w:themeTint="99"/>
        <w:sz w:val="22"/>
        <w14:textFill>
          <w14:solidFill>
            <w14:schemeClr w14:val="accent5">
              <w14:lumMod w14:val="60000"/>
              <w14:lumOff w14:val="40000"/>
            </w14:schemeClr>
          </w14:solidFill>
        </w14:textFill>
      </w:r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single" w:color="92CCDC" w:themeColor="accent5" w:themeTint="9A" w:sz="4" w:space="0"/>
          <w:bottom w:val="nil"/>
          <w:right w:val="nil"/>
        </w:tcBorders>
        <w:shd w:val="clear" w:color="FFFFFF" w:fill="auto"/>
      </w:tcPr>
    </w:tblStylePr>
    <w:tblStylePr w:type="band1Vert">
      <w:tcPr>
        <w:shd w:val="clear" w:color="D1EAF0" w:themeColor="accent5" w:themeTint="40" w:fill="D1EAF0" w:themeFill="accent5" w:themeFillTint="40"/>
      </w:tc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style>
  <w:style w:type="table" w:customStyle="1" w:styleId="203">
    <w:name w:val="List Table 7 Colorful - Accent 6"/>
    <w:qFormat/>
    <w:uiPriority w:val="99"/>
    <w:tblPr>
      <w:tblBorders>
        <w:right w:val="single" w:color="FAC090" w:themeColor="accent6" w:themeTint="98" w:sz="4" w:space="0"/>
      </w:tblBorders>
      <w:tblCellMar>
        <w:top w:w="0" w:type="dxa"/>
        <w:left w:w="0" w:type="dxa"/>
        <w:bottom w:w="0" w:type="dxa"/>
        <w:right w:w="0" w:type="dxa"/>
      </w:tblCellMar>
    </w:tblPr>
    <w:tblStylePr w:type="firstRow">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Tint="99"/>
        <w:sz w:val="22"/>
        <w14:textFill>
          <w14:solidFill>
            <w14:schemeClr w14:val="accent6">
              <w14:lumMod w14:val="60000"/>
              <w14:lumOff w14:val="40000"/>
            </w14:schemeClr>
          </w14:solidFill>
        </w14:textFill>
      </w:r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single" w:color="FAC090" w:themeColor="accent6" w:themeTint="98" w:sz="4" w:space="0"/>
          <w:bottom w:val="nil"/>
          <w:right w:val="nil"/>
        </w:tcBorders>
        <w:shd w:val="clear" w:color="FFFFFF" w:fill="auto"/>
      </w:tc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style>
  <w:style w:type="table" w:customStyle="1" w:styleId="204">
    <w:name w:val="Lined - Accent"/>
    <w:qFormat/>
    <w:uiPriority w:val="99"/>
    <w:rPr>
      <w:color w:val="404040"/>
    </w:rPr>
    <w:tblPr>
      <w:tblCellMar>
        <w:top w:w="0" w:type="dxa"/>
        <w:left w:w="0" w:type="dxa"/>
        <w:bottom w:w="0" w:type="dxa"/>
        <w:right w:w="0" w:type="dxa"/>
      </w:tblCellMar>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205">
    <w:name w:val="Lined - Accent 1"/>
    <w:qFormat/>
    <w:uiPriority w:val="99"/>
    <w:rPr>
      <w:color w:val="404040"/>
    </w:rPr>
    <w:tblPr>
      <w:tblCellMar>
        <w:top w:w="0" w:type="dxa"/>
        <w:left w:w="0" w:type="dxa"/>
        <w:bottom w:w="0" w:type="dxa"/>
        <w:right w:w="0" w:type="dxa"/>
      </w:tblCellMar>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206">
    <w:name w:val="Lined - Accent 2"/>
    <w:qFormat/>
    <w:uiPriority w:val="99"/>
    <w:rPr>
      <w:color w:val="404040"/>
    </w:rPr>
    <w:tblPr>
      <w:tblCellMar>
        <w:top w:w="0" w:type="dxa"/>
        <w:left w:w="0" w:type="dxa"/>
        <w:bottom w:w="0" w:type="dxa"/>
        <w:right w:w="0" w:type="dxa"/>
      </w:tblCellMar>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207">
    <w:name w:val="Lined - Accent 3"/>
    <w:qFormat/>
    <w:uiPriority w:val="99"/>
    <w:rPr>
      <w:color w:val="404040"/>
    </w:rPr>
    <w:tblPr>
      <w:tblCellMar>
        <w:top w:w="0" w:type="dxa"/>
        <w:left w:w="0" w:type="dxa"/>
        <w:bottom w:w="0" w:type="dxa"/>
        <w:right w:w="0" w:type="dxa"/>
      </w:tblCellMar>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208">
    <w:name w:val="Lined - Accent 4"/>
    <w:qFormat/>
    <w:uiPriority w:val="99"/>
    <w:rPr>
      <w:color w:val="404040"/>
    </w:rPr>
    <w:tblPr>
      <w:tblCellMar>
        <w:top w:w="0" w:type="dxa"/>
        <w:left w:w="0" w:type="dxa"/>
        <w:bottom w:w="0" w:type="dxa"/>
        <w:right w:w="0" w:type="dxa"/>
      </w:tblCellMar>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209">
    <w:name w:val="Lined - Accent 5"/>
    <w:qFormat/>
    <w:uiPriority w:val="99"/>
    <w:rPr>
      <w:color w:val="404040"/>
    </w:rPr>
    <w:tblPr>
      <w:tblCellMar>
        <w:top w:w="0" w:type="dxa"/>
        <w:left w:w="0" w:type="dxa"/>
        <w:bottom w:w="0" w:type="dxa"/>
        <w:right w:w="0" w:type="dxa"/>
      </w:tblCellMar>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210">
    <w:name w:val="Lined - Accent 6"/>
    <w:qFormat/>
    <w:uiPriority w:val="99"/>
    <w:rPr>
      <w:color w:val="404040"/>
    </w:rPr>
    <w:tblPr>
      <w:tblCellMar>
        <w:top w:w="0" w:type="dxa"/>
        <w:left w:w="0" w:type="dxa"/>
        <w:bottom w:w="0" w:type="dxa"/>
        <w:right w:w="0" w:type="dxa"/>
      </w:tblCellMar>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211">
    <w:name w:val="Bordered &amp; Lined - Accent"/>
    <w:qFormat/>
    <w:uiPriority w:val="99"/>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0" w:type="dxa"/>
        <w:bottom w:w="0" w:type="dxa"/>
        <w:right w:w="0" w:type="dxa"/>
      </w:tblCellMar>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212">
    <w:name w:val="Bordered &amp; Lined - Accent 1"/>
    <w:qFormat/>
    <w:uiPriority w:val="99"/>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CellMar>
        <w:top w:w="0" w:type="dxa"/>
        <w:left w:w="0" w:type="dxa"/>
        <w:bottom w:w="0" w:type="dxa"/>
        <w:right w:w="0" w:type="dxa"/>
      </w:tblCellMar>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213">
    <w:name w:val="Bordered &amp; Lined - Accent 2"/>
    <w:qFormat/>
    <w:uiPriority w:val="99"/>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CellMar>
        <w:top w:w="0" w:type="dxa"/>
        <w:left w:w="0" w:type="dxa"/>
        <w:bottom w:w="0" w:type="dxa"/>
        <w:right w:w="0" w:type="dxa"/>
      </w:tblCellMar>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214">
    <w:name w:val="Bordered &amp; Lined - Accent 3"/>
    <w:qFormat/>
    <w:uiPriority w:val="99"/>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CellMar>
        <w:top w:w="0" w:type="dxa"/>
        <w:left w:w="0" w:type="dxa"/>
        <w:bottom w:w="0" w:type="dxa"/>
        <w:right w:w="0" w:type="dxa"/>
      </w:tblCellMar>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215">
    <w:name w:val="Bordered &amp; Lined - Accent 4"/>
    <w:qFormat/>
    <w:uiPriority w:val="99"/>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CellMar>
        <w:top w:w="0" w:type="dxa"/>
        <w:left w:w="0" w:type="dxa"/>
        <w:bottom w:w="0" w:type="dxa"/>
        <w:right w:w="0" w:type="dxa"/>
      </w:tblCellMar>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216">
    <w:name w:val="Bordered &amp; Lined - Accent 5"/>
    <w:qFormat/>
    <w:uiPriority w:val="99"/>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CellMar>
        <w:top w:w="0" w:type="dxa"/>
        <w:left w:w="0" w:type="dxa"/>
        <w:bottom w:w="0" w:type="dxa"/>
        <w:right w:w="0" w:type="dxa"/>
      </w:tblCellMar>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217">
    <w:name w:val="Bordered &amp; Lined - Accent 6"/>
    <w:qFormat/>
    <w:uiPriority w:val="99"/>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CellMar>
        <w:top w:w="0" w:type="dxa"/>
        <w:left w:w="0" w:type="dxa"/>
        <w:bottom w:w="0" w:type="dxa"/>
        <w:right w:w="0" w:type="dxa"/>
      </w:tblCellMar>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218">
    <w:name w:val="Bordered"/>
    <w:qFormat/>
    <w:uiPriority w:val="99"/>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CellMar>
        <w:top w:w="0" w:type="dxa"/>
        <w:left w:w="0" w:type="dxa"/>
        <w:bottom w:w="0" w:type="dxa"/>
        <w:right w:w="0" w:type="dxa"/>
      </w:tblCellMar>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219">
    <w:name w:val="Bordered - Accent 1"/>
    <w:qFormat/>
    <w:uiPriority w:val="99"/>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CellMar>
        <w:top w:w="0" w:type="dxa"/>
        <w:left w:w="0" w:type="dxa"/>
        <w:bottom w:w="0" w:type="dxa"/>
        <w:right w:w="0" w:type="dxa"/>
      </w:tblCellMar>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220">
    <w:name w:val="Bordered - Accent 2"/>
    <w:qFormat/>
    <w:uiPriority w:val="99"/>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CellMar>
        <w:top w:w="0" w:type="dxa"/>
        <w:left w:w="0" w:type="dxa"/>
        <w:bottom w:w="0" w:type="dxa"/>
        <w:right w:w="0" w:type="dxa"/>
      </w:tblCellMar>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221">
    <w:name w:val="Bordered - Accent 3"/>
    <w:qFormat/>
    <w:uiPriority w:val="99"/>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top w:w="0" w:type="dxa"/>
        <w:left w:w="0" w:type="dxa"/>
        <w:bottom w:w="0" w:type="dxa"/>
        <w:right w:w="0" w:type="dxa"/>
      </w:tblCellMar>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222">
    <w:name w:val="Bordered - Accent 4"/>
    <w:qFormat/>
    <w:uiPriority w:val="99"/>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top w:w="0" w:type="dxa"/>
        <w:left w:w="0" w:type="dxa"/>
        <w:bottom w:w="0" w:type="dxa"/>
        <w:right w:w="0" w:type="dxa"/>
      </w:tblCellMar>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223">
    <w:name w:val="Bordered - Accent 5"/>
    <w:qFormat/>
    <w:uiPriority w:val="99"/>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CellMar>
        <w:top w:w="0" w:type="dxa"/>
        <w:left w:w="0" w:type="dxa"/>
        <w:bottom w:w="0" w:type="dxa"/>
        <w:right w:w="0" w:type="dxa"/>
      </w:tblCellMar>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224">
    <w:name w:val="Bordered - Accent 6"/>
    <w:qFormat/>
    <w:uiPriority w:val="99"/>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top w:w="0" w:type="dxa"/>
        <w:left w:w="0" w:type="dxa"/>
        <w:bottom w:w="0" w:type="dxa"/>
        <w:right w:w="0" w:type="dxa"/>
      </w:tblCellMar>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character" w:customStyle="1" w:styleId="225">
    <w:name w:val="脚注文本 字符"/>
    <w:link w:val="29"/>
    <w:qFormat/>
    <w:uiPriority w:val="99"/>
    <w:rPr>
      <w:sz w:val="18"/>
    </w:rPr>
  </w:style>
  <w:style w:type="character" w:customStyle="1" w:styleId="226">
    <w:name w:val="尾注文本 字符"/>
    <w:link w:val="21"/>
    <w:qFormat/>
    <w:uiPriority w:val="99"/>
    <w:rPr>
      <w:sz w:val="20"/>
    </w:rPr>
  </w:style>
  <w:style w:type="paragraph" w:customStyle="1" w:styleId="227">
    <w:name w:val="TOC 标题11"/>
    <w:unhideWhenUsed/>
    <w:qFormat/>
    <w:uiPriority w:val="39"/>
    <w:rPr>
      <w:rFonts w:hint="default" w:ascii="Times New Roman" w:hAnsi="Times New Roman" w:eastAsia="宋体" w:cs="Times New Roman"/>
      <w:lang w:val="en-US" w:eastAsia="zh-CN" w:bidi="ar-SA"/>
    </w:rPr>
  </w:style>
  <w:style w:type="paragraph" w:customStyle="1" w:styleId="228">
    <w:name w:val="标题 11"/>
    <w:basedOn w:val="1"/>
    <w:next w:val="1"/>
    <w:link w:val="239"/>
    <w:qFormat/>
    <w:uiPriority w:val="0"/>
    <w:pPr>
      <w:keepNext/>
      <w:keepLines/>
      <w:spacing w:before="340" w:after="330" w:line="576" w:lineRule="auto"/>
      <w:outlineLvl w:val="0"/>
    </w:pPr>
    <w:rPr>
      <w:rFonts w:eastAsia="宋体"/>
      <w:b/>
      <w:sz w:val="44"/>
      <w:szCs w:val="20"/>
    </w:rPr>
  </w:style>
  <w:style w:type="paragraph" w:customStyle="1" w:styleId="229">
    <w:name w:val="标题 21"/>
    <w:basedOn w:val="1"/>
    <w:next w:val="1"/>
    <w:link w:val="240"/>
    <w:qFormat/>
    <w:uiPriority w:val="0"/>
    <w:pPr>
      <w:keepNext/>
      <w:keepLines/>
      <w:spacing w:before="260" w:after="260" w:line="413" w:lineRule="auto"/>
      <w:outlineLvl w:val="1"/>
    </w:pPr>
    <w:rPr>
      <w:rFonts w:ascii="Arial" w:hAnsi="Arial" w:eastAsia="黑体"/>
      <w:b/>
      <w:sz w:val="32"/>
      <w:szCs w:val="20"/>
    </w:rPr>
  </w:style>
  <w:style w:type="paragraph" w:customStyle="1" w:styleId="230">
    <w:name w:val="标题 41"/>
    <w:basedOn w:val="1"/>
    <w:next w:val="1"/>
    <w:link w:val="241"/>
    <w:qFormat/>
    <w:uiPriority w:val="0"/>
    <w:pPr>
      <w:keepNext/>
      <w:keepLines/>
      <w:tabs>
        <w:tab w:val="left" w:pos="1134"/>
        <w:tab w:val="right" w:pos="7371"/>
      </w:tabs>
      <w:spacing w:line="360" w:lineRule="auto"/>
      <w:outlineLvl w:val="3"/>
    </w:pPr>
    <w:rPr>
      <w:rFonts w:ascii="宋体" w:eastAsia="宋体"/>
      <w:color w:val="800000"/>
      <w:sz w:val="28"/>
      <w:szCs w:val="20"/>
    </w:rPr>
  </w:style>
  <w:style w:type="paragraph" w:customStyle="1" w:styleId="231">
    <w:name w:val="标题 51"/>
    <w:basedOn w:val="1"/>
    <w:next w:val="1"/>
    <w:qFormat/>
    <w:uiPriority w:val="0"/>
    <w:pPr>
      <w:keepNext/>
      <w:keepLines/>
      <w:tabs>
        <w:tab w:val="left" w:pos="1134"/>
        <w:tab w:val="right" w:pos="7371"/>
      </w:tabs>
      <w:spacing w:line="360" w:lineRule="auto"/>
      <w:jc w:val="left"/>
      <w:outlineLvl w:val="4"/>
    </w:pPr>
    <w:rPr>
      <w:rFonts w:ascii="宋体" w:eastAsia="宋体"/>
      <w:color w:val="008000"/>
      <w:sz w:val="28"/>
      <w:szCs w:val="20"/>
    </w:rPr>
  </w:style>
  <w:style w:type="paragraph" w:customStyle="1" w:styleId="232">
    <w:name w:val="标题 61"/>
    <w:basedOn w:val="1"/>
    <w:next w:val="1"/>
    <w:qFormat/>
    <w:uiPriority w:val="0"/>
    <w:pPr>
      <w:keepNext/>
      <w:keepLines/>
      <w:tabs>
        <w:tab w:val="left" w:pos="1134"/>
        <w:tab w:val="right" w:pos="7371"/>
      </w:tabs>
      <w:spacing w:before="240" w:after="64" w:line="316" w:lineRule="auto"/>
      <w:jc w:val="left"/>
      <w:outlineLvl w:val="5"/>
    </w:pPr>
    <w:rPr>
      <w:rFonts w:ascii="Arial" w:hAnsi="Arial" w:eastAsia="黑体"/>
      <w:b/>
      <w:color w:val="000000"/>
      <w:szCs w:val="20"/>
    </w:rPr>
  </w:style>
  <w:style w:type="paragraph" w:customStyle="1" w:styleId="233">
    <w:name w:val="标题 71"/>
    <w:basedOn w:val="1"/>
    <w:next w:val="1"/>
    <w:qFormat/>
    <w:uiPriority w:val="0"/>
    <w:pPr>
      <w:keepNext/>
      <w:keepLines/>
      <w:tabs>
        <w:tab w:val="left" w:pos="1134"/>
        <w:tab w:val="right" w:pos="7371"/>
      </w:tabs>
      <w:spacing w:before="240" w:after="64" w:line="316" w:lineRule="auto"/>
      <w:jc w:val="left"/>
      <w:outlineLvl w:val="6"/>
    </w:pPr>
    <w:rPr>
      <w:rFonts w:ascii="宋体" w:eastAsia="宋体"/>
      <w:b/>
      <w:color w:val="000000"/>
      <w:szCs w:val="20"/>
    </w:rPr>
  </w:style>
  <w:style w:type="paragraph" w:customStyle="1" w:styleId="234">
    <w:name w:val="标题 81"/>
    <w:basedOn w:val="1"/>
    <w:next w:val="1"/>
    <w:qFormat/>
    <w:uiPriority w:val="0"/>
    <w:pPr>
      <w:keepNext/>
      <w:keepLines/>
      <w:tabs>
        <w:tab w:val="left" w:pos="1134"/>
        <w:tab w:val="right" w:pos="7371"/>
      </w:tabs>
      <w:spacing w:before="240" w:after="64" w:line="316" w:lineRule="auto"/>
      <w:jc w:val="left"/>
      <w:outlineLvl w:val="7"/>
    </w:pPr>
    <w:rPr>
      <w:rFonts w:ascii="Arial" w:hAnsi="Arial" w:eastAsia="黑体"/>
      <w:color w:val="000000"/>
      <w:szCs w:val="20"/>
    </w:rPr>
  </w:style>
  <w:style w:type="paragraph" w:customStyle="1" w:styleId="235">
    <w:name w:val="标题 91"/>
    <w:basedOn w:val="1"/>
    <w:next w:val="1"/>
    <w:qFormat/>
    <w:uiPriority w:val="0"/>
    <w:pPr>
      <w:keepNext/>
      <w:spacing w:line="600" w:lineRule="exact"/>
      <w:jc w:val="center"/>
      <w:outlineLvl w:val="8"/>
    </w:pPr>
    <w:rPr>
      <w:rFonts w:ascii="仿宋_GB2312" w:eastAsia="仿宋_GB2312"/>
      <w:sz w:val="32"/>
    </w:rPr>
  </w:style>
  <w:style w:type="character" w:customStyle="1" w:styleId="236">
    <w:name w:val="默认段落字体1"/>
    <w:qFormat/>
    <w:uiPriority w:val="0"/>
    <w:rPr>
      <w:rFonts w:ascii="Times New Roman" w:hAnsi="Times New Roman" w:eastAsia="宋体" w:cs="Times New Roman"/>
    </w:rPr>
  </w:style>
  <w:style w:type="table" w:customStyle="1" w:styleId="237">
    <w:name w:val="普通表格1"/>
    <w:qFormat/>
    <w:uiPriority w:val="0"/>
    <w:tblPr>
      <w:tblCellMar>
        <w:top w:w="0" w:type="dxa"/>
        <w:left w:w="0" w:type="dxa"/>
        <w:bottom w:w="0" w:type="dxa"/>
        <w:right w:w="0" w:type="dxa"/>
      </w:tblCellMar>
    </w:tblPr>
  </w:style>
  <w:style w:type="character" w:customStyle="1" w:styleId="238">
    <w:name w:val="标题 3 Char"/>
    <w:link w:val="71"/>
    <w:qFormat/>
    <w:uiPriority w:val="0"/>
    <w:rPr>
      <w:rFonts w:ascii="Times New Roman" w:hAnsi="Times New Roman" w:eastAsia="宋体" w:cs="Times New Roman"/>
      <w:b/>
      <w:sz w:val="32"/>
    </w:rPr>
  </w:style>
  <w:style w:type="character" w:customStyle="1" w:styleId="239">
    <w:name w:val="标题 1 Char"/>
    <w:link w:val="228"/>
    <w:qFormat/>
    <w:uiPriority w:val="0"/>
    <w:rPr>
      <w:rFonts w:ascii="Times New Roman" w:hAnsi="Times New Roman" w:eastAsia="宋体" w:cs="Times New Roman"/>
      <w:b/>
      <w:sz w:val="44"/>
    </w:rPr>
  </w:style>
  <w:style w:type="character" w:customStyle="1" w:styleId="240">
    <w:name w:val="标题 2 Char"/>
    <w:link w:val="229"/>
    <w:qFormat/>
    <w:uiPriority w:val="0"/>
    <w:rPr>
      <w:rFonts w:ascii="Arial" w:hAnsi="Arial" w:eastAsia="黑体" w:cs="Times New Roman"/>
      <w:b/>
      <w:sz w:val="32"/>
    </w:rPr>
  </w:style>
  <w:style w:type="character" w:customStyle="1" w:styleId="241">
    <w:name w:val="标题 4 Char"/>
    <w:link w:val="230"/>
    <w:qFormat/>
    <w:uiPriority w:val="0"/>
    <w:rPr>
      <w:rFonts w:ascii="宋体" w:hAnsi="Times New Roman" w:eastAsia="宋体" w:cs="Times New Roman"/>
      <w:color w:val="800000"/>
      <w:sz w:val="28"/>
      <w:lang w:val="en-US" w:eastAsia="zh-CN" w:bidi="ar-SA"/>
    </w:rPr>
  </w:style>
  <w:style w:type="paragraph" w:customStyle="1" w:styleId="242">
    <w:name w:val="目录 71"/>
    <w:basedOn w:val="1"/>
    <w:next w:val="1"/>
    <w:qFormat/>
    <w:uiPriority w:val="0"/>
    <w:pPr>
      <w:ind w:left="1260"/>
      <w:jc w:val="left"/>
    </w:pPr>
    <w:rPr>
      <w:rFonts w:ascii="Calibri" w:hAnsi="Calibri" w:eastAsia="宋体" w:cs="Calibri"/>
      <w:sz w:val="18"/>
      <w:szCs w:val="18"/>
    </w:rPr>
  </w:style>
  <w:style w:type="paragraph" w:customStyle="1" w:styleId="243">
    <w:name w:val="列表项目符号 41"/>
    <w:basedOn w:val="1"/>
    <w:qFormat/>
    <w:uiPriority w:val="0"/>
    <w:pPr>
      <w:tabs>
        <w:tab w:val="left" w:pos="360"/>
      </w:tabs>
      <w:spacing w:line="380" w:lineRule="exact"/>
      <w:ind w:left="360" w:hanging="360"/>
    </w:pPr>
    <w:rPr>
      <w:rFonts w:ascii="Calibri" w:hAnsi="Calibri" w:eastAsia="宋体"/>
      <w:sz w:val="28"/>
      <w:szCs w:val="22"/>
    </w:rPr>
  </w:style>
  <w:style w:type="paragraph" w:customStyle="1" w:styleId="244">
    <w:name w:val="索引 81"/>
    <w:basedOn w:val="1"/>
    <w:next w:val="1"/>
    <w:qFormat/>
    <w:uiPriority w:val="0"/>
    <w:pPr>
      <w:ind w:left="1400"/>
    </w:pPr>
    <w:rPr>
      <w:rFonts w:ascii="Calibri" w:hAnsi="Calibri" w:eastAsia="宋体"/>
      <w:szCs w:val="22"/>
    </w:rPr>
  </w:style>
  <w:style w:type="paragraph" w:customStyle="1" w:styleId="245">
    <w:name w:val="列表编号1"/>
    <w:basedOn w:val="1"/>
    <w:qFormat/>
    <w:uiPriority w:val="0"/>
    <w:pPr>
      <w:tabs>
        <w:tab w:val="left" w:pos="0"/>
        <w:tab w:val="left" w:pos="840"/>
      </w:tabs>
      <w:spacing w:line="360" w:lineRule="auto"/>
    </w:pPr>
    <w:rPr>
      <w:rFonts w:eastAsia="宋体"/>
    </w:rPr>
  </w:style>
  <w:style w:type="paragraph" w:customStyle="1" w:styleId="246">
    <w:name w:val="正文缩进1"/>
    <w:basedOn w:val="1"/>
    <w:qFormat/>
    <w:uiPriority w:val="0"/>
    <w:pPr>
      <w:ind w:firstLine="420"/>
    </w:pPr>
    <w:rPr>
      <w:rFonts w:ascii="宋体" w:eastAsia="宋体"/>
      <w:color w:val="000000"/>
      <w:szCs w:val="20"/>
    </w:rPr>
  </w:style>
  <w:style w:type="paragraph" w:customStyle="1" w:styleId="247">
    <w:name w:val="题注1"/>
    <w:basedOn w:val="1"/>
    <w:next w:val="1"/>
    <w:link w:val="248"/>
    <w:qFormat/>
    <w:uiPriority w:val="0"/>
    <w:pPr>
      <w:tabs>
        <w:tab w:val="left" w:pos="0"/>
      </w:tabs>
      <w:spacing w:line="360" w:lineRule="auto"/>
    </w:pPr>
    <w:rPr>
      <w:rFonts w:ascii="Arial" w:hAnsi="Arial" w:eastAsia="黑体"/>
      <w:sz w:val="20"/>
      <w:szCs w:val="20"/>
    </w:rPr>
  </w:style>
  <w:style w:type="character" w:customStyle="1" w:styleId="248">
    <w:name w:val="题注 Char"/>
    <w:link w:val="247"/>
    <w:qFormat/>
    <w:uiPriority w:val="0"/>
    <w:rPr>
      <w:rFonts w:ascii="Arial" w:hAnsi="Arial" w:eastAsia="黑体" w:cs="Arial"/>
    </w:rPr>
  </w:style>
  <w:style w:type="paragraph" w:customStyle="1" w:styleId="249">
    <w:name w:val="索引 51"/>
    <w:basedOn w:val="1"/>
    <w:next w:val="1"/>
    <w:qFormat/>
    <w:uiPriority w:val="0"/>
    <w:pPr>
      <w:ind w:left="800"/>
    </w:pPr>
    <w:rPr>
      <w:rFonts w:ascii="Calibri" w:hAnsi="Calibri" w:eastAsia="宋体"/>
      <w:szCs w:val="22"/>
    </w:rPr>
  </w:style>
  <w:style w:type="paragraph" w:customStyle="1" w:styleId="250">
    <w:name w:val="列表项目符号1"/>
    <w:basedOn w:val="1"/>
    <w:qFormat/>
    <w:uiPriority w:val="0"/>
    <w:pPr>
      <w:tabs>
        <w:tab w:val="left" w:pos="840"/>
      </w:tabs>
      <w:spacing w:line="360" w:lineRule="auto"/>
      <w:ind w:left="962" w:hanging="480"/>
    </w:pPr>
    <w:rPr>
      <w:rFonts w:eastAsia="宋体"/>
    </w:rPr>
  </w:style>
  <w:style w:type="paragraph" w:customStyle="1" w:styleId="251">
    <w:name w:val="文档结构图1"/>
    <w:basedOn w:val="1"/>
    <w:qFormat/>
    <w:uiPriority w:val="0"/>
    <w:pPr>
      <w:shd w:val="clear" w:color="auto" w:fill="000080"/>
    </w:pPr>
    <w:rPr>
      <w:rFonts w:eastAsia="宋体"/>
    </w:rPr>
  </w:style>
  <w:style w:type="paragraph" w:customStyle="1" w:styleId="252">
    <w:name w:val="批注文字1"/>
    <w:basedOn w:val="1"/>
    <w:link w:val="253"/>
    <w:qFormat/>
    <w:uiPriority w:val="0"/>
    <w:pPr>
      <w:jc w:val="left"/>
    </w:pPr>
    <w:rPr>
      <w:rFonts w:eastAsia="宋体"/>
      <w:szCs w:val="20"/>
    </w:rPr>
  </w:style>
  <w:style w:type="character" w:customStyle="1" w:styleId="253">
    <w:name w:val="批注文字 Char"/>
    <w:link w:val="252"/>
    <w:qFormat/>
    <w:uiPriority w:val="0"/>
    <w:rPr>
      <w:rFonts w:ascii="Calibri" w:hAnsi="Calibri" w:eastAsia="宋体" w:cs="Times New Roman"/>
      <w:sz w:val="21"/>
    </w:rPr>
  </w:style>
  <w:style w:type="paragraph" w:customStyle="1" w:styleId="254">
    <w:name w:val="索引 61"/>
    <w:basedOn w:val="1"/>
    <w:next w:val="1"/>
    <w:qFormat/>
    <w:uiPriority w:val="0"/>
    <w:pPr>
      <w:ind w:left="1000"/>
    </w:pPr>
    <w:rPr>
      <w:rFonts w:ascii="Calibri" w:hAnsi="Calibri" w:eastAsia="宋体"/>
      <w:szCs w:val="22"/>
    </w:rPr>
  </w:style>
  <w:style w:type="paragraph" w:customStyle="1" w:styleId="255">
    <w:name w:val="正文文本 31"/>
    <w:basedOn w:val="1"/>
    <w:qFormat/>
    <w:uiPriority w:val="0"/>
    <w:rPr>
      <w:rFonts w:eastAsia="宋体"/>
      <w:color w:val="000000"/>
    </w:rPr>
  </w:style>
  <w:style w:type="paragraph" w:customStyle="1" w:styleId="256">
    <w:name w:val="列表项目符号 31"/>
    <w:basedOn w:val="1"/>
    <w:qFormat/>
    <w:uiPriority w:val="0"/>
    <w:pPr>
      <w:tabs>
        <w:tab w:val="left" w:pos="1200"/>
      </w:tabs>
      <w:spacing w:line="380" w:lineRule="exact"/>
      <w:ind w:left="1200" w:hanging="360"/>
    </w:pPr>
    <w:rPr>
      <w:rFonts w:ascii="Calibri" w:hAnsi="Calibri" w:eastAsia="宋体"/>
      <w:sz w:val="28"/>
      <w:szCs w:val="22"/>
    </w:rPr>
  </w:style>
  <w:style w:type="paragraph" w:customStyle="1" w:styleId="257">
    <w:name w:val="正文文本11"/>
    <w:basedOn w:val="1"/>
    <w:qFormat/>
    <w:uiPriority w:val="0"/>
    <w:pPr>
      <w:spacing w:line="60" w:lineRule="auto"/>
    </w:pPr>
    <w:rPr>
      <w:rFonts w:ascii="仿宋_GB2312" w:eastAsia="仿宋_GB2312"/>
      <w:sz w:val="32"/>
    </w:rPr>
  </w:style>
  <w:style w:type="paragraph" w:customStyle="1" w:styleId="258">
    <w:name w:val="正文文本缩进1"/>
    <w:basedOn w:val="1"/>
    <w:qFormat/>
    <w:uiPriority w:val="0"/>
    <w:pPr>
      <w:ind w:firstLine="225"/>
    </w:pPr>
    <w:rPr>
      <w:rFonts w:ascii="仿宋_GB2312" w:eastAsia="仿宋_GB2312"/>
      <w:sz w:val="32"/>
    </w:rPr>
  </w:style>
  <w:style w:type="paragraph" w:customStyle="1" w:styleId="259">
    <w:name w:val="文本块1"/>
    <w:basedOn w:val="1"/>
    <w:qFormat/>
    <w:uiPriority w:val="0"/>
    <w:pPr>
      <w:spacing w:line="360" w:lineRule="exact"/>
      <w:ind w:left="1548" w:right="12" w:hanging="2405"/>
    </w:pPr>
    <w:rPr>
      <w:rFonts w:ascii="宋体" w:eastAsia="宋体"/>
      <w:bCs/>
      <w:sz w:val="28"/>
      <w:szCs w:val="22"/>
    </w:rPr>
  </w:style>
  <w:style w:type="paragraph" w:customStyle="1" w:styleId="260">
    <w:name w:val="列表项目符号 21"/>
    <w:basedOn w:val="1"/>
    <w:qFormat/>
    <w:uiPriority w:val="0"/>
    <w:pPr>
      <w:tabs>
        <w:tab w:val="left" w:pos="720"/>
      </w:tabs>
      <w:spacing w:line="360" w:lineRule="auto"/>
      <w:ind w:left="720" w:hanging="360"/>
    </w:pPr>
    <w:rPr>
      <w:rFonts w:eastAsia="宋体"/>
    </w:rPr>
  </w:style>
  <w:style w:type="paragraph" w:customStyle="1" w:styleId="261">
    <w:name w:val="HTML 地址1"/>
    <w:basedOn w:val="1"/>
    <w:qFormat/>
    <w:uiPriority w:val="0"/>
    <w:rPr>
      <w:rFonts w:eastAsia="宋体"/>
      <w:i/>
      <w:iCs/>
    </w:rPr>
  </w:style>
  <w:style w:type="paragraph" w:customStyle="1" w:styleId="262">
    <w:name w:val="索引 411"/>
    <w:basedOn w:val="1"/>
    <w:next w:val="1"/>
    <w:qFormat/>
    <w:uiPriority w:val="0"/>
    <w:pPr>
      <w:ind w:left="600"/>
    </w:pPr>
    <w:rPr>
      <w:rFonts w:ascii="Calibri" w:hAnsi="Calibri" w:eastAsia="宋体"/>
      <w:szCs w:val="22"/>
    </w:rPr>
  </w:style>
  <w:style w:type="paragraph" w:customStyle="1" w:styleId="263">
    <w:name w:val="目录 51"/>
    <w:basedOn w:val="1"/>
    <w:next w:val="1"/>
    <w:qFormat/>
    <w:uiPriority w:val="0"/>
    <w:pPr>
      <w:ind w:left="840"/>
      <w:jc w:val="left"/>
    </w:pPr>
    <w:rPr>
      <w:rFonts w:ascii="Calibri" w:hAnsi="Calibri" w:eastAsia="宋体" w:cs="Calibri"/>
      <w:sz w:val="18"/>
      <w:szCs w:val="18"/>
    </w:rPr>
  </w:style>
  <w:style w:type="paragraph" w:customStyle="1" w:styleId="264">
    <w:name w:val="目录 31"/>
    <w:basedOn w:val="1"/>
    <w:next w:val="1"/>
    <w:qFormat/>
    <w:uiPriority w:val="0"/>
    <w:pPr>
      <w:ind w:left="420"/>
      <w:jc w:val="left"/>
    </w:pPr>
    <w:rPr>
      <w:rFonts w:ascii="Calibri" w:hAnsi="Calibri" w:eastAsia="宋体" w:cs="Calibri"/>
      <w:i/>
      <w:iCs/>
      <w:sz w:val="20"/>
      <w:szCs w:val="20"/>
    </w:rPr>
  </w:style>
  <w:style w:type="paragraph" w:customStyle="1" w:styleId="265">
    <w:name w:val="纯文本1"/>
    <w:basedOn w:val="1"/>
    <w:link w:val="266"/>
    <w:qFormat/>
    <w:uiPriority w:val="0"/>
    <w:rPr>
      <w:rFonts w:ascii="宋体" w:eastAsia="宋体"/>
      <w:szCs w:val="21"/>
    </w:rPr>
  </w:style>
  <w:style w:type="character" w:customStyle="1" w:styleId="266">
    <w:name w:val="纯文本 Char1"/>
    <w:link w:val="265"/>
    <w:qFormat/>
    <w:uiPriority w:val="0"/>
    <w:rPr>
      <w:rFonts w:ascii="宋体" w:hAnsi="Calibri" w:eastAsia="宋体" w:cs="Times New Roman"/>
      <w:sz w:val="21"/>
      <w:szCs w:val="21"/>
      <w:lang w:val="en-US" w:eastAsia="zh-CN" w:bidi="ar-SA"/>
    </w:rPr>
  </w:style>
  <w:style w:type="paragraph" w:customStyle="1" w:styleId="267">
    <w:name w:val="列表项目符号 51"/>
    <w:basedOn w:val="1"/>
    <w:qFormat/>
    <w:uiPriority w:val="0"/>
    <w:pPr>
      <w:tabs>
        <w:tab w:val="left" w:pos="720"/>
      </w:tabs>
      <w:spacing w:line="380" w:lineRule="exact"/>
      <w:ind w:left="720" w:hanging="360"/>
    </w:pPr>
    <w:rPr>
      <w:rFonts w:ascii="Calibri" w:hAnsi="Calibri" w:eastAsia="宋体"/>
      <w:sz w:val="28"/>
      <w:szCs w:val="22"/>
    </w:rPr>
  </w:style>
  <w:style w:type="paragraph" w:customStyle="1" w:styleId="268">
    <w:name w:val="目录 81"/>
    <w:basedOn w:val="1"/>
    <w:next w:val="1"/>
    <w:qFormat/>
    <w:uiPriority w:val="0"/>
    <w:pPr>
      <w:ind w:left="1470"/>
      <w:jc w:val="left"/>
    </w:pPr>
    <w:rPr>
      <w:rFonts w:ascii="Calibri" w:hAnsi="Calibri" w:eastAsia="宋体" w:cs="Calibri"/>
      <w:sz w:val="18"/>
      <w:szCs w:val="18"/>
    </w:rPr>
  </w:style>
  <w:style w:type="paragraph" w:customStyle="1" w:styleId="269">
    <w:name w:val="索引 31"/>
    <w:basedOn w:val="1"/>
    <w:next w:val="1"/>
    <w:qFormat/>
    <w:uiPriority w:val="0"/>
    <w:pPr>
      <w:ind w:left="400"/>
    </w:pPr>
    <w:rPr>
      <w:rFonts w:ascii="Calibri" w:hAnsi="Calibri" w:eastAsia="宋体"/>
      <w:szCs w:val="22"/>
    </w:rPr>
  </w:style>
  <w:style w:type="paragraph" w:customStyle="1" w:styleId="270">
    <w:name w:val="日期1"/>
    <w:basedOn w:val="1"/>
    <w:next w:val="1"/>
    <w:qFormat/>
    <w:uiPriority w:val="0"/>
    <w:pPr>
      <w:ind w:left="2500"/>
    </w:pPr>
    <w:rPr>
      <w:rFonts w:eastAsia="宋体"/>
    </w:rPr>
  </w:style>
  <w:style w:type="paragraph" w:customStyle="1" w:styleId="271">
    <w:name w:val="正文文本缩进 21"/>
    <w:basedOn w:val="1"/>
    <w:qFormat/>
    <w:uiPriority w:val="0"/>
    <w:pPr>
      <w:spacing w:line="540" w:lineRule="exact"/>
      <w:ind w:firstLine="225"/>
      <w:jc w:val="left"/>
    </w:pPr>
    <w:rPr>
      <w:rFonts w:ascii="仿宋_GB2312" w:eastAsia="仿宋_GB2312"/>
      <w:sz w:val="32"/>
    </w:rPr>
  </w:style>
  <w:style w:type="paragraph" w:customStyle="1" w:styleId="272">
    <w:name w:val="尾注文本1"/>
    <w:basedOn w:val="1"/>
    <w:qFormat/>
    <w:uiPriority w:val="0"/>
    <w:pPr>
      <w:widowControl/>
      <w:jc w:val="left"/>
    </w:pPr>
    <w:rPr>
      <w:rFonts w:ascii="宋体" w:eastAsia="宋体"/>
      <w:bCs/>
      <w:szCs w:val="21"/>
    </w:rPr>
  </w:style>
  <w:style w:type="paragraph" w:customStyle="1" w:styleId="273">
    <w:name w:val="批注框文本1"/>
    <w:basedOn w:val="1"/>
    <w:qFormat/>
    <w:uiPriority w:val="0"/>
    <w:rPr>
      <w:rFonts w:eastAsia="宋体"/>
      <w:sz w:val="18"/>
      <w:szCs w:val="20"/>
    </w:rPr>
  </w:style>
  <w:style w:type="paragraph" w:customStyle="1" w:styleId="274">
    <w:name w:val="页脚1"/>
    <w:basedOn w:val="1"/>
    <w:qFormat/>
    <w:uiPriority w:val="0"/>
    <w:pPr>
      <w:tabs>
        <w:tab w:val="center" w:pos="4153"/>
        <w:tab w:val="right" w:pos="8306"/>
      </w:tabs>
      <w:jc w:val="left"/>
    </w:pPr>
    <w:rPr>
      <w:rFonts w:eastAsia="宋体"/>
      <w:sz w:val="18"/>
      <w:szCs w:val="18"/>
    </w:rPr>
  </w:style>
  <w:style w:type="paragraph" w:customStyle="1" w:styleId="275">
    <w:name w:val="页眉1"/>
    <w:basedOn w:val="1"/>
    <w:qFormat/>
    <w:uiPriority w:val="0"/>
    <w:pPr>
      <w:pBdr>
        <w:bottom w:val="single" w:color="000000" w:sz="6" w:space="1"/>
      </w:pBdr>
      <w:tabs>
        <w:tab w:val="center" w:pos="4153"/>
        <w:tab w:val="right" w:pos="8306"/>
      </w:tabs>
      <w:jc w:val="center"/>
    </w:pPr>
    <w:rPr>
      <w:rFonts w:eastAsia="宋体"/>
      <w:sz w:val="18"/>
      <w:szCs w:val="18"/>
    </w:rPr>
  </w:style>
  <w:style w:type="paragraph" w:customStyle="1" w:styleId="276">
    <w:name w:val="目录 11"/>
    <w:basedOn w:val="1"/>
    <w:next w:val="1"/>
    <w:qFormat/>
    <w:uiPriority w:val="0"/>
    <w:pPr>
      <w:spacing w:before="120" w:after="120"/>
      <w:jc w:val="left"/>
    </w:pPr>
    <w:rPr>
      <w:rFonts w:ascii="Calibri" w:hAnsi="Calibri" w:eastAsia="宋体" w:cs="Calibri"/>
      <w:b/>
      <w:bCs/>
      <w:caps/>
      <w:sz w:val="20"/>
      <w:szCs w:val="20"/>
    </w:rPr>
  </w:style>
  <w:style w:type="paragraph" w:customStyle="1" w:styleId="277">
    <w:name w:val="目录 41"/>
    <w:basedOn w:val="1"/>
    <w:next w:val="1"/>
    <w:qFormat/>
    <w:uiPriority w:val="0"/>
    <w:pPr>
      <w:ind w:left="630"/>
      <w:jc w:val="left"/>
    </w:pPr>
    <w:rPr>
      <w:rFonts w:ascii="Calibri" w:hAnsi="Calibri" w:eastAsia="宋体" w:cs="Calibri"/>
      <w:sz w:val="18"/>
      <w:szCs w:val="18"/>
    </w:rPr>
  </w:style>
  <w:style w:type="paragraph" w:customStyle="1" w:styleId="278">
    <w:name w:val="索引标题1"/>
    <w:basedOn w:val="1"/>
    <w:next w:val="279"/>
    <w:qFormat/>
    <w:uiPriority w:val="0"/>
    <w:rPr>
      <w:rFonts w:ascii="Calibri" w:hAnsi="Calibri" w:eastAsia="宋体"/>
      <w:szCs w:val="22"/>
    </w:rPr>
  </w:style>
  <w:style w:type="paragraph" w:customStyle="1" w:styleId="279">
    <w:name w:val="索引 11"/>
    <w:basedOn w:val="1"/>
    <w:next w:val="1"/>
    <w:qFormat/>
    <w:uiPriority w:val="0"/>
    <w:rPr>
      <w:rFonts w:ascii="Calibri" w:hAnsi="Calibri" w:eastAsia="宋体"/>
      <w:szCs w:val="22"/>
    </w:rPr>
  </w:style>
  <w:style w:type="paragraph" w:customStyle="1" w:styleId="280">
    <w:name w:val="脚注文本1"/>
    <w:basedOn w:val="1"/>
    <w:qFormat/>
    <w:uiPriority w:val="0"/>
    <w:pPr>
      <w:jc w:val="left"/>
    </w:pPr>
    <w:rPr>
      <w:rFonts w:ascii="宋体" w:eastAsia="宋体"/>
      <w:bCs/>
      <w:sz w:val="18"/>
      <w:szCs w:val="18"/>
    </w:rPr>
  </w:style>
  <w:style w:type="paragraph" w:customStyle="1" w:styleId="281">
    <w:name w:val="目录 61"/>
    <w:basedOn w:val="1"/>
    <w:next w:val="1"/>
    <w:qFormat/>
    <w:uiPriority w:val="0"/>
    <w:pPr>
      <w:ind w:left="1050"/>
      <w:jc w:val="left"/>
    </w:pPr>
    <w:rPr>
      <w:rFonts w:ascii="Calibri" w:hAnsi="Calibri" w:eastAsia="宋体" w:cs="Calibri"/>
      <w:sz w:val="18"/>
      <w:szCs w:val="18"/>
    </w:rPr>
  </w:style>
  <w:style w:type="paragraph" w:customStyle="1" w:styleId="282">
    <w:name w:val="正文文本缩进 31"/>
    <w:basedOn w:val="1"/>
    <w:qFormat/>
    <w:uiPriority w:val="0"/>
    <w:pPr>
      <w:ind w:firstLine="213"/>
    </w:pPr>
    <w:rPr>
      <w:rFonts w:ascii="仿宋_GB2312" w:eastAsia="仿宋_GB2312"/>
      <w:sz w:val="30"/>
    </w:rPr>
  </w:style>
  <w:style w:type="paragraph" w:customStyle="1" w:styleId="283">
    <w:name w:val="索引 71"/>
    <w:basedOn w:val="1"/>
    <w:next w:val="1"/>
    <w:qFormat/>
    <w:uiPriority w:val="0"/>
    <w:pPr>
      <w:ind w:left="1200"/>
    </w:pPr>
    <w:rPr>
      <w:rFonts w:ascii="Calibri" w:hAnsi="Calibri" w:eastAsia="宋体"/>
      <w:szCs w:val="22"/>
    </w:rPr>
  </w:style>
  <w:style w:type="paragraph" w:customStyle="1" w:styleId="284">
    <w:name w:val="索引 91"/>
    <w:basedOn w:val="1"/>
    <w:next w:val="1"/>
    <w:qFormat/>
    <w:uiPriority w:val="0"/>
    <w:pPr>
      <w:ind w:left="1600"/>
    </w:pPr>
    <w:rPr>
      <w:rFonts w:ascii="Calibri" w:hAnsi="Calibri" w:eastAsia="宋体"/>
      <w:szCs w:val="22"/>
    </w:rPr>
  </w:style>
  <w:style w:type="paragraph" w:customStyle="1" w:styleId="285">
    <w:name w:val="图表目录11"/>
    <w:basedOn w:val="1"/>
    <w:next w:val="1"/>
    <w:qFormat/>
    <w:uiPriority w:val="0"/>
    <w:pPr>
      <w:widowControl/>
      <w:ind w:left="400" w:hanging="200"/>
      <w:jc w:val="left"/>
    </w:pPr>
    <w:rPr>
      <w:rFonts w:ascii="宋体" w:eastAsia="宋体"/>
      <w:bCs/>
      <w:szCs w:val="21"/>
    </w:rPr>
  </w:style>
  <w:style w:type="paragraph" w:customStyle="1" w:styleId="286">
    <w:name w:val="目录 21"/>
    <w:basedOn w:val="1"/>
    <w:next w:val="1"/>
    <w:qFormat/>
    <w:uiPriority w:val="0"/>
    <w:pPr>
      <w:ind w:left="210"/>
      <w:jc w:val="left"/>
    </w:pPr>
    <w:rPr>
      <w:rFonts w:ascii="Calibri" w:hAnsi="Calibri" w:eastAsia="宋体" w:cs="Calibri"/>
      <w:smallCaps/>
      <w:sz w:val="20"/>
      <w:szCs w:val="20"/>
    </w:rPr>
  </w:style>
  <w:style w:type="paragraph" w:customStyle="1" w:styleId="287">
    <w:name w:val="目录 91"/>
    <w:basedOn w:val="1"/>
    <w:next w:val="1"/>
    <w:qFormat/>
    <w:uiPriority w:val="0"/>
    <w:pPr>
      <w:ind w:left="1680"/>
      <w:jc w:val="left"/>
    </w:pPr>
    <w:rPr>
      <w:rFonts w:ascii="Calibri" w:hAnsi="Calibri" w:eastAsia="宋体" w:cs="Calibri"/>
      <w:sz w:val="18"/>
      <w:szCs w:val="18"/>
    </w:rPr>
  </w:style>
  <w:style w:type="paragraph" w:customStyle="1" w:styleId="288">
    <w:name w:val="正文文本 21"/>
    <w:basedOn w:val="1"/>
    <w:qFormat/>
    <w:uiPriority w:val="0"/>
    <w:pPr>
      <w:spacing w:line="560" w:lineRule="exact"/>
    </w:pPr>
    <w:rPr>
      <w:rFonts w:ascii="仿宋_GB2312" w:eastAsia="仿宋_GB2312"/>
      <w:sz w:val="28"/>
      <w:szCs w:val="30"/>
    </w:rPr>
  </w:style>
  <w:style w:type="paragraph" w:customStyle="1" w:styleId="289">
    <w:name w:val="列表接续 21"/>
    <w:basedOn w:val="1"/>
    <w:next w:val="277"/>
    <w:qFormat/>
    <w:uiPriority w:val="0"/>
    <w:pPr>
      <w:spacing w:after="120"/>
      <w:ind w:left="840"/>
    </w:pPr>
    <w:rPr>
      <w:rFonts w:eastAsia="宋体"/>
    </w:rPr>
  </w:style>
  <w:style w:type="paragraph" w:customStyle="1" w:styleId="290">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rPr>
  </w:style>
  <w:style w:type="paragraph" w:customStyle="1" w:styleId="291">
    <w:name w:val="普通(网站)1"/>
    <w:basedOn w:val="1"/>
    <w:qFormat/>
    <w:uiPriority w:val="0"/>
    <w:pPr>
      <w:widowControl/>
      <w:spacing w:before="100" w:beforeAutospacing="1" w:after="100" w:afterAutospacing="1"/>
      <w:jc w:val="left"/>
    </w:pPr>
    <w:rPr>
      <w:rFonts w:ascii="宋体" w:eastAsia="宋体"/>
      <w:szCs w:val="20"/>
    </w:rPr>
  </w:style>
  <w:style w:type="paragraph" w:customStyle="1" w:styleId="292">
    <w:name w:val="索引 21"/>
    <w:basedOn w:val="1"/>
    <w:next w:val="1"/>
    <w:qFormat/>
    <w:uiPriority w:val="0"/>
    <w:pPr>
      <w:ind w:left="200"/>
    </w:pPr>
    <w:rPr>
      <w:rFonts w:ascii="Calibri" w:hAnsi="Calibri" w:eastAsia="宋体"/>
      <w:szCs w:val="22"/>
    </w:rPr>
  </w:style>
  <w:style w:type="paragraph" w:customStyle="1" w:styleId="293">
    <w:name w:val="标题1"/>
    <w:basedOn w:val="1"/>
    <w:qFormat/>
    <w:uiPriority w:val="0"/>
    <w:pPr>
      <w:spacing w:before="240" w:after="60"/>
      <w:jc w:val="center"/>
      <w:outlineLvl w:val="0"/>
    </w:pPr>
    <w:rPr>
      <w:rFonts w:ascii="Cambria" w:hAnsi="Cambria" w:eastAsia="宋体"/>
      <w:b/>
      <w:bCs/>
      <w:sz w:val="32"/>
      <w:szCs w:val="32"/>
    </w:rPr>
  </w:style>
  <w:style w:type="paragraph" w:customStyle="1" w:styleId="294">
    <w:name w:val="批注主题1"/>
    <w:basedOn w:val="252"/>
    <w:next w:val="252"/>
    <w:qFormat/>
    <w:uiPriority w:val="0"/>
    <w:rPr>
      <w:b/>
    </w:rPr>
  </w:style>
  <w:style w:type="paragraph" w:customStyle="1" w:styleId="295">
    <w:name w:val="正文首行缩进1"/>
    <w:basedOn w:val="257"/>
    <w:qFormat/>
    <w:uiPriority w:val="0"/>
    <w:pPr>
      <w:spacing w:after="120" w:line="240" w:lineRule="auto"/>
      <w:ind w:firstLine="100"/>
    </w:pPr>
    <w:rPr>
      <w:rFonts w:ascii="Times New Roman" w:eastAsia="宋体"/>
      <w:sz w:val="21"/>
    </w:rPr>
  </w:style>
  <w:style w:type="paragraph" w:customStyle="1" w:styleId="296">
    <w:name w:val="正文首行缩进 21"/>
    <w:basedOn w:val="258"/>
    <w:link w:val="297"/>
    <w:qFormat/>
    <w:uiPriority w:val="0"/>
    <w:pPr>
      <w:spacing w:after="120"/>
      <w:ind w:left="200" w:firstLine="200"/>
    </w:pPr>
    <w:rPr>
      <w:rFonts w:ascii="Times New Roman" w:eastAsia="宋体"/>
      <w:sz w:val="24"/>
    </w:rPr>
  </w:style>
  <w:style w:type="character" w:customStyle="1" w:styleId="297">
    <w:name w:val="正文首行缩进 2 Char"/>
    <w:link w:val="296"/>
    <w:qFormat/>
    <w:uiPriority w:val="0"/>
    <w:rPr>
      <w:rFonts w:ascii="Times New Roman" w:hAnsi="Times New Roman" w:eastAsia="仿宋_GB2312" w:cs="Times New Roman"/>
      <w:sz w:val="24"/>
      <w:szCs w:val="24"/>
      <w:lang w:bidi="ar-SA"/>
    </w:rPr>
  </w:style>
  <w:style w:type="table" w:customStyle="1" w:styleId="298">
    <w:name w:val="网格型1"/>
    <w:basedOn w:val="237"/>
    <w:qFormat/>
    <w:uiPriority w:val="0"/>
  </w:style>
  <w:style w:type="character" w:customStyle="1" w:styleId="299">
    <w:name w:val="要点1"/>
    <w:qFormat/>
    <w:uiPriority w:val="0"/>
    <w:rPr>
      <w:rFonts w:ascii="Times New Roman" w:hAnsi="Times New Roman" w:eastAsia="宋体" w:cs="Times New Roman"/>
      <w:b/>
    </w:rPr>
  </w:style>
  <w:style w:type="character" w:customStyle="1" w:styleId="300">
    <w:name w:val="尾注引用1"/>
    <w:qFormat/>
    <w:uiPriority w:val="0"/>
    <w:rPr>
      <w:rFonts w:ascii="Times New Roman" w:hAnsi="Times New Roman" w:eastAsia="宋体" w:cs="Times New Roman"/>
      <w:vertAlign w:val="superscript"/>
    </w:rPr>
  </w:style>
  <w:style w:type="character" w:customStyle="1" w:styleId="301">
    <w:name w:val="页码1"/>
    <w:basedOn w:val="236"/>
    <w:qFormat/>
    <w:uiPriority w:val="0"/>
    <w:rPr>
      <w:rFonts w:ascii="Times New Roman" w:hAnsi="Times New Roman" w:eastAsia="宋体" w:cs="Times New Roman"/>
    </w:rPr>
  </w:style>
  <w:style w:type="character" w:customStyle="1" w:styleId="302">
    <w:name w:val="已访问的超链接1"/>
    <w:qFormat/>
    <w:uiPriority w:val="0"/>
    <w:rPr>
      <w:rFonts w:ascii="Times New Roman" w:hAnsi="Times New Roman" w:eastAsia="宋体" w:cs="Times New Roman"/>
      <w:color w:val="800080"/>
      <w:u w:val="single"/>
    </w:rPr>
  </w:style>
  <w:style w:type="character" w:customStyle="1" w:styleId="303">
    <w:name w:val="强调1"/>
    <w:qFormat/>
    <w:uiPriority w:val="0"/>
    <w:rPr>
      <w:rFonts w:ascii="Times New Roman" w:hAnsi="Times New Roman" w:eastAsia="宋体" w:cs="Times New Roman"/>
      <w:color w:val="CC0033"/>
    </w:rPr>
  </w:style>
  <w:style w:type="character" w:customStyle="1" w:styleId="304">
    <w:name w:val="HTML 打字机1"/>
    <w:qFormat/>
    <w:uiPriority w:val="0"/>
    <w:rPr>
      <w:rFonts w:ascii="宋体" w:hAnsi="Times New Roman" w:eastAsia="宋体" w:cs="宋体"/>
      <w:sz w:val="24"/>
      <w:szCs w:val="24"/>
      <w:lang w:bidi="ar-SA"/>
    </w:rPr>
  </w:style>
  <w:style w:type="character" w:customStyle="1" w:styleId="305">
    <w:name w:val="超链接1"/>
    <w:qFormat/>
    <w:uiPriority w:val="0"/>
    <w:rPr>
      <w:rFonts w:ascii="Times New Roman" w:hAnsi="Times New Roman" w:eastAsia="宋体" w:cs="Times New Roman"/>
      <w:color w:val="0000FF"/>
      <w:u w:val="single"/>
    </w:rPr>
  </w:style>
  <w:style w:type="character" w:customStyle="1" w:styleId="306">
    <w:name w:val="批注引用1"/>
    <w:qFormat/>
    <w:uiPriority w:val="0"/>
    <w:rPr>
      <w:rFonts w:ascii="Times New Roman" w:hAnsi="Times New Roman" w:eastAsia="宋体" w:cs="Times New Roman"/>
      <w:sz w:val="21"/>
    </w:rPr>
  </w:style>
  <w:style w:type="character" w:customStyle="1" w:styleId="307">
    <w:name w:val="脚注引用1"/>
    <w:qFormat/>
    <w:uiPriority w:val="0"/>
    <w:rPr>
      <w:rFonts w:ascii="Times New Roman" w:hAnsi="Times New Roman" w:eastAsia="宋体" w:cs="Times New Roman"/>
      <w:vertAlign w:val="superscript"/>
    </w:rPr>
  </w:style>
  <w:style w:type="paragraph" w:customStyle="1" w:styleId="308">
    <w:name w:val="标题二、"/>
    <w:basedOn w:val="1"/>
    <w:qFormat/>
    <w:uiPriority w:val="0"/>
    <w:pPr>
      <w:spacing w:line="360" w:lineRule="auto"/>
      <w:ind w:firstLine="200"/>
      <w:outlineLvl w:val="2"/>
    </w:pPr>
    <w:rPr>
      <w:rFonts w:ascii="宋体" w:hAnsi="宋体" w:eastAsia="微软雅黑"/>
      <w:b/>
      <w:szCs w:val="21"/>
    </w:rPr>
  </w:style>
  <w:style w:type="paragraph" w:customStyle="1" w:styleId="309">
    <w:name w:val="Normal_0"/>
    <w:qFormat/>
    <w:uiPriority w:val="0"/>
    <w:rPr>
      <w:rFonts w:hint="default" w:ascii="黑体" w:hAnsi="黑体" w:eastAsia="黑体" w:cs="Times New Roman"/>
      <w:b/>
      <w:sz w:val="32"/>
      <w:szCs w:val="24"/>
      <w:lang w:val="en-US" w:eastAsia="zh-CN" w:bidi="ar-SA"/>
    </w:rPr>
  </w:style>
  <w:style w:type="paragraph" w:customStyle="1" w:styleId="310">
    <w:name w:val="索引 41"/>
    <w:basedOn w:val="1"/>
    <w:next w:val="1"/>
    <w:qFormat/>
    <w:uiPriority w:val="0"/>
    <w:pPr>
      <w:ind w:left="600"/>
    </w:pPr>
    <w:rPr>
      <w:rFonts w:ascii="Verdana" w:hAnsi="Verdana" w:eastAsia="宋体"/>
      <w:szCs w:val="20"/>
    </w:rPr>
  </w:style>
  <w:style w:type="paragraph" w:customStyle="1" w:styleId="311">
    <w:name w:val="列出段落1"/>
    <w:basedOn w:val="1"/>
    <w:qFormat/>
    <w:uiPriority w:val="0"/>
    <w:pPr>
      <w:ind w:firstLine="420"/>
    </w:pPr>
    <w:rPr>
      <w:rFonts w:eastAsia="宋体"/>
    </w:rPr>
  </w:style>
  <w:style w:type="character" w:customStyle="1" w:styleId="312">
    <w:name w:val="fontstyle01"/>
    <w:qFormat/>
    <w:uiPriority w:val="0"/>
    <w:rPr>
      <w:rFonts w:hint="eastAsia" w:ascii="宋体" w:hAnsi="宋体" w:eastAsia="宋体" w:cs="Times New Roman"/>
      <w:color w:val="000000"/>
      <w:sz w:val="24"/>
      <w:szCs w:val="24"/>
    </w:rPr>
  </w:style>
  <w:style w:type="paragraph" w:customStyle="1" w:styleId="313">
    <w:name w:val="Normal_0_3"/>
    <w:qFormat/>
    <w:uiPriority w:val="0"/>
    <w:rPr>
      <w:rFonts w:hint="default" w:ascii="黑体" w:hAnsi="黑体" w:eastAsia="黑体" w:cs="黑体"/>
      <w:b/>
      <w:sz w:val="32"/>
      <w:szCs w:val="24"/>
      <w:lang w:val="en-US" w:eastAsia="zh-CN" w:bidi="ar-SA"/>
    </w:rPr>
  </w:style>
  <w:style w:type="paragraph" w:customStyle="1" w:styleId="314">
    <w:name w:val="正文_17"/>
    <w:qFormat/>
    <w:uiPriority w:val="0"/>
    <w:pPr>
      <w:widowControl w:val="0"/>
      <w:jc w:val="both"/>
    </w:pPr>
    <w:rPr>
      <w:rFonts w:hint="default" w:ascii="Calibri" w:hAnsi="Calibri" w:eastAsia="宋体" w:cs="Times New Roman"/>
      <w:sz w:val="21"/>
      <w:szCs w:val="22"/>
      <w:lang w:val="en-US" w:eastAsia="zh-CN" w:bidi="ar-SA"/>
    </w:rPr>
  </w:style>
  <w:style w:type="paragraph" w:customStyle="1" w:styleId="315">
    <w:name w:val="Normal_13_0"/>
    <w:qFormat/>
    <w:uiPriority w:val="0"/>
    <w:pPr>
      <w:widowControl w:val="0"/>
      <w:jc w:val="both"/>
    </w:pPr>
    <w:rPr>
      <w:rFonts w:hint="default" w:ascii="Calibri" w:hAnsi="Calibri" w:eastAsia="宋体" w:cs="Times New Roman"/>
      <w:sz w:val="21"/>
      <w:szCs w:val="22"/>
      <w:lang w:val="en-US" w:eastAsia="zh-CN" w:bidi="ar-SA"/>
    </w:rPr>
  </w:style>
  <w:style w:type="paragraph" w:customStyle="1" w:styleId="316">
    <w:name w:val="Normal_1_2"/>
    <w:qFormat/>
    <w:uiPriority w:val="0"/>
    <w:rPr>
      <w:rFonts w:hint="default" w:ascii="Times New Roman" w:hAnsi="Times New Roman" w:eastAsia="Times New Roman" w:cs="Times New Roman"/>
      <w:sz w:val="24"/>
      <w:szCs w:val="24"/>
      <w:lang w:val="en-US" w:eastAsia="zh-CN" w:bidi="ar-SA"/>
    </w:rPr>
  </w:style>
  <w:style w:type="paragraph" w:customStyle="1" w:styleId="317">
    <w:name w:val="Normal_0_1"/>
    <w:qFormat/>
    <w:uiPriority w:val="0"/>
    <w:rPr>
      <w:rFonts w:hint="default" w:ascii="黑体" w:hAnsi="黑体" w:eastAsia="黑体" w:cs="黑体"/>
      <w:b/>
      <w:sz w:val="32"/>
      <w:szCs w:val="24"/>
      <w:lang w:val="en-US" w:eastAsia="zh-CN" w:bidi="ar-SA"/>
    </w:rPr>
  </w:style>
  <w:style w:type="paragraph" w:customStyle="1" w:styleId="318">
    <w:name w:val="Normal_1_1"/>
    <w:qFormat/>
    <w:uiPriority w:val="0"/>
    <w:pPr>
      <w:widowControl w:val="0"/>
      <w:jc w:val="both"/>
    </w:pPr>
    <w:rPr>
      <w:rFonts w:hint="default" w:ascii="Calibri" w:hAnsi="Calibri" w:eastAsia="宋体" w:cs="Times New Roman"/>
      <w:sz w:val="21"/>
      <w:szCs w:val="22"/>
      <w:lang w:val="en-US" w:eastAsia="zh-CN" w:bidi="ar-SA"/>
    </w:rPr>
  </w:style>
  <w:style w:type="paragraph" w:customStyle="1" w:styleId="319">
    <w:name w:val="Normal_2_0"/>
    <w:qFormat/>
    <w:uiPriority w:val="0"/>
    <w:rPr>
      <w:rFonts w:hint="default" w:ascii="黑体" w:hAnsi="黑体" w:eastAsia="黑体" w:cs="黑体"/>
      <w:b/>
      <w:sz w:val="32"/>
      <w:szCs w:val="24"/>
      <w:lang w:val="en-US" w:eastAsia="zh-CN" w:bidi="ar-SA"/>
    </w:rPr>
  </w:style>
  <w:style w:type="paragraph" w:customStyle="1" w:styleId="320">
    <w:name w:val="正文_1_0_0"/>
    <w:qFormat/>
    <w:uiPriority w:val="0"/>
    <w:pPr>
      <w:widowControl w:val="0"/>
      <w:jc w:val="both"/>
    </w:pPr>
    <w:rPr>
      <w:rFonts w:hint="default" w:ascii="Times New Roman" w:hAnsi="Times New Roman" w:eastAsia="宋体" w:cs="Times New Roman"/>
      <w:sz w:val="21"/>
      <w:lang w:val="en-US" w:eastAsia="zh-CN" w:bidi="ar-SA"/>
    </w:rPr>
  </w:style>
  <w:style w:type="paragraph" w:customStyle="1" w:styleId="321">
    <w:name w:val="正文_0_0_0_0"/>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322">
    <w:name w:val="正文_0_0_0_0_0"/>
    <w:qFormat/>
    <w:uiPriority w:val="0"/>
    <w:pPr>
      <w:widowControl w:val="0"/>
      <w:jc w:val="both"/>
    </w:pPr>
    <w:rPr>
      <w:rFonts w:hint="default" w:ascii="Times New Roman" w:hAnsi="Times New Roman" w:eastAsia="宋体" w:cs="Times New Roman"/>
      <w:sz w:val="21"/>
      <w:szCs w:val="22"/>
      <w:lang w:val="en-US" w:eastAsia="zh-CN" w:bidi="ar-SA"/>
    </w:rPr>
  </w:style>
  <w:style w:type="paragraph" w:customStyle="1" w:styleId="323">
    <w:name w:val="正文_16"/>
    <w:qFormat/>
    <w:uiPriority w:val="0"/>
    <w:pPr>
      <w:widowControl w:val="0"/>
      <w:jc w:val="both"/>
    </w:pPr>
    <w:rPr>
      <w:rFonts w:hint="default" w:ascii="Calibri" w:hAnsi="Calibri" w:eastAsia="宋体" w:cs="Times New Roman"/>
      <w:sz w:val="21"/>
      <w:szCs w:val="22"/>
      <w:lang w:val="en-US" w:eastAsia="zh-CN" w:bidi="ar-SA"/>
    </w:rPr>
  </w:style>
  <w:style w:type="paragraph" w:customStyle="1" w:styleId="324">
    <w:name w:val="Normal_3_0"/>
    <w:qFormat/>
    <w:uiPriority w:val="0"/>
    <w:rPr>
      <w:rFonts w:hint="default" w:ascii="黑体" w:hAnsi="黑体" w:eastAsia="黑体" w:cs="黑体"/>
      <w:b/>
      <w:sz w:val="32"/>
      <w:szCs w:val="24"/>
      <w:lang w:val="en-US" w:eastAsia="zh-CN" w:bidi="ar-SA"/>
    </w:rPr>
  </w:style>
  <w:style w:type="paragraph" w:customStyle="1" w:styleId="325">
    <w:name w:val="正文_0_2"/>
    <w:qFormat/>
    <w:uiPriority w:val="0"/>
    <w:pPr>
      <w:widowControl w:val="0"/>
      <w:jc w:val="both"/>
    </w:pPr>
    <w:rPr>
      <w:rFonts w:hint="default" w:ascii="Calibri" w:hAnsi="Calibri" w:eastAsia="宋体" w:cs="Times New Roman"/>
      <w:sz w:val="21"/>
      <w:szCs w:val="22"/>
      <w:lang w:val="en-US" w:eastAsia="zh-CN" w:bidi="ar-SA"/>
    </w:rPr>
  </w:style>
  <w:style w:type="paragraph" w:customStyle="1" w:styleId="326">
    <w:name w:val="Normal_4_0"/>
    <w:qFormat/>
    <w:uiPriority w:val="0"/>
    <w:pPr>
      <w:widowControl w:val="0"/>
      <w:jc w:val="both"/>
    </w:pPr>
    <w:rPr>
      <w:rFonts w:hint="default" w:ascii="Calibri" w:hAnsi="Calibri" w:eastAsia="宋体" w:cs="Times New Roman"/>
      <w:sz w:val="21"/>
      <w:szCs w:val="22"/>
      <w:lang w:val="en-US" w:eastAsia="zh-CN" w:bidi="ar-SA"/>
    </w:rPr>
  </w:style>
  <w:style w:type="paragraph" w:customStyle="1" w:styleId="327">
    <w:name w:val="正文_4_0"/>
    <w:qFormat/>
    <w:uiPriority w:val="0"/>
    <w:pPr>
      <w:widowControl w:val="0"/>
      <w:jc w:val="both"/>
    </w:pPr>
    <w:rPr>
      <w:rFonts w:hint="default" w:ascii="Calibri" w:hAnsi="Calibri" w:eastAsia="宋体" w:cs="Times New Roman"/>
      <w:sz w:val="21"/>
      <w:szCs w:val="22"/>
      <w:lang w:val="en-US" w:eastAsia="zh-CN" w:bidi="ar-SA"/>
    </w:rPr>
  </w:style>
  <w:style w:type="paragraph" w:customStyle="1" w:styleId="328">
    <w:name w:val="正文_3_0"/>
    <w:qFormat/>
    <w:uiPriority w:val="0"/>
    <w:pPr>
      <w:widowControl w:val="0"/>
      <w:jc w:val="both"/>
    </w:pPr>
    <w:rPr>
      <w:rFonts w:hint="default" w:ascii="Calibri" w:hAnsi="Calibri" w:eastAsia="宋体" w:cs="Times New Roman"/>
      <w:sz w:val="21"/>
      <w:szCs w:val="22"/>
      <w:lang w:val="en-US" w:eastAsia="zh-CN" w:bidi="ar-SA"/>
    </w:rPr>
  </w:style>
  <w:style w:type="paragraph" w:customStyle="1" w:styleId="329">
    <w:name w:val="正文_7_1_0"/>
    <w:qFormat/>
    <w:uiPriority w:val="0"/>
    <w:pPr>
      <w:widowControl w:val="0"/>
      <w:jc w:val="both"/>
    </w:pPr>
    <w:rPr>
      <w:rFonts w:hint="default" w:ascii="Times New Roman" w:hAnsi="Times New Roman" w:eastAsia="宋体" w:cs="Times New Roman"/>
      <w:sz w:val="21"/>
      <w:szCs w:val="22"/>
      <w:lang w:val="en-US" w:eastAsia="zh-CN" w:bidi="ar-SA"/>
    </w:rPr>
  </w:style>
  <w:style w:type="character" w:customStyle="1" w:styleId="330">
    <w:name w:val="纯文本 Char_0_0"/>
    <w:link w:val="331"/>
    <w:qFormat/>
    <w:uiPriority w:val="0"/>
    <w:rPr>
      <w:rFonts w:ascii="宋体" w:hAnsi="Courier New" w:eastAsia="宋体" w:cs="Times New Roman"/>
      <w:sz w:val="21"/>
      <w:szCs w:val="21"/>
    </w:rPr>
  </w:style>
  <w:style w:type="paragraph" w:customStyle="1" w:styleId="331">
    <w:name w:val="纯文本_0_0"/>
    <w:basedOn w:val="329"/>
    <w:link w:val="330"/>
    <w:qFormat/>
    <w:uiPriority w:val="0"/>
    <w:rPr>
      <w:rFonts w:ascii="宋体" w:hAnsi="Courier New"/>
      <w:szCs w:val="21"/>
    </w:rPr>
  </w:style>
  <w:style w:type="paragraph" w:customStyle="1" w:styleId="332">
    <w:name w:val="正文_4_1"/>
    <w:qFormat/>
    <w:uiPriority w:val="0"/>
    <w:pPr>
      <w:widowControl w:val="0"/>
      <w:jc w:val="both"/>
    </w:pPr>
    <w:rPr>
      <w:rFonts w:hint="default" w:ascii="Calibri" w:hAnsi="Calibri" w:eastAsia="宋体" w:cs="Times New Roman"/>
      <w:sz w:val="21"/>
      <w:szCs w:val="22"/>
      <w:lang w:val="en-US" w:eastAsia="zh-CN" w:bidi="ar-SA"/>
    </w:rPr>
  </w:style>
  <w:style w:type="paragraph" w:customStyle="1" w:styleId="333">
    <w:name w:val="Normal_3_0_0"/>
    <w:qFormat/>
    <w:uiPriority w:val="0"/>
    <w:rPr>
      <w:rFonts w:hint="default" w:ascii="黑体" w:hAnsi="黑体" w:eastAsia="黑体" w:cs="Times New Roman"/>
      <w:b/>
      <w:sz w:val="32"/>
      <w:szCs w:val="24"/>
      <w:lang w:val="en-US" w:eastAsia="zh-CN" w:bidi="ar-SA"/>
    </w:rPr>
  </w:style>
  <w:style w:type="paragraph" w:customStyle="1" w:styleId="334">
    <w:name w:val="Normal_9_0"/>
    <w:qFormat/>
    <w:uiPriority w:val="0"/>
    <w:rPr>
      <w:rFonts w:hint="default" w:ascii="Times New Roman" w:hAnsi="Times New Roman" w:eastAsia="Times New Roman" w:cs="Times New Roman"/>
      <w:sz w:val="24"/>
      <w:szCs w:val="24"/>
      <w:lang w:val="en-US" w:eastAsia="zh-CN" w:bidi="ar-SA"/>
    </w:rPr>
  </w:style>
  <w:style w:type="paragraph" w:customStyle="1" w:styleId="335">
    <w:name w:val="Normal_7_0"/>
    <w:qFormat/>
    <w:uiPriority w:val="0"/>
    <w:pPr>
      <w:widowControl w:val="0"/>
      <w:jc w:val="both"/>
    </w:pPr>
    <w:rPr>
      <w:rFonts w:hint="default" w:ascii="Calibri" w:hAnsi="Calibri" w:eastAsia="宋体" w:cs="Times New Roman"/>
      <w:sz w:val="21"/>
      <w:szCs w:val="22"/>
      <w:lang w:val="en-US" w:eastAsia="zh-CN" w:bidi="ar-SA"/>
    </w:rPr>
  </w:style>
  <w:style w:type="paragraph" w:customStyle="1" w:styleId="336">
    <w:name w:val="Normal_8_0"/>
    <w:qFormat/>
    <w:uiPriority w:val="0"/>
    <w:rPr>
      <w:rFonts w:hint="default" w:ascii="黑体" w:hAnsi="黑体" w:eastAsia="黑体" w:cs="黑体"/>
      <w:b/>
      <w:sz w:val="32"/>
      <w:szCs w:val="24"/>
      <w:lang w:val="en-US" w:eastAsia="zh-CN" w:bidi="ar-SA"/>
    </w:rPr>
  </w:style>
  <w:style w:type="paragraph" w:customStyle="1" w:styleId="337">
    <w:name w:val="Normal_12_0"/>
    <w:qFormat/>
    <w:uiPriority w:val="0"/>
    <w:rPr>
      <w:rFonts w:hint="default" w:ascii="黑体" w:hAnsi="黑体" w:eastAsia="黑体" w:cs="黑体"/>
      <w:b/>
      <w:sz w:val="32"/>
      <w:szCs w:val="24"/>
      <w:lang w:val="en-US" w:eastAsia="zh-CN" w:bidi="ar-SA"/>
    </w:rPr>
  </w:style>
  <w:style w:type="paragraph" w:customStyle="1" w:styleId="338">
    <w:name w:val="正文_7_0_0"/>
    <w:qFormat/>
    <w:uiPriority w:val="0"/>
    <w:pPr>
      <w:widowControl w:val="0"/>
      <w:jc w:val="both"/>
    </w:pPr>
    <w:rPr>
      <w:rFonts w:hint="default" w:ascii="Times New Roman" w:hAnsi="Times New Roman" w:eastAsia="宋体" w:cs="Times New Roman"/>
      <w:sz w:val="21"/>
      <w:szCs w:val="24"/>
      <w:lang w:val="en-US" w:eastAsia="zh-CN" w:bidi="ar-SA"/>
    </w:rPr>
  </w:style>
  <w:style w:type="character" w:customStyle="1" w:styleId="339">
    <w:name w:val="正文缩进 Char1_0_0"/>
    <w:link w:val="340"/>
    <w:qFormat/>
    <w:uiPriority w:val="0"/>
    <w:rPr>
      <w:rFonts w:ascii="Times New Roman" w:hAnsi="Times New Roman" w:eastAsia="宋体" w:cs="Times New Roman"/>
      <w:sz w:val="21"/>
      <w:szCs w:val="22"/>
    </w:rPr>
  </w:style>
  <w:style w:type="paragraph" w:customStyle="1" w:styleId="340">
    <w:name w:val="正文缩进_0_0"/>
    <w:basedOn w:val="338"/>
    <w:link w:val="339"/>
    <w:qFormat/>
    <w:uiPriority w:val="0"/>
    <w:pPr>
      <w:ind w:firstLine="420"/>
    </w:pPr>
    <w:rPr>
      <w:rFonts w:ascii="Calibri" w:hAnsi="Calibri"/>
      <w:szCs w:val="22"/>
    </w:rPr>
  </w:style>
  <w:style w:type="paragraph" w:customStyle="1" w:styleId="341">
    <w:name w:val="正文_3"/>
    <w:qFormat/>
    <w:uiPriority w:val="0"/>
    <w:pPr>
      <w:widowControl w:val="0"/>
      <w:jc w:val="both"/>
    </w:pPr>
    <w:rPr>
      <w:rFonts w:hint="default" w:ascii="Calibri" w:hAnsi="Calibri" w:eastAsia="宋体" w:cs="Times New Roman"/>
      <w:sz w:val="21"/>
      <w:szCs w:val="22"/>
      <w:lang w:val="en-US" w:eastAsia="zh-CN" w:bidi="ar-SA"/>
    </w:rPr>
  </w:style>
  <w:style w:type="paragraph" w:customStyle="1" w:styleId="342">
    <w:name w:val="Normal_14_0"/>
    <w:qFormat/>
    <w:uiPriority w:val="0"/>
    <w:rPr>
      <w:rFonts w:hint="default" w:ascii="黑体" w:hAnsi="黑体" w:eastAsia="黑体" w:cs="黑体"/>
      <w:b/>
      <w:sz w:val="32"/>
      <w:szCs w:val="24"/>
      <w:lang w:val="en-US" w:eastAsia="zh-CN" w:bidi="ar-SA"/>
    </w:rPr>
  </w:style>
  <w:style w:type="paragraph" w:customStyle="1" w:styleId="343">
    <w:name w:val="正文_9_1"/>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344">
    <w:name w:val="正文_9_1_0"/>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345">
    <w:name w:val="Normal_15_0"/>
    <w:qFormat/>
    <w:uiPriority w:val="0"/>
    <w:rPr>
      <w:rFonts w:hint="default" w:ascii="黑体" w:hAnsi="黑体" w:eastAsia="黑体" w:cs="黑体"/>
      <w:b/>
      <w:sz w:val="32"/>
      <w:szCs w:val="24"/>
      <w:lang w:val="en-US" w:eastAsia="zh-CN" w:bidi="ar-SA"/>
    </w:rPr>
  </w:style>
  <w:style w:type="paragraph" w:customStyle="1" w:styleId="346">
    <w:name w:val="正文_10_0"/>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347">
    <w:name w:val="Normal_17_0"/>
    <w:qFormat/>
    <w:uiPriority w:val="0"/>
    <w:rPr>
      <w:rFonts w:hint="default" w:ascii="黑体" w:hAnsi="黑体" w:eastAsia="黑体" w:cs="黑体"/>
      <w:b/>
      <w:sz w:val="32"/>
      <w:szCs w:val="24"/>
      <w:lang w:val="en-US" w:eastAsia="zh-CN" w:bidi="ar-SA"/>
    </w:rPr>
  </w:style>
  <w:style w:type="paragraph" w:customStyle="1" w:styleId="348">
    <w:name w:val="正文_13_0"/>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349">
    <w:name w:val="正文_9_2"/>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350">
    <w:name w:val="Normal_14_0_0"/>
    <w:qFormat/>
    <w:uiPriority w:val="0"/>
    <w:rPr>
      <w:rFonts w:hint="default" w:ascii="黑体" w:hAnsi="黑体" w:eastAsia="黑体" w:cs="Times New Roman"/>
      <w:b/>
      <w:sz w:val="32"/>
      <w:szCs w:val="24"/>
      <w:lang w:val="en-US" w:eastAsia="zh-CN" w:bidi="ar-SA"/>
    </w:rPr>
  </w:style>
  <w:style w:type="paragraph" w:customStyle="1" w:styleId="351">
    <w:name w:val="正文_12_0"/>
    <w:qFormat/>
    <w:uiPriority w:val="0"/>
    <w:pPr>
      <w:widowControl w:val="0"/>
      <w:jc w:val="both"/>
    </w:pPr>
    <w:rPr>
      <w:rFonts w:hint="default" w:ascii="Calibri" w:hAnsi="Calibri" w:eastAsia="宋体" w:cs="Times New Roman"/>
      <w:sz w:val="21"/>
      <w:szCs w:val="22"/>
      <w:lang w:val="en-US" w:eastAsia="zh-CN" w:bidi="ar-SA"/>
    </w:rPr>
  </w:style>
  <w:style w:type="paragraph" w:customStyle="1" w:styleId="352">
    <w:name w:val="Normal_18_0"/>
    <w:qFormat/>
    <w:uiPriority w:val="0"/>
    <w:rPr>
      <w:rFonts w:hint="default" w:ascii="黑体" w:hAnsi="黑体" w:eastAsia="黑体" w:cs="黑体"/>
      <w:b/>
      <w:sz w:val="32"/>
      <w:szCs w:val="24"/>
      <w:lang w:val="en-US" w:eastAsia="zh-CN" w:bidi="ar-SA"/>
    </w:rPr>
  </w:style>
  <w:style w:type="paragraph" w:customStyle="1" w:styleId="353">
    <w:name w:val="正文_14_0"/>
    <w:qFormat/>
    <w:uiPriority w:val="0"/>
    <w:pPr>
      <w:widowControl w:val="0"/>
      <w:jc w:val="both"/>
    </w:pPr>
    <w:rPr>
      <w:rFonts w:hint="default" w:ascii="Calibri" w:hAnsi="Calibri" w:eastAsia="宋体" w:cs="Times New Roman"/>
      <w:sz w:val="21"/>
      <w:szCs w:val="22"/>
      <w:lang w:val="en-US" w:eastAsia="zh-CN" w:bidi="ar-SA"/>
    </w:rPr>
  </w:style>
  <w:style w:type="paragraph" w:customStyle="1" w:styleId="354">
    <w:name w:val="正文_15_0"/>
    <w:qFormat/>
    <w:uiPriority w:val="0"/>
    <w:pPr>
      <w:widowControl w:val="0"/>
      <w:jc w:val="both"/>
    </w:pPr>
    <w:rPr>
      <w:rFonts w:hint="default" w:ascii="Calibri" w:hAnsi="Calibri" w:eastAsia="宋体" w:cs="Times New Roman"/>
      <w:sz w:val="21"/>
      <w:szCs w:val="22"/>
      <w:lang w:val="en-US" w:eastAsia="zh-CN" w:bidi="ar-SA"/>
    </w:rPr>
  </w:style>
  <w:style w:type="paragraph" w:customStyle="1" w:styleId="355">
    <w:name w:val="Default"/>
    <w:qFormat/>
    <w:uiPriority w:val="0"/>
    <w:pPr>
      <w:widowControl w:val="0"/>
    </w:pPr>
    <w:rPr>
      <w:rFonts w:hint="default" w:ascii="宋体" w:hAnsi="Times New Roman" w:eastAsia="宋体" w:cs="宋体"/>
      <w:color w:val="000000"/>
      <w:sz w:val="24"/>
      <w:szCs w:val="24"/>
      <w:lang w:val="en-US" w:eastAsia="zh-CN" w:bidi="ar-SA"/>
    </w:rPr>
  </w:style>
  <w:style w:type="paragraph" w:customStyle="1" w:styleId="356">
    <w:name w:val="正文文本1"/>
    <w:basedOn w:val="1"/>
    <w:next w:val="355"/>
    <w:qFormat/>
    <w:uiPriority w:val="0"/>
    <w:pPr>
      <w:tabs>
        <w:tab w:val="left" w:pos="567"/>
      </w:tabs>
      <w:spacing w:before="120" w:line="22" w:lineRule="atLeast"/>
    </w:pPr>
    <w:rPr>
      <w:rFonts w:ascii="宋体" w:hAnsi="宋体" w:eastAsia="宋体" w:cs="宋体"/>
    </w:rPr>
  </w:style>
  <w:style w:type="character" w:customStyle="1" w:styleId="357">
    <w:name w:val="正文（标记） Char2"/>
    <w:link w:val="358"/>
    <w:qFormat/>
    <w:uiPriority w:val="0"/>
    <w:rPr>
      <w:rFonts w:ascii="Times New Roman" w:hAnsi="Times New Roman" w:eastAsia="宋体" w:cs="Times New Roman"/>
      <w:sz w:val="24"/>
      <w:szCs w:val="24"/>
    </w:rPr>
  </w:style>
  <w:style w:type="paragraph" w:customStyle="1" w:styleId="358">
    <w:name w:val="正文（标记）"/>
    <w:basedOn w:val="1"/>
    <w:link w:val="357"/>
    <w:qFormat/>
    <w:uiPriority w:val="0"/>
    <w:pPr>
      <w:tabs>
        <w:tab w:val="left" w:pos="0"/>
        <w:tab w:val="left" w:pos="840"/>
      </w:tabs>
      <w:spacing w:before="50" w:after="50"/>
    </w:pPr>
    <w:rPr>
      <w:rFonts w:eastAsia="宋体"/>
    </w:rPr>
  </w:style>
  <w:style w:type="character" w:customStyle="1" w:styleId="359">
    <w:name w:val="Char Char2"/>
    <w:qFormat/>
    <w:uiPriority w:val="0"/>
    <w:rPr>
      <w:rFonts w:ascii="Times New Roman" w:hAnsi="Times New Roman" w:eastAsia="宋体" w:cs="Times New Roman"/>
      <w:sz w:val="18"/>
      <w:szCs w:val="18"/>
    </w:rPr>
  </w:style>
  <w:style w:type="character" w:customStyle="1" w:styleId="360">
    <w:name w:val="maywed421"/>
    <w:qFormat/>
    <w:uiPriority w:val="0"/>
    <w:rPr>
      <w:rFonts w:ascii="Times New Roman" w:hAnsi="Times New Roman" w:eastAsia="宋体" w:cs="Times New Roman"/>
      <w:color w:val="366FB6"/>
      <w:u w:val="none"/>
    </w:rPr>
  </w:style>
  <w:style w:type="paragraph" w:customStyle="1" w:styleId="361">
    <w:name w:val="编号2"/>
    <w:qFormat/>
    <w:uiPriority w:val="0"/>
    <w:pPr>
      <w:tabs>
        <w:tab w:val="left" w:pos="-40"/>
      </w:tabs>
      <w:spacing w:before="120" w:after="120" w:line="360" w:lineRule="auto"/>
      <w:ind w:left="720" w:hanging="360"/>
    </w:pPr>
    <w:rPr>
      <w:rFonts w:hint="default" w:ascii="仿宋_GB2312" w:hAnsi="Times New Roman" w:eastAsia="仿宋_GB2312" w:cs="Times New Roman"/>
      <w:color w:val="FF0000"/>
      <w:sz w:val="24"/>
      <w:szCs w:val="24"/>
      <w:lang w:val="en-US" w:eastAsia="zh-CN" w:bidi="ar-SA"/>
    </w:rPr>
  </w:style>
  <w:style w:type="paragraph" w:customStyle="1" w:styleId="362">
    <w:name w:val="一级缩进"/>
    <w:qFormat/>
    <w:uiPriority w:val="0"/>
    <w:pPr>
      <w:tabs>
        <w:tab w:val="left" w:pos="0"/>
        <w:tab w:val="left" w:pos="568"/>
      </w:tabs>
      <w:spacing w:before="120" w:after="120" w:line="360" w:lineRule="auto"/>
      <w:jc w:val="both"/>
    </w:pPr>
    <w:rPr>
      <w:rFonts w:hint="default" w:ascii="Times New Roman" w:hAnsi="Times New Roman" w:eastAsia="仿宋_GB2312" w:cs="Times New Roman"/>
      <w:sz w:val="24"/>
      <w:szCs w:val="24"/>
      <w:lang w:val="en-US" w:eastAsia="zh-CN" w:bidi="ar-SA"/>
    </w:rPr>
  </w:style>
  <w:style w:type="character" w:customStyle="1" w:styleId="363">
    <w:name w:val="Comment Text Char"/>
    <w:qFormat/>
    <w:uiPriority w:val="0"/>
    <w:rPr>
      <w:rFonts w:ascii="Times New Roman" w:hAnsi="Times New Roman" w:eastAsia="宋体" w:cs="Times New Roman"/>
      <w:sz w:val="21"/>
      <w:szCs w:val="21"/>
      <w:lang w:bidi="ar-SA"/>
    </w:rPr>
  </w:style>
  <w:style w:type="character" w:customStyle="1" w:styleId="364">
    <w:name w:val="Footer Char"/>
    <w:qFormat/>
    <w:uiPriority w:val="0"/>
    <w:rPr>
      <w:rFonts w:ascii="Times New Roman" w:hAnsi="Times New Roman" w:eastAsia="宋体" w:cs="Times New Roman"/>
      <w:sz w:val="18"/>
      <w:lang w:val="en-US" w:eastAsia="zh-CN"/>
    </w:rPr>
  </w:style>
  <w:style w:type="character" w:customStyle="1" w:styleId="365">
    <w:name w:val="ca-41"/>
    <w:qFormat/>
    <w:uiPriority w:val="0"/>
    <w:rPr>
      <w:rFonts w:ascii="宋体" w:hAnsi="Times New Roman" w:eastAsia="宋体" w:cs="Times New Roman"/>
      <w:b/>
      <w:bCs/>
      <w:color w:val="000000"/>
      <w:spacing w:val="-20"/>
      <w:sz w:val="21"/>
      <w:szCs w:val="21"/>
    </w:rPr>
  </w:style>
  <w:style w:type="character" w:customStyle="1" w:styleId="366">
    <w:name w:val="ca-1"/>
    <w:basedOn w:val="236"/>
    <w:qFormat/>
    <w:uiPriority w:val="0"/>
    <w:rPr>
      <w:rFonts w:ascii="Times New Roman" w:hAnsi="Times New Roman" w:eastAsia="宋体" w:cs="Times New Roman"/>
    </w:rPr>
  </w:style>
  <w:style w:type="character" w:customStyle="1" w:styleId="367">
    <w:name w:val="Plain Text Char"/>
    <w:qFormat/>
    <w:uiPriority w:val="0"/>
    <w:rPr>
      <w:rFonts w:ascii="宋体" w:hAnsi="Times New Roman" w:eastAsia="宋体" w:cs="Times New Roman"/>
      <w:sz w:val="21"/>
      <w:lang w:val="en-US" w:eastAsia="zh-CN"/>
    </w:rPr>
  </w:style>
  <w:style w:type="character" w:customStyle="1" w:styleId="368">
    <w:name w:val="Header Char"/>
    <w:qFormat/>
    <w:uiPriority w:val="0"/>
    <w:rPr>
      <w:rFonts w:ascii="Times New Roman" w:hAnsi="Times New Roman" w:eastAsia="宋体" w:cs="Times New Roman"/>
      <w:sz w:val="18"/>
      <w:lang w:val="en-US" w:eastAsia="zh-CN"/>
    </w:rPr>
  </w:style>
  <w:style w:type="character" w:customStyle="1" w:styleId="369">
    <w:name w:val="marklong"/>
    <w:basedOn w:val="236"/>
    <w:qFormat/>
    <w:uiPriority w:val="0"/>
    <w:rPr>
      <w:rFonts w:ascii="Times New Roman" w:hAnsi="Times New Roman" w:eastAsia="宋体" w:cs="Times New Roman"/>
    </w:rPr>
  </w:style>
  <w:style w:type="character" w:customStyle="1" w:styleId="370">
    <w:name w:val="普通文字1 Char"/>
    <w:qFormat/>
    <w:uiPriority w:val="0"/>
    <w:rPr>
      <w:rFonts w:ascii="宋体" w:hAnsi="Times New Roman" w:eastAsia="宋体" w:cs="Courier New"/>
      <w:sz w:val="21"/>
      <w:szCs w:val="21"/>
      <w:lang w:val="en-US" w:eastAsia="zh-CN" w:bidi="ar-SA"/>
    </w:rPr>
  </w:style>
  <w:style w:type="character" w:customStyle="1" w:styleId="371">
    <w:name w:val="ca-21"/>
    <w:qFormat/>
    <w:uiPriority w:val="0"/>
    <w:rPr>
      <w:rFonts w:ascii="宋体" w:hAnsi="Times New Roman" w:eastAsia="宋体" w:cs="Times New Roman"/>
      <w:sz w:val="21"/>
    </w:rPr>
  </w:style>
  <w:style w:type="paragraph" w:customStyle="1" w:styleId="372">
    <w:name w:val="正文（缩进）"/>
    <w:basedOn w:val="1"/>
    <w:qFormat/>
    <w:uiPriority w:val="0"/>
    <w:pPr>
      <w:spacing w:before="50" w:after="50" w:line="360" w:lineRule="auto"/>
      <w:ind w:firstLine="200"/>
    </w:pPr>
    <w:rPr>
      <w:rFonts w:eastAsia="宋体"/>
    </w:rPr>
  </w:style>
  <w:style w:type="character" w:customStyle="1" w:styleId="373">
    <w:name w:val="Heading 3 Char"/>
    <w:qFormat/>
    <w:uiPriority w:val="0"/>
    <w:rPr>
      <w:rFonts w:ascii="Times New Roman" w:hAnsi="Times New Roman" w:eastAsia="宋体" w:cs="Times New Roman"/>
      <w:b/>
      <w:bCs/>
      <w:sz w:val="32"/>
      <w:szCs w:val="32"/>
      <w:lang w:bidi="ar-SA"/>
    </w:rPr>
  </w:style>
  <w:style w:type="character" w:customStyle="1" w:styleId="374">
    <w:name w:val="z12 style23"/>
    <w:basedOn w:val="236"/>
    <w:qFormat/>
    <w:uiPriority w:val="0"/>
    <w:rPr>
      <w:rFonts w:ascii="Times New Roman" w:hAnsi="Times New Roman" w:eastAsia="宋体" w:cs="Times New Roman"/>
    </w:rPr>
  </w:style>
  <w:style w:type="paragraph" w:customStyle="1" w:styleId="375">
    <w:name w:val="Indent Normal"/>
    <w:basedOn w:val="1"/>
    <w:qFormat/>
    <w:uiPriority w:val="0"/>
    <w:pPr>
      <w:ind w:firstLine="150"/>
    </w:pPr>
    <w:rPr>
      <w:rFonts w:eastAsia="宋体"/>
      <w:szCs w:val="20"/>
    </w:rPr>
  </w:style>
  <w:style w:type="character" w:customStyle="1" w:styleId="376">
    <w:name w:val="Char Char21"/>
    <w:qFormat/>
    <w:uiPriority w:val="0"/>
    <w:rPr>
      <w:rFonts w:ascii="Times New Roman" w:hAnsi="Times New Roman" w:eastAsia="宋体" w:cs="Times New Roman"/>
      <w:sz w:val="18"/>
      <w:szCs w:val="18"/>
    </w:rPr>
  </w:style>
  <w:style w:type="character" w:customStyle="1" w:styleId="377">
    <w:name w:val="ca-31"/>
    <w:qFormat/>
    <w:uiPriority w:val="0"/>
    <w:rPr>
      <w:rFonts w:ascii="宋体" w:hAnsi="Times New Roman" w:eastAsia="宋体" w:cs="Times New Roman"/>
      <w:color w:val="000000"/>
      <w:sz w:val="21"/>
      <w:szCs w:val="21"/>
    </w:rPr>
  </w:style>
  <w:style w:type="character" w:customStyle="1" w:styleId="378">
    <w:name w:val="apple-converted-space"/>
    <w:basedOn w:val="236"/>
    <w:qFormat/>
    <w:uiPriority w:val="0"/>
    <w:rPr>
      <w:rFonts w:ascii="Times New Roman" w:hAnsi="Times New Roman" w:eastAsia="宋体" w:cs="Times New Roman"/>
    </w:rPr>
  </w:style>
  <w:style w:type="character" w:customStyle="1" w:styleId="379">
    <w:name w:val="Char Char1"/>
    <w:qFormat/>
    <w:uiPriority w:val="0"/>
    <w:rPr>
      <w:rFonts w:ascii="宋体" w:hAnsi="Times New Roman" w:eastAsia="宋体" w:cs="Times New Roman"/>
      <w:sz w:val="21"/>
      <w:lang w:val="en-US" w:eastAsia="zh-CN"/>
    </w:rPr>
  </w:style>
  <w:style w:type="character" w:customStyle="1" w:styleId="380">
    <w:name w:val="font21"/>
    <w:qFormat/>
    <w:uiPriority w:val="0"/>
    <w:rPr>
      <w:rFonts w:ascii="Times New Roman" w:hAnsi="Times New Roman" w:eastAsia="宋体" w:cs="Times New Roman"/>
      <w:color w:val="000000"/>
      <w:sz w:val="20"/>
      <w:u w:val="none"/>
    </w:rPr>
  </w:style>
  <w:style w:type="character" w:customStyle="1" w:styleId="381">
    <w:name w:val="ca-01"/>
    <w:qFormat/>
    <w:uiPriority w:val="0"/>
    <w:rPr>
      <w:rFonts w:ascii="宋体" w:hAnsi="Times New Roman" w:eastAsia="宋体" w:cs="Times New Roman"/>
      <w:b/>
      <w:bCs/>
      <w:spacing w:val="-20"/>
      <w:sz w:val="24"/>
      <w:szCs w:val="24"/>
    </w:rPr>
  </w:style>
  <w:style w:type="character" w:customStyle="1" w:styleId="382">
    <w:name w:val="Char Char23"/>
    <w:qFormat/>
    <w:uiPriority w:val="0"/>
    <w:rPr>
      <w:rFonts w:ascii="Times New Roman" w:hAnsi="Times New Roman" w:eastAsia="宋体" w:cs="Times New Roman"/>
      <w:sz w:val="24"/>
      <w:szCs w:val="21"/>
      <w:lang w:bidi="ar-SA"/>
    </w:rPr>
  </w:style>
  <w:style w:type="character" w:customStyle="1" w:styleId="383">
    <w:name w:val="Char Char"/>
    <w:qFormat/>
    <w:uiPriority w:val="0"/>
    <w:rPr>
      <w:rFonts w:ascii="Times New Roman" w:hAnsi="Times New Roman" w:eastAsia="宋体" w:cs="Times New Roman"/>
      <w:sz w:val="18"/>
      <w:lang w:val="en-US" w:eastAsia="zh-CN"/>
    </w:rPr>
  </w:style>
  <w:style w:type="character" w:customStyle="1" w:styleId="384">
    <w:name w:val="Char Char3"/>
    <w:qFormat/>
    <w:uiPriority w:val="0"/>
    <w:rPr>
      <w:rFonts w:ascii="宋体" w:hAnsi="Times New Roman" w:eastAsia="宋体" w:cs="Times New Roman"/>
      <w:sz w:val="18"/>
      <w:szCs w:val="18"/>
      <w:lang w:val="en-US" w:eastAsia="zh-CN" w:bidi="ar-SA"/>
    </w:rPr>
  </w:style>
  <w:style w:type="paragraph" w:customStyle="1" w:styleId="385">
    <w:name w:val="段落"/>
    <w:qFormat/>
    <w:uiPriority w:val="0"/>
    <w:pPr>
      <w:spacing w:before="120" w:after="120" w:line="360" w:lineRule="auto"/>
      <w:ind w:firstLine="420"/>
      <w:jc w:val="both"/>
    </w:pPr>
    <w:rPr>
      <w:rFonts w:hint="default" w:ascii="Times New Roman" w:hAnsi="Times New Roman" w:eastAsia="仿宋_GB2312" w:cs="Times New Roman"/>
      <w:sz w:val="24"/>
      <w:szCs w:val="24"/>
      <w:lang w:val="en-US" w:eastAsia="zh-CN" w:bidi="ar-SA"/>
    </w:rPr>
  </w:style>
  <w:style w:type="character" w:customStyle="1" w:styleId="386">
    <w:name w:val="Heading 4 Char"/>
    <w:qFormat/>
    <w:uiPriority w:val="0"/>
    <w:rPr>
      <w:rFonts w:ascii="Cambria" w:hAnsi="Cambria" w:eastAsia="宋体" w:cs="Cambria"/>
      <w:b/>
      <w:bCs/>
      <w:sz w:val="28"/>
      <w:szCs w:val="28"/>
      <w:lang w:bidi="ar-SA"/>
    </w:rPr>
  </w:style>
  <w:style w:type="character" w:customStyle="1" w:styleId="387">
    <w:name w:val="Header Char1"/>
    <w:qFormat/>
    <w:uiPriority w:val="0"/>
    <w:rPr>
      <w:rFonts w:ascii="Times New Roman" w:hAnsi="Times New Roman" w:eastAsia="宋体" w:cs="Times New Roman"/>
      <w:sz w:val="18"/>
      <w:szCs w:val="18"/>
      <w:lang w:bidi="ar-SA"/>
    </w:rPr>
  </w:style>
  <w:style w:type="character" w:customStyle="1" w:styleId="388">
    <w:name w:val="Footer Char1"/>
    <w:qFormat/>
    <w:uiPriority w:val="0"/>
    <w:rPr>
      <w:rFonts w:ascii="Times New Roman" w:hAnsi="Times New Roman" w:eastAsia="宋体" w:cs="Times New Roman"/>
      <w:sz w:val="18"/>
      <w:szCs w:val="18"/>
      <w:lang w:bidi="ar-SA"/>
    </w:rPr>
  </w:style>
  <w:style w:type="character" w:customStyle="1" w:styleId="389">
    <w:name w:val="wj1"/>
    <w:qFormat/>
    <w:uiPriority w:val="0"/>
    <w:rPr>
      <w:rFonts w:ascii="Times New Roman" w:hAnsi="Times New Roman" w:eastAsia="宋体" w:cs="Times New Roman"/>
      <w:color w:val="000000"/>
      <w:sz w:val="18"/>
      <w:szCs w:val="18"/>
      <w:u w:val="none"/>
    </w:rPr>
  </w:style>
  <w:style w:type="character" w:customStyle="1" w:styleId="390">
    <w:name w:val="ca-11"/>
    <w:qFormat/>
    <w:uiPriority w:val="0"/>
    <w:rPr>
      <w:rFonts w:ascii="宋体" w:hAnsi="Times New Roman" w:eastAsia="宋体" w:cs="Times New Roman"/>
      <w:b/>
      <w:bCs/>
      <w:color w:val="000000"/>
      <w:spacing w:val="-20"/>
      <w:sz w:val="28"/>
      <w:szCs w:val="28"/>
    </w:rPr>
  </w:style>
  <w:style w:type="paragraph" w:customStyle="1" w:styleId="391">
    <w:name w:val="表格样式居中"/>
    <w:qFormat/>
    <w:uiPriority w:val="0"/>
    <w:pPr>
      <w:jc w:val="center"/>
    </w:pPr>
    <w:rPr>
      <w:rFonts w:hint="default" w:ascii="Times New Roman" w:hAnsi="Times New Roman" w:eastAsia="仿宋_GB2312" w:cs="Times New Roman"/>
      <w:bCs/>
      <w:sz w:val="21"/>
      <w:szCs w:val="44"/>
      <w:lang w:val="en-US" w:eastAsia="zh-CN" w:bidi="ar-SA"/>
    </w:rPr>
  </w:style>
  <w:style w:type="character" w:customStyle="1" w:styleId="392">
    <w:name w:val="Plain Text Char1"/>
    <w:qFormat/>
    <w:uiPriority w:val="0"/>
    <w:rPr>
      <w:rFonts w:ascii="宋体" w:hAnsi="Times New Roman" w:eastAsia="宋体" w:cs="Times New Roman"/>
      <w:sz w:val="21"/>
      <w:szCs w:val="21"/>
      <w:lang w:val="en-US" w:eastAsia="zh-CN" w:bidi="ar-SA"/>
    </w:rPr>
  </w:style>
  <w:style w:type="character" w:customStyle="1" w:styleId="393">
    <w:name w:val="段落 Char"/>
    <w:qFormat/>
    <w:uiPriority w:val="0"/>
    <w:rPr>
      <w:rFonts w:ascii="仿宋_GB2312" w:hAnsi="Times New Roman" w:eastAsia="仿宋_GB2312" w:cs="Times New Roman"/>
      <w:sz w:val="24"/>
      <w:szCs w:val="24"/>
      <w:lang w:val="en-US" w:eastAsia="zh-CN" w:bidi="ar-SA"/>
    </w:rPr>
  </w:style>
  <w:style w:type="character" w:customStyle="1" w:styleId="394">
    <w:name w:val="Heading 2 Char"/>
    <w:qFormat/>
    <w:uiPriority w:val="0"/>
    <w:rPr>
      <w:rFonts w:ascii="Arial" w:hAnsi="Arial" w:eastAsia="黑体" w:cs="Times New Roman"/>
      <w:b/>
      <w:bCs/>
      <w:sz w:val="32"/>
      <w:szCs w:val="32"/>
      <w:lang w:val="en-US" w:eastAsia="zh-CN" w:bidi="ar-SA"/>
    </w:rPr>
  </w:style>
  <w:style w:type="paragraph" w:customStyle="1" w:styleId="395">
    <w:name w:val="表格样式居左"/>
    <w:qFormat/>
    <w:uiPriority w:val="0"/>
    <w:pPr>
      <w:spacing w:before="120" w:after="120" w:line="400" w:lineRule="exact"/>
      <w:jc w:val="both"/>
    </w:pPr>
    <w:rPr>
      <w:rFonts w:hint="default" w:ascii="Times New Roman" w:hAnsi="Times New Roman" w:eastAsia="仿宋_GB2312" w:cs="Times New Roman"/>
      <w:bCs/>
      <w:sz w:val="21"/>
      <w:szCs w:val="21"/>
      <w:lang w:val="en-US" w:eastAsia="zh-CN" w:bidi="ar-SA"/>
    </w:rPr>
  </w:style>
  <w:style w:type="character" w:customStyle="1" w:styleId="396">
    <w:name w:val="Char Char31"/>
    <w:qFormat/>
    <w:uiPriority w:val="0"/>
    <w:rPr>
      <w:rFonts w:ascii="Arial" w:hAnsi="Arial" w:eastAsia="黑体" w:cs="Times New Roman"/>
      <w:b/>
      <w:bCs/>
      <w:sz w:val="32"/>
      <w:szCs w:val="32"/>
      <w:lang w:val="en-US" w:eastAsia="zh-CN" w:bidi="ar-SA"/>
    </w:rPr>
  </w:style>
  <w:style w:type="paragraph" w:customStyle="1" w:styleId="397">
    <w:name w:val="正文（黑体）"/>
    <w:basedOn w:val="1"/>
    <w:next w:val="1"/>
    <w:qFormat/>
    <w:uiPriority w:val="0"/>
    <w:pPr>
      <w:spacing w:before="50" w:after="50" w:line="360" w:lineRule="auto"/>
      <w:ind w:firstLine="200"/>
    </w:pPr>
    <w:rPr>
      <w:rFonts w:ascii="黑体" w:eastAsia="黑体"/>
      <w:color w:val="000080"/>
    </w:rPr>
  </w:style>
  <w:style w:type="character" w:customStyle="1" w:styleId="398">
    <w:name w:val="ca-51"/>
    <w:qFormat/>
    <w:uiPriority w:val="0"/>
    <w:rPr>
      <w:rFonts w:ascii="楷体_GB2312" w:hAnsi="Times New Roman" w:eastAsia="楷体_GB2312" w:cs="Times New Roman"/>
      <w:b/>
      <w:bCs/>
      <w:spacing w:val="-20"/>
      <w:sz w:val="24"/>
      <w:szCs w:val="24"/>
    </w:rPr>
  </w:style>
  <w:style w:type="paragraph" w:customStyle="1" w:styleId="399">
    <w:name w:val="加点正文缩进"/>
    <w:basedOn w:val="1"/>
    <w:qFormat/>
    <w:uiPriority w:val="0"/>
    <w:pPr>
      <w:tabs>
        <w:tab w:val="left" w:pos="840"/>
      </w:tabs>
      <w:spacing w:line="300" w:lineRule="auto"/>
      <w:ind w:left="962" w:hanging="480"/>
    </w:pPr>
    <w:rPr>
      <w:rFonts w:eastAsia="宋体"/>
    </w:rPr>
  </w:style>
  <w:style w:type="paragraph" w:customStyle="1" w:styleId="400">
    <w:name w:val="默认段落字体 Para Char Char Char Char Char Char Char Char Char Char Char Char Char Char"/>
    <w:basedOn w:val="251"/>
    <w:qFormat/>
    <w:uiPriority w:val="0"/>
    <w:rPr>
      <w:rFonts w:ascii="Tahoma" w:hAnsi="Tahoma"/>
    </w:rPr>
  </w:style>
  <w:style w:type="paragraph" w:styleId="401">
    <w:name w:val="List Paragraph"/>
    <w:basedOn w:val="1"/>
    <w:qFormat/>
    <w:uiPriority w:val="0"/>
    <w:pPr>
      <w:ind w:firstLine="200"/>
    </w:pPr>
    <w:rPr>
      <w:rFonts w:ascii="Calibri" w:hAnsi="Calibri" w:eastAsia="宋体"/>
      <w:szCs w:val="22"/>
    </w:rPr>
  </w:style>
  <w:style w:type="paragraph" w:customStyle="1" w:styleId="402">
    <w:name w:val="序号"/>
    <w:next w:val="1"/>
    <w:qFormat/>
    <w:uiPriority w:val="0"/>
    <w:pPr>
      <w:jc w:val="center"/>
    </w:pPr>
    <w:rPr>
      <w:rFonts w:hint="default" w:ascii="Times New Roman" w:hAnsi="Times New Roman" w:eastAsia="仿宋_GB2312" w:cs="Times New Roman"/>
      <w:bCs/>
      <w:sz w:val="21"/>
      <w:szCs w:val="44"/>
      <w:lang w:val="en-US" w:eastAsia="zh-CN" w:bidi="ar-SA"/>
    </w:rPr>
  </w:style>
  <w:style w:type="paragraph" w:customStyle="1" w:styleId="403">
    <w:name w:val="Char"/>
    <w:basedOn w:val="1"/>
    <w:qFormat/>
    <w:uiPriority w:val="0"/>
    <w:pPr>
      <w:tabs>
        <w:tab w:val="left" w:pos="360"/>
      </w:tabs>
    </w:pPr>
    <w:rPr>
      <w:rFonts w:ascii="仿宋_GB2312" w:eastAsia="仿宋_GB2312"/>
      <w:b/>
    </w:rPr>
  </w:style>
  <w:style w:type="paragraph" w:customStyle="1" w:styleId="404">
    <w:name w:val="xl3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Arial Unicode MS" w:hAnsi="Arial Unicode MS" w:eastAsia="宋体"/>
      <w:sz w:val="20"/>
      <w:szCs w:val="20"/>
    </w:rPr>
  </w:style>
  <w:style w:type="paragraph" w:customStyle="1" w:styleId="405">
    <w:name w:val="xl36"/>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Arial Unicode MS" w:hAnsi="Arial Unicode MS" w:eastAsia="宋体"/>
      <w:sz w:val="20"/>
      <w:szCs w:val="20"/>
    </w:rPr>
  </w:style>
  <w:style w:type="paragraph" w:customStyle="1" w:styleId="406">
    <w:name w:val="Char Char Char"/>
    <w:basedOn w:val="1"/>
    <w:qFormat/>
    <w:uiPriority w:val="0"/>
    <w:rPr>
      <w:rFonts w:ascii="Tahoma" w:hAnsi="Tahoma" w:eastAsia="宋体"/>
      <w:szCs w:val="20"/>
    </w:rPr>
  </w:style>
  <w:style w:type="paragraph" w:customStyle="1" w:styleId="407">
    <w:name w:val="Char12"/>
    <w:basedOn w:val="1"/>
    <w:qFormat/>
    <w:uiPriority w:val="0"/>
    <w:pPr>
      <w:tabs>
        <w:tab w:val="left" w:pos="360"/>
      </w:tabs>
      <w:spacing w:line="480" w:lineRule="auto"/>
      <w:ind w:left="360" w:right="202" w:firstLine="360"/>
    </w:pPr>
    <w:rPr>
      <w:rFonts w:eastAsia="宋体"/>
    </w:rPr>
  </w:style>
  <w:style w:type="paragraph" w:customStyle="1" w:styleId="408">
    <w:name w:val="Char Char Char Char Char Char Char Char Char Char"/>
    <w:basedOn w:val="1"/>
    <w:qFormat/>
    <w:uiPriority w:val="0"/>
    <w:rPr>
      <w:rFonts w:ascii="Tahoma" w:hAnsi="Tahoma" w:eastAsia="宋体"/>
      <w:szCs w:val="20"/>
    </w:rPr>
  </w:style>
  <w:style w:type="paragraph" w:customStyle="1" w:styleId="409">
    <w:name w:val="正文段"/>
    <w:basedOn w:val="1"/>
    <w:qFormat/>
    <w:uiPriority w:val="0"/>
    <w:pPr>
      <w:widowControl/>
      <w:spacing w:after="240" w:line="240" w:lineRule="atLeast"/>
      <w:ind w:firstLine="425"/>
    </w:pPr>
    <w:rPr>
      <w:rFonts w:eastAsia="宋体"/>
      <w:szCs w:val="20"/>
    </w:rPr>
  </w:style>
  <w:style w:type="paragraph" w:customStyle="1" w:styleId="410">
    <w:name w:val="段"/>
    <w:qFormat/>
    <w:uiPriority w:val="0"/>
    <w:pPr>
      <w:ind w:firstLine="200"/>
      <w:jc w:val="both"/>
    </w:pPr>
    <w:rPr>
      <w:rFonts w:hint="default" w:ascii="宋体" w:hAnsi="Times New Roman" w:eastAsia="宋体" w:cs="Times New Roman"/>
      <w:sz w:val="21"/>
      <w:lang w:val="en-US" w:eastAsia="zh-CN" w:bidi="ar-SA"/>
    </w:rPr>
  </w:style>
  <w:style w:type="paragraph" w:customStyle="1" w:styleId="411">
    <w:name w:val="Char Char Char Char Char Char Char Char Char Char1"/>
    <w:basedOn w:val="1"/>
    <w:qFormat/>
    <w:uiPriority w:val="0"/>
    <w:rPr>
      <w:rFonts w:ascii="Tahoma" w:hAnsi="Tahoma" w:eastAsia="宋体" w:cs="Tahoma"/>
    </w:rPr>
  </w:style>
  <w:style w:type="paragraph" w:customStyle="1" w:styleId="412">
    <w:name w:val="xl34"/>
    <w:basedOn w:val="1"/>
    <w:qFormat/>
    <w:uiPriority w:val="0"/>
    <w:pPr>
      <w:widowControl/>
      <w:spacing w:before="100" w:beforeAutospacing="1" w:after="100" w:afterAutospacing="1"/>
      <w:jc w:val="center"/>
    </w:pPr>
    <w:rPr>
      <w:rFonts w:ascii="Arial Unicode MS" w:hAnsi="Arial Unicode MS" w:eastAsia="Arial Unicode MS"/>
    </w:rPr>
  </w:style>
  <w:style w:type="paragraph" w:customStyle="1" w:styleId="413">
    <w:name w:val="前言、引言标题"/>
    <w:next w:val="1"/>
    <w:qFormat/>
    <w:uiPriority w:val="0"/>
    <w:pPr>
      <w:shd w:val="clear" w:color="FFFFFF" w:fill="FFFFFF"/>
      <w:spacing w:before="640" w:after="560"/>
      <w:jc w:val="center"/>
      <w:outlineLvl w:val="0"/>
    </w:pPr>
    <w:rPr>
      <w:rFonts w:hint="default" w:ascii="黑体" w:hAnsi="Times New Roman" w:eastAsia="黑体" w:cs="Times New Roman"/>
      <w:sz w:val="32"/>
      <w:lang w:val="en-US" w:eastAsia="zh-CN" w:bidi="ar-SA"/>
    </w:rPr>
  </w:style>
  <w:style w:type="paragraph" w:customStyle="1" w:styleId="414">
    <w:name w:val="Char Char Char Char Char Char Char Char Char Char Char Char Char"/>
    <w:basedOn w:val="1"/>
    <w:qFormat/>
    <w:uiPriority w:val="0"/>
    <w:pPr>
      <w:widowControl/>
      <w:spacing w:after="160" w:line="240" w:lineRule="exact"/>
      <w:jc w:val="left"/>
    </w:pPr>
    <w:rPr>
      <w:rFonts w:ascii="Verdana" w:hAnsi="Verdana" w:eastAsia="宋体"/>
      <w:sz w:val="20"/>
      <w:szCs w:val="20"/>
      <w:lang w:eastAsia="en-US"/>
    </w:rPr>
  </w:style>
  <w:style w:type="paragraph" w:customStyle="1" w:styleId="415">
    <w:name w:val="pa-0"/>
    <w:basedOn w:val="1"/>
    <w:qFormat/>
    <w:uiPriority w:val="0"/>
    <w:pPr>
      <w:widowControl/>
      <w:spacing w:line="360" w:lineRule="atLeast"/>
      <w:ind w:firstLine="480"/>
    </w:pPr>
    <w:rPr>
      <w:rFonts w:ascii="宋体" w:eastAsia="宋体" w:cs="宋体"/>
    </w:rPr>
  </w:style>
  <w:style w:type="paragraph" w:customStyle="1" w:styleId="416">
    <w:name w:val="Char111"/>
    <w:basedOn w:val="1"/>
    <w:qFormat/>
    <w:uiPriority w:val="0"/>
    <w:pPr>
      <w:widowControl/>
      <w:spacing w:after="160" w:line="240" w:lineRule="exact"/>
      <w:jc w:val="left"/>
    </w:pPr>
    <w:rPr>
      <w:rFonts w:ascii="Verdana" w:hAnsi="Verdana" w:eastAsia="宋体"/>
      <w:sz w:val="20"/>
      <w:szCs w:val="20"/>
      <w:lang w:eastAsia="en-US"/>
    </w:rPr>
  </w:style>
  <w:style w:type="paragraph" w:customStyle="1" w:styleId="417">
    <w:name w:val="一级条标题"/>
    <w:next w:val="410"/>
    <w:qFormat/>
    <w:uiPriority w:val="0"/>
    <w:pPr>
      <w:outlineLvl w:val="2"/>
    </w:pPr>
    <w:rPr>
      <w:rFonts w:hint="default" w:ascii="Times New Roman" w:hAnsi="Times New Roman" w:eastAsia="黑体" w:cs="Times New Roman"/>
      <w:sz w:val="21"/>
      <w:lang w:val="en-US" w:eastAsia="zh-CN" w:bidi="ar-SA"/>
    </w:rPr>
  </w:style>
  <w:style w:type="paragraph" w:customStyle="1" w:styleId="418">
    <w:name w:val="二级条标题"/>
    <w:basedOn w:val="417"/>
    <w:next w:val="410"/>
    <w:qFormat/>
    <w:uiPriority w:val="0"/>
    <w:pPr>
      <w:ind w:left="360"/>
      <w:outlineLvl w:val="3"/>
    </w:pPr>
    <w:rPr>
      <w:rFonts w:eastAsia="宋体"/>
    </w:rPr>
  </w:style>
  <w:style w:type="paragraph" w:customStyle="1" w:styleId="419">
    <w:name w:val="三级条标题"/>
    <w:basedOn w:val="418"/>
    <w:next w:val="410"/>
    <w:qFormat/>
    <w:uiPriority w:val="0"/>
    <w:pPr>
      <w:ind w:left="1050"/>
      <w:outlineLvl w:val="4"/>
    </w:pPr>
  </w:style>
  <w:style w:type="paragraph" w:customStyle="1" w:styleId="420">
    <w:name w:val="FA正文+标号"/>
    <w:basedOn w:val="1"/>
    <w:qFormat/>
    <w:uiPriority w:val="0"/>
    <w:pPr>
      <w:tabs>
        <w:tab w:val="left" w:pos="907"/>
        <w:tab w:val="left" w:pos="3375"/>
      </w:tabs>
      <w:spacing w:line="400" w:lineRule="exact"/>
      <w:ind w:left="900" w:hanging="420"/>
    </w:pPr>
    <w:rPr>
      <w:rFonts w:ascii="仿宋_GB2312" w:eastAsia="仿宋_GB2312"/>
      <w:szCs w:val="20"/>
    </w:rPr>
  </w:style>
  <w:style w:type="paragraph" w:customStyle="1" w:styleId="421">
    <w:name w:val="表文1"/>
    <w:basedOn w:val="1"/>
    <w:qFormat/>
    <w:uiPriority w:val="0"/>
    <w:pPr>
      <w:widowControl/>
      <w:spacing w:line="360" w:lineRule="auto"/>
      <w:ind w:firstLine="196"/>
    </w:pPr>
    <w:rPr>
      <w:rFonts w:ascii="宋体" w:eastAsia="宋体"/>
    </w:rPr>
  </w:style>
  <w:style w:type="paragraph" w:customStyle="1" w:styleId="422">
    <w:name w:val="正文1"/>
    <w:basedOn w:val="1"/>
    <w:qFormat/>
    <w:uiPriority w:val="0"/>
    <w:pPr>
      <w:widowControl/>
      <w:spacing w:line="360" w:lineRule="auto"/>
      <w:ind w:left="357" w:firstLine="420"/>
      <w:jc w:val="left"/>
    </w:pPr>
    <w:rPr>
      <w:rFonts w:eastAsia="宋体" w:cs="Arial"/>
      <w:szCs w:val="20"/>
    </w:rPr>
  </w:style>
  <w:style w:type="paragraph" w:customStyle="1" w:styleId="423">
    <w:name w:val="表内容"/>
    <w:basedOn w:val="422"/>
    <w:qFormat/>
    <w:uiPriority w:val="0"/>
    <w:pPr>
      <w:spacing w:line="320" w:lineRule="exact"/>
      <w:ind w:left="0" w:firstLine="0"/>
    </w:pPr>
    <w:rPr>
      <w:rFonts w:cs="Times New Roman"/>
      <w:sz w:val="20"/>
    </w:rPr>
  </w:style>
  <w:style w:type="paragraph" w:customStyle="1" w:styleId="424">
    <w:name w:val="Char Char1 Char Char Char Char Char Char"/>
    <w:basedOn w:val="1"/>
    <w:qFormat/>
    <w:uiPriority w:val="0"/>
    <w:pPr>
      <w:widowControl/>
      <w:jc w:val="center"/>
    </w:pPr>
    <w:rPr>
      <w:rFonts w:eastAsia="宋体"/>
      <w:szCs w:val="20"/>
    </w:rPr>
  </w:style>
  <w:style w:type="paragraph" w:customStyle="1" w:styleId="425">
    <w:name w:val="xl2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Arial Unicode MS" w:hAnsi="Arial Unicode MS" w:eastAsia="宋体"/>
      <w:sz w:val="20"/>
      <w:szCs w:val="20"/>
    </w:rPr>
  </w:style>
  <w:style w:type="paragraph" w:customStyle="1" w:styleId="426">
    <w:name w:val="普通正文"/>
    <w:basedOn w:val="1"/>
    <w:qFormat/>
    <w:uiPriority w:val="0"/>
    <w:pPr>
      <w:ind w:firstLine="425"/>
      <w:jc w:val="left"/>
    </w:pPr>
    <w:rPr>
      <w:rFonts w:ascii="宋体" w:eastAsia="宋体"/>
      <w:sz w:val="20"/>
      <w:szCs w:val="20"/>
    </w:rPr>
  </w:style>
  <w:style w:type="paragraph" w:customStyle="1" w:styleId="427">
    <w:name w:val="封面标准号1"/>
    <w:qFormat/>
    <w:uiPriority w:val="0"/>
    <w:pPr>
      <w:widowControl w:val="0"/>
      <w:spacing w:before="308"/>
      <w:jc w:val="right"/>
    </w:pPr>
    <w:rPr>
      <w:rFonts w:hint="default" w:ascii="Times New Roman" w:hAnsi="Times New Roman" w:eastAsia="宋体" w:cs="Times New Roman"/>
      <w:sz w:val="28"/>
      <w:lang w:val="en-US" w:eastAsia="zh-CN" w:bidi="ar-SA"/>
    </w:rPr>
  </w:style>
  <w:style w:type="paragraph" w:customStyle="1" w:styleId="428">
    <w:name w:val="附图标题"/>
    <w:basedOn w:val="247"/>
    <w:next w:val="246"/>
    <w:qFormat/>
    <w:uiPriority w:val="0"/>
    <w:pPr>
      <w:tabs>
        <w:tab w:val="left" w:pos="780"/>
      </w:tabs>
      <w:spacing w:after="100"/>
      <w:ind w:left="780" w:hanging="480"/>
      <w:jc w:val="center"/>
    </w:pPr>
    <w:rPr>
      <w:rFonts w:ascii="Times New Roman" w:hAnsi="Times New Roman" w:eastAsia="宋体"/>
      <w:b/>
      <w:sz w:val="21"/>
    </w:rPr>
  </w:style>
  <w:style w:type="paragraph" w:customStyle="1" w:styleId="429">
    <w:name w:val="图号"/>
    <w:basedOn w:val="1"/>
    <w:qFormat/>
    <w:uiPriority w:val="0"/>
    <w:pPr>
      <w:keepNext/>
      <w:tabs>
        <w:tab w:val="left" w:pos="0"/>
        <w:tab w:val="left" w:pos="3360"/>
      </w:tabs>
      <w:spacing w:before="105" w:line="360" w:lineRule="auto"/>
      <w:jc w:val="center"/>
    </w:pPr>
    <w:rPr>
      <w:rFonts w:ascii="Arial" w:hAnsi="Arial" w:eastAsia="宋体"/>
      <w:sz w:val="18"/>
      <w:szCs w:val="18"/>
    </w:rPr>
  </w:style>
  <w:style w:type="paragraph" w:customStyle="1" w:styleId="430">
    <w:name w:val="xl40"/>
    <w:basedOn w:val="1"/>
    <w:qFormat/>
    <w:uiPriority w:val="0"/>
    <w:pPr>
      <w:widowControl/>
      <w:pBdr>
        <w:right w:val="single" w:color="000000" w:sz="4" w:space="0"/>
      </w:pBdr>
      <w:spacing w:before="100" w:beforeAutospacing="1" w:after="100" w:afterAutospacing="1"/>
      <w:jc w:val="left"/>
    </w:pPr>
    <w:rPr>
      <w:rFonts w:ascii="Arial Unicode MS" w:hAnsi="Arial Unicode MS" w:eastAsia="宋体"/>
    </w:rPr>
  </w:style>
  <w:style w:type="paragraph" w:customStyle="1" w:styleId="431">
    <w:name w:val="缩进正文"/>
    <w:basedOn w:val="1"/>
    <w:qFormat/>
    <w:uiPriority w:val="0"/>
    <w:pPr>
      <w:widowControl/>
      <w:spacing w:after="200" w:line="400" w:lineRule="exact"/>
      <w:ind w:left="1418" w:firstLine="425"/>
      <w:jc w:val="left"/>
    </w:pPr>
    <w:rPr>
      <w:rFonts w:ascii="宋体" w:eastAsia="宋体"/>
      <w:szCs w:val="20"/>
    </w:rPr>
  </w:style>
  <w:style w:type="paragraph" w:customStyle="1" w:styleId="432">
    <w:name w:val="xl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eastAsia="宋体"/>
      <w:sz w:val="20"/>
      <w:szCs w:val="20"/>
    </w:rPr>
  </w:style>
  <w:style w:type="paragraph" w:customStyle="1" w:styleId="433">
    <w:name w:val="xl2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Arial Unicode MS" w:hAnsi="Arial Unicode MS" w:eastAsia="宋体"/>
      <w:sz w:val="20"/>
      <w:szCs w:val="20"/>
    </w:rPr>
  </w:style>
  <w:style w:type="paragraph" w:customStyle="1" w:styleId="434">
    <w:name w:val="Char1"/>
    <w:basedOn w:val="1"/>
    <w:qFormat/>
    <w:uiPriority w:val="0"/>
    <w:pPr>
      <w:tabs>
        <w:tab w:val="left" w:pos="360"/>
      </w:tabs>
      <w:spacing w:line="480" w:lineRule="auto"/>
      <w:ind w:left="360" w:right="202" w:firstLine="360"/>
    </w:pPr>
    <w:rPr>
      <w:rFonts w:eastAsia="宋体"/>
    </w:rPr>
  </w:style>
  <w:style w:type="paragraph" w:customStyle="1" w:styleId="435">
    <w:name w:val="首页标题"/>
    <w:qFormat/>
    <w:uiPriority w:val="0"/>
    <w:pPr>
      <w:jc w:val="center"/>
    </w:pPr>
    <w:rPr>
      <w:rFonts w:hint="default" w:ascii="宋体" w:hAnsi="Times New Roman" w:eastAsia="宋体" w:cs="宋体"/>
      <w:sz w:val="72"/>
      <w:szCs w:val="72"/>
      <w:lang w:val="en-US" w:eastAsia="zh-CN" w:bidi="ar-SA"/>
    </w:rPr>
  </w:style>
  <w:style w:type="paragraph" w:customStyle="1" w:styleId="436">
    <w:name w:val="pa-10"/>
    <w:basedOn w:val="1"/>
    <w:qFormat/>
    <w:uiPriority w:val="0"/>
    <w:pPr>
      <w:widowControl/>
      <w:spacing w:line="240" w:lineRule="atLeast"/>
    </w:pPr>
    <w:rPr>
      <w:rFonts w:ascii="宋体" w:eastAsia="宋体" w:cs="宋体"/>
    </w:rPr>
  </w:style>
  <w:style w:type="paragraph" w:customStyle="1" w:styleId="437">
    <w:name w:val="特点"/>
    <w:basedOn w:val="1"/>
    <w:next w:val="1"/>
    <w:qFormat/>
    <w:uiPriority w:val="0"/>
    <w:pPr>
      <w:spacing w:line="360" w:lineRule="auto"/>
      <w:jc w:val="center"/>
    </w:pPr>
    <w:rPr>
      <w:rFonts w:ascii="Arial" w:hAnsi="Arial" w:eastAsia="宋体"/>
      <w:szCs w:val="20"/>
    </w:rPr>
  </w:style>
  <w:style w:type="paragraph" w:customStyle="1" w:styleId="438">
    <w:name w:val="pa-4"/>
    <w:basedOn w:val="1"/>
    <w:qFormat/>
    <w:uiPriority w:val="0"/>
    <w:pPr>
      <w:widowControl/>
      <w:spacing w:line="280" w:lineRule="atLeast"/>
      <w:jc w:val="center"/>
    </w:pPr>
    <w:rPr>
      <w:rFonts w:ascii="宋体" w:eastAsia="宋体" w:cs="宋体"/>
    </w:rPr>
  </w:style>
  <w:style w:type="paragraph" w:customStyle="1" w:styleId="439">
    <w:name w:val="编号"/>
    <w:basedOn w:val="1"/>
    <w:next w:val="385"/>
    <w:qFormat/>
    <w:uiPriority w:val="0"/>
    <w:pPr>
      <w:widowControl/>
      <w:tabs>
        <w:tab w:val="left" w:pos="420"/>
      </w:tabs>
      <w:ind w:left="420" w:right="-136" w:hanging="420"/>
    </w:pPr>
    <w:rPr>
      <w:rFonts w:ascii="仿宋_GB2312" w:eastAsia="仿宋_GB2312"/>
      <w:b/>
      <w:bCs/>
      <w:szCs w:val="21"/>
    </w:rPr>
  </w:style>
  <w:style w:type="paragraph" w:customStyle="1" w:styleId="440">
    <w:name w:val="编号3"/>
    <w:qFormat/>
    <w:uiPriority w:val="0"/>
    <w:pPr>
      <w:tabs>
        <w:tab w:val="left" w:pos="771"/>
      </w:tabs>
      <w:spacing w:before="120" w:after="120" w:line="360" w:lineRule="auto"/>
      <w:ind w:left="1021" w:hanging="250"/>
      <w:jc w:val="both"/>
    </w:pPr>
    <w:rPr>
      <w:rFonts w:hint="default" w:ascii="Times New Roman" w:hAnsi="Times New Roman" w:eastAsia="仿宋_GB2312" w:cs="Times New Roman"/>
      <w:sz w:val="24"/>
      <w:szCs w:val="24"/>
      <w:lang w:val="en-US" w:eastAsia="zh-CN" w:bidi="ar-SA"/>
    </w:rPr>
  </w:style>
  <w:style w:type="paragraph" w:customStyle="1" w:styleId="441">
    <w:name w:val="xl3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pPr>
    <w:rPr>
      <w:rFonts w:ascii="Arial Unicode MS" w:hAnsi="Arial Unicode MS" w:eastAsia="宋体"/>
      <w:sz w:val="20"/>
      <w:szCs w:val="20"/>
    </w:rPr>
  </w:style>
  <w:style w:type="paragraph" w:customStyle="1" w:styleId="442">
    <w:name w:val="编号1"/>
    <w:next w:val="385"/>
    <w:qFormat/>
    <w:uiPriority w:val="0"/>
    <w:pPr>
      <w:tabs>
        <w:tab w:val="left" w:pos="420"/>
      </w:tabs>
      <w:spacing w:before="120" w:after="120" w:line="360" w:lineRule="auto"/>
      <w:ind w:left="720" w:hanging="360"/>
    </w:pPr>
    <w:rPr>
      <w:rFonts w:hint="default" w:ascii="Times New Roman" w:hAnsi="Times New Roman" w:eastAsia="宋体" w:cs="Times New Roman"/>
      <w:sz w:val="24"/>
      <w:szCs w:val="24"/>
      <w:lang w:val="en-US" w:eastAsia="zh-CN" w:bidi="ar-SA"/>
    </w:rPr>
  </w:style>
  <w:style w:type="paragraph" w:customStyle="1" w:styleId="443">
    <w:name w:val="xl3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Arial Unicode MS" w:hAnsi="Arial Unicode MS" w:eastAsia="宋体"/>
      <w:sz w:val="20"/>
      <w:szCs w:val="20"/>
    </w:rPr>
  </w:style>
  <w:style w:type="paragraph" w:customStyle="1" w:styleId="444">
    <w:name w:val="CM17"/>
    <w:basedOn w:val="1"/>
    <w:next w:val="1"/>
    <w:qFormat/>
    <w:uiPriority w:val="0"/>
    <w:pPr>
      <w:spacing w:after="273" w:line="360" w:lineRule="auto"/>
      <w:jc w:val="left"/>
    </w:pPr>
    <w:rPr>
      <w:rFonts w:ascii="宋体" w:eastAsia="宋体"/>
    </w:rPr>
  </w:style>
  <w:style w:type="paragraph" w:customStyle="1" w:styleId="445">
    <w:name w:val="xl38"/>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Arial Unicode MS" w:hAnsi="Arial Unicode MS" w:eastAsia="宋体"/>
      <w:sz w:val="20"/>
      <w:szCs w:val="20"/>
    </w:rPr>
  </w:style>
  <w:style w:type="paragraph" w:customStyle="1" w:styleId="446">
    <w:name w:val="参考资料清单+倾斜+蓝色"/>
    <w:basedOn w:val="1"/>
    <w:qFormat/>
    <w:uiPriority w:val="0"/>
    <w:pPr>
      <w:spacing w:line="360" w:lineRule="auto"/>
    </w:pPr>
    <w:rPr>
      <w:rFonts w:ascii="Arial" w:hAnsi="Arial" w:eastAsia="宋体"/>
      <w:i/>
      <w:iCs/>
      <w:color w:val="0000FF"/>
      <w:szCs w:val="21"/>
    </w:rPr>
  </w:style>
  <w:style w:type="paragraph" w:customStyle="1" w:styleId="447">
    <w:name w:val="英文音标"/>
    <w:qFormat/>
    <w:uiPriority w:val="0"/>
    <w:rPr>
      <w:rFonts w:hint="default" w:ascii="Kingsoft Phonetic Plain" w:hAnsi="Kingsoft Phonetic Plain" w:eastAsia="Kingsoft Phonetic Plain" w:cs="Times New Roman"/>
      <w:sz w:val="24"/>
      <w:szCs w:val="24"/>
      <w:lang w:val="en-US" w:eastAsia="zh-CN" w:bidi="ar-SA"/>
    </w:rPr>
  </w:style>
  <w:style w:type="paragraph" w:customStyle="1" w:styleId="448">
    <w:name w:val="pa-8"/>
    <w:basedOn w:val="1"/>
    <w:qFormat/>
    <w:uiPriority w:val="0"/>
    <w:pPr>
      <w:widowControl/>
      <w:spacing w:line="280" w:lineRule="atLeast"/>
      <w:ind w:firstLine="480"/>
    </w:pPr>
    <w:rPr>
      <w:rFonts w:ascii="宋体" w:eastAsia="宋体" w:cs="宋体"/>
    </w:rPr>
  </w:style>
  <w:style w:type="paragraph" w:customStyle="1" w:styleId="449">
    <w:name w:val="标书2"/>
    <w:next w:val="385"/>
    <w:qFormat/>
    <w:uiPriority w:val="0"/>
    <w:rPr>
      <w:rFonts w:hint="default" w:ascii="Times New Roman" w:hAnsi="Times New Roman" w:eastAsia="黑体" w:cs="宋体"/>
      <w:b/>
      <w:sz w:val="44"/>
      <w:lang w:val="en-US" w:eastAsia="zh-CN" w:bidi="ar-SA"/>
    </w:rPr>
  </w:style>
  <w:style w:type="paragraph" w:customStyle="1" w:styleId="450">
    <w:name w:val="表格文字"/>
    <w:basedOn w:val="1"/>
    <w:qFormat/>
    <w:uiPriority w:val="0"/>
    <w:pPr>
      <w:jc w:val="left"/>
    </w:pPr>
    <w:rPr>
      <w:rFonts w:eastAsia="宋体"/>
      <w:sz w:val="18"/>
    </w:rPr>
  </w:style>
  <w:style w:type="paragraph" w:customStyle="1" w:styleId="451">
    <w:name w:val="首页空格"/>
    <w:qFormat/>
    <w:uiPriority w:val="0"/>
    <w:pPr>
      <w:jc w:val="center"/>
    </w:pPr>
    <w:rPr>
      <w:rFonts w:hint="default" w:ascii="Times New Roman" w:hAnsi="Times New Roman" w:eastAsia="宋体" w:cs="宋体"/>
      <w:sz w:val="72"/>
      <w:lang w:val="en-US" w:eastAsia="zh-CN" w:bidi="ar-SA"/>
    </w:rPr>
  </w:style>
  <w:style w:type="paragraph" w:customStyle="1" w:styleId="452">
    <w:name w:val="保密事宜格式"/>
    <w:basedOn w:val="247"/>
    <w:qFormat/>
    <w:uiPriority w:val="0"/>
    <w:pPr>
      <w:pBdr>
        <w:top w:val="single" w:color="000000" w:sz="4" w:space="1"/>
        <w:left w:val="single" w:color="000000" w:sz="4" w:space="4"/>
        <w:bottom w:val="single" w:color="000000" w:sz="4" w:space="1"/>
        <w:right w:val="single" w:color="000000" w:sz="4" w:space="4"/>
      </w:pBdr>
      <w:shd w:val="clear" w:color="auto" w:fill="E6E6E6"/>
      <w:spacing w:before="152" w:after="160"/>
    </w:pPr>
    <w:rPr>
      <w:rFonts w:ascii="Tahoma" w:hAnsi="Tahoma" w:eastAsia="楷体_GB2312" w:cs="宋体"/>
      <w:b/>
      <w:sz w:val="32"/>
    </w:rPr>
  </w:style>
  <w:style w:type="paragraph" w:customStyle="1" w:styleId="453">
    <w:name w:val="SFClearBullets"/>
    <w:qFormat/>
    <w:uiPriority w:val="0"/>
    <w:pPr>
      <w:tabs>
        <w:tab w:val="left" w:pos="1440"/>
      </w:tabs>
      <w:ind w:left="1440" w:hanging="360"/>
    </w:pPr>
    <w:rPr>
      <w:rFonts w:hint="default" w:ascii="Helvetica" w:hAnsi="Helvetica" w:eastAsia="宋体" w:cs="Times New Roman"/>
      <w:szCs w:val="24"/>
      <w:lang w:val="en-US" w:eastAsia="en-US" w:bidi="ar-SA"/>
    </w:rPr>
  </w:style>
  <w:style w:type="paragraph" w:customStyle="1" w:styleId="454">
    <w:name w:val="È±Ê¡ÎÄ±¾"/>
    <w:basedOn w:val="1"/>
    <w:qFormat/>
    <w:uiPriority w:val="0"/>
    <w:pPr>
      <w:widowControl/>
      <w:spacing w:line="360" w:lineRule="auto"/>
      <w:jc w:val="left"/>
    </w:pPr>
    <w:rPr>
      <w:rFonts w:eastAsia="宋体"/>
      <w:szCs w:val="20"/>
    </w:rPr>
  </w:style>
  <w:style w:type="paragraph" w:customStyle="1" w:styleId="455">
    <w:name w:val="Char Char Char Char Char Char Char"/>
    <w:basedOn w:val="1"/>
    <w:qFormat/>
    <w:uiPriority w:val="0"/>
    <w:pPr>
      <w:widowControl/>
      <w:spacing w:after="160" w:line="240" w:lineRule="exact"/>
      <w:jc w:val="left"/>
    </w:pPr>
    <w:rPr>
      <w:rFonts w:ascii="Verdana" w:hAnsi="Verdana" w:eastAsia="宋体"/>
      <w:sz w:val="20"/>
      <w:szCs w:val="20"/>
      <w:lang w:eastAsia="en-US"/>
    </w:rPr>
  </w:style>
  <w:style w:type="paragraph" w:customStyle="1" w:styleId="456">
    <w:name w:val="xl2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Arial Unicode MS" w:hAnsi="Arial Unicode MS" w:eastAsia="宋体"/>
      <w:sz w:val="20"/>
      <w:szCs w:val="20"/>
    </w:rPr>
  </w:style>
  <w:style w:type="paragraph" w:customStyle="1" w:styleId="457">
    <w:name w:val="附图居中"/>
    <w:basedOn w:val="1"/>
    <w:next w:val="428"/>
    <w:qFormat/>
    <w:uiPriority w:val="0"/>
    <w:pPr>
      <w:keepNext/>
      <w:tabs>
        <w:tab w:val="left" w:pos="0"/>
      </w:tabs>
      <w:spacing w:line="360" w:lineRule="auto"/>
      <w:ind w:left="1271" w:hanging="420"/>
      <w:jc w:val="center"/>
    </w:pPr>
    <w:rPr>
      <w:rFonts w:eastAsia="宋体"/>
      <w:caps/>
    </w:rPr>
  </w:style>
  <w:style w:type="paragraph" w:customStyle="1" w:styleId="458">
    <w:name w:val="pa-6"/>
    <w:basedOn w:val="1"/>
    <w:qFormat/>
    <w:uiPriority w:val="0"/>
    <w:pPr>
      <w:widowControl/>
      <w:spacing w:line="360" w:lineRule="atLeast"/>
    </w:pPr>
    <w:rPr>
      <w:rFonts w:ascii="宋体" w:eastAsia="宋体"/>
      <w:szCs w:val="20"/>
    </w:rPr>
  </w:style>
  <w:style w:type="paragraph" w:customStyle="1" w:styleId="459">
    <w:name w:val="规范正文"/>
    <w:basedOn w:val="1"/>
    <w:qFormat/>
    <w:uiPriority w:val="0"/>
    <w:pPr>
      <w:spacing w:line="360" w:lineRule="auto"/>
      <w:ind w:left="480"/>
    </w:pPr>
    <w:rPr>
      <w:rFonts w:eastAsia="宋体"/>
      <w:szCs w:val="20"/>
    </w:rPr>
  </w:style>
  <w:style w:type="paragraph" w:customStyle="1" w:styleId="460">
    <w:name w:val="font7"/>
    <w:basedOn w:val="1"/>
    <w:qFormat/>
    <w:uiPriority w:val="0"/>
    <w:pPr>
      <w:widowControl/>
      <w:spacing w:before="100" w:beforeAutospacing="1" w:after="100" w:afterAutospacing="1"/>
      <w:jc w:val="left"/>
    </w:pPr>
    <w:rPr>
      <w:rFonts w:ascii="宋体" w:eastAsia="宋体"/>
      <w:sz w:val="20"/>
      <w:szCs w:val="20"/>
    </w:rPr>
  </w:style>
  <w:style w:type="paragraph" w:customStyle="1" w:styleId="461">
    <w:name w:val="缺省文本"/>
    <w:basedOn w:val="1"/>
    <w:qFormat/>
    <w:uiPriority w:val="0"/>
    <w:pPr>
      <w:jc w:val="left"/>
    </w:pPr>
    <w:rPr>
      <w:rFonts w:eastAsia="宋体"/>
      <w:szCs w:val="20"/>
    </w:rPr>
  </w:style>
  <w:style w:type="paragraph" w:customStyle="1" w:styleId="462">
    <w:name w:val="序号-----------"/>
    <w:basedOn w:val="1"/>
    <w:qFormat/>
    <w:uiPriority w:val="0"/>
    <w:pPr>
      <w:widowControl/>
      <w:jc w:val="left"/>
    </w:pPr>
    <w:rPr>
      <w:rFonts w:ascii="宋体" w:eastAsia="宋体"/>
      <w:bCs/>
      <w:szCs w:val="21"/>
    </w:rPr>
  </w:style>
  <w:style w:type="paragraph" w:customStyle="1" w:styleId="463">
    <w:name w:val="font8"/>
    <w:basedOn w:val="1"/>
    <w:qFormat/>
    <w:uiPriority w:val="0"/>
    <w:pPr>
      <w:widowControl/>
      <w:spacing w:before="100" w:beforeAutospacing="1" w:after="100" w:afterAutospacing="1"/>
      <w:jc w:val="left"/>
    </w:pPr>
    <w:rPr>
      <w:rFonts w:ascii="Arial" w:hAnsi="Arial" w:eastAsia="宋体" w:cs="Arial"/>
      <w:color w:val="000000"/>
      <w:sz w:val="18"/>
      <w:szCs w:val="18"/>
    </w:rPr>
  </w:style>
  <w:style w:type="paragraph" w:customStyle="1" w:styleId="464">
    <w:name w:val="表格标题"/>
    <w:basedOn w:val="1"/>
    <w:qFormat/>
    <w:uiPriority w:val="0"/>
    <w:pPr>
      <w:jc w:val="center"/>
    </w:pPr>
    <w:rPr>
      <w:rFonts w:eastAsia="宋体"/>
      <w:b/>
    </w:rPr>
  </w:style>
  <w:style w:type="paragraph" w:customStyle="1" w:styleId="465">
    <w:name w:val="章标题"/>
    <w:next w:val="410"/>
    <w:qFormat/>
    <w:uiPriority w:val="0"/>
    <w:pPr>
      <w:tabs>
        <w:tab w:val="left" w:pos="1200"/>
      </w:tabs>
      <w:spacing w:before="50" w:after="50"/>
      <w:ind w:left="1320" w:hanging="420"/>
      <w:jc w:val="both"/>
      <w:outlineLvl w:val="1"/>
    </w:pPr>
    <w:rPr>
      <w:rFonts w:hint="default" w:ascii="黑体" w:hAnsi="Times New Roman" w:eastAsia="黑体" w:cs="Times New Roman"/>
      <w:sz w:val="21"/>
      <w:lang w:val="en-US" w:eastAsia="zh-CN" w:bidi="ar-SA"/>
    </w:rPr>
  </w:style>
  <w:style w:type="paragraph" w:customStyle="1" w:styleId="466">
    <w:name w:val="首页单位日期"/>
    <w:basedOn w:val="1"/>
    <w:qFormat/>
    <w:uiPriority w:val="0"/>
    <w:pPr>
      <w:widowControl/>
      <w:jc w:val="center"/>
    </w:pPr>
    <w:rPr>
      <w:rFonts w:ascii="宋体" w:eastAsia="宋体" w:cs="宋体"/>
      <w:bCs/>
      <w:sz w:val="28"/>
      <w:szCs w:val="20"/>
    </w:rPr>
  </w:style>
  <w:style w:type="paragraph" w:customStyle="1" w:styleId="467">
    <w:name w:val="样式 正文缩进 + (中文) 仿宋_GB2312 小四 Char"/>
    <w:basedOn w:val="246"/>
    <w:qFormat/>
    <w:uiPriority w:val="0"/>
    <w:pPr>
      <w:spacing w:line="360" w:lineRule="auto"/>
      <w:ind w:firstLine="200"/>
    </w:pPr>
    <w:rPr>
      <w:szCs w:val="24"/>
    </w:rPr>
  </w:style>
  <w:style w:type="paragraph" w:customStyle="1" w:styleId="468">
    <w:name w:val="项目"/>
    <w:basedOn w:val="1"/>
    <w:qFormat/>
    <w:uiPriority w:val="0"/>
    <w:pPr>
      <w:tabs>
        <w:tab w:val="left" w:pos="840"/>
      </w:tabs>
      <w:spacing w:before="60" w:after="60" w:line="360" w:lineRule="auto"/>
      <w:ind w:left="840" w:hanging="420"/>
    </w:pPr>
    <w:rPr>
      <w:rFonts w:ascii="宋体" w:eastAsia="宋体"/>
      <w:szCs w:val="20"/>
    </w:rPr>
  </w:style>
  <w:style w:type="paragraph" w:customStyle="1" w:styleId="469">
    <w:name w:val="默认段落字体 Para Char"/>
    <w:basedOn w:val="1"/>
    <w:qFormat/>
    <w:uiPriority w:val="0"/>
    <w:rPr>
      <w:rFonts w:ascii="宋体" w:eastAsia="宋体"/>
      <w:b/>
      <w:sz w:val="28"/>
      <w:szCs w:val="28"/>
    </w:rPr>
  </w:style>
  <w:style w:type="paragraph" w:customStyle="1" w:styleId="470">
    <w:name w:val="篇名"/>
    <w:next w:val="228"/>
    <w:qFormat/>
    <w:uiPriority w:val="0"/>
    <w:pPr>
      <w:pageBreakBefore/>
      <w:spacing w:before="480" w:after="480"/>
      <w:jc w:val="center"/>
    </w:pPr>
    <w:rPr>
      <w:rFonts w:hint="default" w:ascii="Times New Roman" w:hAnsi="Times New Roman" w:eastAsia="黑体" w:cs="Times New Roman"/>
      <w:b/>
      <w:sz w:val="44"/>
      <w:szCs w:val="24"/>
      <w:lang w:val="en-US" w:eastAsia="zh-CN" w:bidi="ar-SA"/>
    </w:rPr>
  </w:style>
  <w:style w:type="paragraph" w:customStyle="1" w:styleId="471">
    <w:name w:val="Char13"/>
    <w:basedOn w:val="1"/>
    <w:qFormat/>
    <w:uiPriority w:val="0"/>
    <w:rPr>
      <w:rFonts w:eastAsia="宋体"/>
    </w:rPr>
  </w:style>
  <w:style w:type="paragraph" w:customStyle="1" w:styleId="472">
    <w:name w:val="表头"/>
    <w:basedOn w:val="422"/>
    <w:qFormat/>
    <w:uiPriority w:val="0"/>
    <w:pPr>
      <w:spacing w:line="240" w:lineRule="auto"/>
      <w:ind w:left="0" w:firstLine="0"/>
    </w:pPr>
    <w:rPr>
      <w:rFonts w:cs="Times New Roman"/>
      <w:sz w:val="20"/>
    </w:rPr>
  </w:style>
  <w:style w:type="paragraph" w:customStyle="1" w:styleId="473">
    <w:name w:val="表格序号"/>
    <w:qFormat/>
    <w:uiPriority w:val="0"/>
    <w:rPr>
      <w:rFonts w:hint="default" w:ascii="Times New Roman" w:hAnsi="Times New Roman" w:eastAsia="仿宋_GB2312" w:cs="宋体"/>
      <w:sz w:val="21"/>
      <w:lang w:val="en-US" w:eastAsia="zh-CN" w:bidi="ar-SA"/>
    </w:rPr>
  </w:style>
  <w:style w:type="paragraph" w:customStyle="1" w:styleId="474">
    <w:name w:val="Char Char Char Char1"/>
    <w:basedOn w:val="1"/>
    <w:qFormat/>
    <w:uiPriority w:val="0"/>
    <w:pPr>
      <w:spacing w:line="360" w:lineRule="auto"/>
      <w:ind w:firstLine="200"/>
    </w:pPr>
    <w:rPr>
      <w:rFonts w:eastAsia="宋体"/>
      <w:szCs w:val="20"/>
    </w:rPr>
  </w:style>
  <w:style w:type="paragraph" w:customStyle="1" w:styleId="475">
    <w:name w:val="标书3"/>
    <w:next w:val="385"/>
    <w:qFormat/>
    <w:uiPriority w:val="0"/>
    <w:pPr>
      <w:widowControl w:val="0"/>
      <w:jc w:val="center"/>
    </w:pPr>
    <w:rPr>
      <w:rFonts w:hint="default" w:ascii="Times New Roman" w:hAnsi="Times New Roman" w:eastAsia="黑体" w:cs="Times New Roman"/>
      <w:b/>
      <w:sz w:val="44"/>
      <w:szCs w:val="24"/>
      <w:lang w:val="en-US" w:eastAsia="zh-CN" w:bidi="ar-SA"/>
    </w:rPr>
  </w:style>
  <w:style w:type="paragraph" w:customStyle="1" w:styleId="476">
    <w:name w:val="首页小标题"/>
    <w:next w:val="451"/>
    <w:qFormat/>
    <w:uiPriority w:val="0"/>
    <w:pPr>
      <w:jc w:val="center"/>
    </w:pPr>
    <w:rPr>
      <w:rFonts w:hint="default" w:ascii="Times New Roman" w:hAnsi="Times New Roman" w:eastAsia="宋体" w:cs="宋体"/>
      <w:sz w:val="44"/>
      <w:lang w:val="en-US" w:eastAsia="zh-CN" w:bidi="ar-SA"/>
    </w:rPr>
  </w:style>
  <w:style w:type="paragraph" w:customStyle="1" w:styleId="477">
    <w:name w:val="新段落缩进"/>
    <w:basedOn w:val="1"/>
    <w:qFormat/>
    <w:uiPriority w:val="0"/>
    <w:pPr>
      <w:spacing w:line="400" w:lineRule="exact"/>
      <w:ind w:firstLine="200"/>
    </w:pPr>
    <w:rPr>
      <w:rFonts w:ascii="仿宋_GB2312" w:eastAsia="仿宋_GB2312"/>
    </w:rPr>
  </w:style>
  <w:style w:type="paragraph" w:customStyle="1" w:styleId="478">
    <w:name w:val="pa-2"/>
    <w:basedOn w:val="1"/>
    <w:qFormat/>
    <w:uiPriority w:val="0"/>
    <w:pPr>
      <w:widowControl/>
      <w:spacing w:line="360" w:lineRule="atLeast"/>
    </w:pPr>
    <w:rPr>
      <w:rFonts w:ascii="宋体" w:eastAsia="宋体" w:cs="宋体"/>
    </w:rPr>
  </w:style>
  <w:style w:type="paragraph" w:customStyle="1" w:styleId="479">
    <w:name w:val="四级条标题"/>
    <w:basedOn w:val="419"/>
    <w:next w:val="410"/>
    <w:qFormat/>
    <w:uiPriority w:val="0"/>
    <w:pPr>
      <w:ind w:left="0"/>
      <w:outlineLvl w:val="5"/>
    </w:pPr>
  </w:style>
  <w:style w:type="paragraph" w:customStyle="1" w:styleId="480">
    <w:name w:val="保密事宜内容"/>
    <w:basedOn w:val="1"/>
    <w:qFormat/>
    <w:uiPriority w:val="0"/>
    <w:pPr>
      <w:pBdr>
        <w:top w:val="single" w:color="000000" w:sz="4" w:space="1"/>
        <w:left w:val="single" w:color="000000" w:sz="4" w:space="4"/>
        <w:bottom w:val="single" w:color="000000" w:sz="4" w:space="1"/>
        <w:right w:val="single" w:color="000000" w:sz="4" w:space="4"/>
      </w:pBdr>
      <w:spacing w:line="360" w:lineRule="auto"/>
      <w:ind w:firstLine="200"/>
    </w:pPr>
    <w:rPr>
      <w:rFonts w:ascii="Tahoma" w:hAnsi="Tahoma" w:eastAsia="楷体_GB2312" w:cs="宋体"/>
      <w:bCs/>
      <w:szCs w:val="20"/>
    </w:rPr>
  </w:style>
  <w:style w:type="paragraph" w:customStyle="1" w:styleId="481">
    <w:name w:val="xl3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Arial Unicode MS" w:hAnsi="Arial Unicode MS" w:eastAsia="宋体"/>
      <w:sz w:val="20"/>
      <w:szCs w:val="20"/>
    </w:rPr>
  </w:style>
  <w:style w:type="paragraph" w:customStyle="1" w:styleId="482">
    <w:name w:val="Char1 Char Char Char"/>
    <w:basedOn w:val="1"/>
    <w:qFormat/>
    <w:uiPriority w:val="0"/>
    <w:rPr>
      <w:rFonts w:eastAsia="宋体"/>
      <w:szCs w:val="20"/>
    </w:rPr>
  </w:style>
  <w:style w:type="paragraph" w:customStyle="1" w:styleId="483">
    <w:name w:val="正文 + 宋体"/>
    <w:basedOn w:val="1"/>
    <w:qFormat/>
    <w:uiPriority w:val="0"/>
    <w:pPr>
      <w:ind w:firstLine="250"/>
    </w:pPr>
    <w:rPr>
      <w:rFonts w:ascii="宋体" w:eastAsia="宋体"/>
      <w:szCs w:val="21"/>
    </w:rPr>
  </w:style>
  <w:style w:type="paragraph" w:customStyle="1" w:styleId="484">
    <w:name w:val="xl31"/>
    <w:basedOn w:val="1"/>
    <w:qFormat/>
    <w:uiPriority w:val="0"/>
    <w:pPr>
      <w:widowControl/>
      <w:pBdr>
        <w:top w:val="single" w:color="FFFFFF" w:sz="4" w:space="0"/>
        <w:left w:val="single" w:color="FFFFFF" w:sz="4" w:space="0"/>
        <w:bottom w:val="single" w:color="FFFFFF" w:sz="4" w:space="0"/>
        <w:right w:val="single" w:color="FFFFFF" w:sz="4" w:space="0"/>
      </w:pBdr>
      <w:shd w:val="clear" w:color="auto" w:fill="FFFFFF"/>
      <w:spacing w:before="100" w:beforeAutospacing="1" w:after="100" w:afterAutospacing="1"/>
      <w:jc w:val="left"/>
    </w:pPr>
    <w:rPr>
      <w:rFonts w:ascii="Arial Unicode MS" w:hAnsi="Arial Unicode MS" w:eastAsia="宋体"/>
      <w:color w:val="000000"/>
      <w:sz w:val="18"/>
      <w:szCs w:val="18"/>
    </w:rPr>
  </w:style>
  <w:style w:type="paragraph" w:customStyle="1" w:styleId="485">
    <w:name w:val="pbody"/>
    <w:basedOn w:val="1"/>
    <w:qFormat/>
    <w:uiPriority w:val="0"/>
    <w:pPr>
      <w:widowControl/>
      <w:spacing w:before="100" w:beforeAutospacing="1" w:after="100" w:afterAutospacing="1" w:line="360" w:lineRule="auto"/>
      <w:jc w:val="left"/>
    </w:pPr>
    <w:rPr>
      <w:rFonts w:ascii="宋体" w:eastAsia="宋体" w:cs="宋体"/>
    </w:rPr>
  </w:style>
  <w:style w:type="paragraph" w:customStyle="1" w:styleId="486">
    <w:name w:val="xl42"/>
    <w:basedOn w:val="1"/>
    <w:qFormat/>
    <w:uiPriority w:val="0"/>
    <w:pPr>
      <w:widowControl/>
      <w:pBdr>
        <w:top w:val="single" w:color="000000" w:sz="4" w:space="0"/>
        <w:right w:val="single" w:color="000000" w:sz="4" w:space="0"/>
      </w:pBdr>
      <w:spacing w:before="100" w:beforeAutospacing="1" w:after="100" w:afterAutospacing="1"/>
      <w:jc w:val="left"/>
    </w:pPr>
    <w:rPr>
      <w:rFonts w:ascii="Arial Unicode MS" w:hAnsi="Arial Unicode MS" w:eastAsia="宋体"/>
    </w:rPr>
  </w:style>
  <w:style w:type="paragraph" w:customStyle="1" w:styleId="487">
    <w:name w:val="txt"/>
    <w:basedOn w:val="1"/>
    <w:qFormat/>
    <w:uiPriority w:val="0"/>
    <w:pPr>
      <w:widowControl/>
      <w:spacing w:before="100" w:beforeAutospacing="1" w:after="100" w:afterAutospacing="1"/>
      <w:jc w:val="left"/>
    </w:pPr>
    <w:rPr>
      <w:rFonts w:ascii="宋体" w:eastAsia="宋体" w:cs="宋体"/>
    </w:rPr>
  </w:style>
  <w:style w:type="paragraph" w:customStyle="1" w:styleId="488">
    <w:name w:val="样式1"/>
    <w:basedOn w:val="245"/>
    <w:next w:val="1"/>
    <w:qFormat/>
    <w:uiPriority w:val="0"/>
    <w:rPr>
      <w:rFonts w:ascii="Arial" w:hAnsi="Arial" w:eastAsia="幼圆" w:cs="Arial"/>
      <w:szCs w:val="20"/>
    </w:rPr>
  </w:style>
  <w:style w:type="paragraph" w:customStyle="1" w:styleId="489">
    <w:name w:val="xl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eastAsia="宋体"/>
      <w:sz w:val="20"/>
      <w:szCs w:val="20"/>
    </w:rPr>
  </w:style>
  <w:style w:type="paragraph" w:customStyle="1" w:styleId="490">
    <w:name w:val="图表目录1"/>
    <w:qFormat/>
    <w:uiPriority w:val="0"/>
    <w:pPr>
      <w:ind w:left="840" w:hanging="420"/>
    </w:pPr>
    <w:rPr>
      <w:rFonts w:hint="default" w:ascii="Times New Roman" w:hAnsi="Times New Roman" w:eastAsia="宋体" w:cs="宋体"/>
      <w:sz w:val="21"/>
      <w:lang w:val="en-US" w:eastAsia="zh-CN" w:bidi="ar-SA"/>
    </w:rPr>
  </w:style>
  <w:style w:type="paragraph" w:customStyle="1" w:styleId="491">
    <w:name w:val="样式 序号----------- + 仿宋_GB2312"/>
    <w:basedOn w:val="462"/>
    <w:qFormat/>
    <w:uiPriority w:val="0"/>
    <w:pPr>
      <w:spacing w:line="360" w:lineRule="auto"/>
      <w:ind w:firstLine="200"/>
    </w:pPr>
    <w:rPr>
      <w:rFonts w:ascii="仿宋_GB2312" w:eastAsia="仿宋_GB2312"/>
      <w:bCs w:val="0"/>
    </w:rPr>
  </w:style>
  <w:style w:type="paragraph" w:customStyle="1" w:styleId="492">
    <w:name w:val="xl41"/>
    <w:basedOn w:val="1"/>
    <w:qFormat/>
    <w:uiPriority w:val="0"/>
    <w:pPr>
      <w:widowControl/>
      <w:pBdr>
        <w:bottom w:val="single" w:color="000000" w:sz="4" w:space="0"/>
        <w:right w:val="single" w:color="000000" w:sz="4" w:space="0"/>
      </w:pBdr>
      <w:spacing w:before="100" w:beforeAutospacing="1" w:after="100" w:afterAutospacing="1"/>
      <w:jc w:val="left"/>
    </w:pPr>
    <w:rPr>
      <w:rFonts w:ascii="Arial Unicode MS" w:hAnsi="Arial Unicode MS" w:eastAsia="宋体"/>
    </w:rPr>
  </w:style>
  <w:style w:type="paragraph" w:customStyle="1" w:styleId="493">
    <w:name w:val="Char11"/>
    <w:basedOn w:val="1"/>
    <w:qFormat/>
    <w:uiPriority w:val="0"/>
    <w:rPr>
      <w:rFonts w:eastAsia="宋体"/>
      <w:szCs w:val="21"/>
    </w:rPr>
  </w:style>
  <w:style w:type="paragraph" w:customStyle="1" w:styleId="494">
    <w:name w:val="样式 序号----------- + 仿宋_GB23121"/>
    <w:basedOn w:val="462"/>
    <w:qFormat/>
    <w:uiPriority w:val="0"/>
    <w:pPr>
      <w:spacing w:line="360" w:lineRule="auto"/>
    </w:pPr>
    <w:rPr>
      <w:rFonts w:ascii="仿宋_GB2312" w:eastAsia="仿宋_GB2312"/>
      <w:bCs w:val="0"/>
    </w:rPr>
  </w:style>
  <w:style w:type="paragraph" w:customStyle="1" w:styleId="495">
    <w:name w:val="pa-9"/>
    <w:basedOn w:val="1"/>
    <w:qFormat/>
    <w:uiPriority w:val="0"/>
    <w:pPr>
      <w:widowControl/>
      <w:spacing w:line="360" w:lineRule="atLeast"/>
      <w:jc w:val="center"/>
    </w:pPr>
    <w:rPr>
      <w:rFonts w:ascii="宋体" w:eastAsia="宋体" w:cs="宋体"/>
    </w:rPr>
  </w:style>
  <w:style w:type="paragraph" w:customStyle="1" w:styleId="496">
    <w:name w:val="pa-3"/>
    <w:basedOn w:val="1"/>
    <w:qFormat/>
    <w:uiPriority w:val="0"/>
    <w:pPr>
      <w:widowControl/>
      <w:spacing w:before="150" w:after="150"/>
      <w:jc w:val="left"/>
    </w:pPr>
    <w:rPr>
      <w:rFonts w:ascii="宋体" w:eastAsia="宋体" w:cs="宋体"/>
    </w:rPr>
  </w:style>
  <w:style w:type="paragraph" w:customStyle="1" w:styleId="497">
    <w:name w:val="font5"/>
    <w:basedOn w:val="1"/>
    <w:qFormat/>
    <w:uiPriority w:val="0"/>
    <w:pPr>
      <w:widowControl/>
      <w:spacing w:before="100" w:beforeAutospacing="1" w:after="100" w:afterAutospacing="1"/>
      <w:jc w:val="left"/>
    </w:pPr>
    <w:rPr>
      <w:rFonts w:ascii="宋体" w:eastAsia="宋体"/>
      <w:sz w:val="18"/>
      <w:szCs w:val="18"/>
    </w:rPr>
  </w:style>
  <w:style w:type="paragraph" w:customStyle="1" w:styleId="498">
    <w:name w:val="pa-5"/>
    <w:basedOn w:val="1"/>
    <w:qFormat/>
    <w:uiPriority w:val="0"/>
    <w:pPr>
      <w:widowControl/>
      <w:spacing w:line="280" w:lineRule="atLeast"/>
    </w:pPr>
    <w:rPr>
      <w:rFonts w:ascii="宋体" w:eastAsia="宋体" w:cs="宋体"/>
    </w:rPr>
  </w:style>
  <w:style w:type="paragraph" w:customStyle="1" w:styleId="499">
    <w:name w:val="xl39"/>
    <w:basedOn w:val="1"/>
    <w:qFormat/>
    <w:uiPriority w:val="0"/>
    <w:pPr>
      <w:widowControl/>
      <w:pBdr>
        <w:top w:val="single" w:color="000000" w:sz="4" w:space="0"/>
        <w:right w:val="single" w:color="000000" w:sz="4" w:space="0"/>
      </w:pBdr>
      <w:spacing w:before="100" w:beforeAutospacing="1" w:after="100" w:afterAutospacing="1"/>
      <w:jc w:val="left"/>
    </w:pPr>
    <w:rPr>
      <w:rFonts w:ascii="Arial Unicode MS" w:hAnsi="Arial Unicode MS" w:eastAsia="宋体"/>
      <w:sz w:val="20"/>
      <w:szCs w:val="20"/>
    </w:rPr>
  </w:style>
  <w:style w:type="paragraph" w:customStyle="1" w:styleId="500">
    <w:name w:val="font6"/>
    <w:basedOn w:val="1"/>
    <w:qFormat/>
    <w:uiPriority w:val="0"/>
    <w:pPr>
      <w:widowControl/>
      <w:spacing w:before="100" w:beforeAutospacing="1" w:after="100" w:afterAutospacing="1"/>
      <w:jc w:val="left"/>
    </w:pPr>
    <w:rPr>
      <w:rFonts w:eastAsia="宋体"/>
      <w:sz w:val="20"/>
      <w:szCs w:val="20"/>
    </w:rPr>
  </w:style>
  <w:style w:type="paragraph" w:customStyle="1" w:styleId="501">
    <w:name w:val="font9"/>
    <w:basedOn w:val="1"/>
    <w:qFormat/>
    <w:uiPriority w:val="0"/>
    <w:pPr>
      <w:widowControl/>
      <w:spacing w:before="100" w:beforeAutospacing="1" w:after="100" w:afterAutospacing="1"/>
      <w:jc w:val="left"/>
    </w:pPr>
    <w:rPr>
      <w:rFonts w:ascii="宋体" w:eastAsia="宋体"/>
      <w:color w:val="000000"/>
      <w:sz w:val="18"/>
      <w:szCs w:val="18"/>
    </w:rPr>
  </w:style>
  <w:style w:type="paragraph" w:customStyle="1" w:styleId="502">
    <w:name w:val="列出段落11"/>
    <w:basedOn w:val="1"/>
    <w:qFormat/>
    <w:uiPriority w:val="0"/>
    <w:pPr>
      <w:ind w:firstLine="200"/>
    </w:pPr>
    <w:rPr>
      <w:rFonts w:ascii="Calibri" w:hAnsi="Calibri" w:eastAsia="宋体"/>
      <w:szCs w:val="22"/>
    </w:rPr>
  </w:style>
  <w:style w:type="paragraph" w:customStyle="1" w:styleId="503">
    <w:name w:val="p0"/>
    <w:basedOn w:val="1"/>
    <w:qFormat/>
    <w:uiPriority w:val="0"/>
    <w:pPr>
      <w:widowControl/>
    </w:pPr>
    <w:rPr>
      <w:rFonts w:eastAsia="宋体"/>
      <w:szCs w:val="21"/>
    </w:rPr>
  </w:style>
  <w:style w:type="paragraph" w:customStyle="1" w:styleId="504">
    <w:name w:val="Char Char Char Char Char Char Char Char Char Char21"/>
    <w:basedOn w:val="1"/>
    <w:qFormat/>
    <w:uiPriority w:val="0"/>
    <w:rPr>
      <w:rFonts w:ascii="Tahoma" w:hAnsi="Tahoma" w:eastAsia="宋体"/>
      <w:szCs w:val="20"/>
    </w:rPr>
  </w:style>
  <w:style w:type="paragraph" w:customStyle="1" w:styleId="505">
    <w:name w:val="封面标准名称"/>
    <w:qFormat/>
    <w:uiPriority w:val="0"/>
    <w:pPr>
      <w:widowControl w:val="0"/>
      <w:spacing w:line="680" w:lineRule="exact"/>
      <w:jc w:val="center"/>
    </w:pPr>
    <w:rPr>
      <w:rFonts w:hint="default" w:ascii="黑体" w:hAnsi="Times New Roman" w:eastAsia="黑体" w:cs="Times New Roman"/>
      <w:sz w:val="52"/>
      <w:lang w:val="en-US" w:eastAsia="zh-CN" w:bidi="ar-SA"/>
    </w:rPr>
  </w:style>
  <w:style w:type="paragraph" w:customStyle="1" w:styleId="506">
    <w:name w:val="表格正文"/>
    <w:basedOn w:val="1"/>
    <w:qFormat/>
    <w:uiPriority w:val="0"/>
    <w:pPr>
      <w:tabs>
        <w:tab w:val="left" w:pos="420"/>
      </w:tabs>
      <w:spacing w:line="300" w:lineRule="auto"/>
    </w:pPr>
    <w:rPr>
      <w:rFonts w:eastAsia="宋体"/>
    </w:rPr>
  </w:style>
  <w:style w:type="paragraph" w:customStyle="1" w:styleId="507">
    <w:name w:val="首页标题小初"/>
    <w:qFormat/>
    <w:uiPriority w:val="0"/>
    <w:pPr>
      <w:jc w:val="center"/>
    </w:pPr>
    <w:rPr>
      <w:rFonts w:hint="default" w:ascii="黑体" w:hAnsi="Times New Roman" w:eastAsia="黑体" w:cs="宋体"/>
      <w:sz w:val="72"/>
      <w:lang w:val="en-US" w:eastAsia="zh-CN" w:bidi="ar-SA"/>
    </w:rPr>
  </w:style>
  <w:style w:type="paragraph" w:customStyle="1" w:styleId="508">
    <w:name w:val="五级条标题"/>
    <w:basedOn w:val="479"/>
    <w:next w:val="410"/>
    <w:qFormat/>
    <w:uiPriority w:val="0"/>
    <w:pPr>
      <w:outlineLvl w:val="6"/>
    </w:pPr>
  </w:style>
  <w:style w:type="paragraph" w:customStyle="1" w:styleId="509">
    <w:name w:val="Char Char Char Char Char Char Char1"/>
    <w:basedOn w:val="1"/>
    <w:qFormat/>
    <w:uiPriority w:val="0"/>
    <w:pPr>
      <w:widowControl/>
      <w:spacing w:after="160" w:line="240" w:lineRule="exact"/>
      <w:jc w:val="left"/>
    </w:pPr>
    <w:rPr>
      <w:rFonts w:ascii="Verdana" w:hAnsi="Verdana" w:eastAsia="宋体"/>
      <w:sz w:val="20"/>
      <w:szCs w:val="20"/>
      <w:lang w:eastAsia="en-US"/>
    </w:rPr>
  </w:style>
  <w:style w:type="paragraph" w:customStyle="1" w:styleId="510">
    <w:name w:val="ibm-list-next"/>
    <w:basedOn w:val="1"/>
    <w:qFormat/>
    <w:uiPriority w:val="0"/>
    <w:pPr>
      <w:widowControl/>
      <w:spacing w:before="100" w:beforeAutospacing="1" w:after="100" w:afterAutospacing="1"/>
      <w:jc w:val="left"/>
    </w:pPr>
    <w:rPr>
      <w:rFonts w:ascii="宋体" w:eastAsia="宋体" w:cs="宋体"/>
    </w:rPr>
  </w:style>
  <w:style w:type="paragraph" w:customStyle="1" w:styleId="511">
    <w:name w:val="首页标题 一号"/>
    <w:basedOn w:val="507"/>
    <w:qFormat/>
    <w:uiPriority w:val="0"/>
    <w:rPr>
      <w:rFonts w:ascii="Times New Roman" w:eastAsia="宋体" w:cs="Times New Roman"/>
      <w:sz w:val="52"/>
    </w:rPr>
  </w:style>
  <w:style w:type="paragraph" w:customStyle="1" w:styleId="512">
    <w:name w:val="Char Char Char Char Char Char Char Char Char Char2"/>
    <w:basedOn w:val="1"/>
    <w:qFormat/>
    <w:uiPriority w:val="0"/>
    <w:rPr>
      <w:rFonts w:ascii="Tahoma" w:hAnsi="Tahoma" w:eastAsia="宋体"/>
      <w:szCs w:val="20"/>
    </w:rPr>
  </w:style>
  <w:style w:type="character" w:customStyle="1" w:styleId="513">
    <w:name w:val="正文（编号） Char Char"/>
    <w:link w:val="514"/>
    <w:qFormat/>
    <w:uiPriority w:val="0"/>
    <w:rPr>
      <w:rFonts w:ascii="Times New Roman" w:hAnsi="Times New Roman" w:eastAsia="宋体" w:cs="Times New Roman"/>
      <w:sz w:val="24"/>
      <w:szCs w:val="24"/>
    </w:rPr>
  </w:style>
  <w:style w:type="paragraph" w:customStyle="1" w:styleId="514">
    <w:name w:val="正文（编号）"/>
    <w:basedOn w:val="372"/>
    <w:link w:val="513"/>
    <w:qFormat/>
    <w:uiPriority w:val="0"/>
    <w:pPr>
      <w:tabs>
        <w:tab w:val="left" w:pos="720"/>
        <w:tab w:val="left" w:pos="780"/>
      </w:tabs>
      <w:ind w:left="720" w:firstLine="0"/>
    </w:pPr>
  </w:style>
  <w:style w:type="paragraph" w:customStyle="1" w:styleId="515">
    <w:name w:val="表格"/>
    <w:basedOn w:val="1"/>
    <w:qFormat/>
    <w:uiPriority w:val="0"/>
    <w:pPr>
      <w:ind w:firstLine="21"/>
    </w:pPr>
    <w:rPr>
      <w:rFonts w:ascii="宋体" w:eastAsia="宋体"/>
      <w:szCs w:val="20"/>
    </w:rPr>
  </w:style>
  <w:style w:type="character" w:customStyle="1" w:styleId="516">
    <w:name w:val="正文（缩进） Char Char"/>
    <w:qFormat/>
    <w:uiPriority w:val="0"/>
    <w:rPr>
      <w:rFonts w:ascii="Times New Roman" w:hAnsi="Times New Roman" w:eastAsia="宋体" w:cs="Times New Roman"/>
      <w:sz w:val="24"/>
      <w:szCs w:val="24"/>
      <w:lang w:val="en-US" w:eastAsia="zh-CN" w:bidi="ar-SA"/>
    </w:rPr>
  </w:style>
  <w:style w:type="paragraph" w:customStyle="1" w:styleId="517">
    <w:name w:val="Char Char Char1"/>
    <w:basedOn w:val="1"/>
    <w:qFormat/>
    <w:uiPriority w:val="0"/>
    <w:rPr>
      <w:rFonts w:ascii="Calibri" w:hAnsi="Calibri" w:eastAsia="宋体"/>
      <w:szCs w:val="21"/>
    </w:rPr>
  </w:style>
  <w:style w:type="paragraph" w:customStyle="1" w:styleId="518">
    <w:name w:val="样式 正文2 + 首行缩进:  0 厘米 段后: 1.5 行"/>
    <w:basedOn w:val="1"/>
    <w:qFormat/>
    <w:uiPriority w:val="0"/>
    <w:pPr>
      <w:widowControl/>
      <w:tabs>
        <w:tab w:val="left" w:pos="987"/>
      </w:tabs>
      <w:spacing w:line="360" w:lineRule="auto"/>
      <w:ind w:left="985" w:hanging="567"/>
      <w:jc w:val="left"/>
    </w:pPr>
    <w:rPr>
      <w:rFonts w:ascii="Calibri" w:hAnsi="Calibri" w:eastAsia="楷体_GB2312"/>
      <w:szCs w:val="20"/>
      <w:lang w:eastAsia="en-US"/>
    </w:rPr>
  </w:style>
  <w:style w:type="paragraph" w:customStyle="1" w:styleId="519">
    <w:name w:val="表中文字"/>
    <w:basedOn w:val="1"/>
    <w:qFormat/>
    <w:uiPriority w:val="0"/>
    <w:pPr>
      <w:widowControl/>
    </w:pPr>
    <w:rPr>
      <w:rFonts w:ascii="Calibri" w:hAnsi="Calibri" w:eastAsia="宋体"/>
      <w:szCs w:val="20"/>
    </w:rPr>
  </w:style>
  <w:style w:type="character" w:customStyle="1" w:styleId="520">
    <w:name w:val="z1"/>
    <w:basedOn w:val="236"/>
    <w:qFormat/>
    <w:uiPriority w:val="0"/>
    <w:rPr>
      <w:rFonts w:ascii="Times New Roman" w:hAnsi="Times New Roman" w:eastAsia="宋体" w:cs="Times New Roman"/>
    </w:rPr>
  </w:style>
  <w:style w:type="paragraph" w:customStyle="1" w:styleId="521">
    <w:name w:val="a1"/>
    <w:basedOn w:val="1"/>
    <w:qFormat/>
    <w:uiPriority w:val="0"/>
    <w:pPr>
      <w:widowControl/>
      <w:spacing w:before="100" w:beforeAutospacing="1" w:after="100" w:afterAutospacing="1"/>
      <w:jc w:val="left"/>
    </w:pPr>
    <w:rPr>
      <w:rFonts w:ascii="宋体" w:eastAsia="宋体"/>
      <w:szCs w:val="22"/>
    </w:rPr>
  </w:style>
  <w:style w:type="paragraph" w:customStyle="1" w:styleId="522">
    <w:name w:val="a0"/>
    <w:basedOn w:val="1"/>
    <w:qFormat/>
    <w:uiPriority w:val="0"/>
    <w:pPr>
      <w:widowControl/>
      <w:spacing w:before="100" w:beforeAutospacing="1" w:after="100" w:afterAutospacing="1"/>
      <w:jc w:val="left"/>
    </w:pPr>
    <w:rPr>
      <w:rFonts w:ascii="宋体" w:eastAsia="宋体"/>
      <w:szCs w:val="22"/>
    </w:rPr>
  </w:style>
  <w:style w:type="paragraph" w:customStyle="1" w:styleId="523">
    <w:name w:val="tabletext"/>
    <w:basedOn w:val="1"/>
    <w:qFormat/>
    <w:uiPriority w:val="0"/>
    <w:pPr>
      <w:widowControl/>
      <w:spacing w:before="100" w:beforeAutospacing="1" w:after="100" w:afterAutospacing="1"/>
      <w:jc w:val="left"/>
    </w:pPr>
    <w:rPr>
      <w:rFonts w:ascii="宋体" w:eastAsia="宋体"/>
      <w:szCs w:val="22"/>
    </w:rPr>
  </w:style>
  <w:style w:type="paragraph" w:customStyle="1" w:styleId="524">
    <w:name w:val="我的样式"/>
    <w:basedOn w:val="1"/>
    <w:qFormat/>
    <w:uiPriority w:val="0"/>
    <w:pPr>
      <w:widowControl/>
      <w:spacing w:after="120"/>
      <w:ind w:firstLine="420"/>
      <w:jc w:val="left"/>
    </w:pPr>
    <w:rPr>
      <w:rFonts w:ascii="宋体" w:eastAsia="宋体"/>
      <w:color w:val="000000"/>
      <w:szCs w:val="16"/>
    </w:rPr>
  </w:style>
  <w:style w:type="paragraph" w:customStyle="1" w:styleId="525">
    <w:name w:val="Figure and Table Title"/>
    <w:basedOn w:val="1"/>
    <w:qFormat/>
    <w:uiPriority w:val="0"/>
    <w:pPr>
      <w:widowControl/>
      <w:ind w:left="2160"/>
      <w:jc w:val="left"/>
    </w:pPr>
    <w:rPr>
      <w:rFonts w:ascii="Helvetica-Light" w:hAnsi="Helvetica-Light" w:eastAsia="宋体"/>
      <w:b/>
      <w:bCs/>
      <w:sz w:val="20"/>
      <w:szCs w:val="22"/>
      <w:lang w:eastAsia="en-US"/>
    </w:rPr>
  </w:style>
  <w:style w:type="paragraph" w:customStyle="1" w:styleId="526">
    <w:name w:val="Table Text/Title"/>
    <w:basedOn w:val="1"/>
    <w:qFormat/>
    <w:uiPriority w:val="0"/>
    <w:pPr>
      <w:widowControl/>
      <w:jc w:val="left"/>
    </w:pPr>
    <w:rPr>
      <w:rFonts w:ascii="宋体" w:eastAsia="宋体"/>
      <w:b/>
      <w:bCs/>
      <w:sz w:val="20"/>
      <w:szCs w:val="20"/>
      <w:lang w:eastAsia="en-US"/>
    </w:rPr>
  </w:style>
  <w:style w:type="paragraph" w:customStyle="1" w:styleId="527">
    <w:name w:val="Sourcetext bullet"/>
    <w:basedOn w:val="1"/>
    <w:qFormat/>
    <w:uiPriority w:val="0"/>
    <w:pPr>
      <w:widowControl/>
      <w:tabs>
        <w:tab w:val="left" w:pos="360"/>
      </w:tabs>
      <w:spacing w:after="120"/>
      <w:ind w:left="2160" w:hanging="360"/>
      <w:jc w:val="left"/>
    </w:pPr>
    <w:rPr>
      <w:rFonts w:ascii="Book Antiqua" w:hAnsi="Book Antiqua" w:eastAsia="宋体"/>
      <w:sz w:val="20"/>
      <w:szCs w:val="20"/>
      <w:lang w:eastAsia="en-US"/>
    </w:rPr>
  </w:style>
  <w:style w:type="paragraph" w:customStyle="1" w:styleId="528">
    <w:name w:val="无标题正文 Char Char Char Char Char Char Char Char Char Char Char Char Char Char Char Char Char Char Char Char Char Char Char Char Char Char Char1 Char"/>
    <w:basedOn w:val="1"/>
    <w:qFormat/>
    <w:uiPriority w:val="0"/>
    <w:pPr>
      <w:widowControl/>
      <w:spacing w:after="160" w:line="240" w:lineRule="exact"/>
      <w:jc w:val="center"/>
    </w:pPr>
    <w:rPr>
      <w:rFonts w:ascii="Arial" w:hAnsi="Arial" w:eastAsia="宋体"/>
      <w:sz w:val="20"/>
      <w:szCs w:val="20"/>
      <w:lang w:eastAsia="en-US"/>
    </w:rPr>
  </w:style>
  <w:style w:type="paragraph" w:customStyle="1" w:styleId="529">
    <w:name w:val="Char Char Char Char"/>
    <w:basedOn w:val="1"/>
    <w:qFormat/>
    <w:uiPriority w:val="0"/>
    <w:pPr>
      <w:widowControl/>
      <w:spacing w:after="120" w:line="360" w:lineRule="auto"/>
      <w:ind w:left="560" w:firstLine="200"/>
      <w:jc w:val="left"/>
    </w:pPr>
    <w:rPr>
      <w:rFonts w:ascii="Verdana" w:hAnsi="Verdana" w:eastAsia="宋体"/>
      <w:szCs w:val="22"/>
    </w:rPr>
  </w:style>
  <w:style w:type="character" w:customStyle="1" w:styleId="530">
    <w:name w:val="style91"/>
    <w:qFormat/>
    <w:uiPriority w:val="0"/>
    <w:rPr>
      <w:rFonts w:ascii="Times New Roman" w:hAnsi="Times New Roman" w:eastAsia="宋体" w:cs="Times New Roman"/>
      <w:color w:val="2060C0"/>
      <w:sz w:val="24"/>
      <w:szCs w:val="24"/>
    </w:rPr>
  </w:style>
  <w:style w:type="paragraph" w:customStyle="1" w:styleId="531">
    <w:name w:val="标准小四"/>
    <w:basedOn w:val="1"/>
    <w:qFormat/>
    <w:uiPriority w:val="0"/>
    <w:pPr>
      <w:spacing w:line="360" w:lineRule="auto"/>
      <w:ind w:firstLine="200"/>
    </w:pPr>
    <w:rPr>
      <w:rFonts w:ascii="Arial" w:hAnsi="Arial" w:eastAsia="宋体"/>
      <w:szCs w:val="21"/>
    </w:rPr>
  </w:style>
  <w:style w:type="paragraph" w:customStyle="1" w:styleId="532">
    <w:name w:val="样式 正文首行缩进 + 宋体 首行缩进:  0.74 厘米"/>
    <w:basedOn w:val="295"/>
    <w:qFormat/>
    <w:uiPriority w:val="0"/>
    <w:pPr>
      <w:spacing w:before="120" w:after="0" w:line="380" w:lineRule="exact"/>
      <w:ind w:firstLine="210"/>
    </w:pPr>
    <w:rPr>
      <w:rFonts w:ascii="宋体" w:cs="宋体"/>
      <w:sz w:val="24"/>
      <w:szCs w:val="20"/>
    </w:rPr>
  </w:style>
  <w:style w:type="paragraph" w:customStyle="1" w:styleId="533">
    <w:name w:val="默认段落字体 Para Char Char Char Char Char Char Char Char Char1"/>
    <w:basedOn w:val="1"/>
    <w:qFormat/>
    <w:uiPriority w:val="0"/>
    <w:rPr>
      <w:rFonts w:ascii="Tahoma" w:hAnsi="Tahoma" w:eastAsia="宋体"/>
      <w:szCs w:val="20"/>
    </w:rPr>
  </w:style>
  <w:style w:type="paragraph" w:customStyle="1" w:styleId="534">
    <w:name w:val="正文小四"/>
    <w:basedOn w:val="1"/>
    <w:qFormat/>
    <w:uiPriority w:val="0"/>
    <w:pPr>
      <w:spacing w:line="312" w:lineRule="auto"/>
    </w:pPr>
    <w:rPr>
      <w:rFonts w:ascii="Calibri" w:hAnsi="Calibri" w:eastAsia="宋体"/>
      <w:szCs w:val="22"/>
    </w:rPr>
  </w:style>
  <w:style w:type="paragraph" w:customStyle="1" w:styleId="535">
    <w:name w:val="ul"/>
    <w:basedOn w:val="1"/>
    <w:qFormat/>
    <w:uiPriority w:val="0"/>
    <w:pPr>
      <w:widowControl/>
      <w:numPr>
        <w:ilvl w:val="0"/>
        <w:numId w:val="1"/>
      </w:numPr>
      <w:tabs>
        <w:tab w:val="left" w:pos="842"/>
      </w:tabs>
      <w:spacing w:line="360" w:lineRule="auto"/>
      <w:ind w:left="567" w:hanging="85"/>
      <w:jc w:val="left"/>
    </w:pPr>
    <w:rPr>
      <w:rFonts w:ascii="Calibri" w:hAnsi="Calibri" w:eastAsia="宋体"/>
      <w:szCs w:val="22"/>
    </w:rPr>
  </w:style>
  <w:style w:type="paragraph" w:customStyle="1" w:styleId="536">
    <w:name w:val="Bullet"/>
    <w:basedOn w:val="1"/>
    <w:qFormat/>
    <w:uiPriority w:val="0"/>
    <w:pPr>
      <w:widowControl/>
      <w:tabs>
        <w:tab w:val="left" w:pos="360"/>
        <w:tab w:val="left" w:pos="720"/>
      </w:tabs>
      <w:spacing w:before="120" w:after="60" w:line="387" w:lineRule="atLeast"/>
      <w:ind w:left="720" w:right="360" w:hanging="360"/>
    </w:pPr>
    <w:rPr>
      <w:rFonts w:ascii="Book Antiqua" w:hAnsi="Book Antiqua" w:eastAsia="宋体"/>
      <w:szCs w:val="20"/>
    </w:rPr>
  </w:style>
  <w:style w:type="paragraph" w:customStyle="1" w:styleId="537">
    <w:name w:val="正文（首行缩进）"/>
    <w:basedOn w:val="1"/>
    <w:qFormat/>
    <w:uiPriority w:val="0"/>
    <w:pPr>
      <w:widowControl/>
      <w:spacing w:before="120" w:line="360" w:lineRule="auto"/>
      <w:ind w:firstLine="482"/>
    </w:pPr>
    <w:rPr>
      <w:rFonts w:ascii="Calibri" w:hAnsi="Calibri" w:eastAsia="宋体"/>
      <w:szCs w:val="20"/>
    </w:rPr>
  </w:style>
  <w:style w:type="character" w:customStyle="1" w:styleId="538">
    <w:name w:val="style161"/>
    <w:qFormat/>
    <w:uiPriority w:val="0"/>
    <w:rPr>
      <w:rFonts w:ascii="Verdana" w:hAnsi="Verdana" w:eastAsia="宋体" w:cs="Times New Roman"/>
      <w:b/>
      <w:color w:val="0A246A"/>
      <w:sz w:val="24"/>
      <w:szCs w:val="24"/>
      <w:lang w:val="en-US" w:eastAsia="zh-CN" w:bidi="ar-SA"/>
    </w:rPr>
  </w:style>
  <w:style w:type="paragraph" w:customStyle="1" w:styleId="539">
    <w:name w:val="正文（首行缩进两字）"/>
    <w:basedOn w:val="1"/>
    <w:qFormat/>
    <w:uiPriority w:val="0"/>
    <w:pPr>
      <w:spacing w:line="312" w:lineRule="auto"/>
    </w:pPr>
    <w:rPr>
      <w:rFonts w:ascii="宋体" w:eastAsia="宋体" w:cs="宋体"/>
      <w:szCs w:val="22"/>
    </w:rPr>
  </w:style>
  <w:style w:type="paragraph" w:customStyle="1" w:styleId="540">
    <w:name w:val="正文文字缩进 3"/>
    <w:basedOn w:val="1"/>
    <w:qFormat/>
    <w:uiPriority w:val="0"/>
    <w:pPr>
      <w:spacing w:line="312" w:lineRule="auto"/>
      <w:ind w:left="420" w:firstLine="420"/>
    </w:pPr>
    <w:rPr>
      <w:rFonts w:ascii="黑体" w:hAnsi="黑体" w:eastAsia="宋体" w:cs="宋体"/>
      <w:bCs/>
      <w:color w:val="000000"/>
      <w:szCs w:val="22"/>
    </w:rPr>
  </w:style>
  <w:style w:type="paragraph" w:customStyle="1" w:styleId="541">
    <w:name w:val="技术方案3"/>
    <w:basedOn w:val="1"/>
    <w:qFormat/>
    <w:uiPriority w:val="0"/>
    <w:pPr>
      <w:spacing w:line="360" w:lineRule="auto"/>
    </w:pPr>
    <w:rPr>
      <w:rFonts w:ascii="宋体" w:eastAsia="宋体"/>
      <w:b/>
      <w:bCs/>
      <w:sz w:val="32"/>
      <w:szCs w:val="22"/>
    </w:rPr>
  </w:style>
  <w:style w:type="paragraph" w:customStyle="1" w:styleId="542">
    <w:name w:val="技术方案2"/>
    <w:basedOn w:val="1"/>
    <w:qFormat/>
    <w:uiPriority w:val="0"/>
    <w:pPr>
      <w:spacing w:line="480" w:lineRule="auto"/>
    </w:pPr>
    <w:rPr>
      <w:rFonts w:ascii="宋体" w:eastAsia="宋体"/>
      <w:b/>
      <w:bCs/>
      <w:sz w:val="36"/>
      <w:szCs w:val="22"/>
    </w:rPr>
  </w:style>
  <w:style w:type="paragraph" w:customStyle="1" w:styleId="543">
    <w:name w:val="技术方案正文"/>
    <w:basedOn w:val="1"/>
    <w:qFormat/>
    <w:uiPriority w:val="0"/>
    <w:pPr>
      <w:spacing w:line="360" w:lineRule="auto"/>
      <w:ind w:firstLine="480"/>
    </w:pPr>
    <w:rPr>
      <w:rFonts w:ascii="宋体" w:eastAsia="宋体"/>
      <w:szCs w:val="22"/>
    </w:rPr>
  </w:style>
  <w:style w:type="paragraph" w:customStyle="1" w:styleId="544">
    <w:name w:val="Normal Paragraph"/>
    <w:basedOn w:val="1"/>
    <w:qFormat/>
    <w:uiPriority w:val="0"/>
    <w:pPr>
      <w:widowControl/>
      <w:spacing w:before="120" w:line="360" w:lineRule="auto"/>
      <w:ind w:firstLine="425"/>
    </w:pPr>
    <w:rPr>
      <w:rFonts w:ascii="Calibri" w:hAnsi="Calibri" w:eastAsia="宋体"/>
      <w:szCs w:val="20"/>
    </w:rPr>
  </w:style>
  <w:style w:type="paragraph" w:customStyle="1" w:styleId="545">
    <w:name w:val="Normal Paragraph Char"/>
    <w:basedOn w:val="1"/>
    <w:qFormat/>
    <w:uiPriority w:val="0"/>
    <w:pPr>
      <w:widowControl/>
      <w:spacing w:before="120" w:line="360" w:lineRule="auto"/>
      <w:ind w:firstLine="425"/>
    </w:pPr>
    <w:rPr>
      <w:rFonts w:ascii="Calibri" w:hAnsi="Calibri" w:eastAsia="宋体"/>
      <w:szCs w:val="22"/>
    </w:rPr>
  </w:style>
  <w:style w:type="paragraph" w:customStyle="1" w:styleId="546">
    <w:name w:val="文档正文"/>
    <w:basedOn w:val="1"/>
    <w:qFormat/>
    <w:uiPriority w:val="0"/>
    <w:rPr>
      <w:rFonts w:ascii="宋体" w:eastAsia="宋体"/>
      <w:szCs w:val="20"/>
    </w:rPr>
  </w:style>
  <w:style w:type="paragraph" w:customStyle="1" w:styleId="547">
    <w:name w:val="默认段落字体 Para Char Char Char Char Char"/>
    <w:basedOn w:val="1"/>
    <w:qFormat/>
    <w:uiPriority w:val="0"/>
    <w:pPr>
      <w:spacing w:before="100" w:beforeAutospacing="1" w:after="100" w:afterAutospacing="1" w:line="360" w:lineRule="auto"/>
      <w:ind w:firstLine="200"/>
      <w:jc w:val="left"/>
    </w:pPr>
    <w:rPr>
      <w:rFonts w:ascii="Arial" w:hAnsi="Arial" w:eastAsia="宋体"/>
      <w:szCs w:val="22"/>
      <w:lang w:eastAsia="en-US"/>
    </w:rPr>
  </w:style>
  <w:style w:type="paragraph" w:customStyle="1" w:styleId="548">
    <w:name w:val="标题2"/>
    <w:basedOn w:val="1"/>
    <w:qFormat/>
    <w:uiPriority w:val="0"/>
    <w:pPr>
      <w:tabs>
        <w:tab w:val="left" w:pos="0"/>
      </w:tabs>
    </w:pPr>
    <w:rPr>
      <w:rFonts w:ascii="黑体" w:eastAsia="黑体"/>
      <w:szCs w:val="22"/>
    </w:rPr>
  </w:style>
  <w:style w:type="paragraph" w:customStyle="1" w:styleId="549">
    <w:name w:val="Char Char Char Char Char Char Char Char Char Char Char Char Char1"/>
    <w:basedOn w:val="1"/>
    <w:qFormat/>
    <w:uiPriority w:val="0"/>
    <w:pPr>
      <w:widowControl/>
      <w:spacing w:after="160" w:line="240" w:lineRule="exact"/>
      <w:jc w:val="left"/>
    </w:pPr>
    <w:rPr>
      <w:rFonts w:ascii="Arial" w:hAnsi="Arial" w:cs="Verdana"/>
      <w:b/>
      <w:szCs w:val="32"/>
      <w:lang w:eastAsia="en-US"/>
    </w:rPr>
  </w:style>
  <w:style w:type="paragraph" w:customStyle="1" w:styleId="550">
    <w:name w:val="样式2"/>
    <w:basedOn w:val="71"/>
    <w:qFormat/>
    <w:uiPriority w:val="0"/>
    <w:pPr>
      <w:spacing w:line="415" w:lineRule="auto"/>
    </w:pPr>
    <w:rPr>
      <w:rFonts w:ascii="Calibri" w:hAnsi="Calibri"/>
      <w:bCs/>
      <w:color w:val="000000"/>
      <w:sz w:val="28"/>
      <w:szCs w:val="28"/>
    </w:rPr>
  </w:style>
  <w:style w:type="paragraph" w:customStyle="1" w:styleId="551">
    <w:name w:val="样式3"/>
    <w:basedOn w:val="71"/>
    <w:qFormat/>
    <w:uiPriority w:val="0"/>
    <w:pPr>
      <w:spacing w:line="415" w:lineRule="auto"/>
    </w:pPr>
    <w:rPr>
      <w:rFonts w:ascii="Calibri" w:hAnsi="Calibri"/>
      <w:bCs/>
      <w:color w:val="000000"/>
      <w:sz w:val="28"/>
      <w:szCs w:val="28"/>
    </w:rPr>
  </w:style>
  <w:style w:type="paragraph" w:customStyle="1" w:styleId="552">
    <w:name w:val="样式4"/>
    <w:basedOn w:val="71"/>
    <w:qFormat/>
    <w:uiPriority w:val="0"/>
    <w:pPr>
      <w:spacing w:line="415" w:lineRule="auto"/>
    </w:pPr>
    <w:rPr>
      <w:rFonts w:ascii="Calibri" w:hAnsi="Calibri"/>
      <w:bCs/>
      <w:color w:val="000000"/>
      <w:sz w:val="28"/>
      <w:szCs w:val="28"/>
    </w:rPr>
  </w:style>
  <w:style w:type="paragraph" w:customStyle="1" w:styleId="553">
    <w:name w:val="样式5"/>
    <w:basedOn w:val="71"/>
    <w:qFormat/>
    <w:uiPriority w:val="0"/>
    <w:pPr>
      <w:spacing w:line="415" w:lineRule="auto"/>
    </w:pPr>
    <w:rPr>
      <w:rFonts w:ascii="Calibri" w:hAnsi="Calibri"/>
      <w:bCs/>
      <w:color w:val="000000"/>
      <w:sz w:val="28"/>
      <w:szCs w:val="28"/>
    </w:rPr>
  </w:style>
  <w:style w:type="paragraph" w:customStyle="1" w:styleId="554">
    <w:name w:val="样式6"/>
    <w:basedOn w:val="488"/>
    <w:qFormat/>
    <w:uiPriority w:val="0"/>
    <w:pPr>
      <w:keepNext/>
      <w:keepLines/>
      <w:spacing w:before="260" w:after="260" w:line="415" w:lineRule="auto"/>
      <w:outlineLvl w:val="1"/>
    </w:pPr>
    <w:rPr>
      <w:rFonts w:ascii="Times New Roman" w:hAnsi="Times New Roman" w:eastAsia="宋体" w:cs="Times New Roman"/>
      <w:b/>
      <w:bCs/>
      <w:sz w:val="32"/>
      <w:szCs w:val="32"/>
    </w:rPr>
  </w:style>
  <w:style w:type="paragraph" w:customStyle="1" w:styleId="555">
    <w:name w:val="大汉方案正文 Char"/>
    <w:basedOn w:val="1"/>
    <w:qFormat/>
    <w:uiPriority w:val="0"/>
    <w:pPr>
      <w:spacing w:line="360" w:lineRule="auto"/>
      <w:ind w:firstLine="200"/>
    </w:pPr>
    <w:rPr>
      <w:rFonts w:ascii="Arial" w:hAnsi="Arial" w:eastAsia="宋体"/>
      <w:szCs w:val="22"/>
    </w:rPr>
  </w:style>
  <w:style w:type="character" w:customStyle="1" w:styleId="556">
    <w:name w:val="标题 2 Char Char Char"/>
    <w:qFormat/>
    <w:uiPriority w:val="0"/>
    <w:rPr>
      <w:rFonts w:ascii="Arial" w:hAnsi="Arial" w:eastAsia="宋体" w:cs="Arial"/>
      <w:b/>
      <w:bCs/>
      <w:i/>
      <w:iCs/>
      <w:sz w:val="28"/>
      <w:szCs w:val="28"/>
      <w:lang w:val="en-US" w:eastAsia="zh-CN" w:bidi="ar-SA"/>
    </w:rPr>
  </w:style>
  <w:style w:type="character" w:customStyle="1" w:styleId="557">
    <w:name w:val="question-title"/>
    <w:basedOn w:val="236"/>
    <w:qFormat/>
    <w:uiPriority w:val="0"/>
    <w:rPr>
      <w:rFonts w:ascii="Times New Roman" w:hAnsi="Times New Roman" w:eastAsia="宋体" w:cs="Times New Roman"/>
    </w:rPr>
  </w:style>
  <w:style w:type="paragraph" w:customStyle="1" w:styleId="558">
    <w:name w:val="说明书3级标题"/>
    <w:basedOn w:val="1"/>
    <w:next w:val="1"/>
    <w:qFormat/>
    <w:uiPriority w:val="0"/>
    <w:pPr>
      <w:numPr>
        <w:ilvl w:val="2"/>
        <w:numId w:val="2"/>
      </w:numPr>
      <w:spacing w:line="360" w:lineRule="auto"/>
    </w:pPr>
    <w:rPr>
      <w:rFonts w:ascii="Calibri" w:hAnsi="Calibri" w:eastAsia="黑体"/>
      <w:szCs w:val="22"/>
    </w:rPr>
  </w:style>
  <w:style w:type="paragraph" w:customStyle="1" w:styleId="559">
    <w:name w:val="说明书2级标题"/>
    <w:basedOn w:val="1"/>
    <w:next w:val="558"/>
    <w:qFormat/>
    <w:uiPriority w:val="0"/>
    <w:pPr>
      <w:numPr>
        <w:ilvl w:val="2"/>
        <w:numId w:val="3"/>
      </w:numPr>
      <w:spacing w:before="100"/>
    </w:pPr>
    <w:rPr>
      <w:rFonts w:ascii="Calibri" w:hAnsi="Calibri" w:eastAsia="黑体"/>
      <w:sz w:val="28"/>
      <w:szCs w:val="28"/>
    </w:rPr>
  </w:style>
  <w:style w:type="character" w:customStyle="1" w:styleId="560">
    <w:name w:val="style15"/>
    <w:basedOn w:val="236"/>
    <w:qFormat/>
    <w:uiPriority w:val="0"/>
    <w:rPr>
      <w:rFonts w:ascii="Times New Roman" w:hAnsi="Times New Roman" w:eastAsia="宋体" w:cs="Times New Roman"/>
    </w:rPr>
  </w:style>
  <w:style w:type="paragraph" w:customStyle="1" w:styleId="561">
    <w:name w:val="列出段落[858D7CFB-ED40-4347-BF05-701D383B685F][858D7CFB-ED40-4347-BF05-701D383B685F]"/>
    <w:basedOn w:val="1"/>
    <w:qFormat/>
    <w:uiPriority w:val="0"/>
    <w:pPr>
      <w:ind w:firstLine="200"/>
    </w:pPr>
    <w:rPr>
      <w:rFonts w:ascii="Calibri" w:hAnsi="Calibri" w:eastAsia="宋体"/>
      <w:szCs w:val="22"/>
    </w:rPr>
  </w:style>
  <w:style w:type="paragraph" w:customStyle="1" w:styleId="562">
    <w:name w:val="默认段落字体 Para Char Char Char Char Char Char Char Char Char1 Char Char Char Char Char Char Char Char"/>
    <w:basedOn w:val="251"/>
    <w:qFormat/>
    <w:uiPriority w:val="0"/>
    <w:rPr>
      <w:rFonts w:ascii="Calibri" w:hAnsi="Calibri"/>
      <w:szCs w:val="22"/>
    </w:rPr>
  </w:style>
  <w:style w:type="paragraph" w:customStyle="1" w:styleId="563">
    <w:name w:val="style42"/>
    <w:basedOn w:val="1"/>
    <w:qFormat/>
    <w:uiPriority w:val="0"/>
    <w:pPr>
      <w:widowControl/>
      <w:spacing w:before="100" w:beforeAutospacing="1" w:after="100" w:afterAutospacing="1"/>
      <w:jc w:val="left"/>
    </w:pPr>
    <w:rPr>
      <w:rFonts w:ascii="宋体" w:eastAsia="宋体" w:cs="宋体"/>
      <w:color w:val="000000"/>
      <w:sz w:val="15"/>
      <w:szCs w:val="15"/>
    </w:rPr>
  </w:style>
  <w:style w:type="paragraph" w:customStyle="1" w:styleId="564">
    <w:name w:val="Char Char1 Char Char Char Char Char Char Char Char"/>
    <w:basedOn w:val="1"/>
    <w:qFormat/>
    <w:uiPriority w:val="0"/>
    <w:pPr>
      <w:widowControl/>
      <w:spacing w:after="160" w:line="240" w:lineRule="exact"/>
      <w:jc w:val="left"/>
    </w:pPr>
    <w:rPr>
      <w:rFonts w:eastAsia="宋体"/>
    </w:rPr>
  </w:style>
  <w:style w:type="paragraph" w:customStyle="1" w:styleId="565">
    <w:name w:val="技术方案正文样式"/>
    <w:basedOn w:val="1"/>
    <w:qFormat/>
    <w:uiPriority w:val="0"/>
    <w:pPr>
      <w:spacing w:line="400" w:lineRule="exact"/>
      <w:ind w:firstLine="200"/>
    </w:pPr>
    <w:rPr>
      <w:rFonts w:ascii="宋体" w:eastAsia="宋体" w:cs="宋体"/>
      <w:szCs w:val="21"/>
    </w:rPr>
  </w:style>
  <w:style w:type="paragraph" w:customStyle="1" w:styleId="566">
    <w:name w:val="修订1"/>
    <w:qFormat/>
    <w:uiPriority w:val="0"/>
    <w:rPr>
      <w:rFonts w:hint="default" w:ascii="Times New Roman" w:hAnsi="Times New Roman" w:eastAsia="宋体" w:cs="Times New Roman"/>
      <w:sz w:val="21"/>
      <w:szCs w:val="24"/>
      <w:lang w:val="en-US" w:eastAsia="zh-CN" w:bidi="ar-SA"/>
    </w:rPr>
  </w:style>
  <w:style w:type="paragraph" w:customStyle="1" w:styleId="567">
    <w:name w:val="D&amp;L"/>
    <w:basedOn w:val="275"/>
    <w:qFormat/>
    <w:uiPriority w:val="0"/>
    <w:pPr>
      <w:pBdr>
        <w:bottom w:val="single" w:color="000000" w:sz="18" w:space="1"/>
      </w:pBdr>
      <w:spacing w:line="240" w:lineRule="atLeast"/>
    </w:pPr>
    <w:rPr>
      <w:sz w:val="24"/>
      <w:szCs w:val="20"/>
    </w:rPr>
  </w:style>
  <w:style w:type="paragraph" w:customStyle="1" w:styleId="568">
    <w:name w:val="样式 标题 2 + Times New Roman 四号 非加粗 段前: 5 磅 段后: 0 磅 行距: 固定值 20..."/>
    <w:basedOn w:val="229"/>
    <w:qFormat/>
    <w:uiPriority w:val="0"/>
    <w:pPr>
      <w:spacing w:before="100" w:after="0" w:line="400" w:lineRule="exact"/>
    </w:pPr>
    <w:rPr>
      <w:rFonts w:ascii="Times New Roman" w:hAnsi="Times New Roman" w:eastAsia="宋体" w:cs="宋体"/>
      <w:b w:val="0"/>
      <w:sz w:val="28"/>
    </w:rPr>
  </w:style>
  <w:style w:type="paragraph" w:customStyle="1" w:styleId="569">
    <w:name w:val="Char Char Char Char Char Char Char1 Char"/>
    <w:basedOn w:val="1"/>
    <w:qFormat/>
    <w:uiPriority w:val="0"/>
    <w:rPr>
      <w:rFonts w:ascii="Tahoma" w:hAnsi="Tahoma" w:eastAsia="宋体"/>
      <w:szCs w:val="20"/>
    </w:rPr>
  </w:style>
  <w:style w:type="paragraph" w:customStyle="1" w:styleId="570">
    <w:name w:val="TOC 标题2"/>
    <w:basedOn w:val="228"/>
    <w:next w:val="1"/>
    <w:qFormat/>
    <w:uiPriority w:val="0"/>
    <w:pPr>
      <w:widowControl/>
      <w:spacing w:before="480" w:after="0" w:line="276" w:lineRule="auto"/>
      <w:outlineLvl w:val="9"/>
    </w:pPr>
    <w:rPr>
      <w:rFonts w:ascii="Cambria" w:hAnsi="Cambria"/>
      <w:color w:val="365F91"/>
      <w:sz w:val="28"/>
    </w:rPr>
  </w:style>
  <w:style w:type="character" w:customStyle="1" w:styleId="571">
    <w:name w:val="无间隔 Char"/>
    <w:link w:val="572"/>
    <w:qFormat/>
    <w:uiPriority w:val="0"/>
    <w:rPr>
      <w:rFonts w:ascii="Calibri" w:hAnsi="Calibri" w:eastAsia="宋体" w:cs="Times New Roman"/>
      <w:sz w:val="22"/>
      <w:lang w:bidi="ar-SA"/>
    </w:rPr>
  </w:style>
  <w:style w:type="paragraph" w:customStyle="1" w:styleId="572">
    <w:name w:val="无间隔1"/>
    <w:link w:val="571"/>
    <w:qFormat/>
    <w:uiPriority w:val="0"/>
    <w:rPr>
      <w:rFonts w:hint="default" w:ascii="Calibri" w:hAnsi="Calibri" w:eastAsia="宋体" w:cs="Times New Roman"/>
      <w:sz w:val="22"/>
      <w:lang w:val="en-US" w:eastAsia="zh-CN" w:bidi="ar-SA"/>
    </w:rPr>
  </w:style>
  <w:style w:type="paragraph" w:customStyle="1" w:styleId="573">
    <w:name w:val="正文_0"/>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574">
    <w:name w:val="Normal_1"/>
    <w:qFormat/>
    <w:uiPriority w:val="0"/>
    <w:rPr>
      <w:rFonts w:hint="default" w:ascii="黑体" w:hAnsi="黑体" w:eastAsia="黑体" w:cs="Times New Roman"/>
      <w:b/>
      <w:sz w:val="32"/>
      <w:szCs w:val="24"/>
      <w:lang w:val="en-US" w:eastAsia="zh-CN" w:bidi="ar-SA"/>
    </w:rPr>
  </w:style>
  <w:style w:type="paragraph" w:customStyle="1" w:styleId="575">
    <w:name w:val="正文_1_0"/>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576">
    <w:name w:val="正文_0_0"/>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577">
    <w:name w:val="正文_0_0_0"/>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578">
    <w:name w:val="Normal_2"/>
    <w:qFormat/>
    <w:uiPriority w:val="0"/>
    <w:rPr>
      <w:rFonts w:hint="default" w:ascii="黑体" w:hAnsi="黑体" w:eastAsia="黑体" w:cs="Times New Roman"/>
      <w:b/>
      <w:sz w:val="32"/>
      <w:szCs w:val="24"/>
      <w:lang w:val="en-US" w:eastAsia="zh-CN" w:bidi="ar-SA"/>
    </w:rPr>
  </w:style>
  <w:style w:type="paragraph" w:customStyle="1" w:styleId="579">
    <w:name w:val="正文_1"/>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580">
    <w:name w:val="Normal_3"/>
    <w:qFormat/>
    <w:uiPriority w:val="0"/>
    <w:rPr>
      <w:rFonts w:hint="default" w:ascii="黑体" w:hAnsi="黑体" w:eastAsia="黑体" w:cs="Times New Roman"/>
      <w:b/>
      <w:sz w:val="32"/>
      <w:szCs w:val="24"/>
      <w:lang w:val="en-US" w:eastAsia="zh-CN" w:bidi="ar-SA"/>
    </w:rPr>
  </w:style>
  <w:style w:type="paragraph" w:customStyle="1" w:styleId="581">
    <w:name w:val="Normal_4"/>
    <w:qFormat/>
    <w:uiPriority w:val="0"/>
    <w:rPr>
      <w:rFonts w:hint="default" w:ascii="黑体" w:hAnsi="黑体" w:eastAsia="黑体" w:cs="Times New Roman"/>
      <w:b/>
      <w:sz w:val="32"/>
      <w:szCs w:val="24"/>
      <w:lang w:val="en-US" w:eastAsia="zh-CN" w:bidi="ar-SA"/>
    </w:rPr>
  </w:style>
  <w:style w:type="paragraph" w:customStyle="1" w:styleId="582">
    <w:name w:val="Normal_5"/>
    <w:qFormat/>
    <w:uiPriority w:val="0"/>
    <w:rPr>
      <w:rFonts w:hint="default" w:ascii="黑体" w:hAnsi="黑体" w:eastAsia="黑体" w:cs="Times New Roman"/>
      <w:b/>
      <w:sz w:val="32"/>
      <w:szCs w:val="24"/>
      <w:lang w:val="en-US" w:eastAsia="zh-CN" w:bidi="ar-SA"/>
    </w:rPr>
  </w:style>
  <w:style w:type="paragraph" w:customStyle="1" w:styleId="583">
    <w:name w:val="正文_4"/>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584">
    <w:name w:val="Normal_6"/>
    <w:qFormat/>
    <w:uiPriority w:val="0"/>
    <w:rPr>
      <w:rFonts w:hint="default" w:ascii="黑体" w:hAnsi="黑体" w:eastAsia="黑体" w:cs="Times New Roman"/>
      <w:b/>
      <w:sz w:val="32"/>
      <w:szCs w:val="24"/>
      <w:lang w:val="en-US" w:eastAsia="zh-CN" w:bidi="ar-SA"/>
    </w:rPr>
  </w:style>
  <w:style w:type="paragraph" w:customStyle="1" w:styleId="585">
    <w:name w:val="正文_5"/>
    <w:qFormat/>
    <w:uiPriority w:val="0"/>
    <w:pPr>
      <w:widowControl w:val="0"/>
      <w:jc w:val="both"/>
    </w:pPr>
    <w:rPr>
      <w:rFonts w:hint="default" w:ascii="Times New Roman" w:hAnsi="Times New Roman" w:eastAsia="宋体" w:cs="Times New Roman"/>
      <w:sz w:val="21"/>
      <w:lang w:val="en-US" w:eastAsia="zh-CN" w:bidi="ar-SA"/>
    </w:rPr>
  </w:style>
  <w:style w:type="paragraph" w:customStyle="1" w:styleId="586">
    <w:name w:val="Normal_7"/>
    <w:qFormat/>
    <w:uiPriority w:val="0"/>
    <w:rPr>
      <w:rFonts w:hint="default" w:ascii="黑体" w:hAnsi="黑体" w:eastAsia="黑体" w:cs="Times New Roman"/>
      <w:b/>
      <w:sz w:val="32"/>
      <w:szCs w:val="24"/>
      <w:lang w:val="en-US" w:eastAsia="zh-CN" w:bidi="ar-SA"/>
    </w:rPr>
  </w:style>
  <w:style w:type="paragraph" w:customStyle="1" w:styleId="587">
    <w:name w:val="Normal_8"/>
    <w:qFormat/>
    <w:uiPriority w:val="0"/>
    <w:rPr>
      <w:rFonts w:hint="default" w:ascii="Times New Roman" w:hAnsi="Times New Roman" w:eastAsia="Times New Roman" w:cs="Times New Roman"/>
      <w:sz w:val="24"/>
      <w:szCs w:val="24"/>
      <w:lang w:val="en-US" w:eastAsia="zh-CN" w:bidi="ar-SA"/>
    </w:rPr>
  </w:style>
  <w:style w:type="paragraph" w:customStyle="1" w:styleId="588">
    <w:name w:val="Normal_9"/>
    <w:qFormat/>
    <w:uiPriority w:val="0"/>
    <w:rPr>
      <w:rFonts w:hint="default" w:ascii="黑体" w:hAnsi="黑体" w:eastAsia="黑体" w:cs="Times New Roman"/>
      <w:b/>
      <w:sz w:val="32"/>
      <w:szCs w:val="24"/>
      <w:lang w:val="en-US" w:eastAsia="zh-CN" w:bidi="ar-SA"/>
    </w:rPr>
  </w:style>
  <w:style w:type="paragraph" w:customStyle="1" w:styleId="589">
    <w:name w:val="正文_6"/>
    <w:qFormat/>
    <w:uiPriority w:val="0"/>
    <w:pPr>
      <w:widowControl w:val="0"/>
      <w:jc w:val="both"/>
    </w:pPr>
    <w:rPr>
      <w:rFonts w:hint="default" w:ascii="Calibri" w:hAnsi="Calibri" w:eastAsia="宋体" w:cs="Times New Roman"/>
      <w:sz w:val="21"/>
      <w:szCs w:val="22"/>
      <w:lang w:val="en-US" w:eastAsia="zh-CN" w:bidi="ar-SA"/>
    </w:rPr>
  </w:style>
  <w:style w:type="paragraph" w:customStyle="1" w:styleId="590">
    <w:name w:val="Normal_10"/>
    <w:qFormat/>
    <w:uiPriority w:val="0"/>
    <w:rPr>
      <w:rFonts w:hint="default" w:ascii="黑体" w:hAnsi="黑体" w:eastAsia="黑体" w:cs="Times New Roman"/>
      <w:b/>
      <w:sz w:val="32"/>
      <w:szCs w:val="24"/>
      <w:lang w:val="en-US" w:eastAsia="zh-CN" w:bidi="ar-SA"/>
    </w:rPr>
  </w:style>
  <w:style w:type="paragraph" w:customStyle="1" w:styleId="591">
    <w:name w:val="正文_7"/>
    <w:qFormat/>
    <w:uiPriority w:val="0"/>
    <w:pPr>
      <w:widowControl w:val="0"/>
      <w:jc w:val="both"/>
    </w:pPr>
    <w:rPr>
      <w:rFonts w:hint="default" w:ascii="Times New Roman" w:hAnsi="Times New Roman" w:eastAsia="宋体" w:cs="Times New Roman"/>
      <w:sz w:val="21"/>
      <w:szCs w:val="24"/>
      <w:lang w:val="en-US" w:eastAsia="zh-CN" w:bidi="ar-SA"/>
    </w:rPr>
  </w:style>
  <w:style w:type="character" w:customStyle="1" w:styleId="592">
    <w:name w:val="正文缩进 Char1_0"/>
    <w:link w:val="593"/>
    <w:qFormat/>
    <w:uiPriority w:val="0"/>
    <w:rPr>
      <w:rFonts w:ascii="Times New Roman" w:hAnsi="Times New Roman" w:eastAsia="宋体" w:cs="Times New Roman"/>
      <w:sz w:val="21"/>
      <w:szCs w:val="22"/>
    </w:rPr>
  </w:style>
  <w:style w:type="paragraph" w:customStyle="1" w:styleId="593">
    <w:name w:val="正文缩进_0"/>
    <w:basedOn w:val="591"/>
    <w:link w:val="592"/>
    <w:qFormat/>
    <w:uiPriority w:val="0"/>
    <w:pPr>
      <w:ind w:firstLine="420"/>
    </w:pPr>
    <w:rPr>
      <w:szCs w:val="22"/>
    </w:rPr>
  </w:style>
  <w:style w:type="character" w:customStyle="1" w:styleId="594">
    <w:name w:val="纯文本 Char_0"/>
    <w:link w:val="595"/>
    <w:qFormat/>
    <w:uiPriority w:val="0"/>
    <w:rPr>
      <w:rFonts w:ascii="宋体" w:hAnsi="Courier New" w:eastAsia="宋体" w:cs="Courier New"/>
      <w:sz w:val="21"/>
      <w:szCs w:val="21"/>
    </w:rPr>
  </w:style>
  <w:style w:type="paragraph" w:customStyle="1" w:styleId="595">
    <w:name w:val="纯文本_0"/>
    <w:basedOn w:val="591"/>
    <w:link w:val="594"/>
    <w:qFormat/>
    <w:uiPriority w:val="0"/>
    <w:rPr>
      <w:rFonts w:ascii="宋体" w:hAnsi="Courier New"/>
      <w:szCs w:val="21"/>
    </w:rPr>
  </w:style>
  <w:style w:type="paragraph" w:customStyle="1" w:styleId="596">
    <w:name w:val="Normal_11"/>
    <w:qFormat/>
    <w:uiPriority w:val="0"/>
    <w:rPr>
      <w:rFonts w:hint="default" w:ascii="黑体" w:hAnsi="黑体" w:eastAsia="黑体" w:cs="Times New Roman"/>
      <w:b/>
      <w:sz w:val="32"/>
      <w:szCs w:val="24"/>
      <w:lang w:val="en-US" w:eastAsia="zh-CN" w:bidi="ar-SA"/>
    </w:rPr>
  </w:style>
  <w:style w:type="paragraph" w:customStyle="1" w:styleId="597">
    <w:name w:val="正文_8"/>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598">
    <w:name w:val="Normal_12"/>
    <w:qFormat/>
    <w:uiPriority w:val="0"/>
    <w:rPr>
      <w:rFonts w:hint="default" w:ascii="黑体" w:hAnsi="黑体" w:eastAsia="黑体" w:cs="Times New Roman"/>
      <w:b/>
      <w:sz w:val="32"/>
      <w:szCs w:val="24"/>
      <w:lang w:val="en-US" w:eastAsia="zh-CN" w:bidi="ar-SA"/>
    </w:rPr>
  </w:style>
  <w:style w:type="paragraph" w:customStyle="1" w:styleId="599">
    <w:name w:val="正文_9"/>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600">
    <w:name w:val="Normal_13"/>
    <w:qFormat/>
    <w:uiPriority w:val="0"/>
    <w:rPr>
      <w:rFonts w:hint="default" w:ascii="黑体" w:hAnsi="黑体" w:eastAsia="黑体" w:cs="Times New Roman"/>
      <w:b/>
      <w:sz w:val="32"/>
      <w:szCs w:val="24"/>
      <w:lang w:val="en-US" w:eastAsia="zh-CN" w:bidi="ar-SA"/>
    </w:rPr>
  </w:style>
  <w:style w:type="paragraph" w:customStyle="1" w:styleId="601">
    <w:name w:val="正文_10"/>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602">
    <w:name w:val="Normal_14"/>
    <w:qFormat/>
    <w:uiPriority w:val="0"/>
    <w:rPr>
      <w:rFonts w:hint="default" w:ascii="黑体" w:hAnsi="黑体" w:eastAsia="黑体" w:cs="Times New Roman"/>
      <w:b/>
      <w:sz w:val="32"/>
      <w:szCs w:val="24"/>
      <w:lang w:val="en-US" w:eastAsia="zh-CN" w:bidi="ar-SA"/>
    </w:rPr>
  </w:style>
  <w:style w:type="paragraph" w:customStyle="1" w:styleId="603">
    <w:name w:val="正文_11"/>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604">
    <w:name w:val="Normal_15"/>
    <w:qFormat/>
    <w:uiPriority w:val="0"/>
    <w:rPr>
      <w:rFonts w:hint="default" w:ascii="黑体" w:hAnsi="黑体" w:eastAsia="黑体" w:cs="Times New Roman"/>
      <w:b/>
      <w:sz w:val="32"/>
      <w:szCs w:val="24"/>
      <w:lang w:val="en-US" w:eastAsia="zh-CN" w:bidi="ar-SA"/>
    </w:rPr>
  </w:style>
  <w:style w:type="paragraph" w:customStyle="1" w:styleId="605">
    <w:name w:val="正文_12"/>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606">
    <w:name w:val="Normal_16"/>
    <w:qFormat/>
    <w:uiPriority w:val="0"/>
    <w:rPr>
      <w:rFonts w:hint="default" w:ascii="黑体" w:hAnsi="黑体" w:eastAsia="黑体" w:cs="Times New Roman"/>
      <w:b/>
      <w:sz w:val="32"/>
      <w:szCs w:val="24"/>
      <w:lang w:val="en-US" w:eastAsia="zh-CN" w:bidi="ar-SA"/>
    </w:rPr>
  </w:style>
  <w:style w:type="paragraph" w:customStyle="1" w:styleId="607">
    <w:name w:val="正文_13"/>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608">
    <w:name w:val="正文_14"/>
    <w:qFormat/>
    <w:uiPriority w:val="0"/>
    <w:pPr>
      <w:widowControl w:val="0"/>
      <w:jc w:val="both"/>
    </w:pPr>
    <w:rPr>
      <w:rFonts w:hint="default" w:ascii="Calibri" w:hAnsi="Calibri" w:eastAsia="宋体" w:cs="Times New Roman"/>
      <w:sz w:val="21"/>
      <w:szCs w:val="22"/>
      <w:lang w:val="en-US" w:eastAsia="zh-CN" w:bidi="ar-SA"/>
    </w:rPr>
  </w:style>
  <w:style w:type="paragraph" w:customStyle="1" w:styleId="609">
    <w:name w:val="Normal_17"/>
    <w:qFormat/>
    <w:uiPriority w:val="0"/>
    <w:rPr>
      <w:rFonts w:hint="default" w:ascii="黑体" w:hAnsi="黑体" w:eastAsia="黑体" w:cs="Times New Roman"/>
      <w:b/>
      <w:sz w:val="32"/>
      <w:szCs w:val="24"/>
      <w:lang w:val="en-US" w:eastAsia="zh-CN" w:bidi="ar-SA"/>
    </w:rPr>
  </w:style>
  <w:style w:type="paragraph" w:customStyle="1" w:styleId="610">
    <w:name w:val="Normal_18"/>
    <w:qFormat/>
    <w:uiPriority w:val="0"/>
    <w:rPr>
      <w:rFonts w:hint="default" w:ascii="黑体" w:hAnsi="黑体" w:eastAsia="黑体" w:cs="Times New Roman"/>
      <w:b/>
      <w:sz w:val="32"/>
      <w:szCs w:val="24"/>
      <w:lang w:val="en-US" w:eastAsia="zh-CN" w:bidi="ar-SA"/>
    </w:rPr>
  </w:style>
  <w:style w:type="paragraph" w:customStyle="1" w:styleId="611">
    <w:name w:val="正文_15"/>
    <w:qFormat/>
    <w:uiPriority w:val="0"/>
    <w:pPr>
      <w:widowControl w:val="0"/>
      <w:jc w:val="both"/>
    </w:pPr>
    <w:rPr>
      <w:rFonts w:hint="default" w:ascii="Calibri" w:hAnsi="Calibri" w:eastAsia="宋体" w:cs="Times New Roman"/>
      <w:sz w:val="21"/>
      <w:szCs w:val="22"/>
      <w:lang w:val="en-US" w:eastAsia="zh-CN" w:bidi="ar-SA"/>
    </w:rPr>
  </w:style>
  <w:style w:type="paragraph" w:customStyle="1" w:styleId="612">
    <w:name w:val="Normal_0_0"/>
    <w:qFormat/>
    <w:uiPriority w:val="0"/>
    <w:rPr>
      <w:rFonts w:hint="default" w:ascii="黑体" w:hAnsi="黑体" w:eastAsia="黑体" w:cs="Times New Roman"/>
      <w:b/>
      <w:sz w:val="40"/>
      <w:szCs w:val="24"/>
      <w:lang w:val="en-US" w:eastAsia="zh-CN" w:bidi="ar-SA"/>
    </w:rPr>
  </w:style>
  <w:style w:type="paragraph" w:customStyle="1" w:styleId="613">
    <w:name w:val="Normal_1_0"/>
    <w:qFormat/>
    <w:uiPriority w:val="0"/>
    <w:rPr>
      <w:rFonts w:hint="default" w:ascii="Times New Roman" w:hAnsi="Times New Roman" w:eastAsia="Times New Roman" w:cs="Times New Roman"/>
      <w:sz w:val="24"/>
      <w:szCs w:val="24"/>
      <w:lang w:val="en-US" w:eastAsia="zh-CN" w:bidi="ar-SA"/>
    </w:rPr>
  </w:style>
  <w:style w:type="paragraph" w:customStyle="1" w:styleId="614">
    <w:name w:val="Normal1"/>
    <w:qFormat/>
    <w:uiPriority w:val="0"/>
    <w:rPr>
      <w:rFonts w:hint="default" w:ascii="Times New Roman" w:hAnsi="Times New Roman" w:eastAsia="Times New Roman" w:cs="Times New Roman"/>
      <w:sz w:val="24"/>
      <w:szCs w:val="24"/>
      <w:lang w:val="en-US" w:eastAsia="zh-CN" w:bidi="ar-SA"/>
    </w:rPr>
  </w:style>
  <w:style w:type="paragraph" w:customStyle="1" w:styleId="615">
    <w:name w:val="正文_0_1"/>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616">
    <w:name w:val="正文_2"/>
    <w:qFormat/>
    <w:uiPriority w:val="0"/>
    <w:pPr>
      <w:widowControl w:val="0"/>
      <w:jc w:val="both"/>
    </w:pPr>
    <w:rPr>
      <w:rFonts w:hint="default" w:ascii="Calibri" w:hAnsi="Calibri" w:eastAsia="宋体" w:cs="Times New Roman"/>
      <w:sz w:val="21"/>
      <w:szCs w:val="22"/>
      <w:lang w:val="en-US" w:eastAsia="zh-CN" w:bidi="ar-SA"/>
    </w:rPr>
  </w:style>
  <w:style w:type="paragraph" w:customStyle="1" w:styleId="617">
    <w:name w:val="Normal_19"/>
    <w:qFormat/>
    <w:uiPriority w:val="0"/>
    <w:rPr>
      <w:rFonts w:hint="default" w:ascii="Times New Roman" w:hAnsi="Times New Roman" w:eastAsia="Times New Roman" w:cs="Times New Roman"/>
      <w:sz w:val="24"/>
      <w:szCs w:val="24"/>
      <w:lang w:val="en-US" w:eastAsia="zh-CN" w:bidi="ar-SA"/>
    </w:rPr>
  </w:style>
  <w:style w:type="paragraph" w:customStyle="1" w:styleId="618">
    <w:name w:val="Normal_5_0"/>
    <w:qFormat/>
    <w:uiPriority w:val="0"/>
    <w:rPr>
      <w:rFonts w:hint="default" w:ascii="黑体" w:hAnsi="黑体" w:eastAsia="黑体" w:cs="黑体"/>
      <w:b/>
      <w:sz w:val="32"/>
      <w:szCs w:val="24"/>
      <w:lang w:val="en-US" w:eastAsia="zh-CN" w:bidi="ar-SA"/>
    </w:rPr>
  </w:style>
  <w:style w:type="paragraph" w:customStyle="1" w:styleId="619">
    <w:name w:val="Normal_6_0"/>
    <w:qFormat/>
    <w:uiPriority w:val="0"/>
    <w:rPr>
      <w:rFonts w:hint="default" w:ascii="黑体" w:hAnsi="黑体" w:eastAsia="黑体" w:cs="黑体"/>
      <w:b/>
      <w:sz w:val="32"/>
      <w:szCs w:val="24"/>
      <w:lang w:val="en-US" w:eastAsia="zh-CN" w:bidi="ar-SA"/>
    </w:rPr>
  </w:style>
  <w:style w:type="paragraph" w:customStyle="1" w:styleId="620">
    <w:name w:val="Normal_10_0"/>
    <w:qFormat/>
    <w:uiPriority w:val="0"/>
    <w:rPr>
      <w:rFonts w:hint="default" w:ascii="Times New Roman" w:hAnsi="Times New Roman" w:eastAsia="Times New Roman" w:cs="Times New Roman"/>
      <w:sz w:val="24"/>
      <w:szCs w:val="24"/>
      <w:lang w:val="en-US" w:eastAsia="zh-CN" w:bidi="ar-SA"/>
    </w:rPr>
  </w:style>
  <w:style w:type="paragraph" w:customStyle="1" w:styleId="621">
    <w:name w:val="Normal_11_0"/>
    <w:qFormat/>
    <w:uiPriority w:val="0"/>
    <w:rPr>
      <w:rFonts w:hint="default" w:ascii="黑体" w:hAnsi="黑体" w:eastAsia="黑体" w:cs="黑体"/>
      <w:b/>
      <w:sz w:val="32"/>
      <w:szCs w:val="24"/>
      <w:lang w:val="en-US" w:eastAsia="zh-CN" w:bidi="ar-SA"/>
    </w:rPr>
  </w:style>
  <w:style w:type="paragraph" w:customStyle="1" w:styleId="622">
    <w:name w:val="正文_1_1"/>
    <w:qFormat/>
    <w:uiPriority w:val="0"/>
    <w:pPr>
      <w:widowControl w:val="0"/>
      <w:jc w:val="both"/>
    </w:pPr>
    <w:rPr>
      <w:rFonts w:hint="default" w:ascii="Calibri" w:hAnsi="Calibri" w:eastAsia="宋体" w:cs="Times New Roman"/>
      <w:sz w:val="21"/>
      <w:szCs w:val="22"/>
      <w:lang w:val="en-US" w:eastAsia="zh-CN" w:bidi="ar-SA"/>
    </w:rPr>
  </w:style>
  <w:style w:type="paragraph" w:customStyle="1" w:styleId="623">
    <w:name w:val="正文_2_0"/>
    <w:qFormat/>
    <w:uiPriority w:val="0"/>
    <w:pPr>
      <w:widowControl w:val="0"/>
      <w:jc w:val="both"/>
    </w:pPr>
    <w:rPr>
      <w:rFonts w:hint="default" w:ascii="Calibri" w:hAnsi="Calibri" w:eastAsia="宋体" w:cs="Times New Roman"/>
      <w:sz w:val="21"/>
      <w:szCs w:val="22"/>
      <w:lang w:val="en-US" w:eastAsia="zh-CN" w:bidi="ar-SA"/>
    </w:rPr>
  </w:style>
  <w:style w:type="paragraph" w:customStyle="1" w:styleId="624">
    <w:name w:val="正文_9_0"/>
    <w:qFormat/>
    <w:uiPriority w:val="0"/>
    <w:pPr>
      <w:widowControl w:val="0"/>
      <w:jc w:val="both"/>
    </w:pPr>
    <w:rPr>
      <w:rFonts w:hint="default" w:ascii="Calibri" w:hAnsi="Calibri" w:eastAsia="宋体" w:cs="Times New Roman"/>
      <w:sz w:val="21"/>
      <w:szCs w:val="22"/>
      <w:lang w:val="en-US" w:eastAsia="zh-CN" w:bidi="ar-SA"/>
    </w:rPr>
  </w:style>
  <w:style w:type="paragraph" w:customStyle="1" w:styleId="625">
    <w:name w:val="正文_8_1"/>
    <w:qFormat/>
    <w:uiPriority w:val="0"/>
    <w:pPr>
      <w:widowControl w:val="0"/>
      <w:jc w:val="both"/>
    </w:pPr>
    <w:rPr>
      <w:rFonts w:hint="default" w:ascii="Calibri" w:hAnsi="Calibri" w:eastAsia="宋体" w:cs="Times New Roman"/>
      <w:sz w:val="21"/>
      <w:szCs w:val="22"/>
      <w:lang w:val="en-US" w:eastAsia="zh-CN" w:bidi="ar-SA"/>
    </w:rPr>
  </w:style>
  <w:style w:type="paragraph" w:customStyle="1" w:styleId="626">
    <w:name w:val="正文_1_0_0_0_0"/>
    <w:qFormat/>
    <w:uiPriority w:val="0"/>
    <w:pPr>
      <w:widowControl w:val="0"/>
      <w:jc w:val="both"/>
    </w:pPr>
    <w:rPr>
      <w:rFonts w:hint="default" w:ascii="Times New Roman" w:hAnsi="Times New Roman" w:eastAsia="宋体" w:cs="Times New Roman"/>
      <w:sz w:val="21"/>
      <w:lang w:val="en-US" w:eastAsia="zh-CN" w:bidi="ar-SA"/>
    </w:rPr>
  </w:style>
  <w:style w:type="paragraph" w:customStyle="1" w:styleId="627">
    <w:name w:val="列出段落_2"/>
    <w:basedOn w:val="625"/>
    <w:qFormat/>
    <w:uiPriority w:val="0"/>
    <w:pPr>
      <w:ind w:firstLine="420"/>
    </w:pPr>
  </w:style>
  <w:style w:type="paragraph" w:customStyle="1" w:styleId="628">
    <w:name w:val="正文_8_0"/>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629">
    <w:name w:val="Normal_16_0"/>
    <w:qFormat/>
    <w:uiPriority w:val="0"/>
    <w:rPr>
      <w:rFonts w:hint="default" w:ascii="黑体" w:hAnsi="黑体" w:eastAsia="黑体" w:cs="黑体"/>
      <w:b/>
      <w:sz w:val="32"/>
      <w:szCs w:val="24"/>
      <w:lang w:val="en-US" w:eastAsia="zh-CN" w:bidi="ar-SA"/>
    </w:rPr>
  </w:style>
  <w:style w:type="paragraph" w:customStyle="1" w:styleId="630">
    <w:name w:val="正文_5_0"/>
    <w:qFormat/>
    <w:uiPriority w:val="0"/>
    <w:pPr>
      <w:widowControl w:val="0"/>
      <w:jc w:val="both"/>
    </w:pPr>
    <w:rPr>
      <w:rFonts w:hint="default" w:ascii="Calibri" w:hAnsi="Calibri" w:eastAsia="宋体" w:cs="Times New Roman"/>
      <w:sz w:val="21"/>
      <w:szCs w:val="22"/>
      <w:lang w:val="en-US" w:eastAsia="zh-CN" w:bidi="ar-SA"/>
    </w:rPr>
  </w:style>
  <w:style w:type="paragraph" w:customStyle="1" w:styleId="631">
    <w:name w:val="正文_11_0"/>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632">
    <w:name w:val="Normal_19_0"/>
    <w:qFormat/>
    <w:uiPriority w:val="0"/>
    <w:rPr>
      <w:rFonts w:hint="default" w:ascii="黑体" w:hAnsi="黑体" w:eastAsia="黑体" w:cs="黑体"/>
      <w:b/>
      <w:sz w:val="32"/>
      <w:szCs w:val="24"/>
      <w:lang w:val="en-US" w:eastAsia="zh-CN" w:bidi="ar-SA"/>
    </w:rPr>
  </w:style>
  <w:style w:type="paragraph" w:customStyle="1" w:styleId="633">
    <w:name w:val="正文_12_0_0"/>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634">
    <w:name w:val="Normal_20"/>
    <w:qFormat/>
    <w:uiPriority w:val="0"/>
    <w:rPr>
      <w:rFonts w:hint="default" w:ascii="黑体" w:hAnsi="黑体" w:eastAsia="黑体" w:cs="黑体"/>
      <w:b/>
      <w:sz w:val="32"/>
      <w:szCs w:val="24"/>
      <w:lang w:val="en-US" w:eastAsia="zh-CN" w:bidi="ar-SA"/>
    </w:rPr>
  </w:style>
  <w:style w:type="paragraph" w:customStyle="1" w:styleId="635">
    <w:name w:val="Normal_21"/>
    <w:qFormat/>
    <w:uiPriority w:val="0"/>
    <w:rPr>
      <w:rFonts w:hint="default" w:ascii="黑体" w:hAnsi="黑体" w:eastAsia="黑体" w:cs="黑体"/>
      <w:b/>
      <w:sz w:val="32"/>
      <w:szCs w:val="24"/>
      <w:lang w:val="en-US" w:eastAsia="zh-CN" w:bidi="ar-SA"/>
    </w:rPr>
  </w:style>
  <w:style w:type="paragraph" w:customStyle="1" w:styleId="636">
    <w:name w:val="Normal_0_2"/>
    <w:qFormat/>
    <w:uiPriority w:val="0"/>
    <w:rPr>
      <w:rFonts w:hint="default" w:ascii="黑体" w:hAnsi="黑体" w:eastAsia="黑体" w:cs="黑体"/>
      <w:b/>
      <w:sz w:val="32"/>
      <w:szCs w:val="24"/>
      <w:lang w:val="en-US" w:eastAsia="zh-CN" w:bidi="ar-SA"/>
    </w:rPr>
  </w:style>
  <w:style w:type="paragraph" w:customStyle="1" w:styleId="637">
    <w:name w:val="首行缩进"/>
    <w:basedOn w:val="1"/>
    <w:qFormat/>
    <w:uiPriority w:val="0"/>
    <w:pPr>
      <w:ind w:firstLine="480"/>
    </w:pPr>
    <w:rPr>
      <w:rFonts w:eastAsia="宋体"/>
      <w:szCs w:val="20"/>
      <w:lang w:val="zh-CN"/>
    </w:rPr>
  </w:style>
  <w:style w:type="paragraph" w:customStyle="1" w:styleId="638">
    <w:name w:val="列出段落2"/>
    <w:basedOn w:val="1"/>
    <w:qFormat/>
    <w:uiPriority w:val="0"/>
    <w:pPr>
      <w:widowControl/>
    </w:pPr>
    <w:rPr>
      <w:rFonts w:eastAsia="宋体"/>
      <w:szCs w:val="20"/>
      <w:lang w:eastAsia="ar-SA"/>
    </w:rPr>
  </w:style>
  <w:style w:type="character" w:customStyle="1" w:styleId="639">
    <w:name w:val="批注框文本 字符"/>
    <w:basedOn w:val="40"/>
    <w:link w:val="22"/>
    <w:semiHidden/>
    <w:qFormat/>
    <w:uiPriority w:val="99"/>
    <w:rPr>
      <w:rFonts w:eastAsia="Times New Roman"/>
      <w:sz w:val="18"/>
      <w:szCs w:val="18"/>
    </w:rPr>
  </w:style>
  <w:style w:type="character" w:customStyle="1" w:styleId="640">
    <w:name w:val="批注文字 字符"/>
    <w:basedOn w:val="40"/>
    <w:link w:val="14"/>
    <w:semiHidden/>
    <w:qFormat/>
    <w:uiPriority w:val="99"/>
    <w:rPr>
      <w:rFonts w:eastAsia="Times New Roman"/>
      <w:sz w:val="24"/>
      <w:szCs w:val="24"/>
    </w:rPr>
  </w:style>
  <w:style w:type="character" w:customStyle="1" w:styleId="641">
    <w:name w:val="批注主题 字符"/>
    <w:basedOn w:val="640"/>
    <w:link w:val="36"/>
    <w:qFormat/>
    <w:uiPriority w:val="0"/>
    <w:rPr>
      <w:rFonts w:eastAsia="Times New Roman"/>
      <w:sz w:val="24"/>
      <w:szCs w:val="24"/>
    </w:rPr>
  </w:style>
  <w:style w:type="paragraph" w:customStyle="1" w:styleId="642">
    <w:name w:val="WPSOffice手动目录 1"/>
    <w:qFormat/>
    <w:uiPriority w:val="0"/>
    <w:rPr>
      <w:rFonts w:hint="default" w:ascii="Times New Roman" w:hAnsi="Times New Roman" w:eastAsia="宋体" w:cs="Times New Roman"/>
      <w:lang w:val="en-US" w:eastAsia="zh-CN" w:bidi="ar-SA"/>
    </w:rPr>
  </w:style>
  <w:style w:type="character" w:customStyle="1" w:styleId="643">
    <w:name w:val="15"/>
    <w:basedOn w:val="40"/>
    <w:qFormat/>
    <w:uiPriority w:val="0"/>
    <w:rPr>
      <w:rFonts w:hint="default" w:ascii="Times New Roman" w:hAnsi="Times New Roman" w:cs="Times New Roman"/>
    </w:rPr>
  </w:style>
  <w:style w:type="paragraph" w:customStyle="1" w:styleId="644">
    <w:name w:val="Table Text"/>
    <w:basedOn w:val="1"/>
    <w:semiHidden/>
    <w:qFormat/>
    <w:uiPriority w:val="0"/>
    <w:rPr>
      <w:rFonts w:ascii="宋体" w:hAnsi="宋体" w:eastAsia="宋体" w:cs="宋体"/>
      <w:sz w:val="24"/>
      <w:szCs w:val="24"/>
      <w:lang w:val="en-US" w:eastAsia="en-US" w:bidi="ar-SA"/>
    </w:rPr>
  </w:style>
  <w:style w:type="table" w:customStyle="1" w:styleId="645">
    <w:name w:val="Table Normal"/>
    <w:basedOn w:val="38"/>
    <w:semiHidden/>
    <w:unhideWhenUsed/>
    <w:qFormat/>
    <w:uiPriority w:val="0"/>
    <w:tblPr>
      <w:tblCellMar>
        <w:top w:w="0" w:type="dxa"/>
        <w:left w:w="0" w:type="dxa"/>
        <w:bottom w:w="0" w:type="dxa"/>
        <w:right w:w="0" w:type="dxa"/>
      </w:tblCellMar>
    </w:tblPr>
  </w:style>
  <w:style w:type="character" w:customStyle="1" w:styleId="646">
    <w:name w:val="16"/>
    <w:basedOn w:val="40"/>
    <w:qFormat/>
    <w:uiPriority w:val="0"/>
    <w:rPr>
      <w:rFonts w:hint="default" w:ascii="Times New Roman" w:hAnsi="Times New Roman" w:eastAsia="宋体" w:cs="Times New Roman"/>
    </w:rPr>
  </w:style>
  <w:style w:type="character" w:customStyle="1" w:styleId="647">
    <w:name w:val="font11"/>
    <w:basedOn w:val="40"/>
    <w:qFormat/>
    <w:uiPriority w:val="0"/>
    <w:rPr>
      <w:rFonts w:hint="default" w:ascii="GE Inspira Sans" w:hAnsi="GE Inspira Sans" w:eastAsia="GE Inspira Sans" w:cs="GE Inspira Sans"/>
      <w:color w:val="000000"/>
      <w:sz w:val="20"/>
      <w:szCs w:val="20"/>
      <w:u w:val="none"/>
    </w:rPr>
  </w:style>
  <w:style w:type="character" w:customStyle="1" w:styleId="648">
    <w:name w:val="font71"/>
    <w:basedOn w:val="40"/>
    <w:qFormat/>
    <w:uiPriority w:val="0"/>
    <w:rPr>
      <w:rFonts w:ascii="等线" w:hAnsi="等线" w:eastAsia="等线" w:cs="等线"/>
      <w:color w:val="000000"/>
      <w:sz w:val="20"/>
      <w:szCs w:val="20"/>
      <w:u w:val="none"/>
    </w:rPr>
  </w:style>
  <w:style w:type="character" w:customStyle="1" w:styleId="649">
    <w:name w:val="font81"/>
    <w:basedOn w:val="40"/>
    <w:qFormat/>
    <w:uiPriority w:val="0"/>
    <w:rPr>
      <w:rFonts w:hint="eastAsia" w:ascii="等线" w:hAnsi="等线" w:eastAsia="等线" w:cs="等线"/>
      <w:color w:val="000000"/>
      <w:sz w:val="20"/>
      <w:szCs w:val="20"/>
      <w:u w:val="none"/>
    </w:rPr>
  </w:style>
  <w:style w:type="character" w:customStyle="1" w:styleId="650">
    <w:name w:val="font31"/>
    <w:basedOn w:val="40"/>
    <w:qFormat/>
    <w:uiPriority w:val="0"/>
    <w:rPr>
      <w:rFonts w:hint="default" w:ascii="Arial" w:hAnsi="Arial" w:cs="Arial"/>
      <w:color w:val="000000"/>
      <w:sz w:val="20"/>
      <w:szCs w:val="20"/>
      <w:u w:val="none"/>
    </w:rPr>
  </w:style>
  <w:style w:type="character" w:customStyle="1" w:styleId="651">
    <w:name w:val="font91"/>
    <w:basedOn w:val="40"/>
    <w:qFormat/>
    <w:uiPriority w:val="0"/>
    <w:rPr>
      <w:rFonts w:ascii="微软雅黑" w:hAnsi="微软雅黑" w:eastAsia="微软雅黑" w:cs="微软雅黑"/>
      <w:color w:val="000000"/>
      <w:sz w:val="20"/>
      <w:szCs w:val="20"/>
      <w:u w:val="none"/>
    </w:rPr>
  </w:style>
  <w:style w:type="paragraph" w:customStyle="1" w:styleId="652">
    <w:name w:val="Body Text First Indent 22"/>
    <w:qFormat/>
    <w:uiPriority w:val="0"/>
    <w:pPr>
      <w:widowControl w:val="0"/>
      <w:spacing w:line="500" w:lineRule="exact"/>
      <w:ind w:firstLine="420" w:firstLineChars="200"/>
      <w:jc w:val="both"/>
    </w:pPr>
    <w:rPr>
      <w:rFonts w:hint="default" w:ascii="Times New Roman" w:hAnsi="Times New Roman" w:eastAsia="Times New Roman" w:cs="Times New Roman"/>
      <w:sz w:val="24"/>
      <w:szCs w:val="20"/>
      <w:lang w:val="en-US" w:eastAsia="zh-CN" w:bidi="ar-SA"/>
    </w:rPr>
  </w:style>
  <w:style w:type="paragraph" w:customStyle="1" w:styleId="653">
    <w:name w:val="Body Text Indent2"/>
    <w:next w:val="654"/>
    <w:qFormat/>
    <w:uiPriority w:val="0"/>
    <w:pPr>
      <w:widowControl w:val="0"/>
      <w:spacing w:line="500" w:lineRule="exact"/>
      <w:ind w:firstLine="880" w:firstLineChars="200"/>
      <w:jc w:val="both"/>
    </w:pPr>
    <w:rPr>
      <w:rFonts w:hint="default" w:ascii="Times New Roman" w:hAnsi="Times New Roman" w:eastAsia="Times New Roman" w:cs="Times New Roman"/>
      <w:sz w:val="24"/>
      <w:szCs w:val="20"/>
      <w:lang w:val="en-US" w:eastAsia="zh-CN" w:bidi="ar-SA"/>
    </w:rPr>
  </w:style>
  <w:style w:type="paragraph" w:customStyle="1" w:styleId="654">
    <w:name w:val="Body Text First Indent 21"/>
    <w:next w:val="1"/>
    <w:qFormat/>
    <w:uiPriority w:val="0"/>
    <w:pPr>
      <w:widowControl w:val="0"/>
      <w:spacing w:line="500" w:lineRule="exact"/>
      <w:ind w:firstLine="420" w:firstLineChars="200"/>
      <w:jc w:val="both"/>
    </w:pPr>
    <w:rPr>
      <w:rFonts w:hint="default" w:ascii="Times New Roman" w:hAnsi="Times New Roman" w:eastAsia="Times New Roman" w:cs="Times New Roman"/>
      <w:sz w:val="24"/>
      <w:szCs w:val="20"/>
      <w:lang w:val="en-US" w:eastAsia="zh-CN" w:bidi="ar-SA"/>
    </w:rPr>
  </w:style>
  <w:style w:type="paragraph" w:customStyle="1" w:styleId="655">
    <w:name w:val="Body Text Indent1"/>
    <w:qFormat/>
    <w:uiPriority w:val="0"/>
    <w:pPr>
      <w:widowControl w:val="0"/>
      <w:spacing w:line="500" w:lineRule="exact"/>
      <w:ind w:firstLine="880" w:firstLineChars="200"/>
      <w:jc w:val="both"/>
    </w:pPr>
    <w:rPr>
      <w:rFonts w:hint="default" w:ascii="Times New Roman" w:hAnsi="Times New Roman" w:eastAsia="Times New Roman" w:cs="Times New Roman"/>
      <w:sz w:val="24"/>
      <w:szCs w:val="20"/>
      <w:lang w:val="en-US" w:eastAsia="zh-CN" w:bidi="ar-SA"/>
    </w:rPr>
  </w:style>
  <w:style w:type="paragraph" w:customStyle="1" w:styleId="656">
    <w:name w:val="正文-标准"/>
    <w:basedOn w:val="1"/>
    <w:qFormat/>
    <w:uiPriority w:val="0"/>
    <w:pPr>
      <w:autoSpaceDE w:val="0"/>
      <w:autoSpaceDN w:val="0"/>
      <w:adjustRightInd w:val="0"/>
      <w:spacing w:line="360" w:lineRule="exact"/>
      <w:jc w:val="left"/>
      <w:textAlignment w:val="baseline"/>
    </w:pPr>
    <w:rPr>
      <w:kern w:val="21"/>
      <w:szCs w:val="20"/>
    </w:rPr>
  </w:style>
  <w:style w:type="paragraph" w:customStyle="1" w:styleId="657">
    <w:name w:val="正文-manu"/>
    <w:basedOn w:val="1"/>
    <w:qFormat/>
    <w:uiPriority w:val="0"/>
    <w:pPr>
      <w:spacing w:line="300" w:lineRule="auto"/>
    </w:pPr>
    <w:rPr>
      <w:b/>
      <w:snapToGrid w:val="0"/>
      <w:kern w:val="0"/>
      <w:sz w:val="24"/>
      <w:szCs w:val="20"/>
    </w:rPr>
  </w:style>
  <w:style w:type="paragraph" w:customStyle="1" w:styleId="658">
    <w:name w:val="B3"/>
    <w:basedOn w:val="659"/>
    <w:qFormat/>
    <w:uiPriority w:val="0"/>
    <w:pPr>
      <w:tabs>
        <w:tab w:val="left" w:pos="360"/>
        <w:tab w:val="left" w:pos="1418"/>
      </w:tabs>
      <w:outlineLvl w:val="2"/>
    </w:pPr>
    <w:rPr>
      <w:b w:val="0"/>
    </w:rPr>
  </w:style>
  <w:style w:type="paragraph" w:customStyle="1" w:styleId="659">
    <w:name w:val="B2"/>
    <w:basedOn w:val="1"/>
    <w:qFormat/>
    <w:uiPriority w:val="0"/>
    <w:pPr>
      <w:tabs>
        <w:tab w:val="left" w:pos="360"/>
        <w:tab w:val="left" w:pos="1418"/>
      </w:tabs>
      <w:adjustRightInd w:val="0"/>
      <w:snapToGrid w:val="0"/>
      <w:ind w:left="1418" w:hanging="1418"/>
      <w:outlineLvl w:val="1"/>
    </w:pPr>
    <w:rPr>
      <w:rFonts w:ascii="Arial Narrow" w:hAnsi="Arial Narrow" w:eastAsia="仿宋"/>
      <w:b/>
      <w:sz w:val="24"/>
    </w:rPr>
  </w:style>
  <w:style w:type="paragraph" w:customStyle="1" w:styleId="660">
    <w:name w:val="B4"/>
    <w:basedOn w:val="658"/>
    <w:qFormat/>
    <w:uiPriority w:val="0"/>
    <w:pPr>
      <w:outlineLvl w:val="3"/>
    </w:pPr>
  </w:style>
  <w:style w:type="paragraph" w:customStyle="1" w:styleId="661">
    <w:name w:val="正文-模版"/>
    <w:basedOn w:val="1"/>
    <w:qFormat/>
    <w:uiPriority w:val="0"/>
    <w:pPr>
      <w:spacing w:line="400" w:lineRule="exact"/>
      <w:ind w:firstLine="200"/>
    </w:pPr>
    <w:rPr>
      <w:rFonts w:hint="eastAsia" w:ascii="宋体"/>
      <w:color w:val="000000"/>
    </w:rPr>
  </w:style>
  <w:style w:type="paragraph" w:customStyle="1" w:styleId="662">
    <w:name w:val="Table Paragraph"/>
    <w:basedOn w:val="1"/>
    <w:qFormat/>
    <w:uiPriority w:val="1"/>
    <w:pPr>
      <w:ind w:left="107"/>
    </w:pPr>
    <w:rPr>
      <w:rFonts w:ascii="宋体" w:hAnsi="宋体" w:eastAsia="宋体" w:cs="宋体"/>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w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黑体"/>
        <a:cs typeface="Arial"/>
      </a:majorFont>
      <a:minorFont>
        <a:latin typeface="Arial"/>
        <a:ea typeface="宋体"/>
        <a:cs typeface="Arial"/>
      </a:minorFont>
    </a:fontScheme>
    <a:fmtScheme name="">
      <a:fillStyleLst>
        <a:solidFill>
          <a:schemeClr val="phClr"/>
        </a:solidFill>
        <a:solidFill>
          <a:srgbClr val="FFFFFF"/>
        </a:solidFill>
        <a:solidFill>
          <a:srgbClr val="FFFFFF"/>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866bd0e1-3507-4ab2-985b-c19cfcb90393</errorID>
      <errorWord>1号</errorWord>
      <group>L1_Knowledge</group>
      <groupName>知识性问题</groupName>
      <ability>L2_Time</ability>
      <abilityName>日期时间</abilityName>
      <candidateList>
        <item>1日</item>
      </candidateList>
      <explain>日期表达规范为x月x日。</explain>
      <paraID>640E291C</paraID>
      <start>83</start>
      <end>85</end>
      <status>unmodified</status>
      <modifiedWord/>
      <trackRevisions>false</trackRevisions>
    </reviewItem>
    <reviewItem>
      <errorID>2a0953a1-d22c-4a4b-94f1-9226e4851226</errorID>
      <errorWord>1号</errorWord>
      <group>L1_Knowledge</group>
      <groupName>知识性问题</groupName>
      <ability>L2_Time</ability>
      <abilityName>日期时间</abilityName>
      <candidateList>
        <item>1日</item>
      </candidateList>
      <explain>日期表达规范为x月x日。</explain>
      <paraID>45CF3423</paraID>
      <start>69</start>
      <end>71</end>
      <status>unmodified</status>
      <modifiedWord/>
      <trackRevisions>false</trackRevisions>
    </reviewItem>
    <reviewItem>
      <errorID>8dcb0905-467e-4cf9-8106-5a305e103413</errorID>
      <errorWord>至今）中</errorWord>
      <group>L1_AI</group>
      <groupName>深度校对</groupName>
      <ability>L2_AI_Grammar</ability>
      <abilityName>语法纠错</abilityName>
      <candidateList>
        <item>至今</item>
      </candidateList>
      <explain/>
      <paraID>78D1A1EB</paraID>
      <start>31</start>
      <end>35</end>
      <status>unmodified</status>
      <modifiedWord/>
      <trackRevisions>false</trackRevisions>
    </reviewItem>
    <reviewItem>
      <errorID>59bdeaf8-b748-4867-9a40-568312a4c452</errorID>
      <errorWord>(</errorWord>
      <group>L1_Format</group>
      <groupName>格式问题</groupName>
      <ability>L2_HalfPunc</ability>
      <abilityName>全半角检查</abilityName>
      <candidateList>
        <item>（</item>
      </candidateList>
      <explain>文本全半角错误。</explain>
      <paraID>59C0906A</paraID>
      <start>43</start>
      <end>44</end>
      <status>unmodified</status>
      <modifiedWord/>
      <trackRevisions>false</trackRevisions>
    </reviewItem>
    <reviewItem>
      <errorID>d2b6c1a8-d70b-4cc5-88c3-05ecd265a016</errorID>
      <errorWord>)</errorWord>
      <group>L1_Format</group>
      <groupName>格式问题</groupName>
      <ability>L2_HalfPunc</ability>
      <abilityName>全半角检查</abilityName>
      <candidateList>
        <item>）</item>
      </candidateList>
      <explain>文本全半角错误。</explain>
      <paraID>59C0906A</paraID>
      <start>58</start>
      <end>59</end>
      <status>unmodified</status>
      <modifiedWord/>
      <trackRevisions>false</trackRevisions>
    </reviewItem>
    <reviewItem>
      <errorID>2ebc992b-6341-4129-8ee1-9952fd92a82f</errorID>
      <errorWord>(</errorWord>
      <group>L1_Format</group>
      <groupName>格式问题</groupName>
      <ability>L2_HalfPunc</ability>
      <abilityName>全半角检查</abilityName>
      <candidateList>
        <item>（</item>
      </candidateList>
      <explain>文本全半角错误。</explain>
      <paraID>4755860D</paraID>
      <start>17</start>
      <end>18</end>
      <status>unmodified</status>
      <modifiedWord/>
      <trackRevisions>false</trackRevisions>
    </reviewItem>
    <reviewItem>
      <errorID>19fe4f00-7cc5-47d2-9eb7-d40d2f255b4f</errorID>
      <errorWord>)</errorWord>
      <group>L1_Format</group>
      <groupName>格式问题</groupName>
      <ability>L2_HalfPunc</ability>
      <abilityName>全半角检查</abilityName>
      <candidateList>
        <item>）</item>
      </candidateList>
      <explain>文本全半角错误。</explain>
      <paraID>4755860D</paraID>
      <start>23</start>
      <end>24</end>
      <status>unmodified</status>
      <modifiedWord/>
      <trackRevisions>false</trackRevisions>
    </reviewItem>
    <reviewItem>
      <errorID>a9b53a41-91e4-4430-be3d-cedabd300569</errorID>
      <errorWord>―</errorWord>
      <group>L1_AI</group>
      <groupName>深度校对</groupName>
      <ability>L2_AI_Word</ability>
      <abilityName>字词纠错</abilityName>
      <candidateList>
        <item>——</item>
      </candidateList>
      <explain/>
      <paraID>35D2A12C</paraID>
      <start>99</start>
      <end>100</end>
      <status>unmodified</status>
      <modifiedWord/>
      <trackRevisions>false</trackRevisions>
    </reviewItem>
    <reviewItem>
      <errorID>9ed058cb-f7d9-4f44-9c58-7d6f72b7aa31</errorID>
      <errorWord>－</errorWord>
      <group>L1_AI</group>
      <groupName>深度校对</groupName>
      <ability>L2_AI_Punc</ability>
      <abilityName>标点纠错</abilityName>
      <candidateList>
        <item>——</item>
      </candidateList>
      <explain/>
      <paraID>35D2A12C</paraID>
      <start>104</start>
      <end>105</end>
      <status>unmodified</status>
      <modifiedWord/>
      <trackRevisions>false</trackRevisions>
    </reviewItem>
    <reviewItem>
      <errorID>83869f1e-27be-489a-905d-bce76fff7fcb</errorID>
      <errorWord>－－</errorWord>
      <group>L1_AI</group>
      <groupName>深度校对</groupName>
      <ability>L2_AI_Punc</ability>
      <abilityName>标点纠错</abilityName>
      <candidateList>
        <item>——</item>
      </candidateList>
      <explain/>
      <paraID> 6B2CE38</paraID>
      <start>40</start>
      <end>42</end>
      <status>unmodified</status>
      <modifiedWord/>
      <trackRevisions>false</trackRevisions>
    </reviewItem>
    <reviewItem>
      <errorID>b396d647-8fb6-4146-8c91-ef9d3903f3ae</errorID>
      <errorWord>--</errorWord>
      <group>L1_AI</group>
      <groupName>深度校对</groupName>
      <ability>L2_AI_Punc</ability>
      <abilityName>标点纠错</abilityName>
      <candidateList>
        <item>——</item>
      </candidateList>
      <explain/>
      <paraID> 6B2CE38</paraID>
      <start>52</start>
      <end>54</end>
      <status>unmodified</status>
      <modifiedWord/>
      <trackRevisions>false</trackRevisions>
    </reviewItem>
    <reviewItem>
      <errorID>2de6422c-0106-40bc-8b74-1f3c4573af76</errorID>
      <errorWord>--</errorWord>
      <group>L1_AI</group>
      <groupName>深度校对</groupName>
      <ability>L2_AI_Punc</ability>
      <abilityName>标点纠错</abilityName>
      <candidateList>
        <item>——</item>
      </candidateList>
      <explain/>
      <paraID> 6B2CE38</paraID>
      <start>61</start>
      <end>63</end>
      <status>unmodified</status>
      <modifiedWord/>
      <trackRevisions>false</trackRevisions>
    </reviewItem>
    <reviewItem>
      <errorID>2c331033-eecd-45b6-80f3-0aa932f79cec</errorID>
      <errorWord>－－</errorWord>
      <group>L1_AI</group>
      <groupName>深度校对</groupName>
      <ability>L2_AI_Punc</ability>
      <abilityName>标点纠错</abilityName>
      <candidateList>
        <item>——</item>
      </candidateList>
      <explain/>
      <paraID> 6B2CE38</paraID>
      <start>67</start>
      <end>69</end>
      <status>unmodified</status>
      <modifiedWord/>
      <trackRevisions>false</trackRevisions>
    </reviewItem>
    <reviewItem>
      <errorID>eb7b3a27-0c7a-4d63-8c9e-c8540bd58767</errorID>
      <errorWord>--</errorWord>
      <group>L1_AI</group>
      <groupName>深度校对</groupName>
      <ability>L2_AI_Punc</ability>
      <abilityName>标点纠错</abilityName>
      <candidateList>
        <item>——</item>
      </candidateList>
      <explain/>
      <paraID> 6B2CE38</paraID>
      <start>88</start>
      <end>90</end>
      <status>unmodified</status>
      <modifiedWord/>
      <trackRevisions>false</trackRevisions>
    </reviewItem>
    <reviewItem>
      <errorID>8b1a789e-816f-4a1d-8ae1-63b1b25c0f96</errorID>
      <errorWord>－－</errorWord>
      <group>L1_AI</group>
      <groupName>深度校对</groupName>
      <ability>L2_AI_Punc</ability>
      <abilityName>标点纠错</abilityName>
      <candidateList>
        <item>——</item>
      </candidateList>
      <explain/>
      <paraID> 6B2CE38</paraID>
      <start>118</start>
      <end>120</end>
      <status>unmodified</status>
      <modifiedWord/>
      <trackRevisions>false</trackRevisions>
    </reviewItem>
    <reviewItem>
      <errorID>f8e10b7b-c819-474d-9fce-a8ad4374b59c</errorID>
      <errorWord>－－</errorWord>
      <group>L1_AI</group>
      <groupName>深度校对</groupName>
      <ability>L2_AI_Punc</ability>
      <abilityName>标点纠错</abilityName>
      <candidateList>
        <item>——</item>
      </candidateList>
      <explain/>
      <paraID> 6B2CE38</paraID>
      <start>126</start>
      <end>128</end>
      <status>unmodified</status>
      <modifiedWord/>
      <trackRevisions>false</trackRevisions>
    </reviewItem>
    <reviewItem>
      <errorID>32495ae5-b89d-445a-af8f-f1bcd937a466</errorID>
      <errorWord>--</errorWord>
      <group>L1_AI</group>
      <groupName>深度校对</groupName>
      <ability>L2_AI_Punc</ability>
      <abilityName>标点纠错</abilityName>
      <candidateList>
        <item>——</item>
      </candidateList>
      <explain/>
      <paraID> 6B2CE38</paraID>
      <start>146</start>
      <end>148</end>
      <status>unmodified</status>
      <modifiedWord/>
      <trackRevisions>false</trackRevisions>
    </reviewItem>
    <reviewItem>
      <errorID>759ee243-0ab6-4eee-8d74-f4a170978890</errorID>
      <errorWord>－－</errorWord>
      <group>L1_AI</group>
      <groupName>深度校对</groupName>
      <ability>L2_AI_Punc</ability>
      <abilityName>标点纠错</abilityName>
      <candidateList>
        <item>——</item>
      </candidateList>
      <explain/>
      <paraID>2FEF535E</paraID>
      <start>49</start>
      <end>51</end>
      <status>unmodified</status>
      <modifiedWord/>
      <trackRevisions>false</trackRevisions>
    </reviewItem>
    <reviewItem>
      <errorID>a2c4e0ac-9984-412b-92f0-6976e685c160</errorID>
      <errorWord>－－</errorWord>
      <group>L1_AI</group>
      <groupName>深度校对</groupName>
      <ability>L2_AI_Punc</ability>
      <abilityName>标点纠错</abilityName>
      <candidateList>
        <item>——</item>
      </candidateList>
      <explain/>
      <paraID>2FEF535E</paraID>
      <start>56</start>
      <end>58</end>
      <status>unmodified</status>
      <modifiedWord/>
      <trackRevisions>false</trackRevisions>
    </reviewItem>
    <reviewItem>
      <errorID>bab1c070-0a44-427b-8b1c-e8da117ca807</errorID>
      <errorWord>“</errorWord>
      <group>L1_AI</group>
      <groupName>深度校对</groupName>
      <ability>L2_AI_Punc</ability>
      <abilityName>标点纠错</abilityName>
      <candidateList>
        <item>《</item>
      </candidateList>
      <explain/>
      <paraID>41BFB2D1</paraID>
      <start>17</start>
      <end>18</end>
      <status>unmodified</status>
      <modifiedWord/>
      <trackRevisions>false</trackRevisions>
    </reviewItem>
    <reviewItem>
      <errorID>4caaf250-f7bd-48f2-80dd-922b5735fe81</errorID>
      <errorWord>《</errorWord>
      <group>L1_AI</group>
      <groupName>深度校对</groupName>
      <ability>L2_AI_Punc</ability>
      <abilityName>标点纠错</abilityName>
      <candidateList>
        <item/>
      </candidateList>
      <explain/>
      <paraID>41BFB2D1</paraID>
      <start>31</start>
      <end>32</end>
      <status>unmodified</status>
      <modifiedWord/>
      <trackRevisions>false</trackRevisions>
    </reviewItem>
    <reviewItem>
      <errorID>14872b09-6c14-4c16-bd56-59d05f70b418</errorID>
      <errorWord>《</errorWord>
      <group>L1_AI</group>
      <groupName>深度校对</groupName>
      <ability>L2_AI_Punc</ability>
      <abilityName>标点纠错</abilityName>
      <candidateList>
        <item>〈</item>
      </candidateList>
      <explain/>
      <paraID>41BFB2D1</paraID>
      <start>36</start>
      <end>37</end>
      <status>unmodified</status>
      <modifiedWord/>
      <trackRevisions>false</trackRevisions>
    </reviewItem>
    <reviewItem>
      <errorID>f6261660-039b-427e-93e6-4ba58861a88d</errorID>
      <errorWord>》《</errorWord>
      <group>L1_AI</group>
      <groupName>深度校对</groupName>
      <ability>L2_AI_Punc</ability>
      <abilityName>标点纠错</abilityName>
      <candidateList>
        <item>〉〈</item>
      </candidateList>
      <explain/>
      <paraID>41BFB2D1</paraID>
      <start>53</start>
      <end>55</end>
      <status>unmodified</status>
      <modifiedWord/>
      <trackRevisions>false</trackRevisions>
    </reviewItem>
    <reviewItem>
      <errorID>bd3b567d-b1d6-4b4d-a049-20a6207cbb3a</errorID>
      <errorWord>》</errorWord>
      <group>L1_Punc</group>
      <groupName>标点问题</groupName>
      <ability>L2_Punc</ability>
      <abilityName>标点符号检查</abilityName>
      <candidateList/>
      <explain>同一形式括号套用。</explain>
      <paraID>41BFB2D1</paraID>
      <start>71</start>
      <end>72</end>
      <status>unmodified</status>
      <modifiedWord/>
      <trackRevisions>false</trackRevisions>
    </reviewItem>
    <reviewItem>
      <errorID>258fe935-5618-4013-9a3e-79070386f1f0</errorID>
      <errorWord>”</errorWord>
      <group>L1_AI</group>
      <groupName>深度校对</groupName>
      <ability>L2_AI_Punc</ability>
      <abilityName>标点纠错</abilityName>
      <candidateList>
        <item>》</item>
      </candidateList>
      <explain/>
      <paraID>41BFB2D1</paraID>
      <start>76</start>
      <end>77</end>
      <status>unmodified</status>
      <modifiedWord/>
      <trackRevisions>false</trackRevisions>
    </reviewItem>
    <reviewItem>
      <errorID>76f77d1f-5b44-47a6-bf0b-fd2c71730f16</errorID>
      <errorWord>：</errorWord>
      <group>L1_Format</group>
      <groupName>格式问题</groupName>
      <ability>L2_HalfPunc</ability>
      <abilityName>全半角检查</abilityName>
      <candidateList>
        <item>:</item>
      </candidateList>
      <explain>文本全半角错误。</explain>
      <paraID>331746C6</paraID>
      <start>19</start>
      <end>20</end>
      <status>unmodified</status>
      <modifiedWord/>
      <trackRevisions>false</trackRevisions>
    </reviewItem>
    <reviewItem>
      <errorID>7d23f8cc-73d4-4a10-b326-3323e83cc3cc</errorID>
      <errorWord>，</errorWord>
      <group>L1_Word</group>
      <groupName>字词问题</groupName>
      <ability>L2_Typo</ability>
      <abilityName>字词错误</abilityName>
      <candidateList>
        <item>，并</item>
      </candidateList>
      <explain/>
      <paraID>69AC4FCF</paraID>
      <start>54</start>
      <end>55</end>
      <status>unmodified</status>
      <modifiedWord/>
      <trackRevisions>false</trackRevisions>
    </reviewItem>
    <reviewItem>
      <errorID>9f6dfe45-723c-4584-9eed-38be4027d76b</errorID>
      <errorWord>(</errorWord>
      <group>L1_Format</group>
      <groupName>格式问题</groupName>
      <ability>L2_HalfPunc</ability>
      <abilityName>全半角检查</abilityName>
      <candidateList>
        <item>（</item>
      </candidateList>
      <explain>文本全半角错误。</explain>
      <paraID>68E4CD95</paraID>
      <start>14</start>
      <end>15</end>
      <status>unmodified</status>
      <modifiedWord/>
      <trackRevisions>false</trackRevisions>
    </reviewItem>
    <reviewItem>
      <errorID>0e4e6344-4769-466f-96ae-12d3b5600abd</errorID>
      <errorWord>)</errorWord>
      <group>L1_Format</group>
      <groupName>格式问题</groupName>
      <ability>L2_HalfPunc</ability>
      <abilityName>全半角检查</abilityName>
      <candidateList>
        <item>）</item>
      </candidateList>
      <explain>文本全半角错误。</explain>
      <paraID>68E4CD95</paraID>
      <start>18</start>
      <end>19</end>
      <status>unmodified</status>
      <modifiedWord/>
      <trackRevisions>false</trackRevisions>
    </reviewItem>
    <reviewItem>
      <errorID>8ed44775-4fc0-4b65-aaa9-218120b94d9f</errorID>
      <errorWord>保持通讯畅通</errorWord>
      <group>L1_Word</group>
      <groupName>字词问题</groupName>
      <ability>L2_Typo</ability>
      <abilityName>字词错误</abilityName>
      <candidateList>
        <item>保持通信畅通</item>
      </candidateList>
      <explain/>
      <paraID>20C6FA47</paraID>
      <start>13</start>
      <end>19</end>
      <status>unmodified</status>
      <modifiedWord/>
      <trackRevisions>false</trackRevisions>
    </reviewItem>
    <reviewItem>
      <errorID>ea30acb1-7aab-42cb-b01d-5bfe549915a2</errorID>
      <errorWord>做出</errorWord>
      <group>L1_Word</group>
      <groupName>字词问题</groupName>
      <ability>L2_Typo</ability>
      <abilityName>字词错误</abilityName>
      <candidateList>
        <item>作出</item>
      </candidateList>
      <explain/>
      <paraID>47739190</paraID>
      <start>32</start>
      <end>34</end>
      <status>unmodified</status>
      <modifiedWord/>
      <trackRevisions>false</trackRevisions>
    </reviewItem>
    <reviewItem>
      <errorID>ee50d808-4257-43a6-a15d-a42062dbcedf</errorID>
      <errorWord>(</errorWord>
      <group>L1_Format</group>
      <groupName>格式问题</groupName>
      <ability>L2_HalfPunc</ability>
      <abilityName>全半角检查</abilityName>
      <candidateList>
        <item>（</item>
      </candidateList>
      <explain>文本全半角错误。</explain>
      <paraID>21879973</paraID>
      <start>85</start>
      <end>86</end>
      <status>unmodified</status>
      <modifiedWord/>
      <trackRevisions>false</trackRevisions>
    </reviewItem>
    <reviewItem>
      <errorID>a2005353-0397-4eee-a01f-a893fc3efd5c</errorID>
      <errorWord>)</errorWord>
      <group>L1_Format</group>
      <groupName>格式问题</groupName>
      <ability>L2_HalfPunc</ability>
      <abilityName>全半角检查</abilityName>
      <candidateList>
        <item>）</item>
      </candidateList>
      <explain>文本全半角错误。</explain>
      <paraID>21879973</paraID>
      <start>88</start>
      <end>89</end>
      <status>unmodified</status>
      <modifiedWord/>
      <trackRevisions>false</trackRevisions>
    </reviewItem>
    <reviewItem>
      <errorID>3b2514dc-27a8-4155-8bf9-951af023ef45</errorID>
      <errorWord>(</errorWord>
      <group>L1_Format</group>
      <groupName>格式问题</groupName>
      <ability>L2_HalfPunc</ability>
      <abilityName>全半角检查</abilityName>
      <candidateList>
        <item>（</item>
      </candidateList>
      <explain>文本全半角错误。</explain>
      <paraID>21879973</paraID>
      <start>95</start>
      <end>96</end>
      <status>unmodified</status>
      <modifiedWord/>
      <trackRevisions>false</trackRevisions>
    </reviewItem>
    <reviewItem>
      <errorID>d1265949-fb5a-434c-8914-217b6a6c05db</errorID>
      <errorWord>)</errorWord>
      <group>L1_Format</group>
      <groupName>格式问题</groupName>
      <ability>L2_HalfPunc</ability>
      <abilityName>全半角检查</abilityName>
      <candidateList>
        <item>）</item>
      </candidateList>
      <explain>文本全半角错误。</explain>
      <paraID>21879973</paraID>
      <start>109</start>
      <end>110</end>
      <status>unmodified</status>
      <modifiedWord/>
      <trackRevisions>false</trackRevisions>
    </reviewItem>
    <reviewItem>
      <errorID>ade5e66e-97ac-4482-9af4-22227b0cd343</errorID>
      <errorWord>(</errorWord>
      <group>L1_Format</group>
      <groupName>格式问题</groupName>
      <ability>L2_HalfPunc</ability>
      <abilityName>全半角检查</abilityName>
      <candidateList>
        <item>（</item>
      </candidateList>
      <explain>文本全半角错误。</explain>
      <paraID>62FECABC</paraID>
      <start>94</start>
      <end>95</end>
      <status>unmodified</status>
      <modifiedWord/>
      <trackRevisions>false</trackRevisions>
    </reviewItem>
    <reviewItem>
      <errorID>3c295643-3e13-423a-b448-da65d08173da</errorID>
      <errorWord>)</errorWord>
      <group>L1_Format</group>
      <groupName>格式问题</groupName>
      <ability>L2_HalfPunc</ability>
      <abilityName>全半角检查</abilityName>
      <candidateList>
        <item>）</item>
      </candidateList>
      <explain>文本全半角错误。</explain>
      <paraID>62FECABC</paraID>
      <start>104</start>
      <end>105</end>
      <status>unmodified</status>
      <modifiedWord/>
      <trackRevisions>false</trackRevisions>
    </reviewItem>
    <reviewItem>
      <errorID>36fca5fa-9e29-4985-81a1-c8d5abd31ed8</errorID>
      <errorWord>（</errorWord>
      <group>L1_Word</group>
      <groupName>字词问题</groupName>
      <ability>L2_Typo</ability>
      <abilityName>字词错误</abilityName>
      <candidateList>
        <item>（在</item>
      </candidateList>
      <explain/>
      <paraID>62FECABC</paraID>
      <start>119</start>
      <end>120</end>
      <status>unmodified</status>
      <modifiedWord/>
      <trackRevisions>false</trackRevisions>
    </reviewItem>
    <reviewItem>
      <errorID>d19e8b82-a168-43ac-bf22-8fe193de45d9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6C1641BF</paraID>
      <start>67</start>
      <end>68</end>
      <status>unmodified</status>
      <modifiedWord/>
      <trackRevisions>false</trackRevisions>
    </reviewItem>
    <reviewItem>
      <errorID>e6c865e8-39fc-4d78-91e4-0ad069a9b4d2</errorID>
      <errorWord>,</errorWord>
      <group>L1_Format</group>
      <groupName>格式问题</groupName>
      <ability>L2_HalfPunc</ability>
      <abilityName>全半角检查</abilityName>
      <candidateList>
        <item>，</item>
      </candidateList>
      <explain>文本全半角错误。</explain>
      <paraID>1D8BBA13</paraID>
      <start>18</start>
      <end>19</end>
      <status>unmodified</status>
      <modifiedWord/>
      <trackRevisions>false</trackRevisions>
    </reviewItem>
    <reviewItem>
      <errorID>9ff44f43-84c6-470c-8a36-5de2c9900e35</errorID>
      <errorWord>,</errorWord>
      <group>L1_Format</group>
      <groupName>格式问题</groupName>
      <ability>L2_HalfPunc</ability>
      <abilityName>全半角检查</abilityName>
      <candidateList>
        <item>，</item>
      </candidateList>
      <explain>文本全半角错误。</explain>
      <paraID>1D8BBA13</paraID>
      <start>48</start>
      <end>49</end>
      <status>unmodified</status>
      <modifiedWord/>
      <trackRevisions>false</trackRevisions>
    </reviewItem>
    <reviewItem>
      <errorID>2c4f02f8-535c-42de-8091-5c2a4becb6fe</errorID>
      <errorWord>&lt;</errorWord>
      <group>L1_Format</group>
      <groupName>格式问题</groupName>
      <ability>L2_HalfPunc</ability>
      <abilityName>全半角检查</abilityName>
      <candidateList>
        <item>〈</item>
      </candidateList>
      <explain>文本全半角错误。</explain>
      <paraID>2EC07C6D</paraID>
      <start>121</start>
      <end>122</end>
      <status>unmodified</status>
      <modifiedWord/>
      <trackRevisions>false</trackRevisions>
    </reviewItem>
    <reviewItem>
      <errorID>4e162e89-23ae-4a0e-893d-22e963b95f3f</errorID>
      <errorWord>&gt;</errorWord>
      <group>L1_Format</group>
      <groupName>格式问题</groupName>
      <ability>L2_HalfPunc</ability>
      <abilityName>全半角检查</abilityName>
      <candidateList>
        <item>〉</item>
      </candidateList>
      <explain>文本全半角错误。</explain>
      <paraID>2EC07C6D</paraID>
      <start>139</start>
      <end>140</end>
      <status>unmodified</status>
      <modifiedWord/>
      <trackRevisions>false</trackRevisions>
    </reviewItem>
    <reviewItem>
      <errorID>f17b77ce-36da-4380-814d-66d4e4cf5319</errorID>
      <errorWord>模版</errorWord>
      <group>L1_Word</group>
      <groupName>字词问题</groupName>
      <ability>L2_Typo</ability>
      <abilityName>字词错误</abilityName>
      <candidateList>
        <item>模板</item>
      </candidateList>
      <explain>存在发音相同字词的误用。</explain>
      <paraID>3C27F11F</paraID>
      <start>36</start>
      <end>38</end>
      <status>unmodified</status>
      <modifiedWord/>
      <trackRevisions>false</trackRevisions>
    </reviewItem>
    <reviewItem>
      <errorID>fb4ddd9f-4f31-4563-8ed8-32dc05df25f4</errorID>
      <errorWord>(</errorWord>
      <group>L1_Format</group>
      <groupName>格式问题</groupName>
      <ability>L2_HalfPunc</ability>
      <abilityName>全半角检查</abilityName>
      <candidateList>
        <item>（</item>
      </candidateList>
      <explain>文本全半角错误。</explain>
      <paraID>6D230128</paraID>
      <start>3</start>
      <end>4</end>
      <status>unmodified</status>
      <modifiedWord/>
      <trackRevisions>false</trackRevisions>
    </reviewItem>
    <reviewItem>
      <errorID>6b5f0ca0-c151-46d0-9089-bf1ff7d3233e</errorID>
      <errorWord>)</errorWord>
      <group>L1_Format</group>
      <groupName>格式问题</groupName>
      <ability>L2_HalfPunc</ability>
      <abilityName>全半角检查</abilityName>
      <candidateList>
        <item>）</item>
      </candidateList>
      <explain>文本全半角错误。</explain>
      <paraID>6D230128</paraID>
      <start>8</start>
      <end>9</end>
      <status>unmodified</status>
      <modifiedWord/>
      <trackRevisions>false</trackRevisions>
    </reviewItem>
    <reviewItem>
      <errorID>e9a68dcf-64d7-49c3-adde-4ed648adb008</errorID>
      <errorWord>帐号</errorWord>
      <group>L1_Word</group>
      <groupName>字词问题</groupName>
      <ability>L2_Typo</ability>
      <abilityName>字词错误</abilityName>
      <candidateList>
        <item>账号</item>
      </candidateList>
      <explain>存在发音相同字词的误用。</explain>
      <paraID>63AC7B02</paraID>
      <start>0</start>
      <end>2</end>
      <status>unmodified</status>
      <modifiedWord/>
      <trackRevisions>false</trackRevisions>
    </reviewItem>
    <reviewItem>
      <errorID>aacf8b88-4b36-4b45-b3c4-dc940f56bb46</errorID>
      <errorWord>(</errorWord>
      <group>L1_Format</group>
      <groupName>格式问题</groupName>
      <ability>L2_HalfPunc</ability>
      <abilityName>全半角检查</abilityName>
      <candidateList>
        <item>（</item>
      </candidateList>
      <explain>文本全半角错误。</explain>
      <paraID>352BD87C</paraID>
      <start>3</start>
      <end>4</end>
      <status>unmodified</status>
      <modifiedWord/>
      <trackRevisions>false</trackRevisions>
    </reviewItem>
    <reviewItem>
      <errorID>b309b4d5-21b5-45c1-bc1e-2558fc298c39</errorID>
      <errorWord>)</errorWord>
      <group>L1_Format</group>
      <groupName>格式问题</groupName>
      <ability>L2_HalfPunc</ability>
      <abilityName>全半角检查</abilityName>
      <candidateList>
        <item>）</item>
      </candidateList>
      <explain>文本全半角错误。</explain>
      <paraID>352BD87C</paraID>
      <start>10</start>
      <end>11</end>
      <status>unmodified</status>
      <modifiedWord/>
      <trackRevisions>false</trackRevisions>
    </reviewItem>
    <reviewItem>
      <errorID>daa02fe7-3b6f-4c44-b22c-8ba4d93da6e8</errorID>
      <errorWord>帐号</errorWord>
      <group>L1_Word</group>
      <groupName>字词问题</groupName>
      <ability>L2_Typo</ability>
      <abilityName>字词错误</abilityName>
      <candidateList>
        <item>账号</item>
      </candidateList>
      <explain>存在发音相同字词的误用。</explain>
      <paraID>767FA6AE</paraID>
      <start>0</start>
      <end>2</end>
      <status>unmodified</status>
      <modifiedWord/>
      <trackRevisions>false</trackRevisions>
    </reviewItem>
    <reviewItem>
      <errorID>9aa9010d-e6d1-4718-863f-cdc8e0113bd7</errorID>
      <errorWord>(</errorWord>
      <group>L1_Format</group>
      <groupName>格式问题</groupName>
      <ability>L2_HalfPunc</ability>
      <abilityName>全半角检查</abilityName>
      <candidateList>
        <item>（</item>
      </candidateList>
      <explain>文本全半角错误。</explain>
      <paraID>16CEEAB2</paraID>
      <start>14</start>
      <end>15</end>
      <status>unmodified</status>
      <modifiedWord/>
      <trackRevisions>false</trackRevisions>
    </reviewItem>
    <reviewItem>
      <errorID>5daa58a5-9efb-4688-ad83-4cf6d281ea18</errorID>
      <errorWord>)</errorWord>
      <group>L1_Format</group>
      <groupName>格式问题</groupName>
      <ability>L2_HalfPunc</ability>
      <abilityName>全半角检查</abilityName>
      <candidateList>
        <item>）</item>
      </candidateList>
      <explain>文本全半角错误。</explain>
      <paraID>16CEEAB2</paraID>
      <start>21</start>
      <end>22</end>
      <status>unmodified</status>
      <modifiedWord/>
      <trackRevisions>false</trackRevisions>
    </reviewItem>
    <reviewItem>
      <errorID>3a7ec91c-eeaf-4239-b490-867e7eaf8699</errorID>
      <errorWord>(</errorWord>
      <group>L1_Format</group>
      <groupName>格式问题</groupName>
      <ability>L2_HalfPunc</ability>
      <abilityName>全半角检查</abilityName>
      <candidateList>
        <item>（</item>
      </candidateList>
      <explain>文本全半角错误。</explain>
      <paraID>16CEEAB2</paraID>
      <start>39</start>
      <end>40</end>
      <status>unmodified</status>
      <modifiedWord/>
      <trackRevisions>false</trackRevisions>
    </reviewItem>
    <reviewItem>
      <errorID>6d53453b-6c38-42b0-93c0-f9893a6e5ec8</errorID>
      <errorWord>)</errorWord>
      <group>L1_Format</group>
      <groupName>格式问题</groupName>
      <ability>L2_HalfPunc</ability>
      <abilityName>全半角检查</abilityName>
      <candidateList>
        <item>）</item>
      </candidateList>
      <explain>文本全半角错误。</explain>
      <paraID>16CEEAB2</paraID>
      <start>46</start>
      <end>47</end>
      <status>unmodified</status>
      <modifiedWord/>
      <trackRevisions>false</trackRevisions>
    </reviewItem>
    <reviewItem>
      <errorID>265b54c0-7efd-4c10-ac6a-42f47dbd2edb</errorID>
      <errorWord>《政府采购法》</errorWord>
      <group>L1_Word</group>
      <groupName>字词问题</groupName>
      <ability>L2_Typo</ability>
      <abilityName>字词错误</abilityName>
      <candidateList>
        <item>《中华人民共和国政府采购法》</item>
      </candidateList>
      <explain/>
      <paraID>16CEEAB2</paraID>
      <start>63</start>
      <end>70</end>
      <status>unmodified</status>
      <modifiedWord/>
      <trackRevisions>false</trackRevisions>
    </reviewItem>
    <reviewItem>
      <errorID>86f272da-b53d-4c22-8fa4-2c04f5104221</errorID>
      <errorWord>《招投标法》</errorWord>
      <group>L1_Knowledge</group>
      <groupName>知识性问题</groupName>
      <ability>L2_Knowledge</ability>
      <abilityName>其他知识</abilityName>
      <candidateList>
        <item>《中华人民共和国招标投标法》</item>
      </candidateList>
      <explain/>
      <paraID>16CEEAB2</paraID>
      <start>70</start>
      <end>76</end>
      <status>unmodified</status>
      <modifiedWord/>
      <trackRevisions>false</trackRevisions>
    </reviewItem>
    <reviewItem>
      <errorID>45234beb-39aa-4462-ad48-6c27256fbe98</errorID>
      <errorWord>(</errorWord>
      <group>L1_Format</group>
      <groupName>格式问题</groupName>
      <ability>L2_HalfPunc</ability>
      <abilityName>全半角检查</abilityName>
      <candidateList>
        <item>（</item>
      </candidateList>
      <explain>文本全半角错误。</explain>
      <paraID>16CEEAB2</paraID>
      <start>143</start>
      <end>144</end>
      <status>unmodified</status>
      <modifiedWord/>
      <trackRevisions>false</trackRevisions>
    </reviewItem>
    <reviewItem>
      <errorID>eff24869-c857-412a-a207-956fd8746249</errorID>
      <errorWord>)</errorWord>
      <group>L1_Format</group>
      <groupName>格式问题</groupName>
      <ability>L2_HalfPunc</ability>
      <abilityName>全半角检查</abilityName>
      <candidateList>
        <item>）</item>
      </candidateList>
      <explain>文本全半角错误。</explain>
      <paraID>16CEEAB2</paraID>
      <start>153</start>
      <end>154</end>
      <status>unmodified</status>
      <modifiedWord/>
      <trackRevisions>false</trackRevisions>
    </reviewItem>
    <reviewItem>
      <errorID>68d6e398-197d-49ad-ba6a-ed2bc0faf74d</errorID>
      <errorWord>(</errorWord>
      <group>L1_Format</group>
      <groupName>格式问题</groupName>
      <ability>L2_HalfPunc</ability>
      <abilityName>全半角检查</abilityName>
      <candidateList>
        <item>（</item>
      </candidateList>
      <explain>文本全半角错误。</explain>
      <paraID>16CEEAB2</paraID>
      <start>195</start>
      <end>196</end>
      <status>unmodified</status>
      <modifiedWord/>
      <trackRevisions>false</trackRevisions>
    </reviewItem>
    <reviewItem>
      <errorID>b454eb2e-36e9-4b7a-9f20-e062306c23b0</errorID>
      <errorWord>)</errorWord>
      <group>L1_Format</group>
      <groupName>格式问题</groupName>
      <ability>L2_HalfPunc</ability>
      <abilityName>全半角检查</abilityName>
      <candidateList>
        <item>）</item>
      </candidateList>
      <explain>文本全半角错误。</explain>
      <paraID>16CEEAB2</paraID>
      <start>205</start>
      <end>206</end>
      <status>unmodified</status>
      <modifiedWord/>
      <trackRevisions>false</trackRevisions>
    </reviewItem>
    <reviewItem>
      <errorID>7ca874b3-bb5f-418d-8a50-5b652c542ff5</errorID>
      <errorWord>(</errorWord>
      <group>L1_Format</group>
      <groupName>格式问题</groupName>
      <ability>L2_HalfPunc</ability>
      <abilityName>全半角检查</abilityName>
      <candidateList>
        <item>（</item>
      </candidateList>
      <explain>文本全半角错误。</explain>
      <paraID>5638A8FC</paraID>
      <start>39</start>
      <end>40</end>
      <status>unmodified</status>
      <modifiedWord/>
      <trackRevisions>false</trackRevisions>
    </reviewItem>
    <reviewItem>
      <errorID>fbc34663-830f-4ea9-95a2-c04f45c85d24</errorID>
      <errorWord>)</errorWord>
      <group>L1_Format</group>
      <groupName>格式问题</groupName>
      <ability>L2_HalfPunc</ability>
      <abilityName>全半角检查</abilityName>
      <candidateList>
        <item>）</item>
      </candidateList>
      <explain>文本全半角错误。</explain>
      <paraID>5638A8FC</paraID>
      <start>42</start>
      <end>43</end>
      <status>unmodified</status>
      <modifiedWord/>
      <trackRevisions>false</trackRevisions>
    </reviewItem>
    <reviewItem>
      <errorID>acede649-2b8d-4194-9df5-a58224ba16a5</errorID>
      <errorWord>(</errorWord>
      <group>L1_Format</group>
      <groupName>格式问题</groupName>
      <ability>L2_HalfPunc</ability>
      <abilityName>全半角检查</abilityName>
      <candidateList>
        <item>（</item>
      </candidateList>
      <explain>文本全半角错误。</explain>
      <paraID>68DC462F</paraID>
      <start>19</start>
      <end>20</end>
      <status>unmodified</status>
      <modifiedWord/>
      <trackRevisions>false</trackRevisions>
    </reviewItem>
    <reviewItem>
      <errorID>f07e269b-c1ab-48e2-8d52-0ce3a7aa738d</errorID>
      <errorWord>)</errorWord>
      <group>L1_Format</group>
      <groupName>格式问题</groupName>
      <ability>L2_HalfPunc</ability>
      <abilityName>全半角检查</abilityName>
      <candidateList>
        <item>）</item>
      </candidateList>
      <explain>文本全半角错误。</explain>
      <paraID>68DC462F</paraID>
      <start>22</start>
      <end>23</end>
      <status>unmodified</status>
      <modifiedWord/>
      <trackRevisions>false</trackRevisions>
    </reviewItem>
    <reviewItem>
      <errorID>0448cef3-a396-492e-bf8b-2d51891a7823</errorID>
      <errorWord>费用的</errorWord>
      <group>L1_Word</group>
      <groupName>字词问题</groupName>
      <ability>L2_Typo</ability>
      <abilityName>字词错误</abilityName>
      <candidateList>
        <item>费用</item>
      </candidateList>
      <explain/>
      <paraID>6F610D87</paraID>
      <start>35</start>
      <end>38</end>
      <status>unmodified</status>
      <modifiedWord/>
      <trackRevisions>false</trackRevisions>
    </reviewItem>
    <reviewItem>
      <errorID>c2dd3b3e-0fce-4598-9f65-2842f6208c2a</errorID>
      <errorWord>等</errorWord>
      <group>L1_Word</group>
      <groupName>字词问题</groupName>
      <ability>L2_Typo</ability>
      <abilityName>字词错误</abilityName>
      <candidateList>
        <item/>
      </candidateList>
      <explain/>
      <paraID>6F610D87</paraID>
      <start>50</start>
      <end>51</end>
      <status>unmodified</status>
      <modifiedWord/>
      <trackRevisions>false</trackRevisions>
    </reviewItem>
    <reviewItem>
      <errorID>2bd932f7-3e6d-4fbe-9b1f-71e21ea83452</errorID>
      <errorWord>(</errorWord>
      <group>L1_Format</group>
      <groupName>格式问题</groupName>
      <ability>L2_HalfPunc</ability>
      <abilityName>全半角检查</abilityName>
      <candidateList>
        <item>（</item>
      </candidateList>
      <explain>文本全半角错误。</explain>
      <paraID>6E7A11B8</paraID>
      <start>33</start>
      <end>34</end>
      <status>unmodified</status>
      <modifiedWord/>
      <trackRevisions>false</trackRevisions>
    </reviewItem>
    <reviewItem>
      <errorID>bedf5df9-ca0f-40b4-804b-895f3004e750</errorID>
      <errorWord>)</errorWord>
      <group>L1_Format</group>
      <groupName>格式问题</groupName>
      <ability>L2_HalfPunc</ability>
      <abilityName>全半角检查</abilityName>
      <candidateList>
        <item>）</item>
      </candidateList>
      <explain>文本全半角错误。</explain>
      <paraID>6E7A11B8</paraID>
      <start>38</start>
      <end>39</end>
      <status>unmodified</status>
      <modifiedWord/>
      <trackRevisions>false</trackRevisions>
    </reviewItem>
    <reviewItem>
      <errorID>6b774f17-1b67-4854-912e-0df19a6d2413</errorID>
      <errorWord>(</errorWord>
      <group>L1_Format</group>
      <groupName>格式问题</groupName>
      <ability>L2_HalfPunc</ability>
      <abilityName>全半角检查</abilityName>
      <candidateList>
        <item>（</item>
      </candidateList>
      <explain>文本全半角错误。</explain>
      <paraID>5C06AA04</paraID>
      <start>19</start>
      <end>20</end>
      <status>unmodified</status>
      <modifiedWord/>
      <trackRevisions>false</trackRevisions>
    </reviewItem>
    <reviewItem>
      <errorID>cc402ffd-8379-4fa1-9502-3373ff5fa112</errorID>
      <errorWord>)</errorWord>
      <group>L1_Format</group>
      <groupName>格式问题</groupName>
      <ability>L2_HalfPunc</ability>
      <abilityName>全半角检查</abilityName>
      <candidateList>
        <item>）</item>
      </candidateList>
      <explain>文本全半角错误。</explain>
      <paraID>5C06AA04</paraID>
      <start>23</start>
      <end>24</end>
      <status>unmodified</status>
      <modifiedWord/>
      <trackRevisions>false</trackRevisions>
    </reviewItem>
    <reviewItem>
      <errorID>7d0954ff-3c15-4326-931a-d4d01923f566</errorID>
      <errorWord>(</errorWord>
      <group>L1_Format</group>
      <groupName>格式问题</groupName>
      <ability>L2_HalfPunc</ability>
      <abilityName>全半角检查</abilityName>
      <candidateList>
        <item>（</item>
      </candidateList>
      <explain>文本全半角错误。</explain>
      <paraID>5C06AA04</paraID>
      <start>34</start>
      <end>35</end>
      <status>unmodified</status>
      <modifiedWord/>
      <trackRevisions>false</trackRevisions>
    </reviewItem>
    <reviewItem>
      <errorID>6106bd87-77d3-44b2-807b-f90eb824f4bf</errorID>
      <errorWord>)</errorWord>
      <group>L1_Format</group>
      <groupName>格式问题</groupName>
      <ability>L2_HalfPunc</ability>
      <abilityName>全半角检查</abilityName>
      <candidateList>
        <item>）</item>
      </candidateList>
      <explain>文本全半角错误。</explain>
      <paraID>5C06AA04</paraID>
      <start>38</start>
      <end>39</end>
      <status>unmodified</status>
      <modifiedWord/>
      <trackRevisions>false</trackRevisions>
    </reviewItem>
    <reviewItem>
      <errorID>21cf0cf1-0dbb-4268-9966-090a56509f77</errorID>
      <errorWord>(</errorWord>
      <group>L1_Format</group>
      <groupName>格式问题</groupName>
      <ability>L2_HalfPunc</ability>
      <abilityName>全半角检查</abilityName>
      <candidateList>
        <item>（</item>
      </candidateList>
      <explain>文本全半角错误。</explain>
      <paraID>5C06AA04</paraID>
      <start>49</start>
      <end>50</end>
      <status>unmodified</status>
      <modifiedWord/>
      <trackRevisions>false</trackRevisions>
    </reviewItem>
    <reviewItem>
      <errorID>e7b3f060-3592-4afd-bb89-fdf96d2299cd</errorID>
      <errorWord>)</errorWord>
      <group>L1_Format</group>
      <groupName>格式问题</groupName>
      <ability>L2_HalfPunc</ability>
      <abilityName>全半角检查</abilityName>
      <candidateList>
        <item>）</item>
      </candidateList>
      <explain>文本全半角错误。</explain>
      <paraID>5C06AA04</paraID>
      <start>53</start>
      <end>54</end>
      <status>unmodified</status>
      <modifiedWord/>
      <trackRevisions>false</trackRevisions>
    </reviewItem>
    <reviewItem>
      <errorID>cff275a1-6d22-4b46-a676-33b1f419396a</errorID>
      <errorWord>(</errorWord>
      <group>L1_Format</group>
      <groupName>格式问题</groupName>
      <ability>L2_HalfPunc</ability>
      <abilityName>全半角检查</abilityName>
      <candidateList>
        <item>（</item>
      </candidateList>
      <explain>文本全半角错误。</explain>
      <paraID>45B88A14</paraID>
      <start>7</start>
      <end>8</end>
      <status>unmodified</status>
      <modifiedWord/>
      <trackRevisions>false</trackRevisions>
    </reviewItem>
    <reviewItem>
      <errorID>c189e014-2b09-4952-8ecb-0a049081a790</errorID>
      <errorWord>)</errorWord>
      <group>L1_Format</group>
      <groupName>格式问题</groupName>
      <ability>L2_HalfPunc</ability>
      <abilityName>全半角检查</abilityName>
      <candidateList>
        <item>）</item>
      </candidateList>
      <explain>文本全半角错误。</explain>
      <paraID>45B88A14</paraID>
      <start>9</start>
      <end>10</end>
      <status>unmodified</status>
      <modifiedWord/>
      <trackRevisions>false</trackRevisions>
    </reviewItem>
    <reviewItem>
      <errorID>16636d29-d9f9-455c-b4c8-c2f7b48ef13f</errorID>
      <errorWord>(</errorWord>
      <group>L1_Format</group>
      <groupName>格式问题</groupName>
      <ability>L2_HalfPunc</ability>
      <abilityName>全半角检查</abilityName>
      <candidateList>
        <item>（</item>
      </candidateList>
      <explain>文本全半角错误。</explain>
      <paraID>681C495D</paraID>
      <start>55</start>
      <end>56</end>
      <status>unmodified</status>
      <modifiedWord/>
      <trackRevisions>false</trackRevisions>
    </reviewItem>
    <reviewItem>
      <errorID>97130aec-0cde-4413-a6a3-ce8250bbe302</errorID>
      <errorWord>)</errorWord>
      <group>L1_Format</group>
      <groupName>格式问题</groupName>
      <ability>L2_HalfPunc</ability>
      <abilityName>全半角检查</abilityName>
      <candidateList>
        <item>）</item>
      </candidateList>
      <explain>文本全半角错误。</explain>
      <paraID>681C495D</paraID>
      <start>59</start>
      <end>60</end>
      <status>unmodified</status>
      <modifiedWord/>
      <trackRevisions>false</trackRevisions>
    </reviewItem>
    <reviewItem>
      <errorID>798480d5-b127-4002-b740-7ae250e61c30</errorID>
      <errorWord>(</errorWord>
      <group>L1_Format</group>
      <groupName>格式问题</groupName>
      <ability>L2_HalfPunc</ability>
      <abilityName>全半角检查</abilityName>
      <candidateList>
        <item>（</item>
      </candidateList>
      <explain>文本全半角错误。</explain>
      <paraID> 75F8450</paraID>
      <start>8</start>
      <end>9</end>
      <status>unmodified</status>
      <modifiedWord/>
      <trackRevisions>false</trackRevisions>
    </reviewItem>
    <reviewItem>
      <errorID>d4b3a5c0-3e26-4a95-b9f2-99d36cad89d2</errorID>
      <errorWord>)</errorWord>
      <group>L1_Format</group>
      <groupName>格式问题</groupName>
      <ability>L2_HalfPunc</ability>
      <abilityName>全半角检查</abilityName>
      <candidateList>
        <item>）</item>
      </candidateList>
      <explain>文本全半角错误。</explain>
      <paraID> 75F8450</paraID>
      <start>19</start>
      <end>20</end>
      <status>unmodified</status>
      <modifiedWord/>
      <trackRevisions>false</trackRevisions>
    </reviewItem>
    <reviewItem>
      <errorID>9290811f-69bb-41bf-85b9-a1e8a36474ca</errorID>
      <errorWord>(</errorWord>
      <group>L1_Format</group>
      <groupName>格式问题</groupName>
      <ability>L2_HalfPunc</ability>
      <abilityName>全半角检查</abilityName>
      <candidateList>
        <item>（</item>
      </candidateList>
      <explain>文本全半角错误。</explain>
      <paraID>395DAF74</paraID>
      <start>39</start>
      <end>40</end>
      <status>unmodified</status>
      <modifiedWord/>
      <trackRevisions>false</trackRevisions>
    </reviewItem>
    <reviewItem>
      <errorID>93f76b33-db26-48ac-91bc-4b8c702bca9e</errorID>
      <errorWord>)</errorWord>
      <group>L1_Format</group>
      <groupName>格式问题</groupName>
      <ability>L2_HalfPunc</ability>
      <abilityName>全半角检查</abilityName>
      <candidateList>
        <item>）</item>
      </candidateList>
      <explain>文本全半角错误。</explain>
      <paraID>395DAF74</paraID>
      <start>46</start>
      <end>47</end>
      <status>unmodified</status>
      <modifiedWord/>
      <trackRevisions>false</trackRevisions>
    </reviewItem>
    <reviewItem>
      <errorID>d516f771-6453-4190-a89c-c31bdb2ef7de</errorID>
      <errorWord>(</errorWord>
      <group>L1_Format</group>
      <groupName>格式问题</groupName>
      <ability>L2_HalfPunc</ability>
      <abilityName>全半角检查</abilityName>
      <candidateList>
        <item>（</item>
      </candidateList>
      <explain>文本全半角错误。</explain>
      <paraID>395DAF74</paraID>
      <start>93</start>
      <end>94</end>
      <status>unmodified</status>
      <modifiedWord/>
      <trackRevisions>false</trackRevisions>
    </reviewItem>
    <reviewItem>
      <errorID>34825229-97fe-401a-87c4-e6ca1afd7a2f</errorID>
      <errorWord>)</errorWord>
      <group>L1_Format</group>
      <groupName>格式问题</groupName>
      <ability>L2_HalfPunc</ability>
      <abilityName>全半角检查</abilityName>
      <candidateList>
        <item>）</item>
      </candidateList>
      <explain>文本全半角错误。</explain>
      <paraID>395DAF74</paraID>
      <start>127</start>
      <end>128</end>
      <status>unmodified</status>
      <modifiedWord/>
      <trackRevisions>false</trackRevisions>
    </reviewItem>
    <reviewItem>
      <errorID>4b8dd840-4f3b-403a-802e-6b2e2f5a2a84</errorID>
      <errorWord>满</errorWord>
      <group>L1_Word</group>
      <groupName>字词问题</groupName>
      <ability>L2_Typo</ability>
      <abilityName>字词错误</abilityName>
      <candidateList>
        <item>满后</item>
      </candidateList>
      <explain/>
      <paraID>5A20D5CC</paraID>
      <start>10</start>
      <end>11</end>
      <status>unmodified</status>
      <modifiedWord/>
      <trackRevisions>false</trackRevisions>
    </reviewItem>
    <reviewItem>
      <errorID>50ce54c3-3569-46e8-b3d6-568dfa110b23</errorID>
      <errorWord>满</errorWord>
      <group>L1_Word</group>
      <groupName>字词问题</groupName>
      <ability>L2_Typo</ability>
      <abilityName>字词错误</abilityName>
      <candidateList>
        <item>满后</item>
      </candidateList>
      <explain/>
      <paraID>38B6D916</paraID>
      <start>11</start>
      <end>12</end>
      <status>unmodified</status>
      <modifiedWord/>
      <trackRevisions>false</trackRevisions>
    </reviewItem>
    <reviewItem>
      <errorID>ac462755-9ede-4f2d-82cb-11cb655d2776</errorID>
      <errorWord>(</errorWord>
      <group>L1_Format</group>
      <groupName>格式问题</groupName>
      <ability>L2_HalfPunc</ability>
      <abilityName>全半角检查</abilityName>
      <candidateList>
        <item>（</item>
      </candidateList>
      <explain>文本全半角错误。</explain>
      <paraID>4386E0F4</paraID>
      <start>20</start>
      <end>21</end>
      <status>unmodified</status>
      <modifiedWord/>
      <trackRevisions>false</trackRevisions>
    </reviewItem>
    <reviewItem>
      <errorID>84e2ac2b-3285-4567-b38e-4898ff9f93aa</errorID>
      <errorWord>)</errorWord>
      <group>L1_Format</group>
      <groupName>格式问题</groupName>
      <ability>L2_HalfPunc</ability>
      <abilityName>全半角检查</abilityName>
      <candidateList>
        <item>）</item>
      </candidateList>
      <explain>文本全半角错误。</explain>
      <paraID>4386E0F4</paraID>
      <start>22</start>
      <end>23</end>
      <status>unmodified</status>
      <modifiedWord/>
      <trackRevisions>false</trackRevisions>
    </reviewItem>
    <reviewItem>
      <errorID>5ee264e8-74da-41c9-b2a7-257a0af91172</errorID>
      <errorWord>(</errorWord>
      <group>L1_Format</group>
      <groupName>格式问题</groupName>
      <ability>L2_HalfPunc</ability>
      <abilityName>全半角检查</abilityName>
      <candidateList>
        <item>（</item>
      </candidateList>
      <explain>文本全半角错误。</explain>
      <paraID>6DFA7CCF</paraID>
      <start>0</start>
      <end>1</end>
      <status>unmodified</status>
      <modifiedWord/>
      <trackRevisions>false</trackRevisions>
    </reviewItem>
    <reviewItem>
      <errorID>5ed72c72-7e73-4beb-8782-b1e7017badb9</errorID>
      <errorWord>)</errorWord>
      <group>L1_Format</group>
      <groupName>格式问题</groupName>
      <ability>L2_HalfPunc</ability>
      <abilityName>全半角检查</abilityName>
      <candidateList>
        <item>）</item>
      </candidateList>
      <explain>文本全半角错误。</explain>
      <paraID>6DFA7CCF</paraID>
      <start>17</start>
      <end>18</end>
      <status>unmodified</status>
      <modifiedWord/>
      <trackRevisions>false</trackRevisions>
    </reviewItem>
    <reviewItem>
      <errorID>ffade4e6-78d0-4b16-82cc-318f213c19bc</errorID>
      <errorWord>(</errorWord>
      <group>L1_Format</group>
      <groupName>格式问题</groupName>
      <ability>L2_HalfPunc</ability>
      <abilityName>全半角检查</abilityName>
      <candidateList>
        <item>（</item>
      </candidateList>
      <explain>文本全半角错误。</explain>
      <paraID>4E9967F5</paraID>
      <start>68</start>
      <end>69</end>
      <status>unmodified</status>
      <modifiedWord/>
      <trackRevisions>false</trackRevisions>
    </reviewItem>
    <reviewItem>
      <errorID>1a08fa0d-d088-473e-bc9a-245624c1b5c0</errorID>
      <errorWord>)</errorWord>
      <group>L1_Format</group>
      <groupName>格式问题</groupName>
      <ability>L2_HalfPunc</ability>
      <abilityName>全半角检查</abilityName>
      <candidateList>
        <item>）</item>
      </candidateList>
      <explain>文本全半角错误。</explain>
      <paraID>4E9967F5</paraID>
      <start>111</start>
      <end>112</end>
      <status>unmodified</status>
      <modifiedWord/>
      <trackRevisions>false</trackRevisions>
    </reviewItem>
    <reviewItem>
      <errorID>0f4cdbc4-0c77-4b6d-8b5b-8f5bd728552e</errorID>
      <errorWord>(</errorWord>
      <group>L1_Format</group>
      <groupName>格式问题</groupName>
      <ability>L2_HalfPunc</ability>
      <abilityName>全半角检查</abilityName>
      <candidateList>
        <item>（</item>
      </candidateList>
      <explain>文本全半角错误。</explain>
      <paraID>5B3AA6C7</paraID>
      <start>20</start>
      <end>21</end>
      <status>unmodified</status>
      <modifiedWord/>
      <trackRevisions>false</trackRevisions>
    </reviewItem>
    <reviewItem>
      <errorID>ddd6059a-99ca-4f19-8b85-fb3ec83d58e1</errorID>
      <errorWord>)</errorWord>
      <group>L1_Format</group>
      <groupName>格式问题</groupName>
      <ability>L2_HalfPunc</ability>
      <abilityName>全半角检查</abilityName>
      <candidateList>
        <item>）</item>
      </candidateList>
      <explain>文本全半角错误。</explain>
      <paraID>5B3AA6C7</paraID>
      <start>25</start>
      <end>26</end>
      <status>unmodified</status>
      <modifiedWord/>
      <trackRevisions>false</trackRevisions>
    </reviewItem>
    <reviewItem>
      <errorID>79395fd8-a657-48c8-89eb-88827cf002a6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297FC036</paraID>
      <start>0</start>
      <end>3</end>
      <status>unmodified</status>
      <modifiedWord/>
      <trackRevisions>false</trackRevisions>
    </reviewItem>
    <reviewItem>
      <errorID>d557d591-2eb3-4250-a7d2-6b827f9cf7cc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24FDA8C4</paraID>
      <start>0</start>
      <end>3</end>
      <status>unmodified</status>
      <modifiedWord/>
      <trackRevisions>false</trackRevisions>
    </reviewItem>
    <reviewItem>
      <errorID>b738bfeb-37e8-4fd2-b720-53df39be9e9d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3240362E</paraID>
      <start>0</start>
      <end>3</end>
      <status>unmodified</status>
      <modifiedWord/>
      <trackRevisions>false</trackRevisions>
    </reviewItem>
    <reviewItem>
      <errorID>d1c96ed5-e032-4e66-bd2b-2ff57a266d44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646B476B</paraID>
      <start>0</start>
      <end>3</end>
      <status>unmodified</status>
      <modifiedWord/>
      <trackRevisions>false</trackRevisions>
    </reviewItem>
    <reviewItem>
      <errorID>32c42f60-1461-4a08-8809-a2fb1db079ef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29FC35E</paraID>
      <start>0</start>
      <end>3</end>
      <status>unmodified</status>
      <modifiedWord/>
      <trackRevisions>false</trackRevisions>
    </reviewItem>
    <reviewItem>
      <errorID>ab1c86c7-ba92-41ab-b43c-184b361034f3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4616AB6A</paraID>
      <start>0</start>
      <end>3</end>
      <status>unmodified</status>
      <modifiedWord/>
      <trackRevisions>false</trackRevisions>
    </reviewItem>
    <reviewItem>
      <errorID>7c8113ed-60b8-4fa9-b1b8-769ddc358b0e</errorID>
      <errorWord>的其</errorWord>
      <group>L1_Word</group>
      <groupName>字词问题</groupName>
      <ability>L2_Typo</ability>
      <abilityName>字词错误</abilityName>
      <candidateList>
        <item>的</item>
      </candidateList>
      <explain>“的”常用于连接修饰语与名词性中心语，表示属性、所属或描述。</explain>
      <paraID>4616AB6A</paraID>
      <start>15</start>
      <end>17</end>
      <status>unmodified</status>
      <modifiedWord/>
      <trackRevisions>false</trackRevisions>
    </reviewItem>
    <reviewItem>
      <errorID>5b38a8e7-9217-45d3-9aab-02a302e1fdfc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6EBAD92C</paraID>
      <start>0</start>
      <end>3</end>
      <status>unmodified</status>
      <modifiedWord/>
      <trackRevisions>false</trackRevisions>
    </reviewItem>
    <reviewItem>
      <errorID>556667ed-5661-497d-922d-d10b22703348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112A71C3</paraID>
      <start>0</start>
      <end>3</end>
      <status>unmodified</status>
      <modifiedWord/>
      <trackRevisions>false</trackRevisions>
    </reviewItem>
    <reviewItem>
      <errorID>790e07b8-b50f-4946-bcc5-9c01c30abdb2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245AF439</paraID>
      <start>0</start>
      <end>3</end>
      <status>unmodified</status>
      <modifiedWord/>
      <trackRevisions>false</trackRevisions>
    </reviewItem>
    <reviewItem>
      <errorID>8ac135f8-31d1-4a28-972d-59c50e99f9ce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590DF9E8</paraID>
      <start>0</start>
      <end>3</end>
      <status>unmodified</status>
      <modifiedWord/>
      <trackRevisions>false</trackRevisions>
    </reviewItem>
    <reviewItem>
      <errorID>86170c6a-7668-46ba-9c5f-53f987a9166b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8391466</paraID>
      <start>0</start>
      <end>3</end>
      <status>unmodified</status>
      <modifiedWord/>
      <trackRevisions>false</trackRevisions>
    </reviewItem>
    <reviewItem>
      <errorID>395b85cc-a4db-43ee-b998-4fffd36757db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10D03BBD</paraID>
      <start>0</start>
      <end>3</end>
      <status>unmodified</status>
      <modifiedWord/>
      <trackRevisions>false</trackRevisions>
    </reviewItem>
    <reviewItem>
      <errorID>de9be2e4-868c-4447-aba7-297163e142b6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1F907B5B</paraID>
      <start>0</start>
      <end>3</end>
      <status>unmodified</status>
      <modifiedWord/>
      <trackRevisions>false</trackRevisions>
    </reviewItem>
    <reviewItem>
      <errorID>dc82b937-fce8-47c0-a679-94209217297f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4D926A8</paraID>
      <start>0</start>
      <end>3</end>
      <status>unmodified</status>
      <modifiedWord/>
      <trackRevisions>false</trackRevisions>
    </reviewItem>
    <reviewItem>
      <errorID>c5462979-f362-4b55-a2b0-aab224ff4a6f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19ACB148</paraID>
      <start>0</start>
      <end>3</end>
      <status>unmodified</status>
      <modifiedWord/>
      <trackRevisions>false</trackRevisions>
    </reviewItem>
    <reviewItem>
      <errorID>c4760e80-26c5-42ba-af30-f991ca986322</errorID>
      <errorWord>(</errorWord>
      <group>L1_Format</group>
      <groupName>格式问题</groupName>
      <ability>L2_HalfPunc</ability>
      <abilityName>全半角检查</abilityName>
      <candidateList>
        <item>（</item>
      </candidateList>
      <explain>文本全半角错误。</explain>
      <paraID>19ACB148</paraID>
      <start>37</start>
      <end>38</end>
      <status>unmodified</status>
      <modifiedWord/>
      <trackRevisions>false</trackRevisions>
    </reviewItem>
    <reviewItem>
      <errorID>15e10e0d-e9ca-4c31-bc0d-49baa92c477a</errorID>
      <errorWord>)</errorWord>
      <group>L1_Format</group>
      <groupName>格式问题</groupName>
      <ability>L2_HalfPunc</ability>
      <abilityName>全半角检查</abilityName>
      <candidateList>
        <item>）</item>
      </candidateList>
      <explain>文本全半角错误。</explain>
      <paraID>19ACB148</paraID>
      <start>40</start>
      <end>41</end>
      <status>unmodified</status>
      <modifiedWord/>
      <trackRevisions>false</trackRevisions>
    </reviewItem>
    <reviewItem>
      <errorID>4d68d2bf-8e80-408b-b557-fc5a27d2b21c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1119DE1E</paraID>
      <start>0</start>
      <end>3</end>
      <status>unmodified</status>
      <modifiedWord/>
      <trackRevisions>false</trackRevisions>
    </reviewItem>
    <reviewItem>
      <errorID>9614c91b-3e9e-4e57-a438-9afd0acf4dc0</errorID>
      <errorWord>必须要</errorWord>
      <group>L1_Word</group>
      <groupName>字词问题</groupName>
      <ability>L2_Typo</ability>
      <abilityName>字词错误</abilityName>
      <candidateList>
        <item>必须</item>
      </candidateList>
      <explain>〈副〉❶表示事理上和情理上必要；一定要：学习～刻苦钻研。❷加强命令语气：明天你～来。‖注意“必须”的否定是“无须”、“不须”或“不必”。</explain>
      <paraID>1119DE1E</paraID>
      <start>60</start>
      <end>63</end>
      <status>unmodified</status>
      <modifiedWord/>
      <trackRevisions>false</trackRevisions>
    </reviewItem>
    <reviewItem>
      <errorID>e76bb05b-f5cf-4c63-9624-c2e24b9de4ad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286AD8E7</paraID>
      <start>0</start>
      <end>3</end>
      <status>unmodified</status>
      <modifiedWord/>
      <trackRevisions>false</trackRevisions>
    </reviewItem>
    <reviewItem>
      <errorID>17097e4e-5499-4617-b401-e0cc71ce5505</errorID>
      <errorWord>满</errorWord>
      <group>L1_Word</group>
      <groupName>字词问题</groupName>
      <ability>L2_Typo</ability>
      <abilityName>字词错误</abilityName>
      <candidateList>
        <item>满后</item>
      </candidateList>
      <explain/>
      <paraID> 7409942</paraID>
      <start>16</start>
      <end>17</end>
      <status>unmodified</status>
      <modifiedWord/>
      <trackRevisions>false</trackRevisions>
    </reviewItem>
    <reviewItem>
      <errorID>9280bc75-d0ff-4cd4-9c1c-5c00eb27b381</errorID>
      <errorWord>(</errorWord>
      <group>L1_Format</group>
      <groupName>格式问题</groupName>
      <ability>L2_HalfPunc</ability>
      <abilityName>全半角检查</abilityName>
      <candidateList>
        <item>（</item>
      </candidateList>
      <explain>文本全半角错误。</explain>
      <paraID>162A62B4</paraID>
      <start>6</start>
      <end>7</end>
      <status>unmodified</status>
      <modifiedWord/>
      <trackRevisions>false</trackRevisions>
    </reviewItem>
    <reviewItem>
      <errorID>73b50732-bc92-4cac-96b3-ac9d045ebf9b</errorID>
      <errorWord>)</errorWord>
      <group>L1_Format</group>
      <groupName>格式问题</groupName>
      <ability>L2_HalfPunc</ability>
      <abilityName>全半角检查</abilityName>
      <candidateList>
        <item>）</item>
      </candidateList>
      <explain>文本全半角错误。</explain>
      <paraID>162A62B4</paraID>
      <start>10</start>
      <end>11</end>
      <status>unmodified</status>
      <modifiedWord/>
      <trackRevisions>false</trackRevisions>
    </reviewItem>
    <reviewItem>
      <errorID>aa0e4e73-ef23-4672-888b-0992aa1e20f6</errorID>
      <errorWord>(</errorWord>
      <group>L1_Format</group>
      <groupName>格式问题</groupName>
      <ability>L2_HalfPunc</ability>
      <abilityName>全半角检查</abilityName>
      <candidateList>
        <item>（</item>
      </candidateList>
      <explain>文本全半角错误。</explain>
      <paraID>5ADE78CB</paraID>
      <start>6</start>
      <end>7</end>
      <status>unmodified</status>
      <modifiedWord/>
      <trackRevisions>false</trackRevisions>
    </reviewItem>
    <reviewItem>
      <errorID>af701b78-0546-4167-bb15-a90defd42fab</errorID>
      <errorWord>)</errorWord>
      <group>L1_Format</group>
      <groupName>格式问题</groupName>
      <ability>L2_HalfPunc</ability>
      <abilityName>全半角检查</abilityName>
      <candidateList>
        <item>）</item>
      </candidateList>
      <explain>文本全半角错误。</explain>
      <paraID>5ADE78CB</paraID>
      <start>10</start>
      <end>11</end>
      <status>unmodified</status>
      <modifiedWord/>
      <trackRevisions>false</trackRevisions>
    </reviewItem>
    <reviewItem>
      <errorID>03649099-fa6b-4f79-a01b-3d7846e0f702</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383AF022</paraID>
      <start>96</start>
      <end>98</end>
      <status>unmodified</status>
      <modifiedWord/>
      <trackRevisions>false</trackRevisions>
    </reviewItem>
    <reviewItem>
      <errorID>bc0ef520-3cff-439f-8b0a-47ec01d886aa</errorID>
      <errorWord>(</errorWord>
      <group>L1_Format</group>
      <groupName>格式问题</groupName>
      <ability>L2_HalfPunc</ability>
      <abilityName>全半角检查</abilityName>
      <candidateList>
        <item>（</item>
      </candidateList>
      <explain>文本全半角错误。</explain>
      <paraID>481B2B7B</paraID>
      <start>23</start>
      <end>24</end>
      <status>unmodified</status>
      <modifiedWord/>
      <trackRevisions>false</trackRevisions>
    </reviewItem>
    <reviewItem>
      <errorID>9b50be2c-01aa-4b2b-83ba-abedda68c015</errorID>
      <errorWord>)</errorWord>
      <group>L1_Format</group>
      <groupName>格式问题</groupName>
      <ability>L2_HalfPunc</ability>
      <abilityName>全半角检查</abilityName>
      <candidateList>
        <item>）</item>
      </candidateList>
      <explain>文本全半角错误。</explain>
      <paraID>481B2B7B</paraID>
      <start>55</start>
      <end>56</end>
      <status>unmodified</status>
      <modifiedWord/>
      <trackRevisions>false</trackRevisions>
    </reviewItem>
    <reviewItem>
      <errorID>8d661d26-c7cf-40b7-864d-c5d690048364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15C54176</paraID>
      <start>0</start>
      <end>3</end>
      <status>unmodified</status>
      <modifiedWord/>
      <trackRevisions>false</trackRevisions>
    </reviewItem>
    <reviewItem>
      <errorID>1a5d1207-6a0f-4e99-ae57-e0b947178528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4B6D00C4</paraID>
      <start>0</start>
      <end>3</end>
      <status>unmodified</status>
      <modifiedWord/>
      <trackRevisions>false</trackRevisions>
    </reviewItem>
    <reviewItem>
      <errorID>c1dd3cdd-23fe-46fe-b1f6-5315b6983afc</errorID>
      <errorWord>项</errorWord>
      <group>L1_Word</group>
      <groupName>字词问题</groupName>
      <ability>L2_Typo</ability>
      <abilityName>字词错误</abilityName>
      <candidateList>
        <item>项目</item>
      </candidateList>
      <explain>〈名〉事物分成的门类：服务～｜体育～｜建设～。</explain>
      <paraID>2FC3422F</paraID>
      <start>103</start>
      <end>104</end>
      <status>unmodified</status>
      <modifiedWord/>
      <trackRevisions>false</trackRevisions>
    </reviewItem>
    <reviewItem>
      <errorID>658a04bf-a9f8-4ac3-8359-83d8ee95a467</errorID>
      <errorWord>涉及到</errorWord>
      <group>L1_Grammar</group>
      <groupName>语法问题</groupName>
      <ability>L2_Grammar</ability>
      <abilityName>语法错误</abilityName>
      <candidateList>
        <item>涉及</item>
      </candidateList>
      <explain>〈动〉牵涉到；关联到：案子～好几个人｜这个问题～面很广。</explain>
      <paraID>22F853FD</paraID>
      <start>33</start>
      <end>36</end>
      <status>unmodified</status>
      <modifiedWord/>
      <trackRevisions>false</trackRevisions>
    </reviewItem>
    <reviewItem>
      <errorID>c9e03fa6-70d6-4535-81fa-2c5ca14c5857</errorID>
      <errorWord>至</errorWord>
      <group>L1_Word</group>
      <groupName>字词问题</groupName>
      <ability>L2_Typo</ability>
      <abilityName>字词错误</abilityName>
      <candidateList>
        <item>自</item>
      </candidateList>
      <explain>存在发音相近字词的误用。</explain>
      <paraID>2814011D</paraID>
      <start>16</start>
      <end>17</end>
      <status>unmodified</status>
      <modifiedWord/>
      <trackRevisions>false</trackRevisions>
    </reviewItem>
    <reviewItem>
      <errorID>ddaf7d5e-af2e-4e02-ae84-19c052a7c0da</errorID>
      <errorWord>因为</errorWord>
      <group>L1_Word</group>
      <groupName>字词问题</groupName>
      <ability>L2_Typo</ability>
      <abilityName>字词错误</abilityName>
      <candidateList>
        <item>因</item>
      </candidateList>
      <explain/>
      <paraID>595CC0B7</paraID>
      <start>33</start>
      <end>35</end>
      <status>unmodified</status>
      <modifiedWord/>
      <trackRevisions>false</trackRevisions>
    </reviewItem>
    <reviewItem>
      <errorID>416a7abc-e632-47d4-8366-0878e494624e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1FBB4E14</paraID>
      <start>0</start>
      <end>3</end>
      <status>unmodified</status>
      <modifiedWord/>
      <trackRevisions>false</trackRevisions>
    </reviewItem>
    <reviewItem>
      <errorID>ff309d0f-a538-431e-b213-e9b417948b93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6FAF291C</paraID>
      <start>0</start>
      <end>3</end>
      <status>unmodified</status>
      <modifiedWord/>
      <trackRevisions>false</trackRevisions>
    </reviewItem>
    <reviewItem>
      <errorID>103f17d1-8af4-4e26-be33-41e9a04400ff</errorID>
      <errorWord>并</errorWord>
      <group>L1_Word</group>
      <groupName>字词问题</groupName>
      <ability>L2_Typo</ability>
      <abilityName>字词错误</abilityName>
      <candidateList>
        <item>并加</item>
      </candidateList>
      <explain/>
      <paraID> F049CD0</paraID>
      <start>91</start>
      <end>92</end>
      <status>unmodified</status>
      <modifiedWord/>
      <trackRevisions>false</trackRevisions>
    </reviewItem>
    <reviewItem>
      <errorID>ccff6db7-3cbc-409f-a352-fb395b91a393</errorID>
      <errorWord>常驻</errorWord>
      <group>L1_Word</group>
      <groupName>字词问题</groupName>
      <ability>L2_Typo</ability>
      <abilityName>字词错误</abilityName>
      <candidateList>
        <item>常住</item>
      </candidateList>
      <explain/>
      <paraID> 1B16EAF</paraID>
      <start>226</start>
      <end>228</end>
      <status>unmodified</status>
      <modifiedWord/>
      <trackRevisions>false</trackRevisions>
    </reviewItem>
    <reviewItem>
      <errorID>9b2eca37-4ede-44fc-8a21-22099dbc9917</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8CDB6D1</paraID>
      <start>0</start>
      <end>3</end>
      <status>unmodified</status>
      <modifiedWord/>
      <trackRevisions>false</trackRevisions>
    </reviewItem>
    <reviewItem>
      <errorID>b09a27d7-89ae-4e9b-bc2d-741de261b63e</errorID>
      <errorWord>㎡的</errorWord>
      <group>L1_Word</group>
      <groupName>字词问题</groupName>
      <ability>L2_Typo</ability>
      <abilityName>字词错误</abilityName>
      <candidateList>
        <item>㎡</item>
      </candidateList>
      <explain/>
      <paraID>7A2EECA7</paraID>
      <start>67</start>
      <end>70</end>
      <status>modified</status>
      <modifiedWord>㎡</modifiedWord>
      <trackRevisions>true</trackRevisions>
    </reviewItem>
    <reviewItem>
      <errorID>8e5bbd24-80c0-46dd-86ba-75b4baab6bae</errorID>
      <errorWord>其它能源</errorWord>
      <group>L1_Word</group>
      <groupName>字词问题</groupName>
      <ability>L2_Alias</ability>
      <abilityName>也作/曾用词</abilityName>
      <candidateList>
        <item>其他能源</item>
      </candidateList>
      <explain>词汇[其它能源]为不规范表述或旧称，其规范书面表述为[其他能源]。</explain>
      <paraID>7A2EECA7</paraID>
      <start>86</start>
      <end>90</end>
      <status>unmodified</status>
      <modifiedWord/>
      <trackRevisions>false</trackRevisions>
    </reviewItem>
    <reviewItem>
      <errorID>3d0986a8-93e6-41d3-a629-4cab2edd6129</errorID>
      <errorWord>kw</errorWord>
      <group>L1_Word</group>
      <groupName>字词问题</groupName>
      <ability>L2_Typo</ability>
      <abilityName>字词错误</abilityName>
      <candidateList>
        <item>kW</item>
      </candidateList>
      <explain/>
      <paraID>221C6555</paraID>
      <start>7</start>
      <end>11</end>
      <status>modified</status>
      <modifiedWord>kW</modifiedWord>
      <trackRevisions>true</trackRevisions>
    </reviewItem>
    <reviewItem>
      <errorID>85a1d374-4904-4a94-89d0-9be3a21fddb1</errorID>
      <errorWord>kw</errorWord>
      <group>L1_Word</group>
      <groupName>字词问题</groupName>
      <ability>L2_Typo</ability>
      <abilityName>字词错误</abilityName>
      <candidateList>
        <item>kW</item>
      </candidateList>
      <explain/>
      <paraID>221C6555</paraID>
      <start>19</start>
      <end>23</end>
      <status>modified</status>
      <modifiedWord>kW</modifiedWord>
      <trackRevisions>true</trackRevisions>
    </reviewItem>
    <reviewItem>
      <errorID>8542b54a-8c43-4862-b09e-66483b798494</errorID>
      <errorWord>kw</errorWord>
      <group>L1_Word</group>
      <groupName>字词问题</groupName>
      <ability>L2_Typo</ability>
      <abilityName>字词错误</abilityName>
      <candidateList>
        <item>kW</item>
      </candidateList>
      <explain/>
      <paraID>1AE434D4</paraID>
      <start>20</start>
      <end>24</end>
      <status>modified</status>
      <modifiedWord>kW</modifiedWord>
      <trackRevisions>true</trackRevisions>
    </reviewItem>
    <reviewItem>
      <errorID>d41dcede-91a4-4906-bf1d-a98d21896746</errorID>
      <errorWord>kw</errorWord>
      <group>L1_Word</group>
      <groupName>字词问题</groupName>
      <ability>L2_Typo</ability>
      <abilityName>字词错误</abilityName>
      <candidateList>
        <item>kW</item>
      </candidateList>
      <explain/>
      <paraID>10AB2F4E</paraID>
      <start>20</start>
      <end>24</end>
      <status>modified</status>
      <modifiedWord>kW</modifiedWord>
      <trackRevisions>true</trackRevisions>
    </reviewItem>
    <reviewItem>
      <errorID>22e3f0fa-3c6a-4852-b8ea-0a8a1a36bc71</errorID>
      <errorWord>，</errorWord>
      <group>L1_Format</group>
      <groupName>格式问题</groupName>
      <ability>L2_HalfPunc</ability>
      <abilityName>全半角检查</abilityName>
      <candidateList>
        <item>, </item>
      </candidateList>
      <explain>文本全半角错误。</explain>
      <paraID>12BF14D5</paraID>
      <start>6</start>
      <end>7</end>
      <status>unmodified</status>
      <modifiedWord/>
      <trackRevisions>false</trackRevisions>
    </reviewItem>
    <reviewItem>
      <errorID>1feba60e-2cb4-4b68-a8b0-434f2ab2a898</errorID>
      <errorWord>，</errorWord>
      <group>L1_Format</group>
      <groupName>格式问题</groupName>
      <ability>L2_HalfPunc</ability>
      <abilityName>全半角检查</abilityName>
      <candidateList>
        <item>, </item>
      </candidateList>
      <explain>文本全半角错误。</explain>
      <paraID>12BF14D5</paraID>
      <start>14</start>
      <end>15</end>
      <status>unmodified</status>
      <modifiedWord/>
      <trackRevisions>false</trackRevisions>
    </reviewItem>
    <reviewItem>
      <errorID>6857213b-10ad-486d-8589-c018e672d3bc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143A855E</paraID>
      <start>4</start>
      <end>5</end>
      <status>unmodified</status>
      <modifiedWord/>
      <trackRevisions>false</trackRevisions>
    </reviewItem>
    <reviewItem>
      <errorID>b502dae5-1ff0-45e1-b825-dce9e1e4e64d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605F1119</paraID>
      <start>61</start>
      <end>62</end>
      <status>unmodified</status>
      <modifiedWord/>
      <trackRevisions>false</trackRevisions>
    </reviewItem>
    <reviewItem>
      <errorID>25c50cc2-6bdb-46fd-9935-a13949664201</errorID>
      <errorWord>供应供应</errorWord>
      <group>L1_Word</group>
      <groupName>字词问题</groupName>
      <ability>L2_Typo</ability>
      <abilityName>字词错误</abilityName>
      <candidateList>
        <item>供应</item>
      </candidateList>
      <explain/>
      <paraID>605F1119</paraID>
      <start>95</start>
      <end>99</end>
      <status>unmodified</status>
      <modifiedWord/>
      <trackRevisions>false</trackRevisions>
    </reviewItem>
    <reviewItem>
      <errorID>31a8f52d-26f0-4179-922b-25e735c95a2c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1D9BFAB2</paraID>
      <start>31</start>
      <end>32</end>
      <status>unmodified</status>
      <modifiedWord/>
      <trackRevisions>false</trackRevisions>
    </reviewItem>
    <reviewItem>
      <errorID>9b645909-01c0-4a1b-91bc-1e4181ae3e17</errorID>
      <errorWord>(</errorWord>
      <group>L1_Format</group>
      <groupName>格式问题</groupName>
      <ability>L2_HalfPunc</ability>
      <abilityName>全半角检查</abilityName>
      <candidateList>
        <item>（</item>
      </candidateList>
      <explain>文本全半角错误。</explain>
      <paraID>784ADF4B</paraID>
      <start>7</start>
      <end>8</end>
      <status>unmodified</status>
      <modifiedWord/>
      <trackRevisions>false</trackRevisions>
    </reviewItem>
    <reviewItem>
      <errorID>8203444e-590b-46f5-9c2e-72e6b3121e38</errorID>
      <errorWord>)</errorWord>
      <group>L1_Format</group>
      <groupName>格式问题</groupName>
      <ability>L2_HalfPunc</ability>
      <abilityName>全半角检查</abilityName>
      <candidateList>
        <item>）</item>
      </candidateList>
      <explain>文本全半角错误。</explain>
      <paraID>784ADF4B</paraID>
      <start>23</start>
      <end>24</end>
      <status>unmodified</status>
      <modifiedWord/>
      <trackRevisions>false</trackRevisions>
    </reviewItem>
    <reviewItem>
      <errorID>a56fcda0-bb1a-4b7a-91a4-4f6840461574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63D20475</paraID>
      <start>13</start>
      <end>14</end>
      <status>unmodified</status>
      <modifiedWord/>
      <trackRevisions>false</trackRevisions>
    </reviewItem>
    <reviewItem>
      <errorID>ef9375ed-075c-4435-ad44-bb33feef6509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2237D4B4</paraID>
      <start>12</start>
      <end>13</end>
      <status>unmodified</status>
      <modifiedWord/>
      <trackRevisions>false</trackRevisions>
    </reviewItem>
    <reviewItem>
      <errorID>704fced9-542a-4ae5-9bb7-66db2ff695fd</errorID>
      <errorWord>(</errorWord>
      <group>L1_Format</group>
      <groupName>格式问题</groupName>
      <ability>L2_HalfPunc</ability>
      <abilityName>全半角检查</abilityName>
      <candidateList>
        <item>（</item>
      </candidateList>
      <explain>文本全半角错误。</explain>
      <paraID>4EE37DD4</paraID>
      <start>1</start>
      <end>2</end>
      <status>unmodified</status>
      <modifiedWord/>
      <trackRevisions>false</trackRevisions>
    </reviewItem>
    <reviewItem>
      <errorID>c9239564-1d1a-426e-96f5-8673c109f810</errorID>
      <errorWord>)</errorWord>
      <group>L1_Format</group>
      <groupName>格式问题</groupName>
      <ability>L2_HalfPunc</ability>
      <abilityName>全半角检查</abilityName>
      <candidateList>
        <item>）</item>
      </candidateList>
      <explain>文本全半角错误。</explain>
      <paraID>4EE37DD4</paraID>
      <start>60</start>
      <end>61</end>
      <status>unmodified</status>
      <modifiedWord/>
      <trackRevisions>false</trackRevisions>
    </reviewItem>
    <reviewItem>
      <errorID>ad93968a-bd48-4733-a33f-a1925d5b74b3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7C9EE871</paraID>
      <start>38</start>
      <end>39</end>
      <status>unmodified</status>
      <modifiedWord/>
      <trackRevisions>false</trackRevisions>
    </reviewItem>
    <reviewItem>
      <errorID>14c37eec-bea9-4034-921c-4e2d178695de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7C9EE871</paraID>
      <start>141</start>
      <end>142</end>
      <status>unmodified</status>
      <modifiedWord/>
      <trackRevisions>false</trackRevisions>
    </reviewItem>
    <reviewItem>
      <errorID>156bd40b-dbd5-435f-89cb-184d3b2500d2</errorID>
      <errorWord>㎡的</errorWord>
      <group>L1_Word</group>
      <groupName>字词问题</groupName>
      <ability>L2_Typo</ability>
      <abilityName>字词错误</abilityName>
      <candidateList>
        <item>㎡</item>
      </candidateList>
      <explain/>
      <paraID>14C9661C</paraID>
      <start>69</start>
      <end>71</end>
      <status>unmodified</status>
      <modifiedWord/>
      <trackRevisions>false</trackRevisions>
    </reviewItem>
    <reviewItem>
      <errorID>3c2c2f74-739c-41b5-9031-b22abb7419e8</errorID>
      <errorWord>供应</errorWord>
      <group>L1_Grammar</group>
      <groupName>语法问题</groupName>
      <ability>L2_Grammar</ability>
      <abilityName>语法错误</abilityName>
      <candidateList>
        <item>提供</item>
      </candidateList>
      <explain>“供应～服务”搭配不当，建议修改为“提供～服务”。</explain>
      <paraID>14C9661C</paraID>
      <start>134</start>
      <end>136</end>
      <status>unmodified</status>
      <modifiedWord/>
      <trackRevisions>false</trackRevisions>
    </reviewItem>
    <reviewItem>
      <errorID>e5a848e9-cd03-4a77-aa2f-03912b4b16c4</errorID>
      <errorWord>，</errorWord>
      <group>L1_Word</group>
      <groupName>字词问题</groupName>
      <ability>L2_Typo</ability>
      <abilityName>字词错误</abilityName>
      <candidateList>
        <item>，以</item>
      </candidateList>
      <explain/>
      <paraID>6F7FBE54</paraID>
      <start>41</start>
      <end>42</end>
      <status>unmodified</status>
      <modifiedWord/>
      <trackRevisions>false</trackRevisions>
    </reviewItem>
    <reviewItem>
      <errorID>77d00daa-6dd1-4507-9fb4-fb50c8e8aea2</errorID>
      <errorWord>，</errorWord>
      <group>L1_Word</group>
      <groupName>字词问题</groupName>
      <ability>L2_Typo</ability>
      <abilityName>字词错误</abilityName>
      <candidateList>
        <item>，以</item>
      </candidateList>
      <explain/>
      <paraID>29AC122E</paraID>
      <start>53</start>
      <end>54</end>
      <status>unmodified</status>
      <modifiedWord/>
      <trackRevisions>false</trackRevisions>
    </reviewItem>
    <reviewItem>
      <errorID>980bf6c2-d07d-4c0b-a5f0-edc58df14e1a</errorID>
      <errorWord>并并</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3721D518</paraID>
      <start>36</start>
      <end>38</end>
      <status>unmodified</status>
      <modifiedWord/>
      <trackRevisions>false</trackRevisions>
    </reviewItem>
    <reviewItem>
      <errorID>c858a8f9-9697-4e69-8c58-f4aa7e2fc375</errorID>
      <errorWord>必需</errorWord>
      <group>L1_Word</group>
      <groupName>字词问题</groupName>
      <ability>L2_Typo</ability>
      <abilityName>字词错误</abilityName>
      <candidateList>
        <item>必须</item>
      </candidateList>
      <explain>存在发音相同字词的误用。</explain>
      <paraID>3721D518</paraID>
      <start>66</start>
      <end>68</end>
      <status>unmodified</status>
      <modifiedWord/>
      <trackRevisions>false</trackRevisions>
    </reviewItem>
    <reviewItem>
      <errorID>4ba7474f-bf10-4c6a-a4cb-34fd6c68a79b</errorID>
      <errorWord>KW</errorWord>
      <group>L1_Word</group>
      <groupName>字词问题</groupName>
      <ability>L2_Typo</ability>
      <abilityName>字词错误</abilityName>
      <candidateList>
        <item>kW</item>
      </candidateList>
      <explain/>
      <paraID>1BE1D098</paraID>
      <start>7</start>
      <end>11</end>
      <status>modified</status>
      <modifiedWord>kW</modifiedWord>
      <trackRevisions>true</trackRevisions>
    </reviewItem>
    <reviewItem>
      <errorID>8d622dad-aed0-4536-938f-2da1edd1ed42</errorID>
      <errorWord>KW</errorWord>
      <group>L1_Word</group>
      <groupName>字词问题</groupName>
      <ability>L2_Typo</ability>
      <abilityName>字词错误</abilityName>
      <candidateList>
        <item>kW</item>
      </candidateList>
      <explain/>
      <paraID>1BE1D098</paraID>
      <start>19</start>
      <end>23</end>
      <status>modified</status>
      <modifiedWord>kW</modifiedWord>
      <trackRevisions>true</trackRevisions>
    </reviewItem>
    <reviewItem>
      <errorID>f6f1bf17-81ec-46b4-afbf-afc878b24201</errorID>
      <errorWord>汽</errorWord>
      <group>L1_Word</group>
      <groupName>字词问题</groupName>
      <ability>L2_Typo</ability>
      <abilityName>字词错误</abilityName>
      <candidateList>
        <item>气</item>
      </candidateList>
      <explain>存在发音相同字词的误用。</explain>
      <paraID>1D26959F</paraID>
      <start>6</start>
      <end>7</end>
      <status>unmodified</status>
      <modifiedWord/>
      <trackRevisions>false</trackRevisions>
    </reviewItem>
    <reviewItem>
      <errorID>4e6c85af-112c-490b-b40b-15a5740fe3dc</errorID>
      <errorWord>费</errorWord>
      <group>L1_Word</group>
      <groupName>字词问题</groupName>
      <ability>L2_Typo</ability>
      <abilityName>字词错误</abilityName>
      <candidateList>
        <item>费中</item>
      </candidateList>
      <explain/>
      <paraID>1EA2255D</paraID>
      <start>60</start>
      <end>61</end>
      <status>unmodified</status>
      <modifiedWord/>
      <trackRevisions>false</trackRevisions>
    </reviewItem>
    <reviewItem>
      <errorID>019f4c6e-2995-4614-bee6-a46bd32bd9bc</errorID>
      <errorWord>节</errorWord>
      <group>L1_Word</group>
      <groupName>字词问题</groupName>
      <ability>L2_Typo</ability>
      <abilityName>字词错误</abilityName>
      <candidateList>
        <item>结</item>
      </candidateList>
      <explain>存在发音相同字词的误用。</explain>
      <paraID>249DE3EC</paraID>
      <start>8</start>
      <end>9</end>
      <status>unmodified</status>
      <modifiedWord/>
      <trackRevisions>false</trackRevisions>
    </reviewItem>
    <reviewItem>
      <errorID>8f0858c5-e91d-4f13-8976-a23109c972c7</errorID>
      <errorWord>其它</errorWord>
      <group>L1_Word</group>
      <groupName>字词问题</groupName>
      <ability>L2_Alias</ability>
      <abilityName>也作/曾用词</abilityName>
      <candidateList>
        <item>其他</item>
      </candidateList>
      <explain>词汇[其它]为不规范表述或旧称，其规范书面表述为[其他]。</explain>
      <paraID>3086BD15</paraID>
      <start>0</start>
      <end>2</end>
      <status>unmodified</status>
      <modifiedWord/>
      <trackRevisions>false</trackRevisions>
    </reviewItem>
    <reviewItem>
      <errorID>c56df2de-00fd-4574-9c91-3578dd962645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27CB0F53</paraID>
      <start>0</start>
      <end>2</end>
      <status>unmodified</status>
      <modifiedWord/>
      <trackRevisions>false</trackRevisions>
    </reviewItem>
    <reviewItem>
      <errorID>086d028f-5520-41b4-ba30-80197c79e877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42D821E1</paraID>
      <start>0</start>
      <end>2</end>
      <status>unmodified</status>
      <modifiedWord/>
      <trackRevisions>false</trackRevisions>
    </reviewItem>
    <reviewItem>
      <errorID>3945c4ce-6a0d-4c2f-8782-6bdd0808eb14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9212AA7</paraID>
      <start>0</start>
      <end>2</end>
      <status>unmodified</status>
      <modifiedWord/>
      <trackRevisions>false</trackRevisions>
    </reviewItem>
    <reviewItem>
      <errorID>b7e9c76c-4793-4a1c-bbb3-d8dff975a3f8</errorID>
      <errorWord>KW</errorWord>
      <group>L1_Word</group>
      <groupName>字词问题</groupName>
      <ability>L2_Typo</ability>
      <abilityName>字词错误</abilityName>
      <candidateList>
        <item>kW</item>
      </candidateList>
      <explain/>
      <paraID>74ECC23D</paraID>
      <start>36</start>
      <end>38</end>
      <status>unmodified</status>
      <modifiedWord/>
      <trackRevisions>false</trackRevisions>
    </reviewItem>
    <reviewItem>
      <errorID>798a9a8e-b1e4-49ca-b803-c9c54cfe70f4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1861E258</paraID>
      <start>92</start>
      <end>93</end>
      <status>unmodified</status>
      <modifiedWord/>
      <trackRevisions>false</trackRevisions>
    </reviewItem>
    <reviewItem>
      <errorID>743d66f4-5fe2-4fe9-8f72-8bdd67b23ee7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1861E258</paraID>
      <start>127</start>
      <end>128</end>
      <status>unmodified</status>
      <modifiedWord/>
      <trackRevisions>false</trackRevisions>
    </reviewItem>
    <reviewItem>
      <errorID>cbf52569-664b-4e2a-8a99-281027c9ed97</errorID>
      <errorWord>处</errorWord>
      <group>L1_Knowledge</group>
      <groupName>知识性问题</groupName>
      <ability>L2_Knowledge</ability>
      <abilityName>其他知识</abilityName>
      <candidateList>
        <item>盏</item>
      </candidateList>
      <explain>请检查“处”是否为量词使用错误，建议修改为“盏”。</explain>
      <paraID>26439D79</paraID>
      <start>38</start>
      <end>39</end>
      <status>unmodified</status>
      <modifiedWord/>
      <trackRevisions>false</trackRevisions>
    </reviewItem>
    <reviewItem>
      <errorID>4a85eec8-2c04-4b83-b75f-68ac65894261</errorID>
      <errorWord>并并网</errorWord>
      <group>L1_Word</group>
      <groupName>字词问题</groupName>
      <ability>L2_Typo</ability>
      <abilityName>字词错误</abilityName>
      <candidateList>
        <item>并网</item>
      </candidateList>
      <explain/>
      <paraID>276211B0</paraID>
      <start>35</start>
      <end>38</end>
      <status>unmodified</status>
      <modifiedWord/>
      <trackRevisions>false</trackRevisions>
    </reviewItem>
    <reviewItem>
      <errorID>cee25365-37d5-41d9-aa2c-9f542b945dda</errorID>
      <errorWord>少于</errorWord>
      <group>L1_Word</group>
      <groupName>字词问题</groupName>
      <ability>L2_Typo</ability>
      <abilityName>字词错误</abilityName>
      <candidateList>
        <item>小于</item>
      </candidateList>
      <explain>存在字形相近字词的误用。</explain>
      <paraID>276211B0</paraID>
      <start>46</start>
      <end>48</end>
      <status>unmodified</status>
      <modifiedWord/>
      <trackRevisions>false</trackRevisions>
    </reviewItem>
    <reviewItem>
      <errorID>e6b5a3e9-7b12-4b9a-8e8b-5e74be0290f2</errorID>
      <errorWord>汽</errorWord>
      <group>L1_Word</group>
      <groupName>字词问题</groupName>
      <ability>L2_Typo</ability>
      <abilityName>字词错误</abilityName>
      <candidateList>
        <item>气</item>
      </candidateList>
      <explain>存在发音相同字词的误用。</explain>
      <paraID>52D6E0F6</paraID>
      <start>98</start>
      <end>99</end>
      <status>unmodified</status>
      <modifiedWord/>
      <trackRevisions>false</trackRevisions>
    </reviewItem>
    <reviewItem>
      <errorID>a7401fd4-c31c-4199-953b-d2733ba3a1dd</errorID>
      <errorWord>{</errorWord>
      <group>L1_Punc</group>
      <groupName>标点问题</groupName>
      <ability>L2_Punc</ability>
      <abilityName>标点符号检查</abilityName>
      <candidateList>
        <item>〔</item>
      </candidateList>
      <explain/>
      <paraID>1FD4BE0D</paraID>
      <start>26</start>
      <end>27</end>
      <status>unmodified</status>
      <modifiedWord/>
      <trackRevisions>false</trackRevisions>
    </reviewItem>
    <reviewItem>
      <errorID>c258a6f2-56e3-4329-b650-f7823a43ebb3</errorID>
      <errorWord>}</errorWord>
      <group>L1_Punc</group>
      <groupName>标点问题</groupName>
      <ability>L2_Punc</ability>
      <abilityName>标点符号检查</abilityName>
      <candidateList>
        <item>〕</item>
      </candidateList>
      <explain/>
      <paraID>1FD4BE0D</paraID>
      <start>31</start>
      <end>32</end>
      <status>unmodified</status>
      <modifiedWord/>
      <trackRevisions>false</trackRevisions>
    </reviewItem>
    <reviewItem>
      <errorID>985da3a7-fe87-448d-80dc-3dbf01556455</errorID>
      <errorWord>{</errorWord>
      <group>L1_Punc</group>
      <groupName>标点问题</groupName>
      <ability>L2_Punc</ability>
      <abilityName>标点符号检查</abilityName>
      <candidateList>
        <item>〔</item>
      </candidateList>
      <explain/>
      <paraID>7AA40A58</paraID>
      <start>32</start>
      <end>33</end>
      <status>unmodified</status>
      <modifiedWord/>
      <trackRevisions>false</trackRevisions>
    </reviewItem>
    <reviewItem>
      <errorID>41fed451-c2cc-4149-8027-9329373e64c9</errorID>
      <errorWord>}</errorWord>
      <group>L1_Punc</group>
      <groupName>标点问题</groupName>
      <ability>L2_Punc</ability>
      <abilityName>标点符号检查</abilityName>
      <candidateList>
        <item>〕</item>
      </candidateList>
      <explain/>
      <paraID>7AA40A58</paraID>
      <start>37</start>
      <end>38</end>
      <status>unmodified</status>
      <modifiedWord/>
      <trackRevisions>false</trackRevisions>
    </reviewItem>
    <reviewItem>
      <errorID>fe3d47d0-5482-464e-b73e-a867b987138b</errorID>
      <errorWord>{</errorWord>
      <group>L1_Punc</group>
      <groupName>标点问题</groupName>
      <ability>L2_Punc</ability>
      <abilityName>标点符号检查</abilityName>
      <candidateList>
        <item>〔</item>
      </candidateList>
      <explain/>
      <paraID>53E22582</paraID>
      <start>21</start>
      <end>22</end>
      <status>unmodified</status>
      <modifiedWord/>
      <trackRevisions>false</trackRevisions>
    </reviewItem>
    <reviewItem>
      <errorID>4e57fbfe-6425-472a-ad1f-7cc9034e8e6d</errorID>
      <errorWord>}</errorWord>
      <group>L1_Punc</group>
      <groupName>标点问题</groupName>
      <ability>L2_Punc</ability>
      <abilityName>标点符号检查</abilityName>
      <candidateList>
        <item>〕</item>
      </candidateList>
      <explain/>
      <paraID>53E22582</paraID>
      <start>26</start>
      <end>27</end>
      <status>unmodified</status>
      <modifiedWord/>
      <trackRevisions>false</trackRevisions>
    </reviewItem>
    <reviewItem>
      <errorID>e61dd16f-a9c2-4636-896c-14efe7143e8c</errorID>
      <errorWord>结线</errorWord>
      <group>L1_Word</group>
      <groupName>字词问题</groupName>
      <ability>L2_Typo</ability>
      <abilityName>字词错误</abilityName>
      <candidateList>
        <item>接线</item>
      </candidateList>
      <explain>〈动〉用导线连接线路。</explain>
      <paraID>3E9EE5B6</paraID>
      <start>17</start>
      <end>19</end>
      <status>unmodified</status>
      <modifiedWord/>
      <trackRevisions>false</trackRevisions>
    </reviewItem>
    <reviewItem>
      <errorID>a750379f-9400-4598-aeb7-63b97469f87a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5EC259C6</paraID>
      <start>0</start>
      <end>3</end>
      <status>unmodified</status>
      <modifiedWord/>
      <trackRevisions>false</trackRevisions>
    </reviewItem>
    <reviewItem>
      <errorID>d2568980-7a0a-477d-a46e-cf0569165d9d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13A0A2FE</paraID>
      <start>0</start>
      <end>3</end>
      <status>unmodified</status>
      <modifiedWord/>
      <trackRevisions>false</trackRevisions>
    </reviewItem>
    <reviewItem>
      <errorID>e0046198-3fa8-41eb-85ab-7c35e49f4734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53E40831</paraID>
      <start>0</start>
      <end>3</end>
      <status>unmodified</status>
      <modifiedWord/>
      <trackRevisions>false</trackRevisions>
    </reviewItem>
    <reviewItem>
      <errorID>a1eed6c1-6433-4aba-88ca-8f654e35ea24</errorID>
      <errorWord>)</errorWord>
      <group>L1_Format</group>
      <groupName>格式问题</groupName>
      <ability>L2_HalfPunc</ability>
      <abilityName>全半角检查</abilityName>
      <candidateList>
        <item>）</item>
      </candidateList>
      <explain>文本全半角错误。</explain>
      <paraID>5C26D534</paraID>
      <start>2</start>
      <end>3</end>
      <status>unmodified</status>
      <modifiedWord/>
      <trackRevisions>false</trackRevisions>
    </reviewItem>
    <reviewItem>
      <errorID>ba248962-ce88-42d3-bce4-910478b5a6e6</errorID>
      <errorWord>)</errorWord>
      <group>L1_Format</group>
      <groupName>格式问题</groupName>
      <ability>L2_HalfPunc</ability>
      <abilityName>全半角检查</abilityName>
      <candidateList>
        <item>）</item>
      </candidateList>
      <explain>文本全半角错误。</explain>
      <paraID>66CE6A1B</paraID>
      <start>2</start>
      <end>3</end>
      <status>unmodified</status>
      <modifiedWord/>
      <trackRevisions>false</trackRevisions>
    </reviewItem>
    <reviewItem>
      <errorID>ae72d6ef-906f-464a-9378-94f7a2b96755</errorID>
      <errorWord>)</errorWord>
      <group>L1_Format</group>
      <groupName>格式问题</groupName>
      <ability>L2_HalfPunc</ability>
      <abilityName>全半角检查</abilityName>
      <candidateList>
        <item>）</item>
      </candidateList>
      <explain>文本全半角错误。</explain>
      <paraID>5DEA3F21</paraID>
      <start>2</start>
      <end>3</end>
      <status>unmodified</status>
      <modifiedWord/>
      <trackRevisions>false</trackRevisions>
    </reviewItem>
    <reviewItem>
      <errorID>9df23d6b-46d6-4909-9a44-36bd961aeb7a</errorID>
      <errorWord>)</errorWord>
      <group>L1_Format</group>
      <groupName>格式问题</groupName>
      <ability>L2_HalfPunc</ability>
      <abilityName>全半角检查</abilityName>
      <candidateList>
        <item>）</item>
      </candidateList>
      <explain>文本全半角错误。</explain>
      <paraID>4BED2533</paraID>
      <start>2</start>
      <end>3</end>
      <status>unmodified</status>
      <modifiedWord/>
      <trackRevisions>false</trackRevisions>
    </reviewItem>
    <reviewItem>
      <errorID>3acd30e5-374f-46a4-b803-293c04267fcf</errorID>
      <errorWord>)</errorWord>
      <group>L1_Format</group>
      <groupName>格式问题</groupName>
      <ability>L2_HalfPunc</ability>
      <abilityName>全半角检查</abilityName>
      <candidateList>
        <item>）</item>
      </candidateList>
      <explain>文本全半角错误。</explain>
      <paraID>52E755E9</paraID>
      <start>2</start>
      <end>3</end>
      <status>unmodified</status>
      <modifiedWord/>
      <trackRevisions>false</trackRevisions>
    </reviewItem>
    <reviewItem>
      <errorID>94b59e23-0f7f-4ebe-9328-a86a32436df4</errorID>
      <errorWord>)</errorWord>
      <group>L1_Format</group>
      <groupName>格式问题</groupName>
      <ability>L2_HalfPunc</ability>
      <abilityName>全半角检查</abilityName>
      <candidateList>
        <item>）</item>
      </candidateList>
      <explain>文本全半角错误。</explain>
      <paraID>5D8733CB</paraID>
      <start>2</start>
      <end>3</end>
      <status>unmodified</status>
      <modifiedWord/>
      <trackRevisions>false</trackRevisions>
    </reviewItem>
    <reviewItem>
      <errorID>94a58308-7424-4376-95a5-da0c06bb5fef</errorID>
      <errorWord>)</errorWord>
      <group>L1_Format</group>
      <groupName>格式问题</groupName>
      <ability>L2_HalfPunc</ability>
      <abilityName>全半角检查</abilityName>
      <candidateList>
        <item>）</item>
      </candidateList>
      <explain>文本全半角错误。</explain>
      <paraID>28727D7D</paraID>
      <start>2</start>
      <end>3</end>
      <status>unmodified</status>
      <modifiedWord/>
      <trackRevisions>false</trackRevisions>
    </reviewItem>
    <reviewItem>
      <errorID>a6c70ee3-7ebe-49ff-ba82-576dc7a61572</errorID>
      <errorWord>)</errorWord>
      <group>L1_Format</group>
      <groupName>格式问题</groupName>
      <ability>L2_HalfPunc</ability>
      <abilityName>全半角检查</abilityName>
      <candidateList>
        <item>）</item>
      </candidateList>
      <explain>文本全半角错误。</explain>
      <paraID> 52BAFAE</paraID>
      <start>2</start>
      <end>3</end>
      <status>unmodified</status>
      <modifiedWord/>
      <trackRevisions>false</trackRevisions>
    </reviewItem>
    <reviewItem>
      <errorID>20959de5-fa72-4aa7-9758-5947cfa7a7ae</errorID>
      <errorWord>准</errorWord>
      <group>L1_Word</group>
      <groupName>字词问题</groupName>
      <ability>L2_Typo</ability>
      <abilityName>字词错误</abilityName>
      <candidateList>
        <item>准和</item>
      </candidateList>
      <explain/>
      <paraID>4DA8AE50</paraID>
      <start>95</start>
      <end>96</end>
      <status>unmodified</status>
      <modifiedWord/>
      <trackRevisions>false</trackRevisions>
    </reviewItem>
    <reviewItem>
      <errorID>0d167622-08fa-470c-aecc-c56e0990c976</errorID>
      <errorWord>里</errorWord>
      <group>L1_Word</group>
      <groupName>字词问题</groupName>
      <ability>L2_Typo</ability>
      <abilityName>字词错误</abilityName>
      <candidateList>
        <item>中</item>
      </candidateList>
      <explain>存在字形相近字词的误用。</explain>
      <paraID>6CC4D33E</paraID>
      <start>129</start>
      <end>130</end>
      <status>unmodified</status>
      <modifiedWord/>
      <trackRevisions>false</trackRevisions>
    </reviewItem>
    <reviewItem>
      <errorID>3a83f98f-fbeb-4328-8581-d5472850be5b</errorID>
      <errorWord>，</errorWord>
      <group>L1_Word</group>
      <groupName>字词问题</groupName>
      <ability>L2_Typo</ability>
      <abilityName>字词错误</abilityName>
      <candidateList>
        <item>，由</item>
      </candidateList>
      <explain/>
      <paraID>177BEEE1</paraID>
      <start>50</start>
      <end>51</end>
      <status>unmodified</status>
      <modifiedWord/>
      <trackRevisions>false</trackRevisions>
    </reviewItem>
    <reviewItem>
      <errorID>f6f89263-99b7-4748-8924-a9b273060411</errorID>
      <errorWord>政策的</errorWord>
      <group>L1_Word</group>
      <groupName>字词问题</groupName>
      <ability>L2_Typo</ability>
      <abilityName>字词错误</abilityName>
      <candidateList>
        <item>政策</item>
      </candidateList>
      <explain/>
      <paraID>177BEEE1</paraID>
      <start>108</start>
      <end>111</end>
      <status>unmodified</status>
      <modifiedWord/>
      <trackRevisions>false</trackRevisions>
    </reviewItem>
    <reviewItem>
      <errorID>d5c3d019-f476-4541-8947-75b821295fcd</errorID>
      <errorWord>做</errorWord>
      <group>L1_Word</group>
      <groupName>字词问题</groupName>
      <ability>L2_Typo</ability>
      <abilityName>字词错误</abilityName>
      <candidateList>
        <item>做出</item>
      </candidateList>
      <explain/>
      <paraID>5A94458E</paraID>
      <start>156</start>
      <end>157</end>
      <status>unmodified</status>
      <modifiedWord/>
      <trackRevisions>false</trackRevisions>
    </reviewItem>
    <reviewItem>
      <errorID>ea81201a-0d33-4a36-9a2b-31da9da7ed67</errorID>
      <errorWord>：</errorWord>
      <group>L1_Format</group>
      <groupName>格式问题</groupName>
      <ability>L2_HalfPunc</ability>
      <abilityName>全半角检查</abilityName>
      <candidateList>
        <item>:</item>
      </candidateList>
      <explain>文本全半角错误。</explain>
      <paraID>1353545B</paraID>
      <start>16</start>
      <end>17</end>
      <status>unmodified</status>
      <modifiedWord/>
      <trackRevisions>false</trackRevisions>
    </reviewItem>
    <reviewItem>
      <errorID>c3271dda-b0f1-4cf5-926b-06e6ba2896d8</errorID>
      <errorWord>：</errorWord>
      <group>L1_Format</group>
      <groupName>格式问题</groupName>
      <ability>L2_HalfPunc</ability>
      <abilityName>全半角检查</abilityName>
      <candidateList>
        <item>:</item>
      </candidateList>
      <explain>文本全半角错误。</explain>
      <paraID>1353545B</paraID>
      <start>22</start>
      <end>23</end>
      <status>unmodified</status>
      <modifiedWord/>
      <trackRevisions>false</trackRevisions>
    </reviewItem>
    <reviewItem>
      <errorID>0663e58f-18a6-49b8-b8ab-a6f9a84b0ab8</errorID>
      <errorWord>医院智慧</errorWord>
      <group>L1_Word</group>
      <groupName>字词问题</groupName>
      <ability>L2_Typo</ability>
      <abilityName>字词错误</abilityName>
      <candidateList>
        <item>议员之会</item>
      </candidateList>
      <explain/>
      <paraID> E5B7F84</paraID>
      <start>33</start>
      <end>37</end>
      <status>unmodified</status>
      <modifiedWord/>
      <trackRevisions>false</trackRevisions>
    </reviewItem>
    <reviewItem>
      <errorID>db36e240-8acb-4cda-8002-40e5d6eb81e3</errorID>
      <errorWord>医院智慧</errorWord>
      <group>L1_Word</group>
      <groupName>字词问题</groupName>
      <ability>L2_Typo</ability>
      <abilityName>字词错误</abilityName>
      <candidateList>
        <item>议员之会</item>
      </candidateList>
      <explain/>
      <paraID>32827F15</paraID>
      <start>17</start>
      <end>21</end>
      <status>unmodified</status>
      <modifiedWord/>
      <trackRevisions>false</trackRevisions>
    </reviewItem>
    <reviewItem>
      <errorID>6c7a8d80-7a40-4e3a-86e5-6fdc155968db</errorID>
      <errorWord>1号</errorWord>
      <group>L1_Knowledge</group>
      <groupName>知识性问题</groupName>
      <ability>L2_Time</ability>
      <abilityName>日期时间</abilityName>
      <candidateList>
        <item>1日</item>
      </candidateList>
      <explain>日期表达规范为x月x日。</explain>
      <paraID>5D37BC7B</paraID>
      <start>84</start>
      <end>86</end>
      <status>unmodified</status>
      <modifiedWord/>
      <trackRevisions>false</trackRevisions>
    </reviewItem>
    <reviewItem>
      <errorID>cd435444-d26b-45aa-91df-4dabd8485125</errorID>
      <errorWord>1号</errorWord>
      <group>L1_Knowledge</group>
      <groupName>知识性问题</groupName>
      <ability>L2_Time</ability>
      <abilityName>日期时间</abilityName>
      <candidateList>
        <item>1日</item>
      </candidateList>
      <explain>日期表达规范为x月x日。</explain>
      <paraID> E2328BC</paraID>
      <start>70</start>
      <end>72</end>
      <status>unmodified</status>
      <modifiedWord/>
      <trackRevisions>false</trackRevisions>
    </reviewItem>
    <reviewItem>
      <errorID>6bbe7915-43b0-4a08-b4de-09f13833de5f</errorID>
      <errorWord>11-15%</errorWord>
      <group>L1_Knowledge</group>
      <groupName>知识性问题</groupName>
      <ability>L2_Knowledge</ability>
      <abilityName>其他知识</abilityName>
      <candidateList>
        <item>11%—15%</item>
      </candidateList>
      <explain>1. “11-15%”中的单位“%”仅出现在后一个数字上，容易引起歧义；根据《现代汉语标点符号数字用法规范手册》，数字表示范围两边需要使用统一的格式。2. 根据标点国标 4.13 中的规则，数字、时间或地域连接符应使用（视觉上更长的）“—”或“～”。</explain>
      <paraID>16A69988</paraID>
      <start>13</start>
      <end>19</end>
      <status>unmodified</status>
      <modifiedWord/>
      <trackRevisions>false</trackRevisions>
    </reviewItem>
    <reviewItem>
      <errorID>c8de3105-602a-49c7-b06a-451f620b964c</errorID>
      <errorWord>全</errorWord>
      <group>L1_Word</group>
      <groupName>字词问题</groupName>
      <ability>L2_Typo</ability>
      <abilityName>字词错误</abilityName>
      <candidateList>
        <item>全部</item>
      </candidateList>
      <explain/>
      <paraID>61C00A15</paraID>
      <start>113</start>
      <end>114</end>
      <status>unmodified</status>
      <modifiedWord/>
      <trackRevisions>false</trackRevisions>
    </reviewItem>
    <reviewItem>
      <errorID>0bc86efe-4d2b-4a2b-b771-5b68a16ba14b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643E8BA6</paraID>
      <start>0</start>
      <end>2</end>
      <status>unmodified</status>
      <modifiedWord/>
      <trackRevisions>false</trackRevisions>
    </reviewItem>
    <reviewItem>
      <errorID>c061831a-51c9-4f4a-b674-36a2a20da127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6BD7FDB</paraID>
      <start>0</start>
      <end>2</end>
      <status>unmodified</status>
      <modifiedWord/>
      <trackRevisions>false</trackRevisions>
    </reviewItem>
    <reviewItem>
      <errorID>780d683e-a46b-4c6f-85bb-30a61e7b1516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2FE80CC</paraID>
      <start>0</start>
      <end>2</end>
      <status>unmodified</status>
      <modifiedWord/>
      <trackRevisions>false</trackRevisions>
    </reviewItem>
    <reviewItem>
      <errorID>deacd61f-9d9f-4e39-9eff-b3b2f8551451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8C30C98</paraID>
      <start>0</start>
      <end>2</end>
      <status>unmodified</status>
      <modifiedWord/>
      <trackRevisions>false</trackRevisions>
    </reviewItem>
    <reviewItem>
      <errorID>30ae8cab-2c17-4f59-a674-198dd3ce36ca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4C5F4E3F</paraID>
      <start>0</start>
      <end>2</end>
      <status>unmodified</status>
      <modifiedWord/>
      <trackRevisions>false</trackRevisions>
    </reviewItem>
    <reviewItem>
      <errorID>b1961e56-686f-43ea-8300-f18edc9ff840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62B8E125</paraID>
      <start>0</start>
      <end>2</end>
      <status>unmodified</status>
      <modifiedWord/>
      <trackRevisions>false</trackRevisions>
    </reviewItem>
    <reviewItem>
      <errorID>da78bf50-ff60-4d50-b098-6fe42ae3a822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3EF7BF6C</paraID>
      <start>0</start>
      <end>2</end>
      <status>unmodified</status>
      <modifiedWord/>
      <trackRevisions>false</trackRevisions>
    </reviewItem>
    <reviewItem>
      <errorID>9b938bc7-a53c-430c-8c46-9cb4725b7e4f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70B296A2</paraID>
      <start>0</start>
      <end>2</end>
      <status>unmodified</status>
      <modifiedWord/>
      <trackRevisions>false</trackRevisions>
    </reviewItem>
    <reviewItem>
      <errorID>3475cecd-0236-4034-822f-38a7f7cd3da3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7D4B5FF1</paraID>
      <start>0</start>
      <end>2</end>
      <status>unmodified</status>
      <modifiedWord/>
      <trackRevisions>false</trackRevisions>
    </reviewItem>
    <reviewItem>
      <errorID>132fef9f-3144-4352-afe6-89a64c41f44c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776AC912</paraID>
      <start>0</start>
      <end>2</end>
      <status>unmodified</status>
      <modifiedWord/>
      <trackRevisions>false</trackRevisions>
    </reviewItem>
    <reviewItem>
      <errorID>87016aac-0eb8-445a-a323-b57aa9bcfd76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73A5D268</paraID>
      <start>0</start>
      <end>2</end>
      <status>unmodified</status>
      <modifiedWord/>
      <trackRevisions>false</trackRevisions>
    </reviewItem>
    <reviewItem>
      <errorID>711a8f50-a619-4be0-83ac-705fde3fb81e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1AD8741C</paraID>
      <start>0</start>
      <end>2</end>
      <status>unmodified</status>
      <modifiedWord/>
      <trackRevisions>false</trackRevisions>
    </reviewItem>
    <reviewItem>
      <errorID>b088217a-531e-420e-be38-8b02b39af094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3ED8F5E5</paraID>
      <start>0</start>
      <end>2</end>
      <status>unmodified</status>
      <modifiedWord/>
      <trackRevisions>false</trackRevisions>
    </reviewItem>
    <reviewItem>
      <errorID>2f4d6db8-01fb-4360-9ea6-e49b5ebd58fa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5003EEE9</paraID>
      <start>0</start>
      <end>2</end>
      <status>unmodified</status>
      <modifiedWord/>
      <trackRevisions>false</trackRevisions>
    </reviewItem>
    <reviewItem>
      <errorID>f82ce064-779e-468f-8963-8e0410d2d025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B183CD7</paraID>
      <start>0</start>
      <end>2</end>
      <status>unmodified</status>
      <modifiedWord/>
      <trackRevisions>false</trackRevisions>
    </reviewItem>
    <reviewItem>
      <errorID>be488ab6-b90a-4b8a-b74d-5865fc133cba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38F7CB9F</paraID>
      <start>0</start>
      <end>2</end>
      <status>unmodified</status>
      <modifiedWord/>
      <trackRevisions>false</trackRevisions>
    </reviewItem>
    <reviewItem>
      <errorID>c1b46b6d-e669-4b5a-8738-43ca69216fcb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1689982C</paraID>
      <start>0</start>
      <end>2</end>
      <status>unmodified</status>
      <modifiedWord/>
      <trackRevisions>false</trackRevisions>
    </reviewItem>
    <reviewItem>
      <errorID>98711fa2-a174-43f5-ba8a-e49029803a0e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760C8DA3</paraID>
      <start>0</start>
      <end>2</end>
      <status>unmodified</status>
      <modifiedWord/>
      <trackRevisions>false</trackRevisions>
    </reviewItem>
    <reviewItem>
      <errorID>42237551-d380-47e0-a0bf-318c12ff78f7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6A2389EA</paraID>
      <start>0</start>
      <end>2</end>
      <status>unmodified</status>
      <modifiedWord/>
      <trackRevisions>false</trackRevisions>
    </reviewItem>
    <reviewItem>
      <errorID>fe0f152b-b540-4efa-ba90-1587c765c3b7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30403E50</paraID>
      <start>0</start>
      <end>2</end>
      <status>unmodified</status>
      <modifiedWord/>
      <trackRevisions>false</trackRevisions>
    </reviewItem>
    <reviewItem>
      <errorID>e8ad2f28-0ecf-4f82-8c9d-9da68563cb1b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7E054438</paraID>
      <start>0</start>
      <end>2</end>
      <status>unmodified</status>
      <modifiedWord/>
      <trackRevisions>false</trackRevisions>
    </reviewItem>
    <reviewItem>
      <errorID>40ef2356-b736-414d-9905-93030820066e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4653D4BE</paraID>
      <start>0</start>
      <end>2</end>
      <status>unmodified</status>
      <modifiedWord/>
      <trackRevisions>false</trackRevisions>
    </reviewItem>
    <reviewItem>
      <errorID>9eb0ddf6-a0c2-410c-b728-421aaadc9d88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6B59D956</paraID>
      <start>0</start>
      <end>2</end>
      <status>unmodified</status>
      <modifiedWord/>
      <trackRevisions>false</trackRevisions>
    </reviewItem>
    <reviewItem>
      <errorID>be28dd34-7bda-4b1e-8aba-dad23127878e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2A9C9B39</paraID>
      <start>0</start>
      <end>2</end>
      <status>unmodified</status>
      <modifiedWord/>
      <trackRevisions>false</trackRevisions>
    </reviewItem>
    <reviewItem>
      <errorID>454aa57d-1fd9-4c60-aab1-10ab9b3f8475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1AFB2ADC</paraID>
      <start>0</start>
      <end>2</end>
      <status>unmodified</status>
      <modifiedWord/>
      <trackRevisions>false</trackRevisions>
    </reviewItem>
    <reviewItem>
      <errorID>78209e15-af84-4b77-b679-f83da31a6cdc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43CC6A63</paraID>
      <start>0</start>
      <end>2</end>
      <status>unmodified</status>
      <modifiedWord/>
      <trackRevisions>false</trackRevisions>
    </reviewItem>
    <reviewItem>
      <errorID>bea51fc4-73e5-43e4-a2e9-a1adfe95f7ef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77506957</paraID>
      <start>0</start>
      <end>2</end>
      <status>unmodified</status>
      <modifiedWord/>
      <trackRevisions>false</trackRevisions>
    </reviewItem>
    <reviewItem>
      <errorID>55354241-5d4a-4396-8c6b-fdae8f1254d0</errorID>
      <errorWord>,</errorWord>
      <group>L1_Format</group>
      <groupName>格式问题</groupName>
      <ability>L2_HalfPunc</ability>
      <abilityName>全半角检查</abilityName>
      <candidateList>
        <item>，</item>
      </candidateList>
      <explain>文本全半角错误。</explain>
      <paraID> 79F0580</paraID>
      <start>27</start>
      <end>28</end>
      <status>unmodified</status>
      <modifiedWord/>
      <trackRevisions>false</trackRevisions>
    </reviewItem>
    <reviewItem>
      <errorID>5528f355-c039-4938-97fb-4fb4db435de6</errorID>
      <errorWord>（</errorWord>
      <group>L1_Format</group>
      <groupName>格式问题</groupName>
      <ability>L2_HalfPunc</ability>
      <abilityName>全半角检查</abilityName>
      <candidateList>
        <item>(</item>
      </candidateList>
      <explain>文本全半角错误。</explain>
      <paraID>75FC1EF4</paraID>
      <start>0</start>
      <end>1</end>
      <status>unmodified</status>
      <modifiedWord/>
      <trackRevisions>false</trackRevisions>
    </reviewItem>
    <reviewItem>
      <errorID>b4189f1a-1eeb-4203-883c-c932e11a94e1</errorID>
      <errorWord>）</errorWord>
      <group>L1_Format</group>
      <groupName>格式问题</groupName>
      <ability>L2_HalfPunc</ability>
      <abilityName>全半角检查</abilityName>
      <candidateList>
        <item>)</item>
      </candidateList>
      <explain>文本全半角错误。</explain>
      <paraID>75FC1EF4</paraID>
      <start>4</start>
      <end>5</end>
      <status>unmodified</status>
      <modifiedWord/>
      <trackRevisions>false</trackRevisions>
    </reviewItem>
    <reviewItem>
      <errorID>c13ae866-1d6f-4d37-950b-95a840405b82</errorID>
      <errorWord>（</errorWord>
      <group>L1_Format</group>
      <groupName>格式问题</groupName>
      <ability>L2_HalfPunc</ability>
      <abilityName>全半角检查</abilityName>
      <candidateList>
        <item>(</item>
      </candidateList>
      <explain>文本全半角错误。</explain>
      <paraID>6E32EC0C</paraID>
      <start>0</start>
      <end>1</end>
      <status>unmodified</status>
      <modifiedWord/>
      <trackRevisions>false</trackRevisions>
    </reviewItem>
    <reviewItem>
      <errorID>33439338-8514-4828-8c35-529592e8828f</errorID>
      <errorWord>）</errorWord>
      <group>L1_Format</group>
      <groupName>格式问题</groupName>
      <ability>L2_HalfPunc</ability>
      <abilityName>全半角检查</abilityName>
      <candidateList>
        <item>)</item>
      </candidateList>
      <explain>文本全半角错误。</explain>
      <paraID>6E32EC0C</paraID>
      <start>2</start>
      <end>3</end>
      <status>unmodified</status>
      <modifiedWord/>
      <trackRevisions>false</trackRevisions>
    </reviewItem>
    <reviewItem>
      <errorID>4134c6d3-ef1f-414f-aa72-58f7adca82f3</errorID>
      <errorWord>（</errorWord>
      <group>L1_Format</group>
      <groupName>格式问题</groupName>
      <ability>L2_HalfPunc</ability>
      <abilityName>全半角检查</abilityName>
      <candidateList>
        <item>(</item>
      </candidateList>
      <explain>文本全半角错误。</explain>
      <paraID>6062276B</paraID>
      <start>0</start>
      <end>1</end>
      <status>unmodified</status>
      <modifiedWord/>
      <trackRevisions>false</trackRevisions>
    </reviewItem>
    <reviewItem>
      <errorID>d93b1f8a-4c94-4117-9b73-f663a660541d</errorID>
      <errorWord>）</errorWord>
      <group>L1_Format</group>
      <groupName>格式问题</groupName>
      <ability>L2_HalfPunc</ability>
      <abilityName>全半角检查</abilityName>
      <candidateList>
        <item>)</item>
      </candidateList>
      <explain>文本全半角错误。</explain>
      <paraID>6062276B</paraID>
      <start>3</start>
      <end>4</end>
      <status>unmodified</status>
      <modifiedWord/>
      <trackRevisions>false</trackRevisions>
    </reviewItem>
    <reviewItem>
      <errorID>ce32e847-b4d9-4024-adf0-f253f4c111c5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7A15B451</paraID>
      <start>0</start>
      <end>2</end>
      <status>unmodified</status>
      <modifiedWord/>
      <trackRevisions>false</trackRevisions>
    </reviewItem>
    <reviewItem>
      <errorID>b73c7fa1-a257-4a16-9f95-c0b1061230db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9DE2A56</paraID>
      <start>46</start>
      <end>47</end>
      <status>unmodified</status>
      <modifiedWord/>
      <trackRevisions>false</trackRevisions>
    </reviewItem>
    <reviewItem>
      <errorID>579c89e8-4abe-434e-9259-ef11e43e3865</errorID>
      <errorWord>。。</errorWord>
      <group>L1_Punc</group>
      <groupName>标点问题</groupName>
      <ability>L2_Punc</ability>
      <abilityName>标点符号检查</abilityName>
      <candidateList>
        <item>。</item>
      </candidateList>
      <explain/>
      <paraID> 9DE2A56</paraID>
      <start>137</start>
      <end>139</end>
      <status>unmodified</status>
      <modifiedWord/>
      <trackRevisions>false</trackRevisions>
    </reviewItem>
    <reviewItem>
      <errorID>023b3158-550f-4e60-83b8-beb7f13d66ac</errorID>
      <errorWord>其它按</errorWord>
      <group>L1_Word</group>
      <groupName>字词问题</groupName>
      <ability>L2_Alias</ability>
      <abilityName>也作/曾用词</abilityName>
      <candidateList>
        <item>其他按</item>
      </candidateList>
      <explain>词汇[其它按]为不规范表述或旧称，其规范书面表述为[其他按]。</explain>
      <paraID> E2AD828</paraID>
      <start>108</start>
      <end>111</end>
      <status>unmodified</status>
      <modifiedWord/>
      <trackRevisions>false</trackRevisions>
    </reviewItem>
    <reviewItem>
      <errorID>24ffa9b3-b657-49ca-90d1-239cf16ba086</errorID>
      <errorWord>其它情况</errorWord>
      <group>L1_Word</group>
      <groupName>字词问题</groupName>
      <ability>L2_Alias</ability>
      <abilityName>也作/曾用词</abilityName>
      <candidateList>
        <item>其他情况</item>
      </candidateList>
      <explain>词汇[其它情况]为不规范表述或旧称，其规范书面表述为[其他情况]。</explain>
      <paraID> E2AD828</paraID>
      <start>123</start>
      <end>127</end>
      <status>unmodified</status>
      <modifiedWord/>
      <trackRevisions>false</trackRevisions>
    </reviewItem>
    <reviewItem>
      <errorID>61aa8f91-de69-4db7-b2a5-e3166dce8ec6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631E0EF2</paraID>
      <start>0</start>
      <end>2</end>
      <status>unmodified</status>
      <modifiedWord/>
      <trackRevisions>false</trackRevisions>
    </reviewItem>
    <reviewItem>
      <errorID>af56b292-cf45-4a53-ad13-f4ab0798944f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79E00E69</paraID>
      <start>0</start>
      <end>2</end>
      <status>unmodified</status>
      <modifiedWord/>
      <trackRevisions>false</trackRevisions>
    </reviewItem>
    <reviewItem>
      <errorID>750c9477-6137-45f8-aa6f-f64b68a778c1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AC58029</paraID>
      <start>0</start>
      <end>2</end>
      <status>unmodified</status>
      <modifiedWord/>
      <trackRevisions>false</trackRevisions>
    </reviewItem>
    <reviewItem>
      <errorID>1355dcfe-591e-4d4d-9df6-53f652fa6956</errorID>
      <errorWord>，</errorWord>
      <group>L1_Word</group>
      <groupName>字词问题</groupName>
      <ability>L2_Typo</ability>
      <abilityName>字词错误</abilityName>
      <candidateList>
        <item>，由</item>
      </candidateList>
      <explain/>
      <paraID> C9B1573</paraID>
      <start>56</start>
      <end>57</end>
      <status>unmodified</status>
      <modifiedWord/>
      <trackRevisions>false</trackRevisions>
    </reviewItem>
    <reviewItem>
      <errorID>6d6b1924-a59c-4a15-9364-5f1563f11ce9</errorID>
      <errorWord>当</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17D945D8</paraID>
      <start>0</start>
      <end>1</end>
      <status>unmodified</status>
      <modifiedWord/>
      <trackRevisions>false</trackRevisions>
    </reviewItem>
    <reviewItem>
      <errorID>d7549f7a-b277-492c-abe8-808ca6ff8d42</errorID>
      <errorWord>(</errorWord>
      <group>L1_Format</group>
      <groupName>格式问题</groupName>
      <ability>L2_HalfPunc</ability>
      <abilityName>全半角检查</abilityName>
      <candidateList>
        <item>（</item>
      </candidateList>
      <explain>文本全半角错误。</explain>
      <paraID>17D945D8</paraID>
      <start>157</start>
      <end>158</end>
      <status>unmodified</status>
      <modifiedWord/>
      <trackRevisions>false</trackRevisions>
    </reviewItem>
    <reviewItem>
      <errorID>5dbb35b1-e37b-445a-a8ee-55ad8945ed03</errorID>
      <errorWord>)</errorWord>
      <group>L1_Format</group>
      <groupName>格式问题</groupName>
      <ability>L2_HalfPunc</ability>
      <abilityName>全半角检查</abilityName>
      <candidateList>
        <item>）</item>
      </candidateList>
      <explain>文本全半角错误。</explain>
      <paraID>17D945D8</paraID>
      <start>179</start>
      <end>180</end>
      <status>unmodified</status>
      <modifiedWord/>
      <trackRevisions>false</trackRevisions>
    </reviewItem>
    <reviewItem>
      <errorID>9f5b8458-d66e-4576-9dfa-d9032e2b4932</errorID>
      <errorWord>ｎ</errorWord>
      <group>L1_Format</group>
      <groupName>格式问题</groupName>
      <ability>L2_HalfPunc</ability>
      <abilityName>全半角检查</abilityName>
      <candidateList>
        <item>n</item>
      </candidateList>
      <explain>文本全半角错误。</explain>
      <paraID>1A54F665</paraID>
      <start>31</start>
      <end>32</end>
      <status>unmodified</status>
      <modifiedWord/>
      <trackRevisions>false</trackRevisions>
    </reviewItem>
    <reviewItem>
      <errorID>02b66c33-e71a-4fcc-83f1-4f8a80f35518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7E88E501</paraID>
      <start>0</start>
      <end>2</end>
      <status>unmodified</status>
      <modifiedWord/>
      <trackRevisions>false</trackRevisions>
    </reviewItem>
    <reviewItem>
      <errorID>d340a646-530a-412e-9eda-639416c6ced6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783B4569</paraID>
      <start>0</start>
      <end>2</end>
      <status>unmodified</status>
      <modifiedWord/>
      <trackRevisions>false</trackRevisions>
    </reviewItem>
    <reviewItem>
      <errorID>0e912528-5034-4ec2-aa93-ac72f4d0d5db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1014B3EF</paraID>
      <start>0</start>
      <end>2</end>
      <status>unmodified</status>
      <modifiedWord/>
      <trackRevisions>false</trackRevisions>
    </reviewItem>
    <reviewItem>
      <errorID>8adfffd6-2e33-486b-bdfe-c5081558d733</errorID>
      <errorWord>其它情况</errorWord>
      <group>L1_Word</group>
      <groupName>字词问题</groupName>
      <ability>L2_Alias</ability>
      <abilityName>也作/曾用词</abilityName>
      <candidateList>
        <item>其他情况</item>
      </candidateList>
      <explain>词汇[其它情况]为不规范表述或旧称，其规范书面表述为[其他情况]。</explain>
      <paraID>1014B3EF</paraID>
      <start>3</start>
      <end>7</end>
      <status>unmodified</status>
      <modifiedWord/>
      <trackRevisions>false</trackRevisions>
    </reviewItem>
    <reviewItem>
      <errorID>42ad220a-157e-4644-bb8d-47df76221cfc</errorID>
      <errorWord>15号</errorWord>
      <group>L1_Knowledge</group>
      <groupName>知识性问题</groupName>
      <ability>L2_Time</ability>
      <abilityName>日期时间</abilityName>
      <candidateList>
        <item>15日</item>
      </candidateList>
      <explain>日期表达规范为x月x日。</explain>
      <paraID>72C59F06</paraID>
      <start>87</start>
      <end>90</end>
      <status>unmodified</status>
      <modifiedWord/>
      <trackRevisions>false</trackRevisions>
    </reviewItem>
    <reviewItem>
      <errorID>3a988d2b-34a4-4f4b-a269-c15a35e8a08a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3B1A6BFF</paraID>
      <start>0</start>
      <end>2</end>
      <status>unmodified</status>
      <modifiedWord/>
      <trackRevisions>false</trackRevisions>
    </reviewItem>
    <reviewItem>
      <errorID>255e210a-66ff-47f9-a727-dd99dcabf7c0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C3CE830</paraID>
      <start>0</start>
      <end>2</end>
      <status>unmodified</status>
      <modifiedWord/>
      <trackRevisions>false</trackRevisions>
    </reviewItem>
    <reviewItem>
      <errorID>c1192144-32e1-4556-94d5-b982c58d880b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23846AC8</paraID>
      <start>0</start>
      <end>2</end>
      <status>unmodified</status>
      <modifiedWord/>
      <trackRevisions>false</trackRevisions>
    </reviewItem>
    <reviewItem>
      <errorID>5187467a-5722-4cd0-a6fa-8a1da334ab5a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618F7B41</paraID>
      <start>0</start>
      <end>2</end>
      <status>unmodified</status>
      <modifiedWord/>
      <trackRevisions>false</trackRevisions>
    </reviewItem>
    <reviewItem>
      <errorID>8a692a0e-45ed-47f8-90ed-fab8cd53e409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51072A5C</paraID>
      <start>0</start>
      <end>2</end>
      <status>unmodified</status>
      <modifiedWord/>
      <trackRevisions>false</trackRevisions>
    </reviewItem>
    <reviewItem>
      <errorID>abe26019-96a9-41af-9c53-4a0ee761fb7b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22A4863C</paraID>
      <start>0</start>
      <end>2</end>
      <status>unmodified</status>
      <modifiedWord/>
      <trackRevisions>false</trackRevisions>
    </reviewItem>
    <reviewItem>
      <errorID>87995473-e98c-4d25-9c4b-429eaa301911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C3ADC41</paraID>
      <start>0</start>
      <end>2</end>
      <status>unmodified</status>
      <modifiedWord/>
      <trackRevisions>false</trackRevisions>
    </reviewItem>
    <reviewItem>
      <errorID>e3c13225-8e81-4ee0-8768-f252835fac10</errorID>
      <errorWord>时</errorWord>
      <group>L1_Word</group>
      <groupName>字词问题</groupName>
      <ability>L2_Typo</ability>
      <abilityName>字词错误</abilityName>
      <candidateList>
        <item>时向</item>
      </candidateList>
      <explain/>
      <paraID> C3ADC41</paraID>
      <start>138</start>
      <end>139</end>
      <status>unmodified</status>
      <modifiedWord/>
      <trackRevisions>false</trackRevisions>
    </reviewItem>
    <reviewItem>
      <errorID>5eecb6a4-5139-4813-a150-3a929ef0d6f8</errorID>
      <errorWord>获</errorWord>
      <group>L1_Word</group>
      <groupName>字词问题</groupName>
      <ability>L2_Typo</ability>
      <abilityName>字词错误</abilityName>
      <candidateList>
        <item>获得</item>
      </candidateList>
      <explain>〈动〉取得；得到（多用于抽象事物）：～好评｜～宝贵的经验｜～显著的成绩。</explain>
      <paraID> C3ADC41</paraID>
      <start>183</start>
      <end>184</end>
      <status>unmodified</status>
      <modifiedWord/>
      <trackRevisions>false</trackRevisions>
    </reviewItem>
    <reviewItem>
      <errorID>4bc4a472-dca7-4f29-8f13-dde1fc289e78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2B554DEA</paraID>
      <start>0</start>
      <end>2</end>
      <status>unmodified</status>
      <modifiedWord/>
      <trackRevisions>false</trackRevisions>
    </reviewItem>
    <reviewItem>
      <errorID>c302fafc-518d-44d1-acf9-a9a13ff89dc5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383D992B</paraID>
      <start>0</start>
      <end>2</end>
      <status>unmodified</status>
      <modifiedWord/>
      <trackRevisions>false</trackRevisions>
    </reviewItem>
    <reviewItem>
      <errorID>9d107c5f-c7f6-469b-8d9c-7034314e9f2f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5601D4F</paraID>
      <start>0</start>
      <end>2</end>
      <status>unmodified</status>
      <modifiedWord/>
      <trackRevisions>false</trackRevisions>
    </reviewItem>
    <reviewItem>
      <errorID>8de8f802-3d58-46e6-8434-51382f409fe2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609B912E</paraID>
      <start>0</start>
      <end>3</end>
      <status>unmodified</status>
      <modifiedWord/>
      <trackRevisions>false</trackRevisions>
    </reviewItem>
    <reviewItem>
      <errorID>d2385936-d232-4b5d-89c2-66e3bebe5671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32781960</paraID>
      <start>0</start>
      <end>3</end>
      <status>unmodified</status>
      <modifiedWord/>
      <trackRevisions>false</trackRevisions>
    </reviewItem>
    <reviewItem>
      <errorID>ff036e28-a13f-480d-8844-2cf439583e24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680F30D4</paraID>
      <start>0</start>
      <end>3</end>
      <status>unmodified</status>
      <modifiedWord/>
      <trackRevisions>false</trackRevisions>
    </reviewItem>
    <reviewItem>
      <errorID>43127c91-8837-44a7-a80e-96b1680b2c80</errorID>
      <errorWord>管理的</errorWord>
      <group>L1_Word</group>
      <groupName>字词问题</groupName>
      <ability>L2_Typo</ability>
      <abilityName>字词错误</abilityName>
      <candidateList>
        <item>管理</item>
      </candidateList>
      <explain>〈动〉❶负责某项工作使顺利进行：～财务｜～国家大事。❷保管和料理：～图书｜公园～处。❸照管并约束（人或动物）：～罪犯｜～牲口。</explain>
      <paraID>713F28D9</paraID>
      <start>56</start>
      <end>59</end>
      <status>unmodified</status>
      <modifiedWord/>
      <trackRevisions>false</trackRevisions>
    </reviewItem>
    <reviewItem>
      <errorID>7d917dce-aaca-4ead-804a-3c26b01a5eba</errorID>
      <errorWord>提供对</errorWord>
      <group>L1_Word</group>
      <groupName>字词问题</groupName>
      <ability>L2_Typo</ability>
      <abilityName>字词错误</abilityName>
      <candidateList>
        <item>提供</item>
      </candidateList>
      <explain/>
      <paraID>343E7EBF</paraID>
      <start>7</start>
      <end>10</end>
      <status>unmodified</status>
      <modifiedWord/>
      <trackRevisions>false</trackRevisions>
    </reviewItem>
    <reviewItem>
      <errorID>cd92033c-e01f-42cf-b2f4-d316d1c8f6f4</errorID>
      <errorWord>详实</errorWord>
      <group>L1_Word</group>
      <groupName>字词问题</groupName>
      <ability>L2_Typo</ability>
      <abilityName>字词错误</abilityName>
      <candidateList>
        <item>翔实</item>
      </candidateList>
      <explain/>
      <paraID>267C592F</paraID>
      <start>113</start>
      <end>115</end>
      <status>unmodified</status>
      <modifiedWord/>
      <trackRevisions>false</trackRevisions>
    </reviewItem>
    <reviewItem>
      <errorID>eed37978-5db9-41c0-9b9a-d1eaf0703c59</errorID>
      <errorWord>系统中</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3BD53748</paraID>
      <start>17</start>
      <end>20</end>
      <status>unmodified</status>
      <modifiedWord/>
      <trackRevisions>false</trackRevisions>
    </reviewItem>
    <reviewItem>
      <errorID>8516ec65-54d3-4dc2-834f-78a2ae45341d</errorID>
      <errorWord>（</errorWord>
      <group>L1_Format</group>
      <groupName>格式问题</groupName>
      <ability>L2_HalfPunc</ability>
      <abilityName>全半角检查</abilityName>
      <candidateList>
        <item>(</item>
      </candidateList>
      <explain>文本全半角错误。</explain>
      <paraID>6A1178AC</paraID>
      <start>0</start>
      <end>1</end>
      <status>unmodified</status>
      <modifiedWord/>
      <trackRevisions>false</trackRevisions>
    </reviewItem>
    <reviewItem>
      <errorID>d31ddf3b-5097-45b1-815a-535e432e68d0</errorID>
      <errorWord>）</errorWord>
      <group>L1_Format</group>
      <groupName>格式问题</groupName>
      <ability>L2_HalfPunc</ability>
      <abilityName>全半角检查</abilityName>
      <candidateList>
        <item>)</item>
      </candidateList>
      <explain>文本全半角错误。</explain>
      <paraID>6A1178AC</paraID>
      <start>4</start>
      <end>5</end>
      <status>unmodified</status>
      <modifiedWord/>
      <trackRevisions>false</trackRevisions>
    </reviewItem>
    <reviewItem>
      <errorID>f2da2b04-25bf-4467-afc8-44ad385bd263</errorID>
      <errorWord>（</errorWord>
      <group>L1_Format</group>
      <groupName>格式问题</groupName>
      <ability>L2_HalfPunc</ability>
      <abilityName>全半角检查</abilityName>
      <candidateList>
        <item>(</item>
      </candidateList>
      <explain>文本全半角错误。</explain>
      <paraID>48BB9D59</paraID>
      <start>0</start>
      <end>1</end>
      <status>unmodified</status>
      <modifiedWord/>
      <trackRevisions>false</trackRevisions>
    </reviewItem>
    <reviewItem>
      <errorID>549c4dd6-8fab-46ed-aa8f-fefe7f433e9f</errorID>
      <errorWord>）</errorWord>
      <group>L1_Format</group>
      <groupName>格式问题</groupName>
      <ability>L2_HalfPunc</ability>
      <abilityName>全半角检查</abilityName>
      <candidateList>
        <item>)</item>
      </candidateList>
      <explain>文本全半角错误。</explain>
      <paraID>48BB9D59</paraID>
      <start>2</start>
      <end>3</end>
      <status>unmodified</status>
      <modifiedWord/>
      <trackRevisions>false</trackRevisions>
    </reviewItem>
    <reviewItem>
      <errorID>5ca9e3fb-4fa0-4752-8faa-e69f3acd64e3</errorID>
      <errorWord>（</errorWord>
      <group>L1_Format</group>
      <groupName>格式问题</groupName>
      <ability>L2_HalfPunc</ability>
      <abilityName>全半角检查</abilityName>
      <candidateList>
        <item>(</item>
      </candidateList>
      <explain>文本全半角错误。</explain>
      <paraID>4C0C074F</paraID>
      <start>0</start>
      <end>1</end>
      <status>unmodified</status>
      <modifiedWord/>
      <trackRevisions>false</trackRevisions>
    </reviewItem>
    <reviewItem>
      <errorID>b9f66e9d-7003-4948-8a63-69fdd436f97d</errorID>
      <errorWord>）</errorWord>
      <group>L1_Format</group>
      <groupName>格式问题</groupName>
      <ability>L2_HalfPunc</ability>
      <abilityName>全半角检查</abilityName>
      <candidateList>
        <item>)</item>
      </candidateList>
      <explain>文本全半角错误。</explain>
      <paraID>4C0C074F</paraID>
      <start>3</start>
      <end>4</end>
      <status>unmodified</status>
      <modifiedWord/>
      <trackRevisions>false</trackRevisions>
    </reviewItem>
    <reviewItem>
      <errorID>3ae67e15-ccf8-42c6-b30c-129a56bbf456</errorID>
      <errorWord>做出</errorWord>
      <group>L1_Word</group>
      <groupName>字词问题</groupName>
      <ability>L2_Typo</ability>
      <abilityName>字词错误</abilityName>
      <candidateList>
        <item>作出</item>
      </candidateList>
      <explain/>
      <paraID>12C31ACC</paraID>
      <start>27</start>
      <end>29</end>
      <status>unmodified</status>
      <modifiedWord/>
      <trackRevisions>false</trackRevisions>
    </reviewItem>
    <reviewItem>
      <errorID>fbb30a12-c044-4fd3-b686-4fa4884dd179</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5810BB95</paraID>
      <start>0</start>
      <end>2</end>
      <status>unmodified</status>
      <modifiedWord/>
      <trackRevisions>false</trackRevisions>
    </reviewItem>
    <reviewItem>
      <errorID>9ac32331-19d9-440c-85d3-c855335ad54f</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728B246C</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5db167-08aa-458b-9e86-846fd7ccfcf4}">
  <ds:schemaRefs/>
</ds:datastoreItem>
</file>

<file path=docProps/app.xml><?xml version="1.0" encoding="utf-8"?>
<Properties xmlns="http://schemas.openxmlformats.org/officeDocument/2006/extended-properties" xmlns:vt="http://schemas.openxmlformats.org/officeDocument/2006/docPropsVTypes">
  <Template>Normal</Template>
  <Company>Lenovo (Beij</Company>
  <Pages>116</Pages>
  <Words>30170</Words>
  <Characters>31893</Characters>
  <Lines>1</Lines>
  <Paragraphs>1</Paragraphs>
  <TotalTime>100</TotalTime>
  <ScaleCrop>false</ScaleCrop>
  <LinksUpToDate>false</LinksUpToDate>
  <CharactersWithSpaces>32632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2024-09-29T00:49:00Z</dcterms:created>
  <dc:creator>Adminis</dc:creator>
  <cp:lastModifiedBy>相度咨询</cp:lastModifiedBy>
  <dcterms:modified xsi:type="dcterms:W3CDTF">2026-04-28T08:49:45Z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1151C5FF6C054B438D5994890A2F7158_13</vt:lpwstr>
  </property>
  <property fmtid="{D5CDD505-2E9C-101B-9397-08002B2CF9AE}" pid="4" name="KSOTemplateDocerSaveRecord">
    <vt:lpwstr>eyJoZGlkIjoiMjYyZmZlM2RiNzNkODYzMmRmMzE4MjFlOTcxMTVjYTIiLCJ1c2VySWQiOiIzMDIxMTIwMyJ9</vt:lpwstr>
  </property>
</Properties>
</file>