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5CEBC3">
      <w:pPr>
        <w:pStyle w:val="308"/>
        <w:ind w:firstLine="0"/>
        <w:rPr>
          <w:rFonts w:ascii="宋体" w:hAnsi="宋体" w:cs="宋体"/>
          <w:b/>
          <w:bCs/>
          <w:sz w:val="84"/>
        </w:rPr>
      </w:pPr>
    </w:p>
    <w:p w14:paraId="6BCD6829">
      <w:pPr>
        <w:pStyle w:val="308"/>
        <w:ind w:firstLine="0"/>
        <w:jc w:val="center"/>
        <w:rPr>
          <w:rFonts w:ascii="宋体" w:hAnsi="宋体" w:cs="宋体"/>
          <w:b/>
          <w:bCs/>
          <w:sz w:val="84"/>
        </w:rPr>
      </w:pPr>
      <w:r>
        <w:rPr>
          <w:rFonts w:hint="eastAsia" w:ascii="宋体" w:hAnsi="宋体" w:cs="宋体"/>
          <w:b/>
          <w:bCs/>
          <w:sz w:val="84"/>
        </w:rPr>
        <w:t>招标文件</w:t>
      </w:r>
    </w:p>
    <w:p w14:paraId="4221E24F">
      <w:pPr>
        <w:pStyle w:val="308"/>
        <w:ind w:firstLine="2249"/>
        <w:rPr>
          <w:rFonts w:ascii="宋体" w:hAnsi="宋体" w:cs="宋体"/>
          <w:b/>
          <w:bCs/>
          <w:sz w:val="32"/>
        </w:rPr>
      </w:pPr>
    </w:p>
    <w:p w14:paraId="28F3BC74">
      <w:pPr>
        <w:pStyle w:val="308"/>
        <w:ind w:firstLine="2249"/>
        <w:rPr>
          <w:rFonts w:ascii="宋体" w:hAnsi="宋体" w:cs="宋体"/>
          <w:b/>
          <w:bCs/>
          <w:spacing w:val="-20"/>
          <w:sz w:val="32"/>
        </w:rPr>
      </w:pPr>
    </w:p>
    <w:p w14:paraId="29917A1F">
      <w:pPr>
        <w:pStyle w:val="308"/>
        <w:ind w:firstLine="643"/>
        <w:jc w:val="both"/>
        <w:rPr>
          <w:rFonts w:ascii="宋体" w:hAnsi="宋体" w:cs="宋体"/>
          <w:b/>
          <w:bCs/>
          <w:sz w:val="32"/>
        </w:rPr>
      </w:pPr>
      <w:r>
        <w:rPr>
          <w:rFonts w:hint="eastAsia" w:ascii="宋体" w:hAnsi="宋体" w:cs="宋体"/>
          <w:b/>
          <w:bCs/>
          <w:sz w:val="32"/>
        </w:rPr>
        <w:t>项目名称：宝应县人民医院健康管理随访中心信息化平台采购项目（二次）</w:t>
      </w:r>
    </w:p>
    <w:p w14:paraId="4D06B1C8">
      <w:pPr>
        <w:ind w:firstLine="643"/>
        <w:rPr>
          <w:rFonts w:ascii="宋体" w:hAnsi="宋体" w:cs="宋体"/>
          <w:b/>
          <w:bCs/>
          <w:sz w:val="32"/>
          <w:szCs w:val="24"/>
        </w:rPr>
      </w:pPr>
      <w:r>
        <w:rPr>
          <w:rFonts w:hint="eastAsia" w:ascii="宋体" w:hAnsi="宋体" w:cs="宋体"/>
          <w:b/>
          <w:bCs/>
          <w:sz w:val="32"/>
          <w:szCs w:val="24"/>
        </w:rPr>
        <w:t>项目编号：JSZC-321023-SHGK-G2026-0022</w:t>
      </w:r>
    </w:p>
    <w:p w14:paraId="14DF1A2E">
      <w:pPr>
        <w:pStyle w:val="2"/>
        <w:rPr>
          <w:rFonts w:hAnsi="宋体"/>
          <w:color w:val="auto"/>
        </w:rPr>
      </w:pPr>
    </w:p>
    <w:p w14:paraId="4DFC05FD">
      <w:pPr>
        <w:pStyle w:val="308"/>
        <w:ind w:firstLine="643"/>
        <w:rPr>
          <w:rFonts w:ascii="宋体" w:hAnsi="宋体" w:cs="宋体"/>
          <w:b/>
          <w:bCs/>
          <w:sz w:val="32"/>
        </w:rPr>
      </w:pPr>
      <w:r>
        <w:rPr>
          <w:rFonts w:hint="eastAsia" w:ascii="宋体" w:hAnsi="宋体" w:cs="宋体"/>
          <w:b/>
          <w:bCs/>
          <w:sz w:val="32"/>
        </w:rPr>
        <w:t>代理机构编号：1214-264102034WDX</w:t>
      </w:r>
    </w:p>
    <w:p w14:paraId="587EAC5A">
      <w:pPr>
        <w:pStyle w:val="308"/>
        <w:ind w:firstLine="643"/>
        <w:rPr>
          <w:rFonts w:ascii="宋体" w:hAnsi="宋体" w:cs="宋体"/>
          <w:b/>
          <w:bCs/>
          <w:sz w:val="32"/>
        </w:rPr>
      </w:pPr>
    </w:p>
    <w:p w14:paraId="0EA6D2B0">
      <w:pPr>
        <w:pStyle w:val="308"/>
        <w:spacing w:before="0" w:after="0"/>
        <w:ind w:firstLine="0"/>
        <w:rPr>
          <w:rFonts w:ascii="宋体" w:hAnsi="宋体" w:cs="宋体"/>
        </w:rPr>
      </w:pPr>
    </w:p>
    <w:p w14:paraId="30ED632F">
      <w:pPr>
        <w:pStyle w:val="308"/>
        <w:spacing w:before="0" w:after="0"/>
        <w:ind w:firstLine="0"/>
        <w:rPr>
          <w:rFonts w:ascii="宋体" w:hAnsi="宋体" w:cs="宋体"/>
        </w:rPr>
      </w:pPr>
    </w:p>
    <w:p w14:paraId="1E02D339">
      <w:pPr>
        <w:pStyle w:val="308"/>
        <w:spacing w:before="0" w:after="0"/>
        <w:ind w:firstLine="0"/>
        <w:rPr>
          <w:rFonts w:ascii="宋体" w:hAnsi="宋体" w:cs="宋体"/>
        </w:rPr>
      </w:pPr>
    </w:p>
    <w:p w14:paraId="6D6E00AE">
      <w:pPr>
        <w:pStyle w:val="308"/>
        <w:spacing w:before="0" w:after="0"/>
        <w:ind w:firstLine="0"/>
        <w:rPr>
          <w:rFonts w:ascii="宋体" w:hAnsi="宋体" w:cs="宋体"/>
        </w:rPr>
      </w:pPr>
    </w:p>
    <w:p w14:paraId="301CFE49">
      <w:pPr>
        <w:adjustRightInd w:val="0"/>
        <w:spacing w:before="120" w:after="120" w:line="360" w:lineRule="auto"/>
        <w:jc w:val="center"/>
        <w:textAlignment w:val="baseline"/>
        <w:rPr>
          <w:rFonts w:ascii="宋体" w:hAnsi="宋体" w:cs="宋体"/>
          <w:b/>
          <w:bCs/>
          <w:sz w:val="32"/>
          <w:szCs w:val="24"/>
        </w:rPr>
      </w:pPr>
    </w:p>
    <w:p w14:paraId="6353FFB9">
      <w:pPr>
        <w:adjustRightInd w:val="0"/>
        <w:spacing w:before="120" w:after="120" w:line="360" w:lineRule="auto"/>
        <w:jc w:val="center"/>
        <w:textAlignment w:val="baseline"/>
        <w:rPr>
          <w:rFonts w:ascii="宋体" w:hAnsi="宋体" w:cs="宋体"/>
          <w:b/>
          <w:bCs/>
          <w:sz w:val="32"/>
          <w:szCs w:val="24"/>
        </w:rPr>
      </w:pPr>
      <w:r>
        <w:rPr>
          <w:rFonts w:hint="eastAsia" w:ascii="宋体" w:hAnsi="宋体" w:cs="宋体"/>
          <w:b/>
          <w:bCs/>
          <w:sz w:val="32"/>
          <w:szCs w:val="24"/>
        </w:rPr>
        <w:t>江苏苏豪创新科技集团高科有</w:t>
      </w:r>
      <w:bookmarkStart w:id="160" w:name="_GoBack"/>
      <w:bookmarkEnd w:id="160"/>
      <w:r>
        <w:rPr>
          <w:rFonts w:hint="eastAsia" w:ascii="宋体" w:hAnsi="宋体" w:cs="宋体"/>
          <w:b/>
          <w:bCs/>
          <w:sz w:val="32"/>
          <w:szCs w:val="24"/>
        </w:rPr>
        <w:t>限公司</w:t>
      </w:r>
    </w:p>
    <w:p w14:paraId="288647CE">
      <w:pPr>
        <w:pStyle w:val="308"/>
        <w:ind w:firstLine="0"/>
        <w:jc w:val="center"/>
        <w:rPr>
          <w:rFonts w:ascii="宋体" w:hAnsi="宋体" w:cs="宋体"/>
          <w:u w:val="single"/>
        </w:rPr>
      </w:pPr>
      <w:r>
        <w:rPr>
          <w:rFonts w:hint="eastAsia" w:ascii="宋体" w:hAnsi="宋体" w:cs="宋体"/>
          <w:b/>
          <w:bCs/>
          <w:sz w:val="32"/>
        </w:rPr>
        <w:t>2026年</w:t>
      </w:r>
      <w:r>
        <w:rPr>
          <w:rFonts w:ascii="宋体" w:hAnsi="宋体" w:cs="宋体"/>
          <w:b/>
          <w:bCs/>
          <w:sz w:val="32"/>
        </w:rPr>
        <w:t>2</w:t>
      </w:r>
      <w:r>
        <w:rPr>
          <w:rFonts w:hint="eastAsia" w:ascii="宋体" w:hAnsi="宋体" w:cs="宋体"/>
          <w:b/>
          <w:bCs/>
          <w:sz w:val="32"/>
        </w:rPr>
        <w:t>月</w:t>
      </w:r>
    </w:p>
    <w:p w14:paraId="427D7D62">
      <w:pPr>
        <w:pStyle w:val="308"/>
        <w:ind w:firstLine="0"/>
        <w:jc w:val="center"/>
        <w:rPr>
          <w:rFonts w:ascii="宋体" w:hAnsi="宋体" w:cs="宋体"/>
        </w:rPr>
      </w:pPr>
    </w:p>
    <w:p w14:paraId="633FE062">
      <w:pPr>
        <w:spacing w:line="480" w:lineRule="auto"/>
        <w:jc w:val="center"/>
        <w:outlineLvl w:val="0"/>
        <w:rPr>
          <w:rFonts w:ascii="宋体" w:hAnsi="宋体" w:cs="宋体"/>
          <w:b/>
          <w:sz w:val="44"/>
        </w:rPr>
      </w:pPr>
      <w:r>
        <w:rPr>
          <w:rFonts w:hint="eastAsia" w:ascii="宋体" w:hAnsi="宋体" w:cs="宋体"/>
        </w:rPr>
        <w:br w:type="page" w:clear="all"/>
      </w:r>
      <w:bookmarkStart w:id="0" w:name="_Toc23787"/>
      <w:bookmarkStart w:id="1" w:name="_Toc120614210"/>
      <w:bookmarkStart w:id="2" w:name="_Toc513029200"/>
      <w:bookmarkStart w:id="3" w:name="_Toc523127445"/>
      <w:bookmarkStart w:id="4" w:name="_Toc16938516"/>
      <w:bookmarkStart w:id="5" w:name="_Toc479757206"/>
      <w:bookmarkStart w:id="6" w:name="_Toc20823272"/>
      <w:r>
        <w:rPr>
          <w:rFonts w:hint="eastAsia" w:ascii="宋体" w:hAnsi="宋体" w:cs="宋体"/>
          <w:b/>
          <w:sz w:val="44"/>
        </w:rPr>
        <w:t>总  目  录</w:t>
      </w:r>
      <w:bookmarkEnd w:id="0"/>
    </w:p>
    <w:p w14:paraId="248FE9E4">
      <w:pPr>
        <w:spacing w:line="480" w:lineRule="auto"/>
        <w:rPr>
          <w:rFonts w:ascii="宋体" w:hAnsi="宋体" w:cs="宋体"/>
          <w:b/>
          <w:sz w:val="28"/>
        </w:rPr>
      </w:pPr>
    </w:p>
    <w:sdt>
      <w:sdtPr>
        <w:rPr>
          <w:rFonts w:ascii="宋体" w:hAnsi="宋体"/>
        </w:rPr>
        <w:id w:val="147451605"/>
        <w15:color w:val="DBDBDB"/>
        <w:docPartObj>
          <w:docPartGallery w:val="Table of Contents"/>
          <w:docPartUnique/>
        </w:docPartObj>
      </w:sdtPr>
      <w:sdtEndPr>
        <w:rPr>
          <w:rFonts w:hint="eastAsia" w:ascii="宋体" w:hAnsi="宋体" w:cs="宋体"/>
        </w:rPr>
      </w:sdtEndPr>
      <w:sdtContent>
        <w:p w14:paraId="400CA4F2">
          <w:pPr>
            <w:jc w:val="center"/>
          </w:pPr>
          <w:r>
            <w:rPr>
              <w:rFonts w:ascii="宋体" w:hAnsi="宋体"/>
            </w:rPr>
            <w:t>目录</w:t>
          </w:r>
        </w:p>
        <w:p w14:paraId="4020BEF1">
          <w:pPr>
            <w:pStyle w:val="28"/>
            <w:tabs>
              <w:tab w:val="right" w:leader="dot" w:pos="8731"/>
            </w:tabs>
          </w:pPr>
          <w:r>
            <w:rPr>
              <w:rFonts w:hint="eastAsia" w:ascii="宋体" w:hAnsi="宋体" w:cs="宋体"/>
            </w:rPr>
            <w:fldChar w:fldCharType="begin"/>
          </w:r>
          <w:r>
            <w:rPr>
              <w:rFonts w:hint="eastAsia" w:ascii="宋体" w:hAnsi="宋体" w:cs="宋体"/>
            </w:rPr>
            <w:instrText xml:space="preserve">TOC \o "1-3" \h \u </w:instrText>
          </w:r>
          <w:r>
            <w:rPr>
              <w:rFonts w:hint="eastAsia" w:ascii="宋体" w:hAnsi="宋体" w:cs="宋体"/>
            </w:rPr>
            <w:fldChar w:fldCharType="separate"/>
          </w:r>
          <w:r>
            <w:fldChar w:fldCharType="begin"/>
          </w:r>
          <w:r>
            <w:instrText xml:space="preserve"> HYPERLINK \l "_Toc23787" </w:instrText>
          </w:r>
          <w:r>
            <w:fldChar w:fldCharType="separate"/>
          </w:r>
          <w:r>
            <w:rPr>
              <w:rFonts w:hint="eastAsia" w:ascii="宋体" w:hAnsi="宋体" w:cs="宋体"/>
            </w:rPr>
            <w:t>总  目  录</w:t>
          </w:r>
          <w:r>
            <w:tab/>
          </w:r>
          <w:r>
            <w:fldChar w:fldCharType="begin"/>
          </w:r>
          <w:r>
            <w:instrText xml:space="preserve"> PAGEREF _Toc23787 \h </w:instrText>
          </w:r>
          <w:r>
            <w:fldChar w:fldCharType="separate"/>
          </w:r>
          <w:r>
            <w:t>2</w:t>
          </w:r>
          <w:r>
            <w:fldChar w:fldCharType="end"/>
          </w:r>
          <w:r>
            <w:fldChar w:fldCharType="end"/>
          </w:r>
        </w:p>
        <w:p w14:paraId="4349F406">
          <w:pPr>
            <w:pStyle w:val="28"/>
            <w:tabs>
              <w:tab w:val="right" w:leader="dot" w:pos="8731"/>
            </w:tabs>
          </w:pPr>
          <w:r>
            <w:fldChar w:fldCharType="begin"/>
          </w:r>
          <w:r>
            <w:instrText xml:space="preserve"> HYPERLINK \l "_Toc22635" </w:instrText>
          </w:r>
          <w:r>
            <w:fldChar w:fldCharType="separate"/>
          </w:r>
          <w:r>
            <w:rPr>
              <w:rFonts w:hint="eastAsia" w:ascii="宋体" w:hAnsi="宋体" w:cs="宋体"/>
              <w:szCs w:val="44"/>
            </w:rPr>
            <w:t>第一章  投标邀请</w:t>
          </w:r>
          <w:r>
            <w:tab/>
          </w:r>
          <w:r>
            <w:fldChar w:fldCharType="begin"/>
          </w:r>
          <w:r>
            <w:instrText xml:space="preserve"> PAGEREF _Toc22635 \h </w:instrText>
          </w:r>
          <w:r>
            <w:fldChar w:fldCharType="separate"/>
          </w:r>
          <w:r>
            <w:t>5</w:t>
          </w:r>
          <w:r>
            <w:fldChar w:fldCharType="end"/>
          </w:r>
          <w:r>
            <w:fldChar w:fldCharType="end"/>
          </w:r>
        </w:p>
        <w:p w14:paraId="0723672B">
          <w:pPr>
            <w:pStyle w:val="34"/>
            <w:tabs>
              <w:tab w:val="right" w:leader="dot" w:pos="8731"/>
            </w:tabs>
          </w:pPr>
          <w:r>
            <w:fldChar w:fldCharType="begin"/>
          </w:r>
          <w:r>
            <w:instrText xml:space="preserve"> HYPERLINK \l "_Toc22660" </w:instrText>
          </w:r>
          <w:r>
            <w:fldChar w:fldCharType="separate"/>
          </w:r>
          <w:r>
            <w:rPr>
              <w:rFonts w:hint="eastAsia"/>
            </w:rPr>
            <w:t>一、项目基本情况</w:t>
          </w:r>
          <w:r>
            <w:tab/>
          </w:r>
          <w:r>
            <w:fldChar w:fldCharType="begin"/>
          </w:r>
          <w:r>
            <w:instrText xml:space="preserve"> PAGEREF _Toc22660 \h </w:instrText>
          </w:r>
          <w:r>
            <w:fldChar w:fldCharType="separate"/>
          </w:r>
          <w:r>
            <w:t>5</w:t>
          </w:r>
          <w:r>
            <w:fldChar w:fldCharType="end"/>
          </w:r>
          <w:r>
            <w:fldChar w:fldCharType="end"/>
          </w:r>
        </w:p>
        <w:p w14:paraId="7439A00E">
          <w:pPr>
            <w:pStyle w:val="34"/>
            <w:tabs>
              <w:tab w:val="right" w:leader="dot" w:pos="8731"/>
            </w:tabs>
          </w:pPr>
          <w:r>
            <w:fldChar w:fldCharType="begin"/>
          </w:r>
          <w:r>
            <w:instrText xml:space="preserve"> HYPERLINK \l "_Toc10655" </w:instrText>
          </w:r>
          <w:r>
            <w:fldChar w:fldCharType="separate"/>
          </w:r>
          <w:r>
            <w:rPr>
              <w:rFonts w:hint="eastAsia"/>
            </w:rPr>
            <w:t>二、申请人的资格要求：</w:t>
          </w:r>
          <w:r>
            <w:tab/>
          </w:r>
          <w:r>
            <w:fldChar w:fldCharType="begin"/>
          </w:r>
          <w:r>
            <w:instrText xml:space="preserve"> PAGEREF _Toc10655 \h </w:instrText>
          </w:r>
          <w:r>
            <w:fldChar w:fldCharType="separate"/>
          </w:r>
          <w:r>
            <w:t>5</w:t>
          </w:r>
          <w:r>
            <w:fldChar w:fldCharType="end"/>
          </w:r>
          <w:r>
            <w:fldChar w:fldCharType="end"/>
          </w:r>
        </w:p>
        <w:p w14:paraId="61BE2535">
          <w:pPr>
            <w:pStyle w:val="34"/>
            <w:tabs>
              <w:tab w:val="right" w:leader="dot" w:pos="8731"/>
            </w:tabs>
          </w:pPr>
          <w:r>
            <w:fldChar w:fldCharType="begin"/>
          </w:r>
          <w:r>
            <w:instrText xml:space="preserve"> HYPERLINK \l "_Toc1674" </w:instrText>
          </w:r>
          <w:r>
            <w:fldChar w:fldCharType="separate"/>
          </w:r>
          <w:r>
            <w:rPr>
              <w:rFonts w:hint="eastAsia"/>
            </w:rPr>
            <w:t>三、获取招标文件</w:t>
          </w:r>
          <w:r>
            <w:tab/>
          </w:r>
          <w:r>
            <w:fldChar w:fldCharType="begin"/>
          </w:r>
          <w:r>
            <w:instrText xml:space="preserve"> PAGEREF _Toc1674 \h </w:instrText>
          </w:r>
          <w:r>
            <w:fldChar w:fldCharType="separate"/>
          </w:r>
          <w:r>
            <w:t>5</w:t>
          </w:r>
          <w:r>
            <w:fldChar w:fldCharType="end"/>
          </w:r>
          <w:r>
            <w:fldChar w:fldCharType="end"/>
          </w:r>
        </w:p>
        <w:p w14:paraId="56A6404A">
          <w:pPr>
            <w:pStyle w:val="34"/>
            <w:tabs>
              <w:tab w:val="right" w:leader="dot" w:pos="8731"/>
            </w:tabs>
          </w:pPr>
          <w:r>
            <w:fldChar w:fldCharType="begin"/>
          </w:r>
          <w:r>
            <w:instrText xml:space="preserve"> HYPERLINK \l "_Toc29122" </w:instrText>
          </w:r>
          <w:r>
            <w:fldChar w:fldCharType="separate"/>
          </w:r>
          <w:r>
            <w:rPr>
              <w:rFonts w:hint="eastAsia"/>
            </w:rPr>
            <w:t>四、提交投标文件截止时间、开标时间和地点</w:t>
          </w:r>
          <w:r>
            <w:tab/>
          </w:r>
          <w:r>
            <w:fldChar w:fldCharType="begin"/>
          </w:r>
          <w:r>
            <w:instrText xml:space="preserve"> PAGEREF _Toc29122 \h </w:instrText>
          </w:r>
          <w:r>
            <w:fldChar w:fldCharType="separate"/>
          </w:r>
          <w:r>
            <w:t>6</w:t>
          </w:r>
          <w:r>
            <w:fldChar w:fldCharType="end"/>
          </w:r>
          <w:r>
            <w:fldChar w:fldCharType="end"/>
          </w:r>
        </w:p>
        <w:p w14:paraId="42FD2F26">
          <w:pPr>
            <w:pStyle w:val="34"/>
            <w:tabs>
              <w:tab w:val="right" w:leader="dot" w:pos="8731"/>
            </w:tabs>
          </w:pPr>
          <w:r>
            <w:fldChar w:fldCharType="begin"/>
          </w:r>
          <w:r>
            <w:instrText xml:space="preserve"> HYPERLINK \l "_Toc4640" </w:instrText>
          </w:r>
          <w:r>
            <w:fldChar w:fldCharType="separate"/>
          </w:r>
          <w:r>
            <w:rPr>
              <w:rFonts w:hint="eastAsia"/>
            </w:rPr>
            <w:t>五、公告期限</w:t>
          </w:r>
          <w:r>
            <w:tab/>
          </w:r>
          <w:r>
            <w:fldChar w:fldCharType="begin"/>
          </w:r>
          <w:r>
            <w:instrText xml:space="preserve"> PAGEREF _Toc4640 \h </w:instrText>
          </w:r>
          <w:r>
            <w:fldChar w:fldCharType="separate"/>
          </w:r>
          <w:r>
            <w:t>6</w:t>
          </w:r>
          <w:r>
            <w:fldChar w:fldCharType="end"/>
          </w:r>
          <w:r>
            <w:fldChar w:fldCharType="end"/>
          </w:r>
        </w:p>
        <w:p w14:paraId="06069D99">
          <w:pPr>
            <w:pStyle w:val="34"/>
            <w:tabs>
              <w:tab w:val="right" w:leader="dot" w:pos="8731"/>
            </w:tabs>
          </w:pPr>
          <w:r>
            <w:fldChar w:fldCharType="begin"/>
          </w:r>
          <w:r>
            <w:instrText xml:space="preserve"> HYPERLINK \l "_Toc4904" </w:instrText>
          </w:r>
          <w:r>
            <w:fldChar w:fldCharType="separate"/>
          </w:r>
          <w:r>
            <w:rPr>
              <w:rFonts w:hint="eastAsia"/>
            </w:rPr>
            <w:t>六、其他补充事宜</w:t>
          </w:r>
          <w:r>
            <w:tab/>
          </w:r>
          <w:r>
            <w:fldChar w:fldCharType="begin"/>
          </w:r>
          <w:r>
            <w:instrText xml:space="preserve"> PAGEREF _Toc4904 \h </w:instrText>
          </w:r>
          <w:r>
            <w:fldChar w:fldCharType="separate"/>
          </w:r>
          <w:r>
            <w:t>6</w:t>
          </w:r>
          <w:r>
            <w:fldChar w:fldCharType="end"/>
          </w:r>
          <w:r>
            <w:fldChar w:fldCharType="end"/>
          </w:r>
        </w:p>
        <w:p w14:paraId="46D8B36C">
          <w:pPr>
            <w:pStyle w:val="34"/>
            <w:tabs>
              <w:tab w:val="right" w:leader="dot" w:pos="8731"/>
            </w:tabs>
          </w:pPr>
          <w:r>
            <w:fldChar w:fldCharType="begin"/>
          </w:r>
          <w:r>
            <w:instrText xml:space="preserve"> HYPERLINK \l "_Toc4376" </w:instrText>
          </w:r>
          <w:r>
            <w:fldChar w:fldCharType="separate"/>
          </w:r>
          <w:r>
            <w:rPr>
              <w:rFonts w:hint="eastAsia"/>
            </w:rPr>
            <w:t>七、本次招标联系方式</w:t>
          </w:r>
          <w:r>
            <w:tab/>
          </w:r>
          <w:r>
            <w:fldChar w:fldCharType="begin"/>
          </w:r>
          <w:r>
            <w:instrText xml:space="preserve"> PAGEREF _Toc4376 \h </w:instrText>
          </w:r>
          <w:r>
            <w:fldChar w:fldCharType="separate"/>
          </w:r>
          <w:r>
            <w:t>6</w:t>
          </w:r>
          <w:r>
            <w:fldChar w:fldCharType="end"/>
          </w:r>
          <w:r>
            <w:fldChar w:fldCharType="end"/>
          </w:r>
        </w:p>
        <w:p w14:paraId="026822F6">
          <w:pPr>
            <w:pStyle w:val="28"/>
            <w:tabs>
              <w:tab w:val="right" w:leader="dot" w:pos="8731"/>
            </w:tabs>
          </w:pPr>
          <w:r>
            <w:fldChar w:fldCharType="begin"/>
          </w:r>
          <w:r>
            <w:instrText xml:space="preserve"> HYPERLINK \l "_Toc24034" </w:instrText>
          </w:r>
          <w:r>
            <w:fldChar w:fldCharType="separate"/>
          </w:r>
          <w:r>
            <w:rPr>
              <w:rFonts w:hint="eastAsia" w:ascii="宋体" w:hAnsi="宋体" w:cs="宋体"/>
            </w:rPr>
            <w:t>第二章  投标人须知</w:t>
          </w:r>
          <w:r>
            <w:tab/>
          </w:r>
          <w:r>
            <w:fldChar w:fldCharType="begin"/>
          </w:r>
          <w:r>
            <w:instrText xml:space="preserve"> PAGEREF _Toc24034 \h </w:instrText>
          </w:r>
          <w:r>
            <w:fldChar w:fldCharType="separate"/>
          </w:r>
          <w:r>
            <w:t>8</w:t>
          </w:r>
          <w:r>
            <w:fldChar w:fldCharType="end"/>
          </w:r>
          <w:r>
            <w:fldChar w:fldCharType="end"/>
          </w:r>
        </w:p>
        <w:p w14:paraId="7011D9FB">
          <w:pPr>
            <w:pStyle w:val="34"/>
            <w:tabs>
              <w:tab w:val="right" w:leader="dot" w:pos="8731"/>
            </w:tabs>
          </w:pPr>
          <w:r>
            <w:fldChar w:fldCharType="begin"/>
          </w:r>
          <w:r>
            <w:instrText xml:space="preserve"> HYPERLINK \l "_Toc1696" </w:instrText>
          </w:r>
          <w:r>
            <w:fldChar w:fldCharType="separate"/>
          </w:r>
          <w:r>
            <w:rPr>
              <w:rFonts w:hint="eastAsia"/>
            </w:rPr>
            <w:t>一、总则</w:t>
          </w:r>
          <w:r>
            <w:tab/>
          </w:r>
          <w:r>
            <w:fldChar w:fldCharType="begin"/>
          </w:r>
          <w:r>
            <w:instrText xml:space="preserve"> PAGEREF _Toc1696 \h </w:instrText>
          </w:r>
          <w:r>
            <w:fldChar w:fldCharType="separate"/>
          </w:r>
          <w:r>
            <w:t>8</w:t>
          </w:r>
          <w:r>
            <w:fldChar w:fldCharType="end"/>
          </w:r>
          <w:r>
            <w:fldChar w:fldCharType="end"/>
          </w:r>
        </w:p>
        <w:p w14:paraId="77E46F3D">
          <w:pPr>
            <w:pStyle w:val="21"/>
            <w:tabs>
              <w:tab w:val="right" w:leader="dot" w:pos="8731"/>
            </w:tabs>
          </w:pPr>
          <w:r>
            <w:fldChar w:fldCharType="begin"/>
          </w:r>
          <w:r>
            <w:instrText xml:space="preserve"> HYPERLINK \l "_Toc30275" </w:instrText>
          </w:r>
          <w:r>
            <w:fldChar w:fldCharType="separate"/>
          </w:r>
          <w:r>
            <w:rPr>
              <w:rFonts w:hint="eastAsia" w:ascii="宋体" w:hAnsi="宋体" w:cs="宋体"/>
              <w:szCs w:val="24"/>
            </w:rPr>
            <w:t>1.招标方式</w:t>
          </w:r>
          <w:r>
            <w:tab/>
          </w:r>
          <w:r>
            <w:fldChar w:fldCharType="begin"/>
          </w:r>
          <w:r>
            <w:instrText xml:space="preserve"> PAGEREF _Toc30275 \h </w:instrText>
          </w:r>
          <w:r>
            <w:fldChar w:fldCharType="separate"/>
          </w:r>
          <w:r>
            <w:t>8</w:t>
          </w:r>
          <w:r>
            <w:fldChar w:fldCharType="end"/>
          </w:r>
          <w:r>
            <w:fldChar w:fldCharType="end"/>
          </w:r>
        </w:p>
        <w:p w14:paraId="118C6E13">
          <w:pPr>
            <w:pStyle w:val="21"/>
            <w:tabs>
              <w:tab w:val="right" w:leader="dot" w:pos="8731"/>
            </w:tabs>
          </w:pPr>
          <w:r>
            <w:fldChar w:fldCharType="begin"/>
          </w:r>
          <w:r>
            <w:instrText xml:space="preserve"> HYPERLINK \l "_Toc25655" </w:instrText>
          </w:r>
          <w:r>
            <w:fldChar w:fldCharType="separate"/>
          </w:r>
          <w:r>
            <w:rPr>
              <w:rFonts w:hint="eastAsia" w:ascii="宋体" w:hAnsi="宋体" w:cs="宋体"/>
              <w:szCs w:val="24"/>
            </w:rPr>
            <w:t>2.合格的投标人</w:t>
          </w:r>
          <w:r>
            <w:tab/>
          </w:r>
          <w:r>
            <w:fldChar w:fldCharType="begin"/>
          </w:r>
          <w:r>
            <w:instrText xml:space="preserve"> PAGEREF _Toc25655 \h </w:instrText>
          </w:r>
          <w:r>
            <w:fldChar w:fldCharType="separate"/>
          </w:r>
          <w:r>
            <w:t>8</w:t>
          </w:r>
          <w:r>
            <w:fldChar w:fldCharType="end"/>
          </w:r>
          <w:r>
            <w:fldChar w:fldCharType="end"/>
          </w:r>
        </w:p>
        <w:p w14:paraId="53678C91">
          <w:pPr>
            <w:pStyle w:val="21"/>
            <w:tabs>
              <w:tab w:val="right" w:leader="dot" w:pos="8731"/>
            </w:tabs>
          </w:pPr>
          <w:r>
            <w:fldChar w:fldCharType="begin"/>
          </w:r>
          <w:r>
            <w:instrText xml:space="preserve"> HYPERLINK \l "_Toc13430" </w:instrText>
          </w:r>
          <w:r>
            <w:fldChar w:fldCharType="separate"/>
          </w:r>
          <w:r>
            <w:rPr>
              <w:rFonts w:hint="eastAsia" w:ascii="宋体" w:hAnsi="宋体" w:cs="宋体"/>
              <w:szCs w:val="24"/>
            </w:rPr>
            <w:t>3.适用法律</w:t>
          </w:r>
          <w:r>
            <w:tab/>
          </w:r>
          <w:r>
            <w:fldChar w:fldCharType="begin"/>
          </w:r>
          <w:r>
            <w:instrText xml:space="preserve"> PAGEREF _Toc13430 \h </w:instrText>
          </w:r>
          <w:r>
            <w:fldChar w:fldCharType="separate"/>
          </w:r>
          <w:r>
            <w:t>8</w:t>
          </w:r>
          <w:r>
            <w:fldChar w:fldCharType="end"/>
          </w:r>
          <w:r>
            <w:fldChar w:fldCharType="end"/>
          </w:r>
        </w:p>
        <w:p w14:paraId="46888352">
          <w:pPr>
            <w:pStyle w:val="21"/>
            <w:tabs>
              <w:tab w:val="right" w:leader="dot" w:pos="8731"/>
            </w:tabs>
          </w:pPr>
          <w:r>
            <w:fldChar w:fldCharType="begin"/>
          </w:r>
          <w:r>
            <w:instrText xml:space="preserve"> HYPERLINK \l "_Toc17241" </w:instrText>
          </w:r>
          <w:r>
            <w:fldChar w:fldCharType="separate"/>
          </w:r>
          <w:r>
            <w:rPr>
              <w:rFonts w:hint="eastAsia" w:ascii="宋体" w:hAnsi="宋体" w:cs="宋体"/>
              <w:szCs w:val="24"/>
            </w:rPr>
            <w:t>4.投标费用</w:t>
          </w:r>
          <w:r>
            <w:tab/>
          </w:r>
          <w:r>
            <w:fldChar w:fldCharType="begin"/>
          </w:r>
          <w:r>
            <w:instrText xml:space="preserve"> PAGEREF _Toc17241 \h </w:instrText>
          </w:r>
          <w:r>
            <w:fldChar w:fldCharType="separate"/>
          </w:r>
          <w:r>
            <w:t>8</w:t>
          </w:r>
          <w:r>
            <w:fldChar w:fldCharType="end"/>
          </w:r>
          <w:r>
            <w:fldChar w:fldCharType="end"/>
          </w:r>
        </w:p>
        <w:p w14:paraId="7E22C929">
          <w:pPr>
            <w:pStyle w:val="21"/>
            <w:tabs>
              <w:tab w:val="right" w:leader="dot" w:pos="8731"/>
            </w:tabs>
          </w:pPr>
          <w:r>
            <w:fldChar w:fldCharType="begin"/>
          </w:r>
          <w:r>
            <w:instrText xml:space="preserve"> HYPERLINK \l "_Toc28160" </w:instrText>
          </w:r>
          <w:r>
            <w:fldChar w:fldCharType="separate"/>
          </w:r>
          <w:r>
            <w:rPr>
              <w:rFonts w:hint="eastAsia" w:ascii="宋体" w:hAnsi="宋体" w:cs="宋体"/>
              <w:szCs w:val="24"/>
            </w:rPr>
            <w:t>5.招标文件的约束力</w:t>
          </w:r>
          <w:r>
            <w:tab/>
          </w:r>
          <w:r>
            <w:fldChar w:fldCharType="begin"/>
          </w:r>
          <w:r>
            <w:instrText xml:space="preserve"> PAGEREF _Toc28160 \h </w:instrText>
          </w:r>
          <w:r>
            <w:fldChar w:fldCharType="separate"/>
          </w:r>
          <w:r>
            <w:t>8</w:t>
          </w:r>
          <w:r>
            <w:fldChar w:fldCharType="end"/>
          </w:r>
          <w:r>
            <w:fldChar w:fldCharType="end"/>
          </w:r>
        </w:p>
        <w:p w14:paraId="178C2B13">
          <w:pPr>
            <w:pStyle w:val="34"/>
            <w:tabs>
              <w:tab w:val="right" w:leader="dot" w:pos="8731"/>
            </w:tabs>
          </w:pPr>
          <w:r>
            <w:fldChar w:fldCharType="begin"/>
          </w:r>
          <w:r>
            <w:instrText xml:space="preserve"> HYPERLINK \l "_Toc9608" </w:instrText>
          </w:r>
          <w:r>
            <w:fldChar w:fldCharType="separate"/>
          </w:r>
          <w:r>
            <w:rPr>
              <w:rFonts w:hint="eastAsia"/>
            </w:rPr>
            <w:t>二、招标文件</w:t>
          </w:r>
          <w:r>
            <w:tab/>
          </w:r>
          <w:r>
            <w:fldChar w:fldCharType="begin"/>
          </w:r>
          <w:r>
            <w:instrText xml:space="preserve"> PAGEREF _Toc9608 \h </w:instrText>
          </w:r>
          <w:r>
            <w:fldChar w:fldCharType="separate"/>
          </w:r>
          <w:r>
            <w:t>8</w:t>
          </w:r>
          <w:r>
            <w:fldChar w:fldCharType="end"/>
          </w:r>
          <w:r>
            <w:fldChar w:fldCharType="end"/>
          </w:r>
        </w:p>
        <w:p w14:paraId="775D3112">
          <w:pPr>
            <w:pStyle w:val="21"/>
            <w:tabs>
              <w:tab w:val="right" w:leader="dot" w:pos="8731"/>
            </w:tabs>
          </w:pPr>
          <w:r>
            <w:fldChar w:fldCharType="begin"/>
          </w:r>
          <w:r>
            <w:instrText xml:space="preserve"> HYPERLINK \l "_Toc24615" </w:instrText>
          </w:r>
          <w:r>
            <w:fldChar w:fldCharType="separate"/>
          </w:r>
          <w:r>
            <w:rPr>
              <w:rFonts w:hint="eastAsia" w:ascii="宋体" w:hAnsi="宋体" w:cs="宋体"/>
              <w:szCs w:val="24"/>
            </w:rPr>
            <w:t>6.招标文件构成</w:t>
          </w:r>
          <w:r>
            <w:tab/>
          </w:r>
          <w:r>
            <w:fldChar w:fldCharType="begin"/>
          </w:r>
          <w:r>
            <w:instrText xml:space="preserve"> PAGEREF _Toc24615 \h </w:instrText>
          </w:r>
          <w:r>
            <w:fldChar w:fldCharType="separate"/>
          </w:r>
          <w:r>
            <w:t>8</w:t>
          </w:r>
          <w:r>
            <w:fldChar w:fldCharType="end"/>
          </w:r>
          <w:r>
            <w:fldChar w:fldCharType="end"/>
          </w:r>
        </w:p>
        <w:p w14:paraId="4D307015">
          <w:pPr>
            <w:pStyle w:val="21"/>
            <w:tabs>
              <w:tab w:val="right" w:leader="dot" w:pos="8731"/>
            </w:tabs>
          </w:pPr>
          <w:r>
            <w:fldChar w:fldCharType="begin"/>
          </w:r>
          <w:r>
            <w:instrText xml:space="preserve"> HYPERLINK \l "_Toc13721" </w:instrText>
          </w:r>
          <w:r>
            <w:fldChar w:fldCharType="separate"/>
          </w:r>
          <w:r>
            <w:rPr>
              <w:rFonts w:hint="eastAsia" w:ascii="宋体" w:hAnsi="宋体" w:cs="宋体"/>
              <w:szCs w:val="24"/>
            </w:rPr>
            <w:t>7.招标文件的澄清</w:t>
          </w:r>
          <w:r>
            <w:tab/>
          </w:r>
          <w:r>
            <w:fldChar w:fldCharType="begin"/>
          </w:r>
          <w:r>
            <w:instrText xml:space="preserve"> PAGEREF _Toc13721 \h </w:instrText>
          </w:r>
          <w:r>
            <w:fldChar w:fldCharType="separate"/>
          </w:r>
          <w:r>
            <w:t>9</w:t>
          </w:r>
          <w:r>
            <w:fldChar w:fldCharType="end"/>
          </w:r>
          <w:r>
            <w:fldChar w:fldCharType="end"/>
          </w:r>
        </w:p>
        <w:p w14:paraId="5648A8E0">
          <w:pPr>
            <w:pStyle w:val="21"/>
            <w:tabs>
              <w:tab w:val="right" w:leader="dot" w:pos="8731"/>
            </w:tabs>
          </w:pPr>
          <w:r>
            <w:fldChar w:fldCharType="begin"/>
          </w:r>
          <w:r>
            <w:instrText xml:space="preserve"> HYPERLINK \l "_Toc27268" </w:instrText>
          </w:r>
          <w:r>
            <w:fldChar w:fldCharType="separate"/>
          </w:r>
          <w:r>
            <w:rPr>
              <w:rFonts w:hint="eastAsia" w:ascii="宋体" w:hAnsi="宋体" w:cs="宋体"/>
              <w:szCs w:val="24"/>
            </w:rPr>
            <w:t>8.招标文件的修改</w:t>
          </w:r>
          <w:r>
            <w:tab/>
          </w:r>
          <w:r>
            <w:fldChar w:fldCharType="begin"/>
          </w:r>
          <w:r>
            <w:instrText xml:space="preserve"> PAGEREF _Toc27268 \h </w:instrText>
          </w:r>
          <w:r>
            <w:fldChar w:fldCharType="separate"/>
          </w:r>
          <w:r>
            <w:t>9</w:t>
          </w:r>
          <w:r>
            <w:fldChar w:fldCharType="end"/>
          </w:r>
          <w:r>
            <w:fldChar w:fldCharType="end"/>
          </w:r>
        </w:p>
        <w:p w14:paraId="3C836BA6">
          <w:pPr>
            <w:pStyle w:val="34"/>
            <w:tabs>
              <w:tab w:val="right" w:leader="dot" w:pos="8731"/>
            </w:tabs>
          </w:pPr>
          <w:r>
            <w:fldChar w:fldCharType="begin"/>
          </w:r>
          <w:r>
            <w:instrText xml:space="preserve"> HYPERLINK \l "_Toc7280" </w:instrText>
          </w:r>
          <w:r>
            <w:fldChar w:fldCharType="separate"/>
          </w:r>
          <w:r>
            <w:rPr>
              <w:rFonts w:hint="eastAsia"/>
            </w:rPr>
            <w:t>三、投标文件的编制</w:t>
          </w:r>
          <w:r>
            <w:tab/>
          </w:r>
          <w:r>
            <w:fldChar w:fldCharType="begin"/>
          </w:r>
          <w:r>
            <w:instrText xml:space="preserve"> PAGEREF _Toc7280 \h </w:instrText>
          </w:r>
          <w:r>
            <w:fldChar w:fldCharType="separate"/>
          </w:r>
          <w:r>
            <w:t>9</w:t>
          </w:r>
          <w:r>
            <w:fldChar w:fldCharType="end"/>
          </w:r>
          <w:r>
            <w:fldChar w:fldCharType="end"/>
          </w:r>
        </w:p>
        <w:p w14:paraId="18C583B8">
          <w:pPr>
            <w:pStyle w:val="21"/>
            <w:tabs>
              <w:tab w:val="right" w:leader="dot" w:pos="8731"/>
            </w:tabs>
          </w:pPr>
          <w:r>
            <w:fldChar w:fldCharType="begin"/>
          </w:r>
          <w:r>
            <w:instrText xml:space="preserve"> HYPERLINK \l "_Toc855" </w:instrText>
          </w:r>
          <w:r>
            <w:fldChar w:fldCharType="separate"/>
          </w:r>
          <w:r>
            <w:rPr>
              <w:rFonts w:hint="eastAsia" w:ascii="宋体" w:hAnsi="宋体" w:cs="宋体"/>
              <w:szCs w:val="24"/>
            </w:rPr>
            <w:t>9.投标文件的语言及度量衡单位</w:t>
          </w:r>
          <w:r>
            <w:tab/>
          </w:r>
          <w:r>
            <w:fldChar w:fldCharType="begin"/>
          </w:r>
          <w:r>
            <w:instrText xml:space="preserve"> PAGEREF _Toc855 \h </w:instrText>
          </w:r>
          <w:r>
            <w:fldChar w:fldCharType="separate"/>
          </w:r>
          <w:r>
            <w:t>9</w:t>
          </w:r>
          <w:r>
            <w:fldChar w:fldCharType="end"/>
          </w:r>
          <w:r>
            <w:fldChar w:fldCharType="end"/>
          </w:r>
        </w:p>
        <w:p w14:paraId="6C5AD719">
          <w:pPr>
            <w:pStyle w:val="21"/>
            <w:tabs>
              <w:tab w:val="right" w:leader="dot" w:pos="8731"/>
            </w:tabs>
          </w:pPr>
          <w:r>
            <w:fldChar w:fldCharType="begin"/>
          </w:r>
          <w:r>
            <w:instrText xml:space="preserve"> HYPERLINK \l "_Toc19597" </w:instrText>
          </w:r>
          <w:r>
            <w:fldChar w:fldCharType="separate"/>
          </w:r>
          <w:r>
            <w:rPr>
              <w:rFonts w:hint="eastAsia" w:ascii="宋体" w:hAnsi="宋体" w:cs="宋体"/>
              <w:szCs w:val="24"/>
            </w:rPr>
            <w:t>10.投标文件构成</w:t>
          </w:r>
          <w:r>
            <w:tab/>
          </w:r>
          <w:r>
            <w:fldChar w:fldCharType="begin"/>
          </w:r>
          <w:r>
            <w:instrText xml:space="preserve"> PAGEREF _Toc19597 \h </w:instrText>
          </w:r>
          <w:r>
            <w:fldChar w:fldCharType="separate"/>
          </w:r>
          <w:r>
            <w:t>9</w:t>
          </w:r>
          <w:r>
            <w:fldChar w:fldCharType="end"/>
          </w:r>
          <w:r>
            <w:fldChar w:fldCharType="end"/>
          </w:r>
        </w:p>
        <w:p w14:paraId="73FACF31">
          <w:pPr>
            <w:pStyle w:val="21"/>
            <w:tabs>
              <w:tab w:val="right" w:leader="dot" w:pos="8731"/>
            </w:tabs>
          </w:pPr>
          <w:r>
            <w:fldChar w:fldCharType="begin"/>
          </w:r>
          <w:r>
            <w:instrText xml:space="preserve"> HYPERLINK \l "_Toc23385" </w:instrText>
          </w:r>
          <w:r>
            <w:fldChar w:fldCharType="separate"/>
          </w:r>
          <w:r>
            <w:rPr>
              <w:rFonts w:hint="eastAsia" w:ascii="宋体" w:hAnsi="宋体" w:cs="宋体"/>
              <w:szCs w:val="24"/>
            </w:rPr>
            <w:t>11.证明投标人及投标标的符合招标文件规定的文件</w:t>
          </w:r>
          <w:r>
            <w:tab/>
          </w:r>
          <w:r>
            <w:fldChar w:fldCharType="begin"/>
          </w:r>
          <w:r>
            <w:instrText xml:space="preserve"> PAGEREF _Toc23385 \h </w:instrText>
          </w:r>
          <w:r>
            <w:fldChar w:fldCharType="separate"/>
          </w:r>
          <w:r>
            <w:t>9</w:t>
          </w:r>
          <w:r>
            <w:fldChar w:fldCharType="end"/>
          </w:r>
          <w:r>
            <w:fldChar w:fldCharType="end"/>
          </w:r>
        </w:p>
        <w:p w14:paraId="77EB8767">
          <w:pPr>
            <w:pStyle w:val="21"/>
            <w:tabs>
              <w:tab w:val="right" w:leader="dot" w:pos="8731"/>
            </w:tabs>
          </w:pPr>
          <w:r>
            <w:fldChar w:fldCharType="begin"/>
          </w:r>
          <w:r>
            <w:instrText xml:space="preserve"> HYPERLINK \l "_Toc796" </w:instrText>
          </w:r>
          <w:r>
            <w:fldChar w:fldCharType="separate"/>
          </w:r>
          <w:r>
            <w:rPr>
              <w:rFonts w:hint="eastAsia" w:ascii="宋体" w:hAnsi="宋体" w:cs="宋体"/>
              <w:szCs w:val="24"/>
            </w:rPr>
            <w:t>12.投标分项报价表</w:t>
          </w:r>
          <w:r>
            <w:tab/>
          </w:r>
          <w:r>
            <w:fldChar w:fldCharType="begin"/>
          </w:r>
          <w:r>
            <w:instrText xml:space="preserve"> PAGEREF _Toc796 \h </w:instrText>
          </w:r>
          <w:r>
            <w:fldChar w:fldCharType="separate"/>
          </w:r>
          <w:r>
            <w:t>9</w:t>
          </w:r>
          <w:r>
            <w:fldChar w:fldCharType="end"/>
          </w:r>
          <w:r>
            <w:fldChar w:fldCharType="end"/>
          </w:r>
        </w:p>
        <w:p w14:paraId="21B67D52">
          <w:pPr>
            <w:pStyle w:val="21"/>
            <w:tabs>
              <w:tab w:val="right" w:leader="dot" w:pos="8731"/>
            </w:tabs>
          </w:pPr>
          <w:r>
            <w:fldChar w:fldCharType="begin"/>
          </w:r>
          <w:r>
            <w:instrText xml:space="preserve"> HYPERLINK \l "_Toc5394" </w:instrText>
          </w:r>
          <w:r>
            <w:fldChar w:fldCharType="separate"/>
          </w:r>
          <w:r>
            <w:rPr>
              <w:rFonts w:hint="eastAsia" w:ascii="宋体" w:hAnsi="宋体" w:cs="宋体"/>
              <w:szCs w:val="24"/>
            </w:rPr>
            <w:t>13.技术要求响应及偏离表、商务合同响应及偏离表</w:t>
          </w:r>
          <w:r>
            <w:tab/>
          </w:r>
          <w:r>
            <w:fldChar w:fldCharType="begin"/>
          </w:r>
          <w:r>
            <w:instrText xml:space="preserve"> PAGEREF _Toc5394 \h </w:instrText>
          </w:r>
          <w:r>
            <w:fldChar w:fldCharType="separate"/>
          </w:r>
          <w:r>
            <w:t>10</w:t>
          </w:r>
          <w:r>
            <w:fldChar w:fldCharType="end"/>
          </w:r>
          <w:r>
            <w:fldChar w:fldCharType="end"/>
          </w:r>
        </w:p>
        <w:p w14:paraId="70F272DA">
          <w:pPr>
            <w:pStyle w:val="21"/>
            <w:tabs>
              <w:tab w:val="right" w:leader="dot" w:pos="8731"/>
            </w:tabs>
          </w:pPr>
          <w:r>
            <w:fldChar w:fldCharType="begin"/>
          </w:r>
          <w:r>
            <w:instrText xml:space="preserve"> HYPERLINK \l "_Toc29282" </w:instrText>
          </w:r>
          <w:r>
            <w:fldChar w:fldCharType="separate"/>
          </w:r>
          <w:r>
            <w:rPr>
              <w:rFonts w:hint="eastAsia" w:ascii="宋体" w:hAnsi="宋体" w:cs="宋体"/>
              <w:szCs w:val="24"/>
            </w:rPr>
            <w:t>14.服务承诺、培训计划、人员安排及其他</w:t>
          </w:r>
          <w:r>
            <w:tab/>
          </w:r>
          <w:r>
            <w:fldChar w:fldCharType="begin"/>
          </w:r>
          <w:r>
            <w:instrText xml:space="preserve"> PAGEREF _Toc29282 \h </w:instrText>
          </w:r>
          <w:r>
            <w:fldChar w:fldCharType="separate"/>
          </w:r>
          <w:r>
            <w:t>10</w:t>
          </w:r>
          <w:r>
            <w:fldChar w:fldCharType="end"/>
          </w:r>
          <w:r>
            <w:fldChar w:fldCharType="end"/>
          </w:r>
        </w:p>
        <w:p w14:paraId="202CFAA7">
          <w:pPr>
            <w:pStyle w:val="21"/>
            <w:tabs>
              <w:tab w:val="right" w:leader="dot" w:pos="8731"/>
            </w:tabs>
          </w:pPr>
          <w:r>
            <w:fldChar w:fldCharType="begin"/>
          </w:r>
          <w:r>
            <w:instrText xml:space="preserve"> HYPERLINK \l "_Toc21512" </w:instrText>
          </w:r>
          <w:r>
            <w:fldChar w:fldCharType="separate"/>
          </w:r>
          <w:r>
            <w:rPr>
              <w:rFonts w:hint="eastAsia" w:ascii="宋体" w:hAnsi="宋体" w:cs="宋体"/>
              <w:szCs w:val="24"/>
            </w:rPr>
            <w:t>15.投标函和开标一览表</w:t>
          </w:r>
          <w:r>
            <w:tab/>
          </w:r>
          <w:r>
            <w:fldChar w:fldCharType="begin"/>
          </w:r>
          <w:r>
            <w:instrText xml:space="preserve"> PAGEREF _Toc21512 \h </w:instrText>
          </w:r>
          <w:r>
            <w:fldChar w:fldCharType="separate"/>
          </w:r>
          <w:r>
            <w:t>10</w:t>
          </w:r>
          <w:r>
            <w:fldChar w:fldCharType="end"/>
          </w:r>
          <w:r>
            <w:fldChar w:fldCharType="end"/>
          </w:r>
        </w:p>
        <w:p w14:paraId="78988A0B">
          <w:pPr>
            <w:pStyle w:val="21"/>
            <w:tabs>
              <w:tab w:val="right" w:leader="dot" w:pos="8731"/>
            </w:tabs>
          </w:pPr>
          <w:r>
            <w:fldChar w:fldCharType="begin"/>
          </w:r>
          <w:r>
            <w:instrText xml:space="preserve"> HYPERLINK \l "_Toc26818" </w:instrText>
          </w:r>
          <w:r>
            <w:fldChar w:fldCharType="separate"/>
          </w:r>
          <w:r>
            <w:rPr>
              <w:rFonts w:hint="eastAsia" w:ascii="宋体" w:hAnsi="宋体" w:cs="宋体"/>
              <w:szCs w:val="24"/>
            </w:rPr>
            <w:t>16.投标有效期</w:t>
          </w:r>
          <w:r>
            <w:tab/>
          </w:r>
          <w:r>
            <w:fldChar w:fldCharType="begin"/>
          </w:r>
          <w:r>
            <w:instrText xml:space="preserve"> PAGEREF _Toc26818 \h </w:instrText>
          </w:r>
          <w:r>
            <w:fldChar w:fldCharType="separate"/>
          </w:r>
          <w:r>
            <w:t>10</w:t>
          </w:r>
          <w:r>
            <w:fldChar w:fldCharType="end"/>
          </w:r>
          <w:r>
            <w:fldChar w:fldCharType="end"/>
          </w:r>
        </w:p>
        <w:p w14:paraId="0EF4BCBD">
          <w:pPr>
            <w:pStyle w:val="21"/>
            <w:tabs>
              <w:tab w:val="right" w:leader="dot" w:pos="8731"/>
            </w:tabs>
          </w:pPr>
          <w:r>
            <w:fldChar w:fldCharType="begin"/>
          </w:r>
          <w:r>
            <w:instrText xml:space="preserve"> HYPERLINK \l "_Toc19009" </w:instrText>
          </w:r>
          <w:r>
            <w:fldChar w:fldCharType="separate"/>
          </w:r>
          <w:r>
            <w:rPr>
              <w:rFonts w:hint="eastAsia" w:ascii="宋体" w:hAnsi="宋体" w:cs="宋体"/>
              <w:szCs w:val="24"/>
            </w:rPr>
            <w:t>17.投标有效期的延长</w:t>
          </w:r>
          <w:r>
            <w:tab/>
          </w:r>
          <w:r>
            <w:fldChar w:fldCharType="begin"/>
          </w:r>
          <w:r>
            <w:instrText xml:space="preserve"> PAGEREF _Toc19009 \h </w:instrText>
          </w:r>
          <w:r>
            <w:fldChar w:fldCharType="separate"/>
          </w:r>
          <w:r>
            <w:t>10</w:t>
          </w:r>
          <w:r>
            <w:fldChar w:fldCharType="end"/>
          </w:r>
          <w:r>
            <w:fldChar w:fldCharType="end"/>
          </w:r>
        </w:p>
        <w:p w14:paraId="5DF95222">
          <w:pPr>
            <w:pStyle w:val="34"/>
            <w:tabs>
              <w:tab w:val="right" w:leader="dot" w:pos="8731"/>
            </w:tabs>
          </w:pPr>
          <w:r>
            <w:fldChar w:fldCharType="begin"/>
          </w:r>
          <w:r>
            <w:instrText xml:space="preserve"> HYPERLINK \l "_Toc8363" </w:instrText>
          </w:r>
          <w:r>
            <w:fldChar w:fldCharType="separate"/>
          </w:r>
          <w:r>
            <w:rPr>
              <w:rFonts w:hint="eastAsia"/>
            </w:rPr>
            <w:t>四、投标文件的递交</w:t>
          </w:r>
          <w:r>
            <w:tab/>
          </w:r>
          <w:r>
            <w:fldChar w:fldCharType="begin"/>
          </w:r>
          <w:r>
            <w:instrText xml:space="preserve"> PAGEREF _Toc8363 \h </w:instrText>
          </w:r>
          <w:r>
            <w:fldChar w:fldCharType="separate"/>
          </w:r>
          <w:r>
            <w:t>10</w:t>
          </w:r>
          <w:r>
            <w:fldChar w:fldCharType="end"/>
          </w:r>
          <w:r>
            <w:fldChar w:fldCharType="end"/>
          </w:r>
        </w:p>
        <w:p w14:paraId="40D0DA63">
          <w:pPr>
            <w:pStyle w:val="21"/>
            <w:tabs>
              <w:tab w:val="right" w:leader="dot" w:pos="8731"/>
            </w:tabs>
          </w:pPr>
          <w:r>
            <w:fldChar w:fldCharType="begin"/>
          </w:r>
          <w:r>
            <w:instrText xml:space="preserve"> HYPERLINK \l "_Toc24298" </w:instrText>
          </w:r>
          <w:r>
            <w:fldChar w:fldCharType="separate"/>
          </w:r>
          <w:r>
            <w:rPr>
              <w:rFonts w:hint="eastAsia" w:ascii="宋体" w:hAnsi="宋体" w:cs="宋体"/>
              <w:szCs w:val="24"/>
            </w:rPr>
            <w:t>18.</w:t>
          </w:r>
          <w:r>
            <w:rPr>
              <w:rFonts w:hint="eastAsia" w:ascii="宋体" w:hAnsi="宋体" w:cs="宋体"/>
              <w:szCs w:val="24"/>
              <w:lang w:val="zh-CN"/>
            </w:rPr>
            <w:t>电子投标文件的递交</w:t>
          </w:r>
          <w:r>
            <w:tab/>
          </w:r>
          <w:r>
            <w:fldChar w:fldCharType="begin"/>
          </w:r>
          <w:r>
            <w:instrText xml:space="preserve"> PAGEREF _Toc24298 \h </w:instrText>
          </w:r>
          <w:r>
            <w:fldChar w:fldCharType="separate"/>
          </w:r>
          <w:r>
            <w:t>10</w:t>
          </w:r>
          <w:r>
            <w:fldChar w:fldCharType="end"/>
          </w:r>
          <w:r>
            <w:fldChar w:fldCharType="end"/>
          </w:r>
        </w:p>
        <w:p w14:paraId="2756E15B">
          <w:pPr>
            <w:pStyle w:val="21"/>
            <w:tabs>
              <w:tab w:val="right" w:leader="dot" w:pos="8731"/>
            </w:tabs>
          </w:pPr>
          <w:r>
            <w:fldChar w:fldCharType="begin"/>
          </w:r>
          <w:r>
            <w:instrText xml:space="preserve"> HYPERLINK \l "_Toc2346" </w:instrText>
          </w:r>
          <w:r>
            <w:fldChar w:fldCharType="separate"/>
          </w:r>
          <w:r>
            <w:rPr>
              <w:rFonts w:hint="eastAsia" w:ascii="宋体" w:hAnsi="宋体" w:cs="宋体"/>
              <w:szCs w:val="24"/>
            </w:rPr>
            <w:t>19.投标截止时间</w:t>
          </w:r>
          <w:r>
            <w:tab/>
          </w:r>
          <w:r>
            <w:fldChar w:fldCharType="begin"/>
          </w:r>
          <w:r>
            <w:instrText xml:space="preserve"> PAGEREF _Toc2346 \h </w:instrText>
          </w:r>
          <w:r>
            <w:fldChar w:fldCharType="separate"/>
          </w:r>
          <w:r>
            <w:t>10</w:t>
          </w:r>
          <w:r>
            <w:fldChar w:fldCharType="end"/>
          </w:r>
          <w:r>
            <w:fldChar w:fldCharType="end"/>
          </w:r>
        </w:p>
        <w:p w14:paraId="4B102E49">
          <w:pPr>
            <w:pStyle w:val="21"/>
            <w:tabs>
              <w:tab w:val="right" w:leader="dot" w:pos="8731"/>
            </w:tabs>
          </w:pPr>
          <w:r>
            <w:fldChar w:fldCharType="begin"/>
          </w:r>
          <w:r>
            <w:instrText xml:space="preserve"> HYPERLINK \l "_Toc7969" </w:instrText>
          </w:r>
          <w:r>
            <w:fldChar w:fldCharType="separate"/>
          </w:r>
          <w:r>
            <w:rPr>
              <w:rFonts w:hint="eastAsia" w:ascii="宋体" w:hAnsi="宋体" w:cs="宋体"/>
              <w:szCs w:val="24"/>
            </w:rPr>
            <w:t>20.投标文件的拒收</w:t>
          </w:r>
          <w:r>
            <w:tab/>
          </w:r>
          <w:r>
            <w:fldChar w:fldCharType="begin"/>
          </w:r>
          <w:r>
            <w:instrText xml:space="preserve"> PAGEREF _Toc7969 \h </w:instrText>
          </w:r>
          <w:r>
            <w:fldChar w:fldCharType="separate"/>
          </w:r>
          <w:r>
            <w:t>10</w:t>
          </w:r>
          <w:r>
            <w:fldChar w:fldCharType="end"/>
          </w:r>
          <w:r>
            <w:fldChar w:fldCharType="end"/>
          </w:r>
        </w:p>
        <w:p w14:paraId="46CC7246">
          <w:pPr>
            <w:pStyle w:val="21"/>
            <w:tabs>
              <w:tab w:val="right" w:leader="dot" w:pos="8731"/>
            </w:tabs>
          </w:pPr>
          <w:r>
            <w:fldChar w:fldCharType="begin"/>
          </w:r>
          <w:r>
            <w:instrText xml:space="preserve"> HYPERLINK \l "_Toc5123" </w:instrText>
          </w:r>
          <w:r>
            <w:fldChar w:fldCharType="separate"/>
          </w:r>
          <w:r>
            <w:rPr>
              <w:rFonts w:hint="eastAsia" w:ascii="宋体" w:hAnsi="宋体" w:cs="宋体"/>
              <w:szCs w:val="24"/>
            </w:rPr>
            <w:t>21.投标文件的撤回和修改</w:t>
          </w:r>
          <w:r>
            <w:tab/>
          </w:r>
          <w:r>
            <w:fldChar w:fldCharType="begin"/>
          </w:r>
          <w:r>
            <w:instrText xml:space="preserve"> PAGEREF _Toc5123 \h </w:instrText>
          </w:r>
          <w:r>
            <w:fldChar w:fldCharType="separate"/>
          </w:r>
          <w:r>
            <w:t>11</w:t>
          </w:r>
          <w:r>
            <w:fldChar w:fldCharType="end"/>
          </w:r>
          <w:r>
            <w:fldChar w:fldCharType="end"/>
          </w:r>
        </w:p>
        <w:p w14:paraId="2C48B369">
          <w:pPr>
            <w:pStyle w:val="34"/>
            <w:tabs>
              <w:tab w:val="right" w:leader="dot" w:pos="8731"/>
            </w:tabs>
          </w:pPr>
          <w:r>
            <w:fldChar w:fldCharType="begin"/>
          </w:r>
          <w:r>
            <w:instrText xml:space="preserve"> HYPERLINK \l "_Toc29243" </w:instrText>
          </w:r>
          <w:r>
            <w:fldChar w:fldCharType="separate"/>
          </w:r>
          <w:r>
            <w:rPr>
              <w:rFonts w:hint="eastAsia"/>
            </w:rPr>
            <w:t>五、开标与评标</w:t>
          </w:r>
          <w:r>
            <w:tab/>
          </w:r>
          <w:r>
            <w:fldChar w:fldCharType="begin"/>
          </w:r>
          <w:r>
            <w:instrText xml:space="preserve"> PAGEREF _Toc29243 \h </w:instrText>
          </w:r>
          <w:r>
            <w:fldChar w:fldCharType="separate"/>
          </w:r>
          <w:r>
            <w:t>11</w:t>
          </w:r>
          <w:r>
            <w:fldChar w:fldCharType="end"/>
          </w:r>
          <w:r>
            <w:fldChar w:fldCharType="end"/>
          </w:r>
        </w:p>
        <w:p w14:paraId="7C177DA9">
          <w:pPr>
            <w:pStyle w:val="21"/>
            <w:tabs>
              <w:tab w:val="right" w:leader="dot" w:pos="8731"/>
            </w:tabs>
          </w:pPr>
          <w:r>
            <w:fldChar w:fldCharType="begin"/>
          </w:r>
          <w:r>
            <w:instrText xml:space="preserve"> HYPERLINK \l "_Toc15726" </w:instrText>
          </w:r>
          <w:r>
            <w:fldChar w:fldCharType="separate"/>
          </w:r>
          <w:r>
            <w:rPr>
              <w:rFonts w:hint="eastAsia" w:ascii="宋体" w:hAnsi="宋体" w:cs="宋体"/>
              <w:szCs w:val="24"/>
            </w:rPr>
            <w:t>22.开标</w:t>
          </w:r>
          <w:r>
            <w:tab/>
          </w:r>
          <w:r>
            <w:fldChar w:fldCharType="begin"/>
          </w:r>
          <w:r>
            <w:instrText xml:space="preserve"> PAGEREF _Toc15726 \h </w:instrText>
          </w:r>
          <w:r>
            <w:fldChar w:fldCharType="separate"/>
          </w:r>
          <w:r>
            <w:t>11</w:t>
          </w:r>
          <w:r>
            <w:fldChar w:fldCharType="end"/>
          </w:r>
          <w:r>
            <w:fldChar w:fldCharType="end"/>
          </w:r>
        </w:p>
        <w:p w14:paraId="2C3CB747">
          <w:pPr>
            <w:pStyle w:val="21"/>
            <w:tabs>
              <w:tab w:val="right" w:leader="dot" w:pos="8731"/>
            </w:tabs>
          </w:pPr>
          <w:r>
            <w:fldChar w:fldCharType="begin"/>
          </w:r>
          <w:r>
            <w:instrText xml:space="preserve"> HYPERLINK \l "_Toc5364" </w:instrText>
          </w:r>
          <w:r>
            <w:fldChar w:fldCharType="separate"/>
          </w:r>
          <w:r>
            <w:rPr>
              <w:rFonts w:hint="eastAsia" w:ascii="宋体" w:hAnsi="宋体" w:cs="宋体"/>
              <w:szCs w:val="24"/>
            </w:rPr>
            <w:t>23.评标委员会</w:t>
          </w:r>
          <w:r>
            <w:tab/>
          </w:r>
          <w:r>
            <w:fldChar w:fldCharType="begin"/>
          </w:r>
          <w:r>
            <w:instrText xml:space="preserve"> PAGEREF _Toc5364 \h </w:instrText>
          </w:r>
          <w:r>
            <w:fldChar w:fldCharType="separate"/>
          </w:r>
          <w:r>
            <w:t>11</w:t>
          </w:r>
          <w:r>
            <w:fldChar w:fldCharType="end"/>
          </w:r>
          <w:r>
            <w:fldChar w:fldCharType="end"/>
          </w:r>
        </w:p>
        <w:p w14:paraId="304FF470">
          <w:pPr>
            <w:pStyle w:val="21"/>
            <w:tabs>
              <w:tab w:val="right" w:leader="dot" w:pos="8731"/>
            </w:tabs>
          </w:pPr>
          <w:r>
            <w:fldChar w:fldCharType="begin"/>
          </w:r>
          <w:r>
            <w:instrText xml:space="preserve"> HYPERLINK \l "_Toc25331" </w:instrText>
          </w:r>
          <w:r>
            <w:fldChar w:fldCharType="separate"/>
          </w:r>
          <w:r>
            <w:rPr>
              <w:rFonts w:hint="eastAsia" w:ascii="宋体" w:hAnsi="宋体" w:cs="宋体"/>
              <w:szCs w:val="24"/>
            </w:rPr>
            <w:t>24.评标过程的保密与公正</w:t>
          </w:r>
          <w:r>
            <w:tab/>
          </w:r>
          <w:r>
            <w:fldChar w:fldCharType="begin"/>
          </w:r>
          <w:r>
            <w:instrText xml:space="preserve"> PAGEREF _Toc25331 \h </w:instrText>
          </w:r>
          <w:r>
            <w:fldChar w:fldCharType="separate"/>
          </w:r>
          <w:r>
            <w:t>11</w:t>
          </w:r>
          <w:r>
            <w:fldChar w:fldCharType="end"/>
          </w:r>
          <w:r>
            <w:fldChar w:fldCharType="end"/>
          </w:r>
        </w:p>
        <w:p w14:paraId="066137C5">
          <w:pPr>
            <w:pStyle w:val="21"/>
            <w:tabs>
              <w:tab w:val="right" w:leader="dot" w:pos="8731"/>
            </w:tabs>
          </w:pPr>
          <w:r>
            <w:fldChar w:fldCharType="begin"/>
          </w:r>
          <w:r>
            <w:instrText xml:space="preserve"> HYPERLINK \l "_Toc15216" </w:instrText>
          </w:r>
          <w:r>
            <w:fldChar w:fldCharType="separate"/>
          </w:r>
          <w:r>
            <w:rPr>
              <w:rFonts w:hint="eastAsia" w:ascii="宋体" w:hAnsi="宋体" w:cs="宋体"/>
              <w:szCs w:val="24"/>
            </w:rPr>
            <w:t>25.投标文件的澄清</w:t>
          </w:r>
          <w:r>
            <w:tab/>
          </w:r>
          <w:r>
            <w:fldChar w:fldCharType="begin"/>
          </w:r>
          <w:r>
            <w:instrText xml:space="preserve"> PAGEREF _Toc15216 \h </w:instrText>
          </w:r>
          <w:r>
            <w:fldChar w:fldCharType="separate"/>
          </w:r>
          <w:r>
            <w:t>12</w:t>
          </w:r>
          <w:r>
            <w:fldChar w:fldCharType="end"/>
          </w:r>
          <w:r>
            <w:fldChar w:fldCharType="end"/>
          </w:r>
        </w:p>
        <w:p w14:paraId="5AA53431">
          <w:pPr>
            <w:pStyle w:val="21"/>
            <w:tabs>
              <w:tab w:val="right" w:leader="dot" w:pos="8731"/>
            </w:tabs>
          </w:pPr>
          <w:r>
            <w:fldChar w:fldCharType="begin"/>
          </w:r>
          <w:r>
            <w:instrText xml:space="preserve"> HYPERLINK \l "_Toc27134" </w:instrText>
          </w:r>
          <w:r>
            <w:fldChar w:fldCharType="separate"/>
          </w:r>
          <w:r>
            <w:rPr>
              <w:rFonts w:hint="eastAsia" w:ascii="宋体" w:hAnsi="宋体" w:cs="宋体"/>
              <w:szCs w:val="24"/>
            </w:rPr>
            <w:t>26.对投标文件的初审</w:t>
          </w:r>
          <w:r>
            <w:tab/>
          </w:r>
          <w:r>
            <w:fldChar w:fldCharType="begin"/>
          </w:r>
          <w:r>
            <w:instrText xml:space="preserve"> PAGEREF _Toc27134 \h </w:instrText>
          </w:r>
          <w:r>
            <w:fldChar w:fldCharType="separate"/>
          </w:r>
          <w:r>
            <w:t>12</w:t>
          </w:r>
          <w:r>
            <w:fldChar w:fldCharType="end"/>
          </w:r>
          <w:r>
            <w:fldChar w:fldCharType="end"/>
          </w:r>
        </w:p>
        <w:p w14:paraId="0ED01B6A">
          <w:pPr>
            <w:pStyle w:val="21"/>
            <w:tabs>
              <w:tab w:val="right" w:leader="dot" w:pos="8731"/>
            </w:tabs>
          </w:pPr>
          <w:r>
            <w:fldChar w:fldCharType="begin"/>
          </w:r>
          <w:r>
            <w:instrText xml:space="preserve"> HYPERLINK \l "_Toc30711" </w:instrText>
          </w:r>
          <w:r>
            <w:fldChar w:fldCharType="separate"/>
          </w:r>
          <w:r>
            <w:rPr>
              <w:rFonts w:hint="eastAsia" w:ascii="宋体" w:hAnsi="宋体" w:cs="宋体"/>
              <w:szCs w:val="24"/>
            </w:rPr>
            <w:t>27.无效投标条款和废标条款</w:t>
          </w:r>
          <w:r>
            <w:tab/>
          </w:r>
          <w:r>
            <w:fldChar w:fldCharType="begin"/>
          </w:r>
          <w:r>
            <w:instrText xml:space="preserve"> PAGEREF _Toc30711 \h </w:instrText>
          </w:r>
          <w:r>
            <w:fldChar w:fldCharType="separate"/>
          </w:r>
          <w:r>
            <w:t>13</w:t>
          </w:r>
          <w:r>
            <w:fldChar w:fldCharType="end"/>
          </w:r>
          <w:r>
            <w:fldChar w:fldCharType="end"/>
          </w:r>
        </w:p>
        <w:p w14:paraId="60B85C4A">
          <w:pPr>
            <w:pStyle w:val="34"/>
            <w:tabs>
              <w:tab w:val="right" w:leader="dot" w:pos="8731"/>
            </w:tabs>
          </w:pPr>
          <w:r>
            <w:fldChar w:fldCharType="begin"/>
          </w:r>
          <w:r>
            <w:instrText xml:space="preserve"> HYPERLINK \l "_Toc31766" </w:instrText>
          </w:r>
          <w:r>
            <w:fldChar w:fldCharType="separate"/>
          </w:r>
          <w:r>
            <w:rPr>
              <w:rFonts w:hint="eastAsia"/>
            </w:rPr>
            <w:t>六、定标</w:t>
          </w:r>
          <w:r>
            <w:tab/>
          </w:r>
          <w:r>
            <w:fldChar w:fldCharType="begin"/>
          </w:r>
          <w:r>
            <w:instrText xml:space="preserve"> PAGEREF _Toc31766 \h </w:instrText>
          </w:r>
          <w:r>
            <w:fldChar w:fldCharType="separate"/>
          </w:r>
          <w:r>
            <w:t>14</w:t>
          </w:r>
          <w:r>
            <w:fldChar w:fldCharType="end"/>
          </w:r>
          <w:r>
            <w:fldChar w:fldCharType="end"/>
          </w:r>
        </w:p>
        <w:p w14:paraId="1BB97839">
          <w:pPr>
            <w:pStyle w:val="21"/>
            <w:tabs>
              <w:tab w:val="right" w:leader="dot" w:pos="8731"/>
            </w:tabs>
          </w:pPr>
          <w:r>
            <w:fldChar w:fldCharType="begin"/>
          </w:r>
          <w:r>
            <w:instrText xml:space="preserve"> HYPERLINK \l "_Toc13514" </w:instrText>
          </w:r>
          <w:r>
            <w:fldChar w:fldCharType="separate"/>
          </w:r>
          <w:r>
            <w:rPr>
              <w:rFonts w:hint="eastAsia" w:ascii="宋体" w:hAnsi="宋体" w:cs="宋体"/>
              <w:szCs w:val="24"/>
            </w:rPr>
            <w:t>28.确定中标单位</w:t>
          </w:r>
          <w:r>
            <w:tab/>
          </w:r>
          <w:r>
            <w:fldChar w:fldCharType="begin"/>
          </w:r>
          <w:r>
            <w:instrText xml:space="preserve"> PAGEREF _Toc13514 \h </w:instrText>
          </w:r>
          <w:r>
            <w:fldChar w:fldCharType="separate"/>
          </w:r>
          <w:r>
            <w:t>14</w:t>
          </w:r>
          <w:r>
            <w:fldChar w:fldCharType="end"/>
          </w:r>
          <w:r>
            <w:fldChar w:fldCharType="end"/>
          </w:r>
        </w:p>
        <w:p w14:paraId="3545E76B">
          <w:pPr>
            <w:pStyle w:val="21"/>
            <w:tabs>
              <w:tab w:val="right" w:leader="dot" w:pos="8731"/>
            </w:tabs>
          </w:pPr>
          <w:r>
            <w:fldChar w:fldCharType="begin"/>
          </w:r>
          <w:r>
            <w:instrText xml:space="preserve"> HYPERLINK \l "_Toc3558" </w:instrText>
          </w:r>
          <w:r>
            <w:fldChar w:fldCharType="separate"/>
          </w:r>
          <w:r>
            <w:rPr>
              <w:rFonts w:hint="eastAsia" w:ascii="宋体" w:hAnsi="宋体" w:cs="宋体"/>
              <w:szCs w:val="24"/>
            </w:rPr>
            <w:t>29.质疑处理</w:t>
          </w:r>
          <w:r>
            <w:tab/>
          </w:r>
          <w:r>
            <w:fldChar w:fldCharType="begin"/>
          </w:r>
          <w:r>
            <w:instrText xml:space="preserve"> PAGEREF _Toc3558 \h </w:instrText>
          </w:r>
          <w:r>
            <w:fldChar w:fldCharType="separate"/>
          </w:r>
          <w:r>
            <w:t>14</w:t>
          </w:r>
          <w:r>
            <w:fldChar w:fldCharType="end"/>
          </w:r>
          <w:r>
            <w:fldChar w:fldCharType="end"/>
          </w:r>
        </w:p>
        <w:p w14:paraId="55CBBD00">
          <w:pPr>
            <w:pStyle w:val="21"/>
            <w:tabs>
              <w:tab w:val="right" w:leader="dot" w:pos="8731"/>
            </w:tabs>
          </w:pPr>
          <w:r>
            <w:fldChar w:fldCharType="begin"/>
          </w:r>
          <w:r>
            <w:instrText xml:space="preserve"> HYPERLINK \l "_Toc16787" </w:instrText>
          </w:r>
          <w:r>
            <w:fldChar w:fldCharType="separate"/>
          </w:r>
          <w:r>
            <w:rPr>
              <w:rFonts w:hint="eastAsia" w:ascii="宋体" w:hAnsi="宋体" w:cs="宋体"/>
              <w:szCs w:val="24"/>
            </w:rPr>
            <w:t>30.中标通知书</w:t>
          </w:r>
          <w:r>
            <w:tab/>
          </w:r>
          <w:r>
            <w:fldChar w:fldCharType="begin"/>
          </w:r>
          <w:r>
            <w:instrText xml:space="preserve"> PAGEREF _Toc16787 \h </w:instrText>
          </w:r>
          <w:r>
            <w:fldChar w:fldCharType="separate"/>
          </w:r>
          <w:r>
            <w:t>15</w:t>
          </w:r>
          <w:r>
            <w:fldChar w:fldCharType="end"/>
          </w:r>
          <w:r>
            <w:fldChar w:fldCharType="end"/>
          </w:r>
        </w:p>
        <w:p w14:paraId="041E8DA2">
          <w:pPr>
            <w:pStyle w:val="34"/>
            <w:tabs>
              <w:tab w:val="right" w:leader="dot" w:pos="8731"/>
            </w:tabs>
          </w:pPr>
          <w:r>
            <w:fldChar w:fldCharType="begin"/>
          </w:r>
          <w:r>
            <w:instrText xml:space="preserve"> HYPERLINK \l "_Toc20346" </w:instrText>
          </w:r>
          <w:r>
            <w:fldChar w:fldCharType="separate"/>
          </w:r>
          <w:r>
            <w:rPr>
              <w:rFonts w:hint="eastAsia"/>
            </w:rPr>
            <w:t>七、授予合同</w:t>
          </w:r>
          <w:r>
            <w:tab/>
          </w:r>
          <w:r>
            <w:fldChar w:fldCharType="begin"/>
          </w:r>
          <w:r>
            <w:instrText xml:space="preserve"> PAGEREF _Toc20346 \h </w:instrText>
          </w:r>
          <w:r>
            <w:fldChar w:fldCharType="separate"/>
          </w:r>
          <w:r>
            <w:t>16</w:t>
          </w:r>
          <w:r>
            <w:fldChar w:fldCharType="end"/>
          </w:r>
          <w:r>
            <w:fldChar w:fldCharType="end"/>
          </w:r>
        </w:p>
        <w:p w14:paraId="232C3128">
          <w:pPr>
            <w:pStyle w:val="21"/>
            <w:tabs>
              <w:tab w:val="right" w:leader="dot" w:pos="8731"/>
            </w:tabs>
          </w:pPr>
          <w:r>
            <w:fldChar w:fldCharType="begin"/>
          </w:r>
          <w:r>
            <w:instrText xml:space="preserve"> HYPERLINK \l "_Toc14636" </w:instrText>
          </w:r>
          <w:r>
            <w:fldChar w:fldCharType="separate"/>
          </w:r>
          <w:r>
            <w:rPr>
              <w:rFonts w:hint="eastAsia" w:ascii="宋体" w:hAnsi="宋体" w:cs="宋体"/>
              <w:szCs w:val="24"/>
            </w:rPr>
            <w:t>31. 签订合同</w:t>
          </w:r>
          <w:r>
            <w:tab/>
          </w:r>
          <w:r>
            <w:fldChar w:fldCharType="begin"/>
          </w:r>
          <w:r>
            <w:instrText xml:space="preserve"> PAGEREF _Toc14636 \h </w:instrText>
          </w:r>
          <w:r>
            <w:fldChar w:fldCharType="separate"/>
          </w:r>
          <w:r>
            <w:t>16</w:t>
          </w:r>
          <w:r>
            <w:fldChar w:fldCharType="end"/>
          </w:r>
          <w:r>
            <w:fldChar w:fldCharType="end"/>
          </w:r>
        </w:p>
        <w:p w14:paraId="716692EF">
          <w:pPr>
            <w:pStyle w:val="28"/>
            <w:tabs>
              <w:tab w:val="right" w:leader="dot" w:pos="8731"/>
            </w:tabs>
          </w:pPr>
          <w:r>
            <w:fldChar w:fldCharType="begin"/>
          </w:r>
          <w:r>
            <w:instrText xml:space="preserve"> HYPERLINK \l "_Toc22356" </w:instrText>
          </w:r>
          <w:r>
            <w:fldChar w:fldCharType="separate"/>
          </w:r>
          <w:r>
            <w:rPr>
              <w:rFonts w:hint="eastAsia" w:ascii="宋体" w:hAnsi="宋体" w:cs="宋体"/>
              <w:bCs/>
            </w:rPr>
            <w:t>第三章  合同文本</w:t>
          </w:r>
          <w:r>
            <w:tab/>
          </w:r>
          <w:r>
            <w:fldChar w:fldCharType="begin"/>
          </w:r>
          <w:r>
            <w:instrText xml:space="preserve"> PAGEREF _Toc22356 \h </w:instrText>
          </w:r>
          <w:r>
            <w:fldChar w:fldCharType="separate"/>
          </w:r>
          <w:r>
            <w:t>17</w:t>
          </w:r>
          <w:r>
            <w:fldChar w:fldCharType="end"/>
          </w:r>
          <w:r>
            <w:fldChar w:fldCharType="end"/>
          </w:r>
        </w:p>
        <w:p w14:paraId="071FDF00">
          <w:pPr>
            <w:pStyle w:val="34"/>
            <w:tabs>
              <w:tab w:val="right" w:leader="dot" w:pos="8731"/>
            </w:tabs>
          </w:pPr>
          <w:r>
            <w:fldChar w:fldCharType="begin"/>
          </w:r>
          <w:r>
            <w:instrText xml:space="preserve"> HYPERLINK \l "_Toc27351" </w:instrText>
          </w:r>
          <w:r>
            <w:fldChar w:fldCharType="separate"/>
          </w:r>
          <w:r>
            <w:rPr>
              <w:rFonts w:hint="eastAsia" w:ascii="宋体" w:hAnsi="宋体" w:cs="宋体"/>
              <w:szCs w:val="22"/>
            </w:rPr>
            <w:t>江苏省政府采购合同（货物）（合同编号）</w:t>
          </w:r>
          <w:r>
            <w:tab/>
          </w:r>
          <w:r>
            <w:fldChar w:fldCharType="begin"/>
          </w:r>
          <w:r>
            <w:instrText xml:space="preserve"> PAGEREF _Toc27351 \h </w:instrText>
          </w:r>
          <w:r>
            <w:fldChar w:fldCharType="separate"/>
          </w:r>
          <w:r>
            <w:t>17</w:t>
          </w:r>
          <w:r>
            <w:fldChar w:fldCharType="end"/>
          </w:r>
          <w:r>
            <w:fldChar w:fldCharType="end"/>
          </w:r>
        </w:p>
        <w:p w14:paraId="6CBAC65C">
          <w:pPr>
            <w:pStyle w:val="28"/>
            <w:tabs>
              <w:tab w:val="right" w:leader="dot" w:pos="8731"/>
            </w:tabs>
          </w:pPr>
          <w:r>
            <w:fldChar w:fldCharType="begin"/>
          </w:r>
          <w:r>
            <w:instrText xml:space="preserve"> HYPERLINK \l "_Toc10058" </w:instrText>
          </w:r>
          <w:r>
            <w:fldChar w:fldCharType="separate"/>
          </w:r>
          <w:r>
            <w:rPr>
              <w:rFonts w:hint="eastAsia" w:ascii="宋体" w:hAnsi="宋体" w:cs="宋体"/>
              <w:bCs/>
            </w:rPr>
            <w:t>第四章 采购需求</w:t>
          </w:r>
          <w:r>
            <w:tab/>
          </w:r>
          <w:r>
            <w:fldChar w:fldCharType="begin"/>
          </w:r>
          <w:r>
            <w:instrText xml:space="preserve"> PAGEREF _Toc10058 \h </w:instrText>
          </w:r>
          <w:r>
            <w:fldChar w:fldCharType="separate"/>
          </w:r>
          <w:r>
            <w:t>21</w:t>
          </w:r>
          <w:r>
            <w:fldChar w:fldCharType="end"/>
          </w:r>
          <w:r>
            <w:fldChar w:fldCharType="end"/>
          </w:r>
        </w:p>
        <w:p w14:paraId="54589C93">
          <w:pPr>
            <w:pStyle w:val="34"/>
            <w:tabs>
              <w:tab w:val="right" w:leader="dot" w:pos="8731"/>
            </w:tabs>
          </w:pPr>
          <w:r>
            <w:fldChar w:fldCharType="begin"/>
          </w:r>
          <w:r>
            <w:instrText xml:space="preserve"> HYPERLINK \l "_Toc2602" </w:instrText>
          </w:r>
          <w:r>
            <w:fldChar w:fldCharType="separate"/>
          </w:r>
          <w:r>
            <w:rPr>
              <w:rFonts w:hint="eastAsia"/>
            </w:rPr>
            <w:t>一、项目概况：</w:t>
          </w:r>
          <w:r>
            <w:tab/>
          </w:r>
          <w:r>
            <w:fldChar w:fldCharType="begin"/>
          </w:r>
          <w:r>
            <w:instrText xml:space="preserve"> PAGEREF _Toc2602 \h </w:instrText>
          </w:r>
          <w:r>
            <w:fldChar w:fldCharType="separate"/>
          </w:r>
          <w:r>
            <w:t>21</w:t>
          </w:r>
          <w:r>
            <w:fldChar w:fldCharType="end"/>
          </w:r>
          <w:r>
            <w:fldChar w:fldCharType="end"/>
          </w:r>
        </w:p>
        <w:p w14:paraId="667B95A2">
          <w:pPr>
            <w:pStyle w:val="21"/>
            <w:tabs>
              <w:tab w:val="right" w:leader="dot" w:pos="8731"/>
            </w:tabs>
          </w:pPr>
          <w:r>
            <w:fldChar w:fldCharType="begin"/>
          </w:r>
          <w:r>
            <w:instrText xml:space="preserve"> HYPERLINK \l "_Toc24916" </w:instrText>
          </w:r>
          <w:r>
            <w:fldChar w:fldCharType="separate"/>
          </w:r>
          <w:r>
            <w:rPr>
              <w:rFonts w:hint="eastAsia" w:ascii="宋体" w:hAnsi="宋体" w:cs="宋体"/>
              <w:szCs w:val="22"/>
            </w:rPr>
            <w:t>1.1 总体目标：</w:t>
          </w:r>
          <w:r>
            <w:rPr>
              <w:rFonts w:hint="eastAsia" w:ascii="宋体" w:hAnsi="宋体" w:cs="宋体"/>
              <w:bCs/>
              <w:szCs w:val="22"/>
            </w:rPr>
            <w:t>为解决院内随访工作存在的一系列问题，通过采购语音随访系统降低随访人员的工作量，提高工作效率，改善患者就医体验，强化随访管理，满足医院随访管理工作要求。</w:t>
          </w:r>
          <w:r>
            <w:tab/>
          </w:r>
          <w:r>
            <w:fldChar w:fldCharType="begin"/>
          </w:r>
          <w:r>
            <w:instrText xml:space="preserve"> PAGEREF _Toc24916 \h </w:instrText>
          </w:r>
          <w:r>
            <w:fldChar w:fldCharType="separate"/>
          </w:r>
          <w:r>
            <w:t>21</w:t>
          </w:r>
          <w:r>
            <w:fldChar w:fldCharType="end"/>
          </w:r>
          <w:r>
            <w:fldChar w:fldCharType="end"/>
          </w:r>
        </w:p>
        <w:p w14:paraId="2E2846B6">
          <w:pPr>
            <w:pStyle w:val="21"/>
            <w:tabs>
              <w:tab w:val="right" w:leader="dot" w:pos="8731"/>
            </w:tabs>
          </w:pPr>
          <w:r>
            <w:fldChar w:fldCharType="begin"/>
          </w:r>
          <w:r>
            <w:instrText xml:space="preserve"> HYPERLINK \l "_Toc17190" </w:instrText>
          </w:r>
          <w:r>
            <w:fldChar w:fldCharType="separate"/>
          </w:r>
          <w:r>
            <w:rPr>
              <w:rFonts w:hint="eastAsia" w:ascii="宋体" w:hAnsi="宋体" w:cs="宋体"/>
              <w:szCs w:val="22"/>
            </w:rPr>
            <w:t>1.2 采购清单</w:t>
          </w:r>
          <w:r>
            <w:tab/>
          </w:r>
          <w:r>
            <w:fldChar w:fldCharType="begin"/>
          </w:r>
          <w:r>
            <w:instrText xml:space="preserve"> PAGEREF _Toc17190 \h </w:instrText>
          </w:r>
          <w:r>
            <w:fldChar w:fldCharType="separate"/>
          </w:r>
          <w:r>
            <w:t>21</w:t>
          </w:r>
          <w:r>
            <w:fldChar w:fldCharType="end"/>
          </w:r>
          <w:r>
            <w:fldChar w:fldCharType="end"/>
          </w:r>
        </w:p>
        <w:p w14:paraId="5A2D8C4E">
          <w:pPr>
            <w:pStyle w:val="21"/>
            <w:tabs>
              <w:tab w:val="right" w:leader="dot" w:pos="8731"/>
            </w:tabs>
          </w:pPr>
          <w:r>
            <w:fldChar w:fldCharType="begin"/>
          </w:r>
          <w:r>
            <w:instrText xml:space="preserve"> HYPERLINK \l "_Toc29610" </w:instrText>
          </w:r>
          <w:r>
            <w:fldChar w:fldCharType="separate"/>
          </w:r>
          <w:r>
            <w:rPr>
              <w:rFonts w:hint="eastAsia" w:ascii="宋体" w:hAnsi="宋体" w:cs="宋体"/>
              <w:szCs w:val="22"/>
            </w:rPr>
            <w:t>1.3 交货期：合同签订后2个月内</w:t>
          </w:r>
          <w:r>
            <w:tab/>
          </w:r>
          <w:r>
            <w:fldChar w:fldCharType="begin"/>
          </w:r>
          <w:r>
            <w:instrText xml:space="preserve"> PAGEREF _Toc29610 \h </w:instrText>
          </w:r>
          <w:r>
            <w:fldChar w:fldCharType="separate"/>
          </w:r>
          <w:r>
            <w:t>21</w:t>
          </w:r>
          <w:r>
            <w:fldChar w:fldCharType="end"/>
          </w:r>
          <w:r>
            <w:fldChar w:fldCharType="end"/>
          </w:r>
        </w:p>
        <w:p w14:paraId="206C8486">
          <w:pPr>
            <w:pStyle w:val="21"/>
            <w:tabs>
              <w:tab w:val="right" w:leader="dot" w:pos="8731"/>
            </w:tabs>
          </w:pPr>
          <w:r>
            <w:fldChar w:fldCharType="begin"/>
          </w:r>
          <w:r>
            <w:instrText xml:space="preserve"> HYPERLINK \l "_Toc31842" </w:instrText>
          </w:r>
          <w:r>
            <w:fldChar w:fldCharType="separate"/>
          </w:r>
          <w:r>
            <w:rPr>
              <w:rFonts w:hint="eastAsia" w:ascii="宋体" w:hAnsi="宋体" w:cs="宋体"/>
              <w:szCs w:val="22"/>
            </w:rPr>
            <w:t>1.4 质保期：1年</w:t>
          </w:r>
          <w:r>
            <w:tab/>
          </w:r>
          <w:r>
            <w:fldChar w:fldCharType="begin"/>
          </w:r>
          <w:r>
            <w:instrText xml:space="preserve"> PAGEREF _Toc31842 \h </w:instrText>
          </w:r>
          <w:r>
            <w:fldChar w:fldCharType="separate"/>
          </w:r>
          <w:r>
            <w:t>21</w:t>
          </w:r>
          <w:r>
            <w:fldChar w:fldCharType="end"/>
          </w:r>
          <w:r>
            <w:fldChar w:fldCharType="end"/>
          </w:r>
        </w:p>
        <w:p w14:paraId="7E24C9A4">
          <w:pPr>
            <w:pStyle w:val="34"/>
            <w:tabs>
              <w:tab w:val="right" w:leader="dot" w:pos="8731"/>
            </w:tabs>
          </w:pPr>
          <w:r>
            <w:fldChar w:fldCharType="begin"/>
          </w:r>
          <w:r>
            <w:instrText xml:space="preserve"> HYPERLINK \l "_Toc32479" </w:instrText>
          </w:r>
          <w:r>
            <w:fldChar w:fldCharType="separate"/>
          </w:r>
          <w:r>
            <w:rPr>
              <w:rFonts w:hint="eastAsia"/>
            </w:rPr>
            <w:t>二、技术要求</w:t>
          </w:r>
          <w:r>
            <w:tab/>
          </w:r>
          <w:r>
            <w:fldChar w:fldCharType="begin"/>
          </w:r>
          <w:r>
            <w:instrText xml:space="preserve"> PAGEREF _Toc32479 \h </w:instrText>
          </w:r>
          <w:r>
            <w:fldChar w:fldCharType="separate"/>
          </w:r>
          <w:r>
            <w:t>21</w:t>
          </w:r>
          <w:r>
            <w:fldChar w:fldCharType="end"/>
          </w:r>
          <w:r>
            <w:fldChar w:fldCharType="end"/>
          </w:r>
        </w:p>
        <w:p w14:paraId="645884EC">
          <w:pPr>
            <w:pStyle w:val="21"/>
            <w:tabs>
              <w:tab w:val="right" w:leader="dot" w:pos="8731"/>
            </w:tabs>
          </w:pPr>
          <w:r>
            <w:fldChar w:fldCharType="begin"/>
          </w:r>
          <w:r>
            <w:instrText xml:space="preserve"> HYPERLINK \l "_Toc7981" </w:instrText>
          </w:r>
          <w:r>
            <w:fldChar w:fldCharType="separate"/>
          </w:r>
          <w:r>
            <w:rPr>
              <w:rFonts w:hint="eastAsia" w:ascii="宋体" w:hAnsi="宋体" w:cs="宋体"/>
              <w:i/>
              <w:iCs/>
              <w:szCs w:val="22"/>
            </w:rPr>
            <w:t xml:space="preserve">2.1 </w:t>
          </w:r>
          <w:r>
            <w:rPr>
              <w:rFonts w:hint="eastAsia" w:asciiTheme="minorEastAsia" w:hAnsiTheme="minorEastAsia" w:eastAsiaTheme="minorEastAsia"/>
              <w:bCs/>
              <w:i/>
              <w:iCs/>
              <w:szCs w:val="24"/>
            </w:rPr>
            <w:t>★</w:t>
          </w:r>
          <w:r>
            <w:rPr>
              <w:rFonts w:hint="eastAsia" w:ascii="宋体" w:hAnsi="宋体" w:cs="宋体"/>
              <w:i/>
              <w:iCs/>
              <w:szCs w:val="22"/>
            </w:rPr>
            <w:t>系统建设清单及范围：</w:t>
          </w:r>
          <w:r>
            <w:tab/>
          </w:r>
          <w:r>
            <w:fldChar w:fldCharType="begin"/>
          </w:r>
          <w:r>
            <w:instrText xml:space="preserve"> PAGEREF _Toc7981 \h </w:instrText>
          </w:r>
          <w:r>
            <w:fldChar w:fldCharType="separate"/>
          </w:r>
          <w:r>
            <w:t>21</w:t>
          </w:r>
          <w:r>
            <w:fldChar w:fldCharType="end"/>
          </w:r>
          <w:r>
            <w:fldChar w:fldCharType="end"/>
          </w:r>
        </w:p>
        <w:p w14:paraId="32F044C0">
          <w:pPr>
            <w:pStyle w:val="21"/>
            <w:tabs>
              <w:tab w:val="right" w:leader="dot" w:pos="8731"/>
            </w:tabs>
          </w:pPr>
          <w:r>
            <w:fldChar w:fldCharType="begin"/>
          </w:r>
          <w:r>
            <w:instrText xml:space="preserve"> HYPERLINK \l "_Toc3555" </w:instrText>
          </w:r>
          <w:r>
            <w:fldChar w:fldCharType="separate"/>
          </w:r>
          <w:r>
            <w:rPr>
              <w:rFonts w:hint="eastAsia" w:ascii="宋体" w:hAnsi="宋体" w:cs="宋体"/>
              <w:szCs w:val="22"/>
            </w:rPr>
            <w:t>2.2 功能要求</w:t>
          </w:r>
          <w:r>
            <w:tab/>
          </w:r>
          <w:r>
            <w:fldChar w:fldCharType="begin"/>
          </w:r>
          <w:r>
            <w:instrText xml:space="preserve"> PAGEREF _Toc3555 \h </w:instrText>
          </w:r>
          <w:r>
            <w:fldChar w:fldCharType="separate"/>
          </w:r>
          <w:r>
            <w:t>21</w:t>
          </w:r>
          <w:r>
            <w:fldChar w:fldCharType="end"/>
          </w:r>
          <w:r>
            <w:fldChar w:fldCharType="end"/>
          </w:r>
        </w:p>
        <w:p w14:paraId="468A4C9F">
          <w:pPr>
            <w:pStyle w:val="34"/>
            <w:tabs>
              <w:tab w:val="right" w:leader="dot" w:pos="8731"/>
            </w:tabs>
          </w:pPr>
          <w:r>
            <w:fldChar w:fldCharType="begin"/>
          </w:r>
          <w:r>
            <w:instrText xml:space="preserve"> HYPERLINK \l "_Toc15887" </w:instrText>
          </w:r>
          <w:r>
            <w:fldChar w:fldCharType="separate"/>
          </w:r>
          <w:r>
            <w:rPr>
              <w:rFonts w:hint="eastAsia"/>
            </w:rPr>
            <w:t>三、</w:t>
          </w:r>
          <w:r>
            <w:rPr>
              <w:rFonts w:hint="eastAsia" w:ascii="宋体" w:hAnsi="宋体" w:cs="宋体"/>
            </w:rPr>
            <w:t>★</w:t>
          </w:r>
          <w:r>
            <w:rPr>
              <w:rFonts w:hint="eastAsia"/>
            </w:rPr>
            <w:t>商务要求（以下条款不接受任何一项的负偏离或不满足，否则做）</w:t>
          </w:r>
          <w:r>
            <w:tab/>
          </w:r>
          <w:r>
            <w:fldChar w:fldCharType="begin"/>
          </w:r>
          <w:r>
            <w:instrText xml:space="preserve"> PAGEREF _Toc15887 \h </w:instrText>
          </w:r>
          <w:r>
            <w:fldChar w:fldCharType="separate"/>
          </w:r>
          <w:r>
            <w:t>29</w:t>
          </w:r>
          <w:r>
            <w:fldChar w:fldCharType="end"/>
          </w:r>
          <w:r>
            <w:fldChar w:fldCharType="end"/>
          </w:r>
        </w:p>
        <w:p w14:paraId="42AA458E">
          <w:pPr>
            <w:pStyle w:val="34"/>
            <w:tabs>
              <w:tab w:val="right" w:leader="dot" w:pos="8731"/>
            </w:tabs>
          </w:pPr>
          <w:r>
            <w:fldChar w:fldCharType="begin"/>
          </w:r>
          <w:r>
            <w:instrText xml:space="preserve"> HYPERLINK \l "_Toc14100" </w:instrText>
          </w:r>
          <w:r>
            <w:fldChar w:fldCharType="separate"/>
          </w:r>
          <w:r>
            <w:rPr>
              <w:rFonts w:hint="eastAsia"/>
            </w:rPr>
            <w:t>四、其他说明：</w:t>
          </w:r>
          <w:r>
            <w:tab/>
          </w:r>
          <w:r>
            <w:fldChar w:fldCharType="begin"/>
          </w:r>
          <w:r>
            <w:instrText xml:space="preserve"> PAGEREF _Toc14100 \h </w:instrText>
          </w:r>
          <w:r>
            <w:fldChar w:fldCharType="separate"/>
          </w:r>
          <w:r>
            <w:t>29</w:t>
          </w:r>
          <w:r>
            <w:fldChar w:fldCharType="end"/>
          </w:r>
          <w:r>
            <w:fldChar w:fldCharType="end"/>
          </w:r>
        </w:p>
        <w:p w14:paraId="193B319A">
          <w:pPr>
            <w:pStyle w:val="28"/>
            <w:tabs>
              <w:tab w:val="right" w:leader="dot" w:pos="8731"/>
            </w:tabs>
          </w:pPr>
          <w:r>
            <w:fldChar w:fldCharType="begin"/>
          </w:r>
          <w:r>
            <w:instrText xml:space="preserve"> HYPERLINK \l "_Toc29720" </w:instrText>
          </w:r>
          <w:r>
            <w:fldChar w:fldCharType="separate"/>
          </w:r>
          <w:r>
            <w:rPr>
              <w:rFonts w:hint="eastAsia" w:ascii="宋体" w:hAnsi="宋体" w:cs="宋体"/>
              <w:bCs/>
            </w:rPr>
            <w:t>第五章  评标方法与评标标准</w:t>
          </w:r>
          <w:r>
            <w:tab/>
          </w:r>
          <w:r>
            <w:fldChar w:fldCharType="begin"/>
          </w:r>
          <w:r>
            <w:instrText xml:space="preserve"> PAGEREF _Toc29720 \h </w:instrText>
          </w:r>
          <w:r>
            <w:fldChar w:fldCharType="separate"/>
          </w:r>
          <w:r>
            <w:t>30</w:t>
          </w:r>
          <w:r>
            <w:fldChar w:fldCharType="end"/>
          </w:r>
          <w:r>
            <w:fldChar w:fldCharType="end"/>
          </w:r>
        </w:p>
        <w:p w14:paraId="0EEAB2B2">
          <w:pPr>
            <w:pStyle w:val="34"/>
            <w:tabs>
              <w:tab w:val="right" w:leader="dot" w:pos="8731"/>
            </w:tabs>
          </w:pPr>
          <w:r>
            <w:fldChar w:fldCharType="begin"/>
          </w:r>
          <w:r>
            <w:instrText xml:space="preserve"> HYPERLINK \l "_Toc14016" </w:instrText>
          </w:r>
          <w:r>
            <w:fldChar w:fldCharType="separate"/>
          </w:r>
          <w:r>
            <w:rPr>
              <w:rFonts w:hint="eastAsia"/>
            </w:rPr>
            <w:t>（一）投标人资格审查要求</w:t>
          </w:r>
          <w:r>
            <w:tab/>
          </w:r>
          <w:r>
            <w:fldChar w:fldCharType="begin"/>
          </w:r>
          <w:r>
            <w:instrText xml:space="preserve"> PAGEREF _Toc14016 \h </w:instrText>
          </w:r>
          <w:r>
            <w:fldChar w:fldCharType="separate"/>
          </w:r>
          <w:r>
            <w:t>31</w:t>
          </w:r>
          <w:r>
            <w:fldChar w:fldCharType="end"/>
          </w:r>
          <w:r>
            <w:fldChar w:fldCharType="end"/>
          </w:r>
        </w:p>
        <w:p w14:paraId="5CD610A8">
          <w:pPr>
            <w:pStyle w:val="34"/>
            <w:tabs>
              <w:tab w:val="right" w:leader="dot" w:pos="8731"/>
            </w:tabs>
          </w:pPr>
          <w:r>
            <w:fldChar w:fldCharType="begin"/>
          </w:r>
          <w:r>
            <w:instrText xml:space="preserve"> HYPERLINK \l "_Toc27611" </w:instrText>
          </w:r>
          <w:r>
            <w:fldChar w:fldCharType="separate"/>
          </w:r>
          <w:r>
            <w:rPr>
              <w:rFonts w:hint="eastAsia"/>
            </w:rPr>
            <w:t>（二） 投标文件符合性审查要求</w:t>
          </w:r>
          <w:r>
            <w:tab/>
          </w:r>
          <w:r>
            <w:fldChar w:fldCharType="begin"/>
          </w:r>
          <w:r>
            <w:instrText xml:space="preserve"> PAGEREF _Toc27611 \h </w:instrText>
          </w:r>
          <w:r>
            <w:fldChar w:fldCharType="separate"/>
          </w:r>
          <w:r>
            <w:t>31</w:t>
          </w:r>
          <w:r>
            <w:fldChar w:fldCharType="end"/>
          </w:r>
          <w:r>
            <w:fldChar w:fldCharType="end"/>
          </w:r>
        </w:p>
        <w:p w14:paraId="1B49ED80">
          <w:pPr>
            <w:pStyle w:val="21"/>
            <w:tabs>
              <w:tab w:val="right" w:leader="dot" w:pos="8731"/>
            </w:tabs>
          </w:pPr>
          <w:r>
            <w:fldChar w:fldCharType="begin"/>
          </w:r>
          <w:r>
            <w:instrText xml:space="preserve"> HYPERLINK \l "_Toc22213" </w:instrText>
          </w:r>
          <w:r>
            <w:fldChar w:fldCharType="separate"/>
          </w:r>
          <w:r>
            <w:rPr>
              <w:rFonts w:hint="eastAsia" w:ascii="宋体" w:hAnsi="宋体" w:cs="宋体"/>
              <w:i/>
              <w:iCs/>
            </w:rPr>
            <w:t xml:space="preserve">2.1 </w:t>
          </w:r>
          <w:r>
            <w:rPr>
              <w:rFonts w:hint="eastAsia" w:asciiTheme="minorEastAsia" w:hAnsiTheme="minorEastAsia" w:eastAsiaTheme="minorEastAsia"/>
              <w:bCs/>
              <w:i/>
              <w:iCs/>
            </w:rPr>
            <w:t>★</w:t>
          </w:r>
          <w:r>
            <w:rPr>
              <w:rFonts w:hint="eastAsia" w:ascii="宋体" w:hAnsi="宋体" w:cs="宋体"/>
              <w:i/>
              <w:iCs/>
            </w:rPr>
            <w:t>系统建设清单及范围：</w:t>
          </w:r>
          <w:r>
            <w:tab/>
          </w:r>
          <w:r>
            <w:fldChar w:fldCharType="begin"/>
          </w:r>
          <w:r>
            <w:instrText xml:space="preserve"> PAGEREF _Toc22213 \h </w:instrText>
          </w:r>
          <w:r>
            <w:fldChar w:fldCharType="separate"/>
          </w:r>
          <w:r>
            <w:t>32</w:t>
          </w:r>
          <w:r>
            <w:fldChar w:fldCharType="end"/>
          </w:r>
          <w:r>
            <w:fldChar w:fldCharType="end"/>
          </w:r>
        </w:p>
        <w:p w14:paraId="7E2913A0">
          <w:pPr>
            <w:pStyle w:val="34"/>
            <w:tabs>
              <w:tab w:val="right" w:leader="dot" w:pos="8731"/>
            </w:tabs>
          </w:pPr>
          <w:r>
            <w:fldChar w:fldCharType="begin"/>
          </w:r>
          <w:r>
            <w:instrText xml:space="preserve"> HYPERLINK \l "_Toc13062" </w:instrText>
          </w:r>
          <w:r>
            <w:fldChar w:fldCharType="separate"/>
          </w:r>
          <w:r>
            <w:rPr>
              <w:rFonts w:hint="eastAsia"/>
            </w:rPr>
            <w:t>（三）评标方法与评标标准</w:t>
          </w:r>
          <w:r>
            <w:tab/>
          </w:r>
          <w:r>
            <w:fldChar w:fldCharType="begin"/>
          </w:r>
          <w:r>
            <w:instrText xml:space="preserve"> PAGEREF _Toc13062 \h </w:instrText>
          </w:r>
          <w:r>
            <w:fldChar w:fldCharType="separate"/>
          </w:r>
          <w:r>
            <w:t>32</w:t>
          </w:r>
          <w:r>
            <w:fldChar w:fldCharType="end"/>
          </w:r>
          <w:r>
            <w:fldChar w:fldCharType="end"/>
          </w:r>
        </w:p>
        <w:p w14:paraId="08E2CFF3">
          <w:pPr>
            <w:pStyle w:val="28"/>
            <w:tabs>
              <w:tab w:val="right" w:leader="dot" w:pos="8731"/>
            </w:tabs>
          </w:pPr>
          <w:r>
            <w:fldChar w:fldCharType="begin"/>
          </w:r>
          <w:r>
            <w:instrText xml:space="preserve"> HYPERLINK \l "_Toc21560" </w:instrText>
          </w:r>
          <w:r>
            <w:fldChar w:fldCharType="separate"/>
          </w:r>
          <w:r>
            <w:rPr>
              <w:rFonts w:hint="eastAsia" w:ascii="宋体" w:hAnsi="宋体" w:cs="宋体"/>
              <w:bCs/>
            </w:rPr>
            <w:t>第六章  投标文件格式</w:t>
          </w:r>
          <w:r>
            <w:tab/>
          </w:r>
          <w:r>
            <w:fldChar w:fldCharType="begin"/>
          </w:r>
          <w:r>
            <w:instrText xml:space="preserve"> PAGEREF _Toc21560 \h </w:instrText>
          </w:r>
          <w:r>
            <w:fldChar w:fldCharType="separate"/>
          </w:r>
          <w:r>
            <w:t>35</w:t>
          </w:r>
          <w:r>
            <w:fldChar w:fldCharType="end"/>
          </w:r>
          <w:r>
            <w:fldChar w:fldCharType="end"/>
          </w:r>
        </w:p>
        <w:p w14:paraId="00504345">
          <w:pPr>
            <w:pStyle w:val="34"/>
            <w:tabs>
              <w:tab w:val="right" w:leader="dot" w:pos="8731"/>
            </w:tabs>
          </w:pPr>
          <w:r>
            <w:fldChar w:fldCharType="begin"/>
          </w:r>
          <w:r>
            <w:instrText xml:space="preserve"> HYPERLINK \l "_Toc26613" </w:instrText>
          </w:r>
          <w:r>
            <w:fldChar w:fldCharType="separate"/>
          </w:r>
          <w:r>
            <w:rPr>
              <w:rFonts w:hint="eastAsia" w:ascii="宋体" w:hAnsi="宋体" w:cs="宋体"/>
              <w:bCs/>
              <w:szCs w:val="32"/>
            </w:rPr>
            <w:t>投标文件目录</w:t>
          </w:r>
          <w:r>
            <w:tab/>
          </w:r>
          <w:r>
            <w:fldChar w:fldCharType="begin"/>
          </w:r>
          <w:r>
            <w:instrText xml:space="preserve"> PAGEREF _Toc26613 \h </w:instrText>
          </w:r>
          <w:r>
            <w:fldChar w:fldCharType="separate"/>
          </w:r>
          <w:r>
            <w:t>36</w:t>
          </w:r>
          <w:r>
            <w:fldChar w:fldCharType="end"/>
          </w:r>
          <w:r>
            <w:fldChar w:fldCharType="end"/>
          </w:r>
        </w:p>
        <w:p w14:paraId="22316511">
          <w:pPr>
            <w:pStyle w:val="34"/>
            <w:tabs>
              <w:tab w:val="right" w:leader="dot" w:pos="8731"/>
            </w:tabs>
          </w:pPr>
          <w:r>
            <w:fldChar w:fldCharType="begin"/>
          </w:r>
          <w:r>
            <w:instrText xml:space="preserve"> HYPERLINK \l "_Toc15157" </w:instrText>
          </w:r>
          <w:r>
            <w:fldChar w:fldCharType="separate"/>
          </w:r>
          <w:r>
            <w:rPr>
              <w:rFonts w:hint="eastAsia" w:ascii="宋体" w:hAnsi="宋体" w:cs="宋体"/>
              <w:bCs/>
              <w:iCs/>
              <w:kern w:val="2"/>
              <w:szCs w:val="32"/>
            </w:rPr>
            <w:t>一、投标函</w:t>
          </w:r>
          <w:r>
            <w:tab/>
          </w:r>
          <w:r>
            <w:fldChar w:fldCharType="begin"/>
          </w:r>
          <w:r>
            <w:instrText xml:space="preserve"> PAGEREF _Toc15157 \h </w:instrText>
          </w:r>
          <w:r>
            <w:fldChar w:fldCharType="separate"/>
          </w:r>
          <w:r>
            <w:t>37</w:t>
          </w:r>
          <w:r>
            <w:fldChar w:fldCharType="end"/>
          </w:r>
          <w:r>
            <w:fldChar w:fldCharType="end"/>
          </w:r>
        </w:p>
        <w:p w14:paraId="5BFEFD17">
          <w:pPr>
            <w:pStyle w:val="34"/>
            <w:tabs>
              <w:tab w:val="right" w:leader="dot" w:pos="8731"/>
            </w:tabs>
          </w:pPr>
          <w:r>
            <w:fldChar w:fldCharType="begin"/>
          </w:r>
          <w:r>
            <w:instrText xml:space="preserve"> HYPERLINK \l "_Toc30906" </w:instrText>
          </w:r>
          <w:r>
            <w:fldChar w:fldCharType="separate"/>
          </w:r>
          <w:r>
            <w:rPr>
              <w:rFonts w:hint="eastAsia" w:ascii="宋体" w:hAnsi="宋体" w:cs="宋体"/>
              <w:bCs/>
              <w:iCs/>
              <w:kern w:val="2"/>
              <w:szCs w:val="32"/>
            </w:rPr>
            <w:t>二、开标一览表</w:t>
          </w:r>
          <w:r>
            <w:tab/>
          </w:r>
          <w:r>
            <w:fldChar w:fldCharType="begin"/>
          </w:r>
          <w:r>
            <w:instrText xml:space="preserve"> PAGEREF _Toc30906 \h </w:instrText>
          </w:r>
          <w:r>
            <w:fldChar w:fldCharType="separate"/>
          </w:r>
          <w:r>
            <w:t>38</w:t>
          </w:r>
          <w:r>
            <w:fldChar w:fldCharType="end"/>
          </w:r>
          <w:r>
            <w:fldChar w:fldCharType="end"/>
          </w:r>
        </w:p>
        <w:p w14:paraId="60404142">
          <w:pPr>
            <w:pStyle w:val="34"/>
            <w:tabs>
              <w:tab w:val="right" w:leader="dot" w:pos="8731"/>
            </w:tabs>
          </w:pPr>
          <w:r>
            <w:fldChar w:fldCharType="begin"/>
          </w:r>
          <w:r>
            <w:instrText xml:space="preserve"> HYPERLINK \l "_Toc12876" </w:instrText>
          </w:r>
          <w:r>
            <w:fldChar w:fldCharType="separate"/>
          </w:r>
          <w:r>
            <w:rPr>
              <w:rFonts w:hint="eastAsia" w:ascii="宋体" w:hAnsi="宋体" w:cs="宋体"/>
              <w:bCs/>
              <w:iCs/>
              <w:kern w:val="2"/>
              <w:szCs w:val="32"/>
            </w:rPr>
            <w:t>三、投标分项报价表</w:t>
          </w:r>
          <w:r>
            <w:tab/>
          </w:r>
          <w:r>
            <w:fldChar w:fldCharType="begin"/>
          </w:r>
          <w:r>
            <w:instrText xml:space="preserve"> PAGEREF _Toc12876 \h </w:instrText>
          </w:r>
          <w:r>
            <w:fldChar w:fldCharType="separate"/>
          </w:r>
          <w:r>
            <w:t>38</w:t>
          </w:r>
          <w:r>
            <w:fldChar w:fldCharType="end"/>
          </w:r>
          <w:r>
            <w:fldChar w:fldCharType="end"/>
          </w:r>
        </w:p>
        <w:p w14:paraId="1C145C04">
          <w:pPr>
            <w:pStyle w:val="34"/>
            <w:tabs>
              <w:tab w:val="right" w:leader="dot" w:pos="8731"/>
            </w:tabs>
          </w:pPr>
          <w:r>
            <w:fldChar w:fldCharType="begin"/>
          </w:r>
          <w:r>
            <w:instrText xml:space="preserve"> HYPERLINK \l "_Toc10084" </w:instrText>
          </w:r>
          <w:r>
            <w:fldChar w:fldCharType="separate"/>
          </w:r>
          <w:r>
            <w:rPr>
              <w:rFonts w:hint="eastAsia" w:ascii="宋体" w:hAnsi="宋体" w:cs="宋体"/>
              <w:bCs/>
              <w:iCs/>
              <w:kern w:val="2"/>
              <w:szCs w:val="32"/>
            </w:rPr>
            <w:t>四、技术要求响应及偏离表</w:t>
          </w:r>
          <w:r>
            <w:tab/>
          </w:r>
          <w:r>
            <w:fldChar w:fldCharType="begin"/>
          </w:r>
          <w:r>
            <w:instrText xml:space="preserve"> PAGEREF _Toc10084 \h </w:instrText>
          </w:r>
          <w:r>
            <w:fldChar w:fldCharType="separate"/>
          </w:r>
          <w:r>
            <w:t>39</w:t>
          </w:r>
          <w:r>
            <w:fldChar w:fldCharType="end"/>
          </w:r>
          <w:r>
            <w:fldChar w:fldCharType="end"/>
          </w:r>
        </w:p>
        <w:p w14:paraId="541AD387">
          <w:pPr>
            <w:pStyle w:val="34"/>
            <w:tabs>
              <w:tab w:val="right" w:leader="dot" w:pos="8731"/>
            </w:tabs>
          </w:pPr>
          <w:r>
            <w:fldChar w:fldCharType="begin"/>
          </w:r>
          <w:r>
            <w:instrText xml:space="preserve"> HYPERLINK \l "_Toc14880" </w:instrText>
          </w:r>
          <w:r>
            <w:fldChar w:fldCharType="separate"/>
          </w:r>
          <w:r>
            <w:rPr>
              <w:rFonts w:hint="eastAsia" w:ascii="宋体" w:hAnsi="宋体" w:cs="宋体"/>
              <w:bCs/>
              <w:iCs/>
              <w:kern w:val="2"/>
              <w:szCs w:val="32"/>
            </w:rPr>
            <w:t>五、资格要求的证明文件</w:t>
          </w:r>
          <w:r>
            <w:tab/>
          </w:r>
          <w:r>
            <w:fldChar w:fldCharType="begin"/>
          </w:r>
          <w:r>
            <w:instrText xml:space="preserve"> PAGEREF _Toc14880 \h </w:instrText>
          </w:r>
          <w:r>
            <w:fldChar w:fldCharType="separate"/>
          </w:r>
          <w:r>
            <w:t>42</w:t>
          </w:r>
          <w:r>
            <w:fldChar w:fldCharType="end"/>
          </w:r>
          <w:r>
            <w:fldChar w:fldCharType="end"/>
          </w:r>
        </w:p>
        <w:p w14:paraId="2431C639">
          <w:pPr>
            <w:pStyle w:val="21"/>
            <w:tabs>
              <w:tab w:val="right" w:leader="dot" w:pos="8731"/>
            </w:tabs>
          </w:pPr>
          <w:r>
            <w:fldChar w:fldCharType="begin"/>
          </w:r>
          <w:r>
            <w:instrText xml:space="preserve"> HYPERLINK \l "_Toc26003" </w:instrText>
          </w:r>
          <w:r>
            <w:fldChar w:fldCharType="separate"/>
          </w:r>
          <w:r>
            <w:rPr>
              <w:rFonts w:hint="eastAsia" w:ascii="宋体" w:hAnsi="宋体" w:cs="宋体"/>
              <w:i/>
              <w:kern w:val="2"/>
              <w:szCs w:val="24"/>
            </w:rPr>
            <w:t>5.1、法人或者其他组织的营业执照等证明文件，自然人的身份证明</w:t>
          </w:r>
          <w:r>
            <w:tab/>
          </w:r>
          <w:r>
            <w:fldChar w:fldCharType="begin"/>
          </w:r>
          <w:r>
            <w:instrText xml:space="preserve"> PAGEREF _Toc26003 \h </w:instrText>
          </w:r>
          <w:r>
            <w:fldChar w:fldCharType="separate"/>
          </w:r>
          <w:r>
            <w:t>42</w:t>
          </w:r>
          <w:r>
            <w:fldChar w:fldCharType="end"/>
          </w:r>
          <w:r>
            <w:fldChar w:fldCharType="end"/>
          </w:r>
        </w:p>
        <w:p w14:paraId="248E4CEE">
          <w:pPr>
            <w:pStyle w:val="21"/>
            <w:tabs>
              <w:tab w:val="right" w:leader="dot" w:pos="8731"/>
            </w:tabs>
          </w:pPr>
          <w:r>
            <w:fldChar w:fldCharType="begin"/>
          </w:r>
          <w:r>
            <w:instrText xml:space="preserve"> HYPERLINK \l "_Toc19251" </w:instrText>
          </w:r>
          <w:r>
            <w:fldChar w:fldCharType="separate"/>
          </w:r>
          <w:r>
            <w:rPr>
              <w:rFonts w:hint="eastAsia" w:ascii="宋体" w:hAnsi="宋体" w:cs="宋体"/>
              <w:i/>
              <w:kern w:val="2"/>
              <w:szCs w:val="24"/>
            </w:rPr>
            <w:t>5.2、上一年度的财务状况报告</w:t>
          </w:r>
          <w:r>
            <w:tab/>
          </w:r>
          <w:r>
            <w:fldChar w:fldCharType="begin"/>
          </w:r>
          <w:r>
            <w:instrText xml:space="preserve"> PAGEREF _Toc19251 \h </w:instrText>
          </w:r>
          <w:r>
            <w:fldChar w:fldCharType="separate"/>
          </w:r>
          <w:r>
            <w:t>42</w:t>
          </w:r>
          <w:r>
            <w:fldChar w:fldCharType="end"/>
          </w:r>
          <w:r>
            <w:fldChar w:fldCharType="end"/>
          </w:r>
        </w:p>
        <w:p w14:paraId="022A003C">
          <w:pPr>
            <w:pStyle w:val="21"/>
            <w:tabs>
              <w:tab w:val="right" w:leader="dot" w:pos="8731"/>
            </w:tabs>
          </w:pPr>
          <w:r>
            <w:fldChar w:fldCharType="begin"/>
          </w:r>
          <w:r>
            <w:instrText xml:space="preserve"> HYPERLINK \l "_Toc27035" </w:instrText>
          </w:r>
          <w:r>
            <w:fldChar w:fldCharType="separate"/>
          </w:r>
          <w:r>
            <w:rPr>
              <w:rFonts w:hint="eastAsia" w:ascii="宋体" w:hAnsi="宋体" w:cs="宋体"/>
              <w:i/>
              <w:kern w:val="2"/>
              <w:szCs w:val="24"/>
            </w:rPr>
            <w:t>5.3、依法缴纳税收和社会保障资金的相关材料</w:t>
          </w:r>
          <w:r>
            <w:tab/>
          </w:r>
          <w:r>
            <w:fldChar w:fldCharType="begin"/>
          </w:r>
          <w:r>
            <w:instrText xml:space="preserve"> PAGEREF _Toc27035 \h </w:instrText>
          </w:r>
          <w:r>
            <w:fldChar w:fldCharType="separate"/>
          </w:r>
          <w:r>
            <w:t>42</w:t>
          </w:r>
          <w:r>
            <w:fldChar w:fldCharType="end"/>
          </w:r>
          <w:r>
            <w:fldChar w:fldCharType="end"/>
          </w:r>
        </w:p>
        <w:p w14:paraId="2057B300">
          <w:pPr>
            <w:pStyle w:val="21"/>
            <w:tabs>
              <w:tab w:val="right" w:leader="dot" w:pos="8731"/>
            </w:tabs>
          </w:pPr>
          <w:r>
            <w:fldChar w:fldCharType="begin"/>
          </w:r>
          <w:r>
            <w:instrText xml:space="preserve"> HYPERLINK \l "_Toc19196" </w:instrText>
          </w:r>
          <w:r>
            <w:fldChar w:fldCharType="separate"/>
          </w:r>
          <w:r>
            <w:rPr>
              <w:rFonts w:hint="eastAsia" w:ascii="宋体" w:hAnsi="宋体" w:cs="宋体"/>
              <w:i/>
              <w:kern w:val="2"/>
              <w:szCs w:val="24"/>
            </w:rPr>
            <w:t>5.4、具备履行合同所必需的设备和专业技术能力的书面声明</w:t>
          </w:r>
          <w:r>
            <w:tab/>
          </w:r>
          <w:r>
            <w:fldChar w:fldCharType="begin"/>
          </w:r>
          <w:r>
            <w:instrText xml:space="preserve"> PAGEREF _Toc19196 \h </w:instrText>
          </w:r>
          <w:r>
            <w:fldChar w:fldCharType="separate"/>
          </w:r>
          <w:r>
            <w:t>42</w:t>
          </w:r>
          <w:r>
            <w:fldChar w:fldCharType="end"/>
          </w:r>
          <w:r>
            <w:fldChar w:fldCharType="end"/>
          </w:r>
        </w:p>
        <w:p w14:paraId="5F7AB921">
          <w:pPr>
            <w:pStyle w:val="21"/>
            <w:tabs>
              <w:tab w:val="right" w:leader="dot" w:pos="8731"/>
            </w:tabs>
          </w:pPr>
          <w:r>
            <w:fldChar w:fldCharType="begin"/>
          </w:r>
          <w:r>
            <w:instrText xml:space="preserve"> HYPERLINK \l "_Toc12734" </w:instrText>
          </w:r>
          <w:r>
            <w:fldChar w:fldCharType="separate"/>
          </w:r>
          <w:r>
            <w:rPr>
              <w:rFonts w:hint="eastAsia" w:ascii="宋体" w:hAnsi="宋体" w:cs="宋体"/>
              <w:i/>
              <w:kern w:val="2"/>
              <w:szCs w:val="24"/>
            </w:rPr>
            <w:t>5.5、参加政府采购活动前 3 年内在经营活动中没有重大违法记录的书面声明</w:t>
          </w:r>
          <w:r>
            <w:tab/>
          </w:r>
          <w:r>
            <w:fldChar w:fldCharType="begin"/>
          </w:r>
          <w:r>
            <w:instrText xml:space="preserve"> PAGEREF _Toc12734 \h </w:instrText>
          </w:r>
          <w:r>
            <w:fldChar w:fldCharType="separate"/>
          </w:r>
          <w:r>
            <w:t>42</w:t>
          </w:r>
          <w:r>
            <w:fldChar w:fldCharType="end"/>
          </w:r>
          <w:r>
            <w:fldChar w:fldCharType="end"/>
          </w:r>
        </w:p>
        <w:p w14:paraId="021D0554">
          <w:pPr>
            <w:pStyle w:val="21"/>
            <w:tabs>
              <w:tab w:val="right" w:leader="dot" w:pos="8731"/>
            </w:tabs>
          </w:pPr>
          <w:r>
            <w:fldChar w:fldCharType="begin"/>
          </w:r>
          <w:r>
            <w:instrText xml:space="preserve"> HYPERLINK \l "_Toc23221" </w:instrText>
          </w:r>
          <w:r>
            <w:fldChar w:fldCharType="separate"/>
          </w:r>
          <w:r>
            <w:rPr>
              <w:rFonts w:hint="eastAsia" w:ascii="宋体" w:hAnsi="宋体" w:cs="宋体"/>
              <w:i/>
              <w:kern w:val="2"/>
              <w:szCs w:val="24"/>
            </w:rPr>
            <w:t>5.6、《中小企业声明函》</w:t>
          </w:r>
          <w:r>
            <w:tab/>
          </w:r>
          <w:r>
            <w:fldChar w:fldCharType="begin"/>
          </w:r>
          <w:r>
            <w:instrText xml:space="preserve"> PAGEREF _Toc23221 \h </w:instrText>
          </w:r>
          <w:r>
            <w:fldChar w:fldCharType="separate"/>
          </w:r>
          <w:r>
            <w:t>43</w:t>
          </w:r>
          <w:r>
            <w:fldChar w:fldCharType="end"/>
          </w:r>
          <w:r>
            <w:fldChar w:fldCharType="end"/>
          </w:r>
        </w:p>
        <w:p w14:paraId="2E620EEE">
          <w:pPr>
            <w:pStyle w:val="34"/>
            <w:tabs>
              <w:tab w:val="right" w:leader="dot" w:pos="8731"/>
            </w:tabs>
          </w:pPr>
          <w:r>
            <w:fldChar w:fldCharType="begin"/>
          </w:r>
          <w:r>
            <w:instrText xml:space="preserve"> HYPERLINK \l "_Toc21887" </w:instrText>
          </w:r>
          <w:r>
            <w:fldChar w:fldCharType="separate"/>
          </w:r>
          <w:r>
            <w:rPr>
              <w:rFonts w:hint="eastAsia" w:ascii="宋体" w:hAnsi="宋体" w:cs="宋体"/>
              <w:bCs/>
              <w:iCs/>
              <w:kern w:val="2"/>
              <w:szCs w:val="32"/>
            </w:rPr>
            <w:t>六、供应商信用承诺函</w:t>
          </w:r>
          <w:r>
            <w:tab/>
          </w:r>
          <w:r>
            <w:fldChar w:fldCharType="begin"/>
          </w:r>
          <w:r>
            <w:instrText xml:space="preserve"> PAGEREF _Toc21887 \h </w:instrText>
          </w:r>
          <w:r>
            <w:fldChar w:fldCharType="separate"/>
          </w:r>
          <w:r>
            <w:t>46</w:t>
          </w:r>
          <w:r>
            <w:fldChar w:fldCharType="end"/>
          </w:r>
          <w:r>
            <w:fldChar w:fldCharType="end"/>
          </w:r>
        </w:p>
        <w:p w14:paraId="02E388C6">
          <w:pPr>
            <w:pStyle w:val="34"/>
            <w:tabs>
              <w:tab w:val="right" w:leader="dot" w:pos="8731"/>
            </w:tabs>
          </w:pPr>
          <w:r>
            <w:fldChar w:fldCharType="begin"/>
          </w:r>
          <w:r>
            <w:instrText xml:space="preserve"> HYPERLINK \l "_Toc20906" </w:instrText>
          </w:r>
          <w:r>
            <w:fldChar w:fldCharType="separate"/>
          </w:r>
          <w:r>
            <w:rPr>
              <w:rFonts w:hint="eastAsia" w:ascii="宋体" w:hAnsi="宋体" w:cs="宋体"/>
              <w:bCs/>
              <w:iCs/>
              <w:kern w:val="2"/>
              <w:szCs w:val="32"/>
            </w:rPr>
            <w:t>七、法人授权书</w:t>
          </w:r>
          <w:r>
            <w:tab/>
          </w:r>
          <w:r>
            <w:fldChar w:fldCharType="begin"/>
          </w:r>
          <w:r>
            <w:instrText xml:space="preserve"> PAGEREF _Toc20906 \h </w:instrText>
          </w:r>
          <w:r>
            <w:fldChar w:fldCharType="separate"/>
          </w:r>
          <w:r>
            <w:t>47</w:t>
          </w:r>
          <w:r>
            <w:fldChar w:fldCharType="end"/>
          </w:r>
          <w:r>
            <w:fldChar w:fldCharType="end"/>
          </w:r>
        </w:p>
        <w:p w14:paraId="6E02C2E8">
          <w:pPr>
            <w:pStyle w:val="34"/>
            <w:tabs>
              <w:tab w:val="right" w:leader="dot" w:pos="8731"/>
            </w:tabs>
          </w:pPr>
          <w:r>
            <w:fldChar w:fldCharType="begin"/>
          </w:r>
          <w:r>
            <w:instrText xml:space="preserve"> HYPERLINK \l "_Toc16597" </w:instrText>
          </w:r>
          <w:r>
            <w:fldChar w:fldCharType="separate"/>
          </w:r>
          <w:r>
            <w:rPr>
              <w:rFonts w:ascii="宋体" w:hAnsi="宋体" w:cs="宋体"/>
              <w:bCs/>
              <w:iCs/>
              <w:kern w:val="2"/>
              <w:szCs w:val="32"/>
            </w:rPr>
            <w:t>八、拟参与本项目服务人员</w:t>
          </w:r>
          <w:r>
            <w:tab/>
          </w:r>
          <w:r>
            <w:fldChar w:fldCharType="begin"/>
          </w:r>
          <w:r>
            <w:instrText xml:space="preserve"> PAGEREF _Toc16597 \h </w:instrText>
          </w:r>
          <w:r>
            <w:fldChar w:fldCharType="separate"/>
          </w:r>
          <w:r>
            <w:t>47</w:t>
          </w:r>
          <w:r>
            <w:fldChar w:fldCharType="end"/>
          </w:r>
          <w:r>
            <w:fldChar w:fldCharType="end"/>
          </w:r>
        </w:p>
        <w:p w14:paraId="7AFC3A36">
          <w:pPr>
            <w:pStyle w:val="34"/>
            <w:tabs>
              <w:tab w:val="right" w:leader="dot" w:pos="8731"/>
            </w:tabs>
          </w:pPr>
          <w:r>
            <w:fldChar w:fldCharType="begin"/>
          </w:r>
          <w:r>
            <w:instrText xml:space="preserve"> HYPERLINK \l "_Toc32130" </w:instrText>
          </w:r>
          <w:r>
            <w:fldChar w:fldCharType="separate"/>
          </w:r>
          <w:r>
            <w:rPr>
              <w:rFonts w:hint="eastAsia" w:ascii="宋体" w:hAnsi="宋体" w:cs="宋体"/>
              <w:bCs/>
              <w:iCs/>
              <w:kern w:val="2"/>
              <w:szCs w:val="32"/>
            </w:rPr>
            <w:t>九、 业绩情况表（如有）</w:t>
          </w:r>
          <w:r>
            <w:tab/>
          </w:r>
          <w:r>
            <w:fldChar w:fldCharType="begin"/>
          </w:r>
          <w:r>
            <w:instrText xml:space="preserve"> PAGEREF _Toc32130 \h </w:instrText>
          </w:r>
          <w:r>
            <w:fldChar w:fldCharType="separate"/>
          </w:r>
          <w:r>
            <w:t>47</w:t>
          </w:r>
          <w:r>
            <w:fldChar w:fldCharType="end"/>
          </w:r>
          <w:r>
            <w:fldChar w:fldCharType="end"/>
          </w:r>
        </w:p>
        <w:p w14:paraId="39522B2B">
          <w:pPr>
            <w:pStyle w:val="34"/>
            <w:tabs>
              <w:tab w:val="right" w:leader="dot" w:pos="8731"/>
            </w:tabs>
          </w:pPr>
          <w:r>
            <w:fldChar w:fldCharType="begin"/>
          </w:r>
          <w:r>
            <w:instrText xml:space="preserve"> HYPERLINK \l "_Toc18785" </w:instrText>
          </w:r>
          <w:r>
            <w:fldChar w:fldCharType="separate"/>
          </w:r>
          <w:r>
            <w:rPr>
              <w:rFonts w:hint="eastAsia" w:ascii="宋体" w:hAnsi="宋体" w:cs="宋体"/>
              <w:bCs/>
              <w:iCs/>
              <w:kern w:val="2"/>
              <w:szCs w:val="32"/>
            </w:rPr>
            <w:t>十、 服务方案（如有）</w:t>
          </w:r>
          <w:r>
            <w:tab/>
          </w:r>
          <w:r>
            <w:fldChar w:fldCharType="begin"/>
          </w:r>
          <w:r>
            <w:instrText xml:space="preserve"> PAGEREF _Toc18785 \h </w:instrText>
          </w:r>
          <w:r>
            <w:fldChar w:fldCharType="separate"/>
          </w:r>
          <w:r>
            <w:t>48</w:t>
          </w:r>
          <w:r>
            <w:fldChar w:fldCharType="end"/>
          </w:r>
          <w:r>
            <w:fldChar w:fldCharType="end"/>
          </w:r>
        </w:p>
        <w:p w14:paraId="204EECB6">
          <w:pPr>
            <w:pStyle w:val="34"/>
            <w:tabs>
              <w:tab w:val="right" w:leader="dot" w:pos="8731"/>
            </w:tabs>
          </w:pPr>
          <w:r>
            <w:fldChar w:fldCharType="begin"/>
          </w:r>
          <w:r>
            <w:instrText xml:space="preserve"> HYPERLINK \l "_Toc16060" </w:instrText>
          </w:r>
          <w:r>
            <w:fldChar w:fldCharType="separate"/>
          </w:r>
          <w:r>
            <w:rPr>
              <w:rFonts w:hint="eastAsia" w:ascii="宋体" w:hAnsi="宋体" w:cs="宋体"/>
              <w:bCs/>
              <w:iCs/>
              <w:kern w:val="2"/>
              <w:szCs w:val="32"/>
            </w:rPr>
            <w:t>十一、 关于符合本国产品标准的声明函（如有）</w:t>
          </w:r>
          <w:r>
            <w:tab/>
          </w:r>
          <w:r>
            <w:fldChar w:fldCharType="begin"/>
          </w:r>
          <w:r>
            <w:instrText xml:space="preserve"> PAGEREF _Toc16060 \h </w:instrText>
          </w:r>
          <w:r>
            <w:fldChar w:fldCharType="separate"/>
          </w:r>
          <w:r>
            <w:t>48</w:t>
          </w:r>
          <w:r>
            <w:fldChar w:fldCharType="end"/>
          </w:r>
          <w:r>
            <w:fldChar w:fldCharType="end"/>
          </w:r>
        </w:p>
        <w:p w14:paraId="0EDBBEAA">
          <w:pPr>
            <w:pStyle w:val="34"/>
            <w:tabs>
              <w:tab w:val="right" w:leader="dot" w:pos="8731"/>
            </w:tabs>
          </w:pPr>
          <w:r>
            <w:fldChar w:fldCharType="begin"/>
          </w:r>
          <w:r>
            <w:instrText xml:space="preserve"> HYPERLINK \l "_Toc30642" </w:instrText>
          </w:r>
          <w:r>
            <w:fldChar w:fldCharType="separate"/>
          </w:r>
          <w:r>
            <w:rPr>
              <w:rFonts w:hint="eastAsia" w:ascii="宋体" w:hAnsi="宋体" w:cs="宋体"/>
              <w:bCs/>
              <w:iCs/>
              <w:kern w:val="2"/>
              <w:szCs w:val="32"/>
            </w:rPr>
            <w:t>十二、 招标文件要求提供或者投标人认为需要提供的其他资料（如有）</w:t>
          </w:r>
          <w:r>
            <w:tab/>
          </w:r>
          <w:r>
            <w:fldChar w:fldCharType="begin"/>
          </w:r>
          <w:r>
            <w:instrText xml:space="preserve"> PAGEREF _Toc30642 \h </w:instrText>
          </w:r>
          <w:r>
            <w:fldChar w:fldCharType="separate"/>
          </w:r>
          <w:r>
            <w:t>49</w:t>
          </w:r>
          <w:r>
            <w:fldChar w:fldCharType="end"/>
          </w:r>
          <w:r>
            <w:fldChar w:fldCharType="end"/>
          </w:r>
        </w:p>
        <w:p w14:paraId="1F2E2A3F">
          <w:pPr>
            <w:pStyle w:val="34"/>
            <w:tabs>
              <w:tab w:val="right" w:leader="dot" w:pos="8731"/>
            </w:tabs>
          </w:pPr>
          <w:r>
            <w:fldChar w:fldCharType="begin"/>
          </w:r>
          <w:r>
            <w:instrText xml:space="preserve"> HYPERLINK \l "_Toc21995" </w:instrText>
          </w:r>
          <w:r>
            <w:fldChar w:fldCharType="separate"/>
          </w:r>
          <w:r>
            <w:rPr>
              <w:rFonts w:hint="eastAsia" w:ascii="宋体" w:hAnsi="宋体" w:cs="宋体"/>
              <w:bCs/>
              <w:iCs/>
              <w:kern w:val="2"/>
              <w:szCs w:val="32"/>
            </w:rPr>
            <w:t>十三、 联合体协议（本项目不适用）</w:t>
          </w:r>
          <w:r>
            <w:tab/>
          </w:r>
          <w:r>
            <w:fldChar w:fldCharType="begin"/>
          </w:r>
          <w:r>
            <w:instrText xml:space="preserve"> PAGEREF _Toc21995 \h </w:instrText>
          </w:r>
          <w:r>
            <w:fldChar w:fldCharType="separate"/>
          </w:r>
          <w:r>
            <w:t>49</w:t>
          </w:r>
          <w:r>
            <w:fldChar w:fldCharType="end"/>
          </w:r>
          <w:r>
            <w:fldChar w:fldCharType="end"/>
          </w:r>
        </w:p>
        <w:p w14:paraId="491765FD">
          <w:pPr>
            <w:pStyle w:val="34"/>
            <w:tabs>
              <w:tab w:val="right" w:leader="dot" w:pos="8731"/>
            </w:tabs>
          </w:pPr>
          <w:r>
            <w:fldChar w:fldCharType="begin"/>
          </w:r>
          <w:r>
            <w:instrText xml:space="preserve"> HYPERLINK \l "_Toc14405" </w:instrText>
          </w:r>
          <w:r>
            <w:fldChar w:fldCharType="separate"/>
          </w:r>
          <w:r>
            <w:rPr>
              <w:rFonts w:hint="eastAsia" w:ascii="宋体" w:hAnsi="宋体" w:cs="宋体"/>
              <w:bCs/>
              <w:kern w:val="2"/>
              <w:szCs w:val="32"/>
            </w:rPr>
            <w:t>质疑函范本</w:t>
          </w:r>
          <w:r>
            <w:tab/>
          </w:r>
          <w:r>
            <w:fldChar w:fldCharType="begin"/>
          </w:r>
          <w:r>
            <w:instrText xml:space="preserve"> PAGEREF _Toc14405 \h </w:instrText>
          </w:r>
          <w:r>
            <w:fldChar w:fldCharType="separate"/>
          </w:r>
          <w:r>
            <w:t>50</w:t>
          </w:r>
          <w:r>
            <w:fldChar w:fldCharType="end"/>
          </w:r>
          <w:r>
            <w:fldChar w:fldCharType="end"/>
          </w:r>
        </w:p>
        <w:p w14:paraId="21B0701B">
          <w:pPr>
            <w:rPr>
              <w:rFonts w:ascii="宋体" w:hAnsi="宋体" w:cs="宋体"/>
            </w:rPr>
          </w:pPr>
          <w:r>
            <w:rPr>
              <w:rFonts w:hint="eastAsia" w:ascii="宋体" w:hAnsi="宋体" w:cs="宋体"/>
            </w:rPr>
            <w:fldChar w:fldCharType="end"/>
          </w:r>
        </w:p>
      </w:sdtContent>
    </w:sdt>
    <w:p w14:paraId="08C98372">
      <w:pPr>
        <w:pStyle w:val="17"/>
      </w:pPr>
    </w:p>
    <w:p w14:paraId="35C45267">
      <w:pPr>
        <w:rPr>
          <w:rFonts w:ascii="宋体" w:hAnsi="宋体" w:cs="宋体"/>
        </w:rPr>
      </w:pPr>
    </w:p>
    <w:p w14:paraId="479A16C7">
      <w:pPr>
        <w:rPr>
          <w:rFonts w:ascii="宋体" w:hAnsi="宋体" w:cs="宋体"/>
        </w:rPr>
      </w:pPr>
    </w:p>
    <w:p w14:paraId="7D68B691">
      <w:pPr>
        <w:rPr>
          <w:rFonts w:ascii="宋体" w:hAnsi="宋体" w:cs="宋体"/>
        </w:rPr>
      </w:pPr>
    </w:p>
    <w:p w14:paraId="3530D68E">
      <w:pPr>
        <w:rPr>
          <w:rFonts w:ascii="宋体" w:hAnsi="宋体" w:cs="宋体"/>
        </w:rPr>
      </w:pPr>
    </w:p>
    <w:p w14:paraId="2DA3E56C">
      <w:pPr>
        <w:rPr>
          <w:rFonts w:ascii="宋体" w:hAnsi="宋体" w:cs="宋体"/>
        </w:rPr>
      </w:pPr>
    </w:p>
    <w:p w14:paraId="03A51FED">
      <w:pPr>
        <w:rPr>
          <w:rFonts w:ascii="宋体" w:hAnsi="宋体" w:cs="宋体"/>
        </w:rPr>
      </w:pPr>
    </w:p>
    <w:p w14:paraId="70C689B5">
      <w:pPr>
        <w:rPr>
          <w:rFonts w:ascii="宋体" w:hAnsi="宋体" w:cs="宋体"/>
        </w:rPr>
      </w:pPr>
    </w:p>
    <w:p w14:paraId="0B9DD0F4">
      <w:pPr>
        <w:rPr>
          <w:rFonts w:ascii="宋体" w:hAnsi="宋体" w:cs="宋体"/>
        </w:rPr>
      </w:pPr>
    </w:p>
    <w:p w14:paraId="4065DF35">
      <w:pPr>
        <w:rPr>
          <w:rFonts w:ascii="宋体" w:hAnsi="宋体" w:cs="宋体"/>
        </w:rPr>
      </w:pPr>
    </w:p>
    <w:p w14:paraId="1F30C16F">
      <w:pPr>
        <w:rPr>
          <w:rFonts w:ascii="宋体" w:hAnsi="宋体" w:cs="宋体"/>
        </w:rPr>
      </w:pPr>
    </w:p>
    <w:p w14:paraId="2C797640">
      <w:pPr>
        <w:rPr>
          <w:rFonts w:ascii="宋体" w:hAnsi="宋体" w:cs="宋体"/>
        </w:rPr>
      </w:pPr>
    </w:p>
    <w:p w14:paraId="4ABA2E32">
      <w:pPr>
        <w:rPr>
          <w:rFonts w:ascii="宋体" w:hAnsi="宋体" w:cs="宋体"/>
        </w:rPr>
      </w:pPr>
    </w:p>
    <w:p w14:paraId="638B0FCD">
      <w:pPr>
        <w:rPr>
          <w:rFonts w:ascii="宋体" w:hAnsi="宋体" w:cs="宋体"/>
        </w:rPr>
      </w:pPr>
    </w:p>
    <w:p w14:paraId="68EA0AEE">
      <w:pPr>
        <w:rPr>
          <w:rFonts w:ascii="宋体" w:hAnsi="宋体" w:cs="宋体"/>
        </w:rPr>
      </w:pPr>
    </w:p>
    <w:p w14:paraId="75B23608">
      <w:pPr>
        <w:rPr>
          <w:rFonts w:ascii="宋体" w:hAnsi="宋体" w:cs="宋体"/>
        </w:rPr>
      </w:pPr>
    </w:p>
    <w:p w14:paraId="50CFCE7C">
      <w:pPr>
        <w:rPr>
          <w:rFonts w:ascii="宋体" w:hAnsi="宋体" w:cs="宋体"/>
        </w:rPr>
      </w:pPr>
    </w:p>
    <w:p w14:paraId="4F31555F">
      <w:pPr>
        <w:rPr>
          <w:rFonts w:ascii="宋体" w:hAnsi="宋体" w:cs="宋体"/>
        </w:rPr>
      </w:pPr>
    </w:p>
    <w:p w14:paraId="32A4EDB0">
      <w:pPr>
        <w:rPr>
          <w:rFonts w:ascii="宋体" w:hAnsi="宋体" w:cs="宋体"/>
        </w:rPr>
      </w:pPr>
    </w:p>
    <w:p w14:paraId="7C3F3A0C">
      <w:pPr>
        <w:rPr>
          <w:rFonts w:ascii="宋体" w:hAnsi="宋体" w:cs="宋体"/>
        </w:rPr>
      </w:pPr>
    </w:p>
    <w:p w14:paraId="20A2D8A5">
      <w:pPr>
        <w:rPr>
          <w:rFonts w:ascii="宋体" w:hAnsi="宋体" w:cs="宋体"/>
        </w:rPr>
      </w:pPr>
    </w:p>
    <w:p w14:paraId="225DF634">
      <w:pPr>
        <w:rPr>
          <w:rFonts w:ascii="宋体" w:hAnsi="宋体" w:cs="宋体"/>
        </w:rPr>
      </w:pPr>
    </w:p>
    <w:p w14:paraId="09BAEE94">
      <w:pPr>
        <w:rPr>
          <w:rFonts w:ascii="宋体" w:hAnsi="宋体" w:cs="宋体"/>
        </w:rPr>
      </w:pPr>
    </w:p>
    <w:p w14:paraId="635F5464">
      <w:pPr>
        <w:rPr>
          <w:rFonts w:ascii="宋体" w:hAnsi="宋体" w:cs="宋体"/>
          <w:sz w:val="44"/>
          <w:szCs w:val="44"/>
        </w:rPr>
      </w:pPr>
      <w:r>
        <w:rPr>
          <w:rFonts w:hint="eastAsia" w:ascii="宋体" w:hAnsi="宋体" w:cs="宋体"/>
          <w:sz w:val="44"/>
          <w:szCs w:val="44"/>
        </w:rPr>
        <w:br w:type="page"/>
      </w:r>
    </w:p>
    <w:p w14:paraId="5B357C1C">
      <w:pPr>
        <w:pStyle w:val="52"/>
        <w:rPr>
          <w:rFonts w:ascii="宋体" w:hAnsi="宋体" w:eastAsia="宋体" w:cs="宋体"/>
          <w:bCs/>
          <w:sz w:val="44"/>
          <w:szCs w:val="44"/>
        </w:rPr>
      </w:pPr>
      <w:bookmarkStart w:id="7" w:name="_Toc22635"/>
      <w:r>
        <w:rPr>
          <w:rFonts w:hint="eastAsia" w:ascii="宋体" w:hAnsi="宋体" w:eastAsia="宋体" w:cs="宋体"/>
          <w:sz w:val="44"/>
          <w:szCs w:val="44"/>
        </w:rPr>
        <w:t xml:space="preserve">第一章  </w:t>
      </w:r>
      <w:bookmarkEnd w:id="1"/>
      <w:r>
        <w:rPr>
          <w:rFonts w:hint="eastAsia" w:ascii="宋体" w:hAnsi="宋体" w:eastAsia="宋体" w:cs="宋体"/>
          <w:sz w:val="44"/>
          <w:szCs w:val="44"/>
        </w:rPr>
        <w:t>投标邀请</w:t>
      </w:r>
      <w:bookmarkEnd w:id="7"/>
    </w:p>
    <w:p w14:paraId="2DE71AB6">
      <w:pPr>
        <w:spacing w:before="120" w:beforeLines="50"/>
        <w:ind w:firstLine="480" w:firstLineChars="200"/>
        <w:rPr>
          <w:rFonts w:ascii="宋体" w:hAnsi="宋体" w:cs="宋体"/>
          <w:sz w:val="24"/>
          <w:szCs w:val="24"/>
        </w:rPr>
      </w:pPr>
      <w:r>
        <w:rPr>
          <w:rFonts w:hint="eastAsia" w:ascii="宋体" w:hAnsi="宋体" w:cs="宋体"/>
          <w:sz w:val="24"/>
          <w:szCs w:val="24"/>
        </w:rPr>
        <w:t>受[宝应县人民医院]的委托，江苏苏豪创新科技集团高科有限公司就[</w:t>
      </w:r>
      <w:r>
        <w:rPr>
          <w:rFonts w:hint="eastAsia" w:ascii="宋体" w:hAnsi="宋体" w:cs="宋体"/>
          <w:sz w:val="24"/>
          <w:szCs w:val="24"/>
          <w:lang w:eastAsia="zh-CN"/>
        </w:rPr>
        <w:t>宝应县人民医院健康管理随访中心信息化平台采购项目（二次）</w:t>
      </w:r>
      <w:r>
        <w:rPr>
          <w:rFonts w:hint="eastAsia" w:ascii="宋体" w:hAnsi="宋体" w:cs="宋体"/>
          <w:sz w:val="24"/>
          <w:szCs w:val="24"/>
        </w:rPr>
        <w:t>]（项目编号：JSZC-321023-SHGK-G2026-0022）项目进行公开招标采购，欢迎符合条件的供应商投标。</w:t>
      </w:r>
    </w:p>
    <w:p w14:paraId="15F8781C">
      <w:pPr>
        <w:pBdr>
          <w:top w:val="single" w:color="000000" w:sz="4" w:space="0"/>
          <w:left w:val="single" w:color="000000" w:sz="4" w:space="3"/>
          <w:bottom w:val="single" w:color="000000" w:sz="4" w:space="0"/>
          <w:right w:val="single" w:color="000000" w:sz="4" w:space="3"/>
        </w:pBdr>
        <w:ind w:firstLine="480"/>
        <w:rPr>
          <w:rFonts w:ascii="宋体" w:hAnsi="宋体" w:cs="宋体"/>
          <w:sz w:val="24"/>
          <w:szCs w:val="24"/>
        </w:rPr>
      </w:pPr>
      <w:r>
        <w:rPr>
          <w:rFonts w:hint="eastAsia" w:ascii="宋体" w:hAnsi="宋体" w:cs="宋体"/>
          <w:sz w:val="24"/>
          <w:szCs w:val="24"/>
        </w:rPr>
        <w:t>项目概况</w:t>
      </w:r>
    </w:p>
    <w:p w14:paraId="7824824A">
      <w:pPr>
        <w:pBdr>
          <w:top w:val="single" w:color="000000" w:sz="4" w:space="0"/>
          <w:left w:val="single" w:color="000000" w:sz="4" w:space="3"/>
          <w:bottom w:val="single" w:color="000000" w:sz="4" w:space="0"/>
          <w:right w:val="single" w:color="000000" w:sz="4" w:space="3"/>
        </w:pBdr>
        <w:ind w:firstLine="480"/>
        <w:rPr>
          <w:rFonts w:ascii="宋体" w:hAnsi="宋体" w:cs="宋体"/>
          <w:sz w:val="24"/>
          <w:szCs w:val="24"/>
        </w:rPr>
      </w:pPr>
      <w:r>
        <w:rPr>
          <w:rFonts w:hint="eastAsia" w:ascii="宋体" w:hAnsi="宋体" w:cs="宋体"/>
          <w:sz w:val="24"/>
          <w:szCs w:val="24"/>
          <w:u w:val="single"/>
          <w:lang w:eastAsia="zh-CN"/>
        </w:rPr>
        <w:t>宝应县人民医院健康管理随访中心信息化平台采购项目（二次）</w:t>
      </w:r>
      <w:r>
        <w:rPr>
          <w:rFonts w:hint="eastAsia" w:ascii="宋体" w:hAnsi="宋体" w:cs="宋体"/>
          <w:sz w:val="24"/>
          <w:szCs w:val="24"/>
        </w:rPr>
        <w:t>招标项目的潜在投标人可在</w:t>
      </w:r>
      <w:r>
        <w:rPr>
          <w:rFonts w:hint="eastAsia" w:ascii="宋体" w:hAnsi="宋体" w:cs="宋体"/>
          <w:sz w:val="24"/>
          <w:szCs w:val="24"/>
          <w:u w:val="single"/>
        </w:rPr>
        <w:t>“江苏政府采购网、扬州市政府采购网”自行免费下载</w:t>
      </w:r>
      <w:r>
        <w:rPr>
          <w:rFonts w:hint="eastAsia" w:ascii="宋体" w:hAnsi="宋体" w:cs="宋体"/>
          <w:sz w:val="24"/>
          <w:szCs w:val="24"/>
        </w:rPr>
        <w:t>招标文件，并于</w:t>
      </w:r>
      <w:r>
        <w:rPr>
          <w:rFonts w:hint="eastAsia" w:ascii="宋体" w:hAnsi="宋体" w:cs="宋体"/>
          <w:sz w:val="24"/>
          <w:szCs w:val="24"/>
          <w:u w:val="single"/>
        </w:rPr>
        <w:t>2026年4月21日10时整</w:t>
      </w:r>
      <w:r>
        <w:rPr>
          <w:rFonts w:hint="eastAsia" w:ascii="宋体" w:hAnsi="宋体" w:cs="宋体"/>
          <w:bCs/>
          <w:sz w:val="24"/>
          <w:szCs w:val="24"/>
          <w:u w:val="single"/>
        </w:rPr>
        <w:t>（</w:t>
      </w:r>
      <w:r>
        <w:rPr>
          <w:rFonts w:hint="eastAsia" w:ascii="宋体" w:hAnsi="宋体" w:cs="宋体"/>
          <w:bCs/>
          <w:sz w:val="24"/>
          <w:szCs w:val="24"/>
        </w:rPr>
        <w:t>北京时间）前递交投标文件</w:t>
      </w:r>
      <w:r>
        <w:rPr>
          <w:rFonts w:hint="eastAsia" w:ascii="宋体" w:hAnsi="宋体" w:cs="宋体"/>
          <w:sz w:val="24"/>
          <w:szCs w:val="24"/>
        </w:rPr>
        <w:t>。</w:t>
      </w:r>
    </w:p>
    <w:p w14:paraId="2BA752F6">
      <w:pPr>
        <w:pStyle w:val="46"/>
        <w:spacing w:before="240"/>
        <w:ind w:firstLine="0" w:firstLineChars="0"/>
        <w:outlineLvl w:val="1"/>
      </w:pPr>
      <w:bookmarkStart w:id="8" w:name="_Toc28359079"/>
      <w:bookmarkStart w:id="9" w:name="_Toc38985263"/>
      <w:bookmarkStart w:id="10" w:name="_Toc35393621"/>
      <w:bookmarkStart w:id="11" w:name="_Toc35393790"/>
      <w:bookmarkStart w:id="12" w:name="_Toc22660"/>
      <w:bookmarkStart w:id="13" w:name="_Toc28359002"/>
      <w:bookmarkStart w:id="14" w:name="_Hlk24379207"/>
      <w:r>
        <w:rPr>
          <w:rFonts w:hint="eastAsia"/>
        </w:rPr>
        <w:t>一、项目基本情况</w:t>
      </w:r>
      <w:bookmarkEnd w:id="8"/>
      <w:bookmarkEnd w:id="9"/>
      <w:bookmarkEnd w:id="10"/>
      <w:bookmarkEnd w:id="11"/>
      <w:bookmarkEnd w:id="12"/>
      <w:bookmarkEnd w:id="13"/>
    </w:p>
    <w:p w14:paraId="4D26676E">
      <w:pPr>
        <w:ind w:firstLine="480" w:firstLineChars="200"/>
        <w:rPr>
          <w:rFonts w:ascii="宋体" w:hAnsi="宋体" w:cs="宋体"/>
          <w:sz w:val="24"/>
          <w:szCs w:val="24"/>
        </w:rPr>
      </w:pPr>
      <w:r>
        <w:rPr>
          <w:rFonts w:hint="eastAsia" w:ascii="宋体" w:hAnsi="宋体" w:cs="宋体"/>
          <w:sz w:val="24"/>
          <w:szCs w:val="24"/>
        </w:rPr>
        <w:t>1.1 项目编号：JSZC-321023-SHGK-G2026-0022</w:t>
      </w:r>
    </w:p>
    <w:p w14:paraId="555ACC6A">
      <w:pPr>
        <w:ind w:firstLine="480" w:firstLineChars="200"/>
        <w:rPr>
          <w:rFonts w:hint="eastAsia" w:ascii="宋体" w:hAnsi="宋体" w:eastAsia="宋体" w:cs="宋体"/>
          <w:sz w:val="24"/>
          <w:szCs w:val="24"/>
          <w:lang w:eastAsia="zh-CN"/>
        </w:rPr>
      </w:pPr>
      <w:r>
        <w:rPr>
          <w:rFonts w:hint="eastAsia" w:ascii="宋体" w:hAnsi="宋体" w:cs="宋体"/>
          <w:sz w:val="24"/>
          <w:szCs w:val="24"/>
        </w:rPr>
        <w:t>1.2 项目名称：</w:t>
      </w:r>
      <w:bookmarkEnd w:id="14"/>
      <w:r>
        <w:rPr>
          <w:rFonts w:hint="eastAsia" w:ascii="宋体" w:hAnsi="宋体" w:cs="宋体"/>
          <w:sz w:val="24"/>
          <w:szCs w:val="24"/>
          <w:lang w:eastAsia="zh-CN"/>
        </w:rPr>
        <w:t>宝应县人民医院健康管理随访中心信息化平台采购项目（二次）</w:t>
      </w:r>
    </w:p>
    <w:p w14:paraId="1760D61A">
      <w:pPr>
        <w:ind w:firstLine="480" w:firstLineChars="200"/>
        <w:rPr>
          <w:rFonts w:ascii="宋体" w:hAnsi="宋体" w:cs="宋体"/>
          <w:sz w:val="24"/>
          <w:szCs w:val="24"/>
        </w:rPr>
      </w:pPr>
      <w:r>
        <w:rPr>
          <w:rFonts w:hint="eastAsia" w:ascii="宋体" w:hAnsi="宋体" w:cs="宋体"/>
          <w:sz w:val="24"/>
          <w:szCs w:val="24"/>
        </w:rPr>
        <w:t>1.3 预算金额：100万元</w:t>
      </w:r>
    </w:p>
    <w:p w14:paraId="790263E1">
      <w:pPr>
        <w:ind w:firstLine="480" w:firstLineChars="200"/>
        <w:rPr>
          <w:rFonts w:ascii="宋体" w:hAnsi="宋体" w:cs="宋体"/>
          <w:sz w:val="24"/>
          <w:szCs w:val="24"/>
        </w:rPr>
      </w:pPr>
      <w:r>
        <w:rPr>
          <w:rFonts w:hint="eastAsia" w:ascii="宋体" w:hAnsi="宋体" w:cs="宋体"/>
          <w:sz w:val="24"/>
          <w:szCs w:val="24"/>
        </w:rPr>
        <w:t>1.4 最高限价：100万元</w:t>
      </w:r>
    </w:p>
    <w:p w14:paraId="6BBEB708">
      <w:pPr>
        <w:ind w:firstLine="480" w:firstLineChars="200"/>
        <w:rPr>
          <w:rFonts w:ascii="宋体" w:hAnsi="宋体" w:cs="宋体"/>
          <w:sz w:val="24"/>
          <w:szCs w:val="24"/>
        </w:rPr>
      </w:pPr>
      <w:r>
        <w:rPr>
          <w:rFonts w:hint="eastAsia" w:ascii="宋体" w:hAnsi="宋体" w:cs="宋体"/>
          <w:sz w:val="24"/>
          <w:szCs w:val="24"/>
        </w:rPr>
        <w:t>1.5 采购需求（简介）：</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3462"/>
        <w:gridCol w:w="929"/>
        <w:gridCol w:w="1997"/>
        <w:gridCol w:w="1571"/>
      </w:tblGrid>
      <w:tr w14:paraId="0EC73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7" w:type="dxa"/>
            <w:vAlign w:val="center"/>
          </w:tcPr>
          <w:p w14:paraId="0E809755">
            <w:pPr>
              <w:jc w:val="center"/>
              <w:rPr>
                <w:rFonts w:ascii="宋体" w:hAnsi="宋体" w:cs="宋体"/>
                <w:b/>
                <w:sz w:val="24"/>
                <w:szCs w:val="24"/>
              </w:rPr>
            </w:pPr>
            <w:bookmarkStart w:id="15" w:name="OLE_LINK2"/>
            <w:bookmarkStart w:id="16" w:name="OLE_LINK1"/>
            <w:r>
              <w:rPr>
                <w:rFonts w:hint="eastAsia" w:ascii="宋体" w:hAnsi="宋体" w:cs="宋体"/>
                <w:b/>
                <w:sz w:val="24"/>
                <w:szCs w:val="24"/>
              </w:rPr>
              <w:t>序号</w:t>
            </w:r>
          </w:p>
        </w:tc>
        <w:tc>
          <w:tcPr>
            <w:tcW w:w="3462" w:type="dxa"/>
            <w:vAlign w:val="center"/>
          </w:tcPr>
          <w:p w14:paraId="763A613B">
            <w:pPr>
              <w:jc w:val="center"/>
              <w:rPr>
                <w:rFonts w:ascii="宋体" w:hAnsi="宋体" w:cs="宋体"/>
                <w:b/>
                <w:sz w:val="24"/>
                <w:szCs w:val="24"/>
              </w:rPr>
            </w:pPr>
            <w:r>
              <w:rPr>
                <w:rFonts w:hint="eastAsia" w:ascii="宋体" w:hAnsi="宋体" w:cs="宋体"/>
                <w:b/>
                <w:sz w:val="24"/>
                <w:szCs w:val="24"/>
              </w:rPr>
              <w:t>货物名称</w:t>
            </w:r>
          </w:p>
        </w:tc>
        <w:tc>
          <w:tcPr>
            <w:tcW w:w="929" w:type="dxa"/>
            <w:vAlign w:val="center"/>
          </w:tcPr>
          <w:p w14:paraId="38B10DF8">
            <w:pPr>
              <w:jc w:val="center"/>
              <w:rPr>
                <w:rFonts w:ascii="宋体" w:hAnsi="宋体" w:cs="宋体"/>
                <w:b/>
                <w:sz w:val="24"/>
                <w:szCs w:val="24"/>
              </w:rPr>
            </w:pPr>
            <w:r>
              <w:rPr>
                <w:rFonts w:hint="eastAsia" w:ascii="宋体" w:hAnsi="宋体" w:cs="宋体"/>
                <w:b/>
                <w:sz w:val="24"/>
                <w:szCs w:val="24"/>
              </w:rPr>
              <w:t>数量</w:t>
            </w:r>
          </w:p>
        </w:tc>
        <w:tc>
          <w:tcPr>
            <w:tcW w:w="1997" w:type="dxa"/>
            <w:vAlign w:val="center"/>
          </w:tcPr>
          <w:p w14:paraId="7B71AE8B">
            <w:pPr>
              <w:jc w:val="center"/>
              <w:rPr>
                <w:rFonts w:ascii="宋体" w:hAnsi="宋体" w:cs="宋体"/>
                <w:b/>
                <w:sz w:val="24"/>
                <w:szCs w:val="24"/>
              </w:rPr>
            </w:pPr>
            <w:r>
              <w:rPr>
                <w:rFonts w:hint="eastAsia" w:ascii="宋体" w:hAnsi="宋体" w:cs="宋体"/>
                <w:b/>
                <w:sz w:val="24"/>
                <w:szCs w:val="24"/>
              </w:rPr>
              <w:t>采购预算</w:t>
            </w:r>
          </w:p>
          <w:p w14:paraId="53420753">
            <w:pPr>
              <w:jc w:val="center"/>
              <w:rPr>
                <w:rFonts w:ascii="宋体" w:hAnsi="宋体" w:cs="宋体"/>
                <w:b/>
                <w:sz w:val="24"/>
                <w:szCs w:val="24"/>
              </w:rPr>
            </w:pPr>
            <w:r>
              <w:rPr>
                <w:rFonts w:hint="eastAsia" w:ascii="宋体" w:hAnsi="宋体" w:cs="宋体"/>
                <w:b/>
                <w:sz w:val="24"/>
                <w:szCs w:val="24"/>
              </w:rPr>
              <w:t>（万元人民币）</w:t>
            </w:r>
          </w:p>
        </w:tc>
        <w:tc>
          <w:tcPr>
            <w:tcW w:w="1571" w:type="dxa"/>
            <w:vAlign w:val="center"/>
          </w:tcPr>
          <w:p w14:paraId="271FECAC">
            <w:pPr>
              <w:jc w:val="center"/>
              <w:rPr>
                <w:rFonts w:ascii="宋体" w:hAnsi="宋体" w:cs="宋体"/>
                <w:b/>
                <w:sz w:val="24"/>
                <w:szCs w:val="24"/>
              </w:rPr>
            </w:pPr>
            <w:r>
              <w:rPr>
                <w:rFonts w:hint="eastAsia" w:ascii="宋体" w:hAnsi="宋体" w:cs="宋体"/>
                <w:b/>
                <w:sz w:val="24"/>
                <w:szCs w:val="24"/>
              </w:rPr>
              <w:t>是否接受进口产品投标</w:t>
            </w:r>
          </w:p>
        </w:tc>
      </w:tr>
      <w:tr w14:paraId="24E9C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7" w:type="dxa"/>
            <w:vAlign w:val="center"/>
          </w:tcPr>
          <w:p w14:paraId="0C7F03C2">
            <w:pPr>
              <w:jc w:val="center"/>
              <w:rPr>
                <w:rFonts w:ascii="宋体" w:hAnsi="宋体" w:cs="宋体"/>
                <w:sz w:val="24"/>
                <w:szCs w:val="24"/>
              </w:rPr>
            </w:pPr>
            <w:r>
              <w:rPr>
                <w:rFonts w:hint="eastAsia" w:ascii="宋体" w:hAnsi="宋体" w:cs="宋体"/>
                <w:sz w:val="24"/>
                <w:szCs w:val="24"/>
              </w:rPr>
              <w:t>1</w:t>
            </w:r>
          </w:p>
        </w:tc>
        <w:tc>
          <w:tcPr>
            <w:tcW w:w="3462" w:type="dxa"/>
            <w:vAlign w:val="center"/>
          </w:tcPr>
          <w:p w14:paraId="7FBFD4A2">
            <w:pPr>
              <w:jc w:val="center"/>
              <w:rPr>
                <w:rFonts w:ascii="宋体" w:hAnsi="宋体" w:cs="宋体"/>
                <w:sz w:val="24"/>
                <w:szCs w:val="24"/>
              </w:rPr>
            </w:pPr>
            <w:r>
              <w:rPr>
                <w:rFonts w:hint="eastAsia" w:ascii="宋体" w:hAnsi="宋体" w:cs="宋体"/>
                <w:sz w:val="24"/>
                <w:szCs w:val="24"/>
              </w:rPr>
              <w:t>健康管理随访中心信息化平台</w:t>
            </w:r>
          </w:p>
        </w:tc>
        <w:tc>
          <w:tcPr>
            <w:tcW w:w="929" w:type="dxa"/>
            <w:vAlign w:val="center"/>
          </w:tcPr>
          <w:p w14:paraId="7D4D3CAA">
            <w:pPr>
              <w:jc w:val="center"/>
              <w:rPr>
                <w:rFonts w:ascii="宋体" w:hAnsi="宋体" w:cs="宋体"/>
                <w:sz w:val="24"/>
                <w:szCs w:val="24"/>
              </w:rPr>
            </w:pPr>
            <w:r>
              <w:rPr>
                <w:rFonts w:hint="eastAsia" w:ascii="宋体" w:hAnsi="宋体" w:cs="宋体"/>
                <w:spacing w:val="-5"/>
                <w:sz w:val="24"/>
                <w:szCs w:val="24"/>
              </w:rPr>
              <w:t>1套</w:t>
            </w:r>
          </w:p>
        </w:tc>
        <w:tc>
          <w:tcPr>
            <w:tcW w:w="1997" w:type="dxa"/>
            <w:vAlign w:val="center"/>
          </w:tcPr>
          <w:p w14:paraId="171D42AB">
            <w:pPr>
              <w:widowControl/>
              <w:jc w:val="center"/>
              <w:rPr>
                <w:rFonts w:ascii="宋体" w:hAnsi="宋体" w:cs="宋体"/>
                <w:sz w:val="24"/>
                <w:szCs w:val="24"/>
              </w:rPr>
            </w:pPr>
            <w:r>
              <w:rPr>
                <w:rFonts w:hint="eastAsia" w:ascii="宋体" w:hAnsi="宋体" w:cs="宋体"/>
                <w:sz w:val="24"/>
                <w:szCs w:val="24"/>
              </w:rPr>
              <w:t>100</w:t>
            </w:r>
          </w:p>
        </w:tc>
        <w:tc>
          <w:tcPr>
            <w:tcW w:w="1571" w:type="dxa"/>
            <w:vAlign w:val="center"/>
          </w:tcPr>
          <w:p w14:paraId="589345CE">
            <w:pPr>
              <w:jc w:val="center"/>
              <w:rPr>
                <w:rFonts w:ascii="宋体" w:hAnsi="宋体" w:cs="宋体"/>
                <w:sz w:val="24"/>
                <w:szCs w:val="24"/>
              </w:rPr>
            </w:pPr>
            <w:r>
              <w:rPr>
                <w:rFonts w:hint="eastAsia" w:ascii="宋体" w:hAnsi="宋体" w:cs="宋体"/>
                <w:sz w:val="24"/>
                <w:szCs w:val="24"/>
              </w:rPr>
              <w:t>不接受</w:t>
            </w:r>
          </w:p>
        </w:tc>
      </w:tr>
      <w:bookmarkEnd w:id="15"/>
      <w:bookmarkEnd w:id="16"/>
    </w:tbl>
    <w:p w14:paraId="37526A60">
      <w:pPr>
        <w:ind w:firstLine="480" w:firstLineChars="200"/>
        <w:rPr>
          <w:rFonts w:ascii="宋体" w:hAnsi="宋体" w:cs="宋体"/>
          <w:sz w:val="24"/>
          <w:szCs w:val="24"/>
        </w:rPr>
      </w:pPr>
      <w:r>
        <w:rPr>
          <w:rFonts w:hint="eastAsia" w:ascii="宋体" w:hAnsi="宋体" w:cs="宋体"/>
          <w:sz w:val="24"/>
          <w:szCs w:val="24"/>
        </w:rPr>
        <w:t>1.6 合同履行期限：合同签订后2个月内</w:t>
      </w:r>
    </w:p>
    <w:p w14:paraId="6FC7B280">
      <w:pPr>
        <w:ind w:firstLine="480" w:firstLineChars="200"/>
        <w:rPr>
          <w:rFonts w:ascii="宋体" w:hAnsi="宋体" w:cs="宋体"/>
          <w:sz w:val="24"/>
          <w:szCs w:val="24"/>
        </w:rPr>
      </w:pPr>
      <w:r>
        <w:rPr>
          <w:rFonts w:hint="eastAsia" w:ascii="宋体" w:hAnsi="宋体" w:cs="宋体"/>
          <w:sz w:val="24"/>
          <w:szCs w:val="24"/>
        </w:rPr>
        <w:t>1.7 本项目（是/否）接受联合体：否</w:t>
      </w:r>
    </w:p>
    <w:p w14:paraId="5B17B93B">
      <w:pPr>
        <w:pStyle w:val="46"/>
        <w:spacing w:before="240"/>
        <w:ind w:firstLine="0" w:firstLineChars="0"/>
        <w:outlineLvl w:val="1"/>
      </w:pPr>
      <w:bookmarkStart w:id="17" w:name="_Toc35393622"/>
      <w:bookmarkStart w:id="18" w:name="_Toc28359003"/>
      <w:bookmarkStart w:id="19" w:name="_Toc10655"/>
      <w:bookmarkStart w:id="20" w:name="_Toc38985264"/>
      <w:bookmarkStart w:id="21" w:name="_Toc28359080"/>
      <w:bookmarkStart w:id="22" w:name="_Toc35393791"/>
      <w:r>
        <w:rPr>
          <w:rFonts w:hint="eastAsia"/>
        </w:rPr>
        <w:t>二、申请人的资格要求：</w:t>
      </w:r>
      <w:bookmarkEnd w:id="17"/>
      <w:bookmarkEnd w:id="18"/>
      <w:bookmarkEnd w:id="19"/>
      <w:bookmarkEnd w:id="20"/>
      <w:bookmarkEnd w:id="21"/>
      <w:bookmarkEnd w:id="22"/>
    </w:p>
    <w:p w14:paraId="3829F974">
      <w:pPr>
        <w:ind w:firstLine="482" w:firstLineChars="200"/>
        <w:rPr>
          <w:rFonts w:ascii="宋体" w:hAnsi="宋体" w:cs="宋体"/>
          <w:b/>
          <w:bCs/>
          <w:sz w:val="24"/>
          <w:szCs w:val="24"/>
        </w:rPr>
      </w:pPr>
      <w:bookmarkStart w:id="23" w:name="_Toc35393623"/>
      <w:bookmarkStart w:id="24" w:name="_Toc28359081"/>
      <w:bookmarkStart w:id="25" w:name="_Toc28359004"/>
      <w:bookmarkStart w:id="26" w:name="_Toc35393792"/>
      <w:bookmarkStart w:id="27" w:name="_Toc38985265"/>
      <w:r>
        <w:rPr>
          <w:rFonts w:hint="eastAsia" w:ascii="宋体" w:hAnsi="宋体" w:cs="宋体"/>
          <w:b/>
          <w:bCs/>
          <w:sz w:val="24"/>
          <w:szCs w:val="24"/>
        </w:rPr>
        <w:t>（一）通用资格要求</w:t>
      </w:r>
    </w:p>
    <w:p w14:paraId="3D53BBFF">
      <w:pPr>
        <w:ind w:firstLine="480" w:firstLineChars="200"/>
        <w:rPr>
          <w:rFonts w:ascii="宋体" w:hAnsi="宋体" w:cs="宋体"/>
          <w:i/>
          <w:sz w:val="24"/>
          <w:szCs w:val="24"/>
          <w:u w:val="single"/>
        </w:rPr>
      </w:pPr>
      <w:r>
        <w:rPr>
          <w:rFonts w:hint="eastAsia" w:ascii="宋体" w:hAnsi="宋体" w:cs="宋体"/>
          <w:i/>
          <w:sz w:val="24"/>
          <w:szCs w:val="24"/>
          <w:u w:val="single"/>
        </w:rPr>
        <w:t>1.满足《中华人民共和国政府采购法》第二十二条规定，并提供下列材料：</w:t>
      </w:r>
    </w:p>
    <w:p w14:paraId="505FEBD8">
      <w:pPr>
        <w:ind w:firstLine="480" w:firstLineChars="200"/>
        <w:rPr>
          <w:rFonts w:ascii="宋体" w:hAnsi="宋体" w:cs="宋体"/>
          <w:i/>
          <w:sz w:val="24"/>
          <w:szCs w:val="24"/>
          <w:u w:val="single"/>
        </w:rPr>
      </w:pPr>
      <w:r>
        <w:rPr>
          <w:rFonts w:hint="eastAsia" w:ascii="宋体" w:hAnsi="宋体" w:cs="宋体"/>
          <w:i/>
          <w:sz w:val="24"/>
          <w:szCs w:val="24"/>
          <w:u w:val="single"/>
        </w:rPr>
        <w:t>1.1 法人或者其他组织的营业执照等证明文件，自然人的身份证明；</w:t>
      </w:r>
    </w:p>
    <w:p w14:paraId="0AE79EE1">
      <w:pPr>
        <w:ind w:firstLine="480" w:firstLineChars="200"/>
        <w:rPr>
          <w:rFonts w:ascii="宋体" w:hAnsi="宋体" w:cs="宋体"/>
          <w:i/>
          <w:sz w:val="24"/>
          <w:szCs w:val="24"/>
          <w:u w:val="single"/>
        </w:rPr>
      </w:pPr>
      <w:r>
        <w:rPr>
          <w:rFonts w:hint="eastAsia" w:ascii="宋体" w:hAnsi="宋体" w:cs="宋体"/>
          <w:i/>
          <w:sz w:val="24"/>
          <w:szCs w:val="24"/>
          <w:u w:val="single"/>
        </w:rPr>
        <w:t>1.2上一年度的财务状况报告（提供2025年度的财务报表或投标截止时间前六个月内银行出具的资信证明，成立不满一年无需提供）；</w:t>
      </w:r>
    </w:p>
    <w:p w14:paraId="72C6D64E">
      <w:pPr>
        <w:ind w:firstLine="480" w:firstLineChars="200"/>
        <w:rPr>
          <w:rFonts w:ascii="宋体" w:hAnsi="宋体" w:cs="宋体"/>
          <w:i/>
          <w:sz w:val="24"/>
          <w:szCs w:val="24"/>
          <w:u w:val="single"/>
        </w:rPr>
      </w:pPr>
      <w:r>
        <w:rPr>
          <w:rFonts w:hint="eastAsia" w:ascii="宋体" w:hAnsi="宋体" w:cs="宋体"/>
          <w:i/>
          <w:sz w:val="24"/>
          <w:szCs w:val="24"/>
          <w:u w:val="single"/>
        </w:rPr>
        <w:t>1.3依法缴纳税收和社会保障资金的相关材料（提供开标截止时间前六个月内任一月份依法缴纳税收和社会保障资金的凭据，复印件加盖公章）（提供相关主管部门证明或银行代扣证明的复印件，根据国家相关政策免缴或迟缴的需提供相关证明材料）；</w:t>
      </w:r>
    </w:p>
    <w:p w14:paraId="511873DC">
      <w:pPr>
        <w:ind w:firstLine="480" w:firstLineChars="200"/>
        <w:rPr>
          <w:rFonts w:ascii="宋体" w:hAnsi="宋体" w:cs="宋体"/>
          <w:i/>
          <w:sz w:val="24"/>
          <w:szCs w:val="24"/>
          <w:u w:val="single"/>
        </w:rPr>
      </w:pPr>
      <w:r>
        <w:rPr>
          <w:rFonts w:hint="eastAsia" w:ascii="宋体" w:hAnsi="宋体" w:cs="宋体"/>
          <w:i/>
          <w:sz w:val="24"/>
          <w:szCs w:val="24"/>
          <w:u w:val="single"/>
        </w:rPr>
        <w:t>1.4具备履行合同所必需的设备和专业技术能力的书面声明；</w:t>
      </w:r>
    </w:p>
    <w:p w14:paraId="32218CC6">
      <w:pPr>
        <w:ind w:firstLine="480" w:firstLineChars="200"/>
        <w:rPr>
          <w:rFonts w:ascii="宋体" w:hAnsi="宋体" w:cs="宋体"/>
          <w:i/>
          <w:sz w:val="24"/>
          <w:szCs w:val="24"/>
          <w:u w:val="single"/>
        </w:rPr>
      </w:pPr>
      <w:r>
        <w:rPr>
          <w:rFonts w:hint="eastAsia" w:ascii="宋体" w:hAnsi="宋体" w:cs="宋体"/>
          <w:i/>
          <w:sz w:val="24"/>
          <w:szCs w:val="24"/>
          <w:u w:val="single"/>
        </w:rPr>
        <w:t>1.5参加政府采购活动前3年内在经营活动中没有重大违法记录的书面声明；</w:t>
      </w:r>
    </w:p>
    <w:p w14:paraId="4C225734">
      <w:pPr>
        <w:spacing w:before="120" w:beforeLines="50"/>
        <w:ind w:firstLine="482" w:firstLineChars="200"/>
        <w:rPr>
          <w:rFonts w:ascii="宋体" w:hAnsi="宋体" w:cs="宋体"/>
          <w:b/>
          <w:bCs/>
          <w:sz w:val="24"/>
          <w:szCs w:val="24"/>
        </w:rPr>
      </w:pPr>
      <w:r>
        <w:rPr>
          <w:rFonts w:hint="eastAsia" w:ascii="宋体" w:hAnsi="宋体" w:cs="宋体"/>
          <w:b/>
          <w:bCs/>
          <w:sz w:val="24"/>
          <w:szCs w:val="24"/>
        </w:rPr>
        <w:t>（二）落实政府采购政策需满足的资格要求</w:t>
      </w:r>
    </w:p>
    <w:p w14:paraId="5C784679">
      <w:pPr>
        <w:ind w:firstLine="480" w:firstLineChars="200"/>
        <w:rPr>
          <w:rFonts w:ascii="宋体" w:hAnsi="宋体" w:cs="宋体"/>
          <w:i/>
          <w:sz w:val="24"/>
          <w:szCs w:val="24"/>
          <w:u w:val="single"/>
        </w:rPr>
      </w:pPr>
      <w:r>
        <w:rPr>
          <w:rFonts w:hint="eastAsia" w:ascii="宋体" w:hAnsi="宋体" w:cs="宋体"/>
          <w:i/>
          <w:sz w:val="24"/>
          <w:szCs w:val="24"/>
          <w:u w:val="single"/>
        </w:rPr>
        <w:t>2.1 根据《政府采购促进中小企业发展管理办法》的规定，</w:t>
      </w:r>
      <w:r>
        <w:rPr>
          <w:rFonts w:hint="eastAsia" w:ascii="宋体" w:hAnsi="宋体" w:cs="宋体"/>
          <w:b/>
          <w:bCs/>
          <w:i/>
          <w:sz w:val="24"/>
          <w:szCs w:val="24"/>
          <w:u w:val="single"/>
        </w:rPr>
        <w:t>本项目专门面向中小企业采购</w:t>
      </w:r>
      <w:r>
        <w:rPr>
          <w:rFonts w:hint="eastAsia" w:ascii="宋体" w:hAnsi="宋体" w:cs="宋体"/>
          <w:i/>
          <w:sz w:val="24"/>
          <w:szCs w:val="24"/>
          <w:u w:val="single"/>
        </w:rPr>
        <w:t>，投标人投标时须提供《中小企业声明函》，《中小企业声明函》不符合要求或未提供的，投标文件无效。</w:t>
      </w:r>
    </w:p>
    <w:p w14:paraId="0D346EF8">
      <w:pPr>
        <w:ind w:firstLine="480" w:firstLineChars="200"/>
        <w:rPr>
          <w:rFonts w:ascii="宋体" w:hAnsi="宋体" w:cs="宋体"/>
          <w:i/>
          <w:sz w:val="24"/>
          <w:szCs w:val="24"/>
          <w:u w:val="single"/>
        </w:rPr>
      </w:pPr>
      <w:r>
        <w:rPr>
          <w:rFonts w:hint="eastAsia" w:ascii="宋体" w:hAnsi="宋体" w:cs="宋体"/>
          <w:i/>
          <w:sz w:val="24"/>
          <w:szCs w:val="24"/>
          <w:u w:val="single"/>
        </w:rPr>
        <w:t>2.2 采购标的对应的中小企业划分标准所属行业为：</w:t>
      </w:r>
      <w:r>
        <w:rPr>
          <w:rFonts w:hint="eastAsia" w:ascii="宋体" w:hAnsi="宋体" w:cs="宋体"/>
          <w:b/>
          <w:bCs/>
          <w:i/>
          <w:sz w:val="24"/>
          <w:szCs w:val="24"/>
          <w:u w:val="single"/>
        </w:rPr>
        <w:t>软件和信息技术服务业</w:t>
      </w:r>
    </w:p>
    <w:p w14:paraId="2F91DFDC">
      <w:pPr>
        <w:spacing w:before="120" w:beforeLines="50"/>
        <w:ind w:firstLine="482" w:firstLineChars="200"/>
        <w:rPr>
          <w:rFonts w:ascii="宋体" w:hAnsi="宋体" w:cs="宋体"/>
          <w:b/>
          <w:bCs/>
          <w:sz w:val="24"/>
          <w:szCs w:val="24"/>
        </w:rPr>
      </w:pPr>
      <w:r>
        <w:rPr>
          <w:rFonts w:hint="eastAsia" w:ascii="宋体" w:hAnsi="宋体" w:cs="宋体"/>
          <w:b/>
          <w:bCs/>
          <w:sz w:val="24"/>
          <w:szCs w:val="24"/>
        </w:rPr>
        <w:t>（三）本项目的特定资格要求：无</w:t>
      </w:r>
    </w:p>
    <w:p w14:paraId="0A45C481">
      <w:pPr>
        <w:pStyle w:val="46"/>
        <w:spacing w:before="240"/>
        <w:ind w:firstLine="0" w:firstLineChars="0"/>
        <w:outlineLvl w:val="1"/>
      </w:pPr>
      <w:bookmarkStart w:id="28" w:name="_Toc1674"/>
      <w:r>
        <w:rPr>
          <w:rFonts w:hint="eastAsia"/>
        </w:rPr>
        <w:t>三、获取招标文件</w:t>
      </w:r>
      <w:bookmarkEnd w:id="23"/>
      <w:bookmarkEnd w:id="24"/>
      <w:bookmarkEnd w:id="25"/>
      <w:bookmarkEnd w:id="26"/>
      <w:bookmarkEnd w:id="27"/>
      <w:bookmarkEnd w:id="28"/>
    </w:p>
    <w:p w14:paraId="31904A94">
      <w:pPr>
        <w:ind w:firstLine="480" w:firstLineChars="200"/>
        <w:rPr>
          <w:rFonts w:ascii="宋体" w:hAnsi="宋体" w:cs="宋体"/>
          <w:sz w:val="24"/>
          <w:szCs w:val="24"/>
        </w:rPr>
      </w:pPr>
      <w:bookmarkStart w:id="29" w:name="_Toc28359005"/>
      <w:bookmarkStart w:id="30" w:name="_Toc28359082"/>
      <w:bookmarkStart w:id="31" w:name="_Toc35393624"/>
      <w:bookmarkStart w:id="32" w:name="_Toc38985266"/>
      <w:bookmarkStart w:id="33" w:name="_Toc35393793"/>
      <w:r>
        <w:rPr>
          <w:rFonts w:hint="eastAsia" w:ascii="宋体" w:hAnsi="宋体" w:cs="宋体"/>
          <w:sz w:val="24"/>
          <w:szCs w:val="24"/>
        </w:rPr>
        <w:t>3.1 时间：自招标文件公告发布之日起5个工作日（5个工作日后仍可以下载招标文件，但下载的招标文件，超出有效报名时间且不作为供应商权益受到损害的证明材料和依据。）。</w:t>
      </w:r>
    </w:p>
    <w:p w14:paraId="0789CEB6">
      <w:pPr>
        <w:ind w:firstLine="480" w:firstLineChars="200"/>
        <w:rPr>
          <w:rFonts w:ascii="宋体" w:hAnsi="宋体" w:cs="宋体"/>
          <w:sz w:val="24"/>
          <w:szCs w:val="24"/>
        </w:rPr>
      </w:pPr>
      <w:r>
        <w:rPr>
          <w:rFonts w:hint="eastAsia" w:ascii="宋体" w:hAnsi="宋体" w:cs="宋体"/>
          <w:sz w:val="24"/>
          <w:szCs w:val="24"/>
        </w:rPr>
        <w:t>3.2 地点：在“江苏政府采购网、扬州市政府采购网”。</w:t>
      </w:r>
    </w:p>
    <w:p w14:paraId="4CCBBF68">
      <w:pPr>
        <w:ind w:firstLine="480" w:firstLineChars="200"/>
        <w:rPr>
          <w:rFonts w:ascii="宋体" w:hAnsi="宋体" w:cs="宋体"/>
          <w:sz w:val="24"/>
          <w:szCs w:val="24"/>
        </w:rPr>
      </w:pPr>
      <w:r>
        <w:rPr>
          <w:rFonts w:hint="eastAsia" w:ascii="宋体" w:hAnsi="宋体" w:cs="宋体"/>
          <w:sz w:val="24"/>
          <w:szCs w:val="24"/>
        </w:rPr>
        <w:t>3.3 方式：自行免费下载招标文件。</w:t>
      </w:r>
    </w:p>
    <w:p w14:paraId="3F7AE7D3">
      <w:pPr>
        <w:ind w:firstLine="480" w:firstLineChars="200"/>
        <w:rPr>
          <w:rFonts w:ascii="宋体" w:hAnsi="宋体" w:cs="宋体"/>
          <w:sz w:val="24"/>
          <w:szCs w:val="24"/>
        </w:rPr>
      </w:pPr>
      <w:r>
        <w:rPr>
          <w:rFonts w:hint="eastAsia" w:ascii="宋体" w:hAnsi="宋体" w:cs="宋体"/>
          <w:sz w:val="24"/>
          <w:szCs w:val="24"/>
        </w:rPr>
        <w:t>3.4 售价：0.00元</w:t>
      </w:r>
    </w:p>
    <w:p w14:paraId="691C6AD5">
      <w:pPr>
        <w:pStyle w:val="46"/>
        <w:spacing w:before="240"/>
        <w:ind w:firstLine="0" w:firstLineChars="0"/>
        <w:outlineLvl w:val="1"/>
      </w:pPr>
      <w:bookmarkStart w:id="34" w:name="_Toc29122"/>
      <w:r>
        <w:rPr>
          <w:rFonts w:hint="eastAsia"/>
        </w:rPr>
        <w:t>四、提交投标文件</w:t>
      </w:r>
      <w:bookmarkEnd w:id="29"/>
      <w:bookmarkEnd w:id="30"/>
      <w:r>
        <w:rPr>
          <w:rFonts w:hint="eastAsia"/>
        </w:rPr>
        <w:t>截止时间、开标时间和地点</w:t>
      </w:r>
      <w:bookmarkEnd w:id="31"/>
      <w:bookmarkEnd w:id="32"/>
      <w:bookmarkEnd w:id="33"/>
      <w:bookmarkEnd w:id="34"/>
    </w:p>
    <w:p w14:paraId="023B5DC7">
      <w:pPr>
        <w:ind w:firstLine="480"/>
        <w:rPr>
          <w:rFonts w:ascii="宋体" w:hAnsi="宋体" w:cs="宋体"/>
          <w:bCs/>
          <w:sz w:val="24"/>
          <w:szCs w:val="24"/>
        </w:rPr>
      </w:pPr>
      <w:r>
        <w:rPr>
          <w:rFonts w:hint="eastAsia" w:ascii="宋体" w:hAnsi="宋体" w:cs="宋体"/>
          <w:bCs/>
          <w:sz w:val="24"/>
          <w:szCs w:val="24"/>
          <w:u w:val="single"/>
        </w:rPr>
        <w:t>4.1</w:t>
      </w:r>
      <w:r>
        <w:rPr>
          <w:rFonts w:hint="eastAsia" w:ascii="宋体" w:hAnsi="宋体" w:cs="宋体"/>
          <w:sz w:val="24"/>
          <w:szCs w:val="24"/>
          <w:u w:val="single"/>
        </w:rPr>
        <w:t xml:space="preserve"> 2026年4月21日10时整</w:t>
      </w:r>
      <w:r>
        <w:rPr>
          <w:rFonts w:hint="eastAsia" w:ascii="宋体" w:hAnsi="宋体" w:cs="宋体"/>
          <w:bCs/>
          <w:sz w:val="24"/>
          <w:szCs w:val="24"/>
        </w:rPr>
        <w:t>（北京时间）</w:t>
      </w:r>
    </w:p>
    <w:p w14:paraId="3A893A17">
      <w:pPr>
        <w:ind w:firstLine="480"/>
        <w:rPr>
          <w:rFonts w:ascii="宋体" w:hAnsi="宋体" w:cs="宋体"/>
          <w:bCs/>
          <w:sz w:val="24"/>
          <w:szCs w:val="24"/>
          <w:u w:val="single"/>
        </w:rPr>
      </w:pPr>
      <w:r>
        <w:rPr>
          <w:rFonts w:hint="eastAsia" w:ascii="宋体" w:hAnsi="宋体" w:cs="宋体"/>
          <w:sz w:val="24"/>
          <w:szCs w:val="24"/>
        </w:rPr>
        <w:t>4.2 地点：江苏省政府采购交易系统（以下简称“苏采云系统”）网上开标大厅。</w:t>
      </w:r>
    </w:p>
    <w:p w14:paraId="3D8650EF">
      <w:pPr>
        <w:pStyle w:val="46"/>
        <w:spacing w:before="240"/>
        <w:ind w:firstLine="0" w:firstLineChars="0"/>
        <w:outlineLvl w:val="1"/>
      </w:pPr>
      <w:bookmarkStart w:id="35" w:name="_Toc28359007"/>
      <w:bookmarkStart w:id="36" w:name="_Toc35393625"/>
      <w:bookmarkStart w:id="37" w:name="_Toc28359084"/>
      <w:bookmarkStart w:id="38" w:name="_Toc35393794"/>
      <w:bookmarkStart w:id="39" w:name="_Toc38985267"/>
      <w:bookmarkStart w:id="40" w:name="_Toc4640"/>
      <w:r>
        <w:rPr>
          <w:rFonts w:hint="eastAsia"/>
        </w:rPr>
        <w:t>五、公告期限</w:t>
      </w:r>
      <w:bookmarkEnd w:id="35"/>
      <w:bookmarkEnd w:id="36"/>
      <w:bookmarkEnd w:id="37"/>
      <w:bookmarkEnd w:id="38"/>
      <w:bookmarkEnd w:id="39"/>
      <w:bookmarkEnd w:id="40"/>
    </w:p>
    <w:p w14:paraId="64DBC3BA">
      <w:pPr>
        <w:ind w:firstLine="480"/>
        <w:rPr>
          <w:rFonts w:ascii="宋体" w:hAnsi="宋体" w:cs="宋体"/>
          <w:sz w:val="24"/>
          <w:szCs w:val="24"/>
        </w:rPr>
      </w:pPr>
      <w:bookmarkStart w:id="41" w:name="_Toc35393626"/>
      <w:bookmarkStart w:id="42" w:name="_Toc35393795"/>
      <w:bookmarkStart w:id="43" w:name="_Toc38985268"/>
      <w:r>
        <w:rPr>
          <w:rFonts w:hint="eastAsia" w:ascii="宋体" w:hAnsi="宋体" w:cs="宋体"/>
          <w:sz w:val="24"/>
          <w:szCs w:val="24"/>
        </w:rPr>
        <w:t>招标公告及招标文件公告期限为自本公告发布之日起5个工作日。</w:t>
      </w:r>
    </w:p>
    <w:p w14:paraId="5DF0ADC8">
      <w:pPr>
        <w:pStyle w:val="46"/>
        <w:spacing w:before="240"/>
        <w:ind w:firstLine="0" w:firstLineChars="0"/>
        <w:outlineLvl w:val="1"/>
      </w:pPr>
      <w:bookmarkStart w:id="44" w:name="_Toc4904"/>
      <w:r>
        <w:rPr>
          <w:rFonts w:hint="eastAsia"/>
        </w:rPr>
        <w:t>六、其他补充事宜</w:t>
      </w:r>
      <w:bookmarkEnd w:id="41"/>
      <w:bookmarkEnd w:id="42"/>
      <w:bookmarkEnd w:id="43"/>
      <w:bookmarkEnd w:id="44"/>
    </w:p>
    <w:p w14:paraId="7547AB1E">
      <w:pPr>
        <w:ind w:firstLine="480"/>
        <w:rPr>
          <w:rFonts w:ascii="宋体" w:hAnsi="宋体" w:cs="宋体"/>
          <w:sz w:val="24"/>
          <w:szCs w:val="24"/>
        </w:rPr>
      </w:pPr>
      <w:bookmarkStart w:id="45" w:name="_Toc28359008"/>
      <w:bookmarkStart w:id="46" w:name="_Toc38985269"/>
      <w:bookmarkStart w:id="47" w:name="_Toc28359085"/>
      <w:bookmarkStart w:id="48" w:name="_Toc35393796"/>
      <w:bookmarkStart w:id="49" w:name="_Toc35393627"/>
      <w:r>
        <w:rPr>
          <w:rFonts w:hint="eastAsia" w:ascii="宋体" w:hAnsi="宋体" w:cs="宋体"/>
          <w:sz w:val="24"/>
          <w:szCs w:val="24"/>
        </w:rPr>
        <w:t>6.1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p>
    <w:p w14:paraId="597C9974">
      <w:pPr>
        <w:ind w:firstLine="480"/>
        <w:rPr>
          <w:rFonts w:ascii="宋体" w:hAnsi="宋体" w:cs="宋体"/>
          <w:sz w:val="24"/>
          <w:szCs w:val="24"/>
        </w:rPr>
      </w:pPr>
      <w:r>
        <w:rPr>
          <w:rFonts w:hint="eastAsia" w:ascii="宋体" w:hAnsi="宋体" w:cs="宋体"/>
          <w:sz w:val="24"/>
          <w:szCs w:val="24"/>
        </w:rPr>
        <w:t>领取CA和办理电子签章（请至扬州市文昌东路9号广陵新城市民中心1号楼5楼办理，具体联系方式：18952716110）。</w:t>
      </w:r>
    </w:p>
    <w:p w14:paraId="1C17E536">
      <w:pPr>
        <w:ind w:firstLine="480"/>
        <w:rPr>
          <w:rFonts w:ascii="宋体" w:hAnsi="宋体" w:cs="宋体"/>
          <w:sz w:val="24"/>
          <w:szCs w:val="24"/>
        </w:rPr>
      </w:pPr>
      <w:r>
        <w:rPr>
          <w:rFonts w:hint="eastAsia" w:ascii="宋体" w:hAnsi="宋体" w:cs="宋体"/>
          <w:sz w:val="24"/>
          <w:szCs w:val="24"/>
        </w:rPr>
        <w:t>6.2 有关本次招标的事项若存在变动或修改，敬请及时关注江苏苏豪创新科技集团高科有限公司在</w:t>
      </w:r>
      <w:r>
        <w:rPr>
          <w:rFonts w:hint="eastAsia" w:ascii="宋体" w:hAnsi="宋体" w:cs="宋体"/>
          <w:b/>
          <w:bCs/>
          <w:sz w:val="24"/>
          <w:szCs w:val="24"/>
          <w:u w:val="single"/>
        </w:rPr>
        <w:t>“江苏政府采购网”“扬州市政府采购网”</w:t>
      </w:r>
      <w:r>
        <w:rPr>
          <w:rFonts w:hint="eastAsia" w:ascii="宋体" w:hAnsi="宋体" w:cs="宋体"/>
          <w:sz w:val="24"/>
          <w:szCs w:val="24"/>
        </w:rPr>
        <w:t>发布的更正公告。</w:t>
      </w:r>
    </w:p>
    <w:p w14:paraId="5BC11BF0">
      <w:pPr>
        <w:ind w:firstLine="480"/>
        <w:rPr>
          <w:rFonts w:ascii="宋体" w:hAnsi="宋体" w:cs="宋体"/>
          <w:sz w:val="24"/>
          <w:szCs w:val="24"/>
        </w:rPr>
      </w:pPr>
      <w:r>
        <w:rPr>
          <w:rFonts w:hint="eastAsia" w:ascii="宋体" w:hAnsi="宋体" w:cs="宋体"/>
          <w:sz w:val="24"/>
          <w:szCs w:val="24"/>
        </w:rPr>
        <w:t>6.3 本次招标不收取投标保证金。</w:t>
      </w:r>
    </w:p>
    <w:p w14:paraId="1A599F6E">
      <w:pPr>
        <w:ind w:firstLine="480"/>
        <w:rPr>
          <w:rFonts w:ascii="宋体" w:hAnsi="宋体" w:cs="宋体"/>
          <w:sz w:val="24"/>
          <w:szCs w:val="24"/>
        </w:rPr>
      </w:pPr>
      <w:r>
        <w:rPr>
          <w:rFonts w:hint="eastAsia" w:ascii="宋体" w:hAnsi="宋体" w:cs="宋体"/>
          <w:sz w:val="24"/>
          <w:szCs w:val="24"/>
        </w:rPr>
        <w:t>6.4 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B45FF3F">
      <w:pPr>
        <w:ind w:firstLine="480"/>
        <w:rPr>
          <w:rFonts w:ascii="宋体" w:hAnsi="宋体" w:cs="宋体"/>
          <w:sz w:val="24"/>
          <w:szCs w:val="24"/>
        </w:rPr>
      </w:pPr>
      <w:r>
        <w:rPr>
          <w:rFonts w:hint="eastAsia" w:ascii="宋体" w:hAnsi="宋体" w:cs="宋体"/>
          <w:sz w:val="24"/>
          <w:szCs w:val="24"/>
        </w:rPr>
        <w:t>6.5 本招标项目执行《中华人民共和国政府采购法》《中华人民共和国政府采购法实施条例》《中华人民共和国财政部令第87号》《财库〔2014〕68号》《财库〔2017〕141号》《财库〔2019〕9号》《财库〔2020〕46号》《苏财购〔2022〕45号》</w:t>
      </w:r>
      <w:r>
        <w:rPr>
          <w:rFonts w:hint="eastAsia" w:ascii="宋体" w:hAnsi="宋体" w:cs="宋体"/>
          <w:sz w:val="24"/>
          <w:szCs w:val="24"/>
          <w:u w:val="single"/>
        </w:rPr>
        <w:t>《苏财购〔2025〕62号》《国办发〔2025〕34号》《财库〔2026〕2号》</w:t>
      </w:r>
    </w:p>
    <w:p w14:paraId="475E0E3F">
      <w:pPr>
        <w:pStyle w:val="46"/>
        <w:spacing w:before="240"/>
        <w:ind w:firstLine="0" w:firstLineChars="0"/>
        <w:outlineLvl w:val="1"/>
      </w:pPr>
      <w:bookmarkStart w:id="50" w:name="_Toc4376"/>
      <w:r>
        <w:rPr>
          <w:rFonts w:hint="eastAsia"/>
        </w:rPr>
        <w:t>七、本次招标联系方式</w:t>
      </w:r>
      <w:bookmarkEnd w:id="45"/>
      <w:bookmarkEnd w:id="46"/>
      <w:bookmarkEnd w:id="47"/>
      <w:bookmarkEnd w:id="48"/>
      <w:bookmarkEnd w:id="49"/>
      <w:bookmarkEnd w:id="50"/>
    </w:p>
    <w:p w14:paraId="7E555230">
      <w:pPr>
        <w:ind w:firstLine="480" w:firstLineChars="200"/>
        <w:rPr>
          <w:rFonts w:ascii="宋体" w:hAnsi="宋体" w:cs="宋体"/>
          <w:sz w:val="24"/>
          <w:szCs w:val="24"/>
        </w:rPr>
      </w:pPr>
      <w:r>
        <w:rPr>
          <w:rFonts w:hint="eastAsia" w:ascii="宋体" w:hAnsi="宋体" w:cs="宋体"/>
          <w:sz w:val="24"/>
          <w:szCs w:val="24"/>
        </w:rPr>
        <w:t>7.1 采购人信息：</w:t>
      </w:r>
    </w:p>
    <w:p w14:paraId="2A3EEA55">
      <w:pPr>
        <w:ind w:firstLine="480" w:firstLineChars="200"/>
        <w:rPr>
          <w:rFonts w:ascii="宋体" w:hAnsi="宋体" w:cs="宋体"/>
          <w:sz w:val="24"/>
          <w:szCs w:val="24"/>
        </w:rPr>
      </w:pPr>
      <w:r>
        <w:rPr>
          <w:rFonts w:hint="eastAsia" w:ascii="宋体" w:hAnsi="宋体" w:cs="宋体"/>
          <w:sz w:val="24"/>
          <w:szCs w:val="24"/>
        </w:rPr>
        <w:t>采 购 人：宝应县人民医院</w:t>
      </w:r>
    </w:p>
    <w:p w14:paraId="4AB09220">
      <w:pPr>
        <w:ind w:firstLine="480" w:firstLineChars="200"/>
        <w:rPr>
          <w:rFonts w:ascii="宋体" w:hAnsi="宋体" w:cs="宋体"/>
          <w:sz w:val="24"/>
          <w:szCs w:val="24"/>
        </w:rPr>
      </w:pPr>
      <w:r>
        <w:rPr>
          <w:rFonts w:hint="eastAsia" w:ascii="宋体" w:hAnsi="宋体" w:cs="宋体"/>
          <w:sz w:val="24"/>
          <w:szCs w:val="24"/>
        </w:rPr>
        <w:t>联系地址：宝应县安宜东路3号</w:t>
      </w:r>
    </w:p>
    <w:p w14:paraId="72E2A7E5">
      <w:pPr>
        <w:ind w:firstLine="480" w:firstLineChars="200"/>
        <w:rPr>
          <w:rFonts w:ascii="宋体" w:hAnsi="宋体" w:cs="宋体"/>
          <w:sz w:val="24"/>
          <w:szCs w:val="24"/>
        </w:rPr>
      </w:pPr>
      <w:r>
        <w:rPr>
          <w:rFonts w:hint="eastAsia" w:ascii="宋体" w:hAnsi="宋体" w:cs="宋体"/>
          <w:sz w:val="24"/>
          <w:szCs w:val="24"/>
        </w:rPr>
        <w:t>联 系 人：闵科长</w:t>
      </w:r>
    </w:p>
    <w:p w14:paraId="7C4FE6F6">
      <w:pPr>
        <w:ind w:firstLine="480" w:firstLineChars="200"/>
        <w:rPr>
          <w:rFonts w:ascii="宋体" w:hAnsi="宋体" w:cs="宋体"/>
          <w:sz w:val="24"/>
          <w:szCs w:val="24"/>
        </w:rPr>
      </w:pPr>
      <w:r>
        <w:rPr>
          <w:rFonts w:hint="eastAsia" w:ascii="宋体" w:hAnsi="宋体" w:cs="宋体"/>
          <w:sz w:val="24"/>
          <w:szCs w:val="24"/>
        </w:rPr>
        <w:t>联系电话：0514-88200272</w:t>
      </w:r>
    </w:p>
    <w:p w14:paraId="205C656D">
      <w:pPr>
        <w:spacing w:before="120" w:beforeLines="50"/>
        <w:ind w:firstLine="480" w:firstLineChars="200"/>
        <w:rPr>
          <w:rFonts w:ascii="宋体" w:hAnsi="宋体" w:cs="宋体"/>
          <w:sz w:val="24"/>
          <w:szCs w:val="24"/>
        </w:rPr>
      </w:pPr>
      <w:r>
        <w:rPr>
          <w:rFonts w:hint="eastAsia" w:ascii="宋体" w:hAnsi="宋体" w:cs="宋体"/>
          <w:sz w:val="24"/>
          <w:szCs w:val="24"/>
        </w:rPr>
        <w:t>7.2 采购代理机构信息：</w:t>
      </w:r>
    </w:p>
    <w:p w14:paraId="13ABDC65">
      <w:pPr>
        <w:ind w:firstLine="480" w:firstLineChars="200"/>
        <w:rPr>
          <w:rFonts w:ascii="宋体" w:hAnsi="宋体" w:cs="宋体"/>
          <w:sz w:val="24"/>
          <w:szCs w:val="24"/>
        </w:rPr>
      </w:pPr>
      <w:r>
        <w:rPr>
          <w:rFonts w:hint="eastAsia" w:ascii="宋体" w:hAnsi="宋体" w:cs="宋体"/>
          <w:sz w:val="24"/>
          <w:szCs w:val="24"/>
        </w:rPr>
        <w:t>采购代理机构：江苏苏豪创新科技集团高科有限公司</w:t>
      </w:r>
    </w:p>
    <w:p w14:paraId="4332C158">
      <w:pPr>
        <w:ind w:firstLine="480" w:firstLineChars="200"/>
        <w:rPr>
          <w:rFonts w:ascii="宋体" w:hAnsi="宋体" w:cs="宋体"/>
          <w:sz w:val="24"/>
          <w:szCs w:val="24"/>
        </w:rPr>
      </w:pPr>
      <w:r>
        <w:rPr>
          <w:rFonts w:hint="eastAsia" w:ascii="宋体" w:hAnsi="宋体" w:cs="宋体"/>
          <w:sz w:val="24"/>
          <w:szCs w:val="24"/>
        </w:rPr>
        <w:t>联系地址：南京市雨花台区软件大道21号苏豪国际广场（北园）C座612室</w:t>
      </w:r>
    </w:p>
    <w:p w14:paraId="0D301EB8">
      <w:pPr>
        <w:ind w:firstLine="480" w:firstLineChars="200"/>
        <w:rPr>
          <w:rFonts w:ascii="宋体" w:hAnsi="宋体" w:cs="宋体"/>
          <w:sz w:val="24"/>
          <w:szCs w:val="24"/>
        </w:rPr>
      </w:pPr>
      <w:r>
        <w:rPr>
          <w:rFonts w:hint="eastAsia" w:ascii="宋体" w:hAnsi="宋体" w:cs="宋体"/>
          <w:sz w:val="24"/>
          <w:szCs w:val="24"/>
        </w:rPr>
        <w:t>联 系 人：丁一、李沁原</w:t>
      </w:r>
    </w:p>
    <w:p w14:paraId="0A1732D8">
      <w:pPr>
        <w:ind w:firstLine="480" w:firstLineChars="200"/>
        <w:rPr>
          <w:rFonts w:ascii="宋体" w:hAnsi="宋体" w:cs="宋体"/>
          <w:sz w:val="24"/>
          <w:szCs w:val="24"/>
        </w:rPr>
      </w:pPr>
      <w:r>
        <w:rPr>
          <w:rFonts w:hint="eastAsia" w:ascii="宋体" w:hAnsi="宋体" w:cs="宋体"/>
          <w:sz w:val="24"/>
          <w:szCs w:val="24"/>
        </w:rPr>
        <w:t>联系电话：025-52875927、025-52875941</w:t>
      </w:r>
    </w:p>
    <w:p w14:paraId="37062C36">
      <w:pPr>
        <w:spacing w:before="120" w:beforeLines="50"/>
        <w:ind w:firstLine="480" w:firstLineChars="200"/>
        <w:rPr>
          <w:rFonts w:ascii="宋体" w:hAnsi="宋体" w:cs="宋体"/>
          <w:sz w:val="24"/>
          <w:szCs w:val="24"/>
        </w:rPr>
      </w:pPr>
      <w:r>
        <w:rPr>
          <w:rFonts w:hint="eastAsia" w:ascii="宋体" w:hAnsi="宋体" w:cs="宋体"/>
          <w:sz w:val="24"/>
          <w:szCs w:val="24"/>
        </w:rPr>
        <w:t>7.3 项目联系方式：</w:t>
      </w:r>
    </w:p>
    <w:p w14:paraId="02DADFC0">
      <w:pPr>
        <w:ind w:firstLine="480" w:firstLineChars="200"/>
        <w:rPr>
          <w:rFonts w:ascii="宋体" w:hAnsi="宋体" w:cs="宋体"/>
          <w:sz w:val="24"/>
          <w:szCs w:val="24"/>
        </w:rPr>
      </w:pPr>
      <w:r>
        <w:rPr>
          <w:rFonts w:hint="eastAsia" w:ascii="宋体" w:hAnsi="宋体" w:cs="宋体"/>
          <w:sz w:val="24"/>
          <w:szCs w:val="24"/>
        </w:rPr>
        <w:t>项目联系人：吴冬晓、朱笑青</w:t>
      </w:r>
    </w:p>
    <w:p w14:paraId="21C66AD8">
      <w:pPr>
        <w:ind w:firstLine="480" w:firstLineChars="200"/>
        <w:rPr>
          <w:rFonts w:ascii="宋体" w:hAnsi="宋体" w:cs="宋体"/>
          <w:sz w:val="24"/>
          <w:szCs w:val="24"/>
        </w:rPr>
      </w:pPr>
      <w:r>
        <w:rPr>
          <w:rFonts w:hint="eastAsia" w:ascii="宋体" w:hAnsi="宋体" w:cs="宋体"/>
          <w:sz w:val="24"/>
          <w:szCs w:val="24"/>
        </w:rPr>
        <w:t>电话：025-52874082、025-5287</w:t>
      </w:r>
      <w:r>
        <w:rPr>
          <w:rFonts w:ascii="宋体" w:hAnsi="宋体" w:cs="宋体"/>
          <w:sz w:val="24"/>
          <w:szCs w:val="24"/>
        </w:rPr>
        <w:t>5975</w:t>
      </w:r>
    </w:p>
    <w:p w14:paraId="53FDACBF">
      <w:pPr>
        <w:ind w:right="840"/>
        <w:rPr>
          <w:rFonts w:ascii="宋体" w:hAnsi="宋体" w:cs="宋体"/>
          <w:sz w:val="24"/>
          <w:szCs w:val="24"/>
        </w:rPr>
      </w:pPr>
      <w:r>
        <w:rPr>
          <w:rFonts w:hint="eastAsia" w:ascii="宋体" w:hAnsi="宋体" w:cs="宋体"/>
          <w:sz w:val="24"/>
          <w:szCs w:val="24"/>
        </w:rPr>
        <w:br w:type="page" w:clear="all"/>
      </w:r>
    </w:p>
    <w:p w14:paraId="45D908C8">
      <w:pPr>
        <w:pStyle w:val="50"/>
        <w:ind w:firstLine="2429"/>
        <w:jc w:val="both"/>
        <w:outlineLvl w:val="0"/>
        <w:rPr>
          <w:rFonts w:ascii="宋体" w:hAnsi="宋体" w:eastAsia="宋体" w:cs="宋体"/>
          <w:b w:val="0"/>
          <w:bCs w:val="0"/>
        </w:rPr>
      </w:pPr>
      <w:bookmarkStart w:id="51" w:name="_Toc120614211"/>
      <w:bookmarkStart w:id="52" w:name="_Toc24034"/>
      <w:r>
        <w:rPr>
          <w:rFonts w:hint="eastAsia" w:ascii="宋体" w:hAnsi="宋体" w:eastAsia="宋体" w:cs="宋体"/>
        </w:rPr>
        <w:t xml:space="preserve">第二章  </w:t>
      </w:r>
      <w:bookmarkEnd w:id="2"/>
      <w:bookmarkEnd w:id="3"/>
      <w:bookmarkEnd w:id="4"/>
      <w:bookmarkEnd w:id="5"/>
      <w:bookmarkEnd w:id="6"/>
      <w:bookmarkEnd w:id="51"/>
      <w:bookmarkStart w:id="53" w:name="_Toc20823274"/>
      <w:bookmarkStart w:id="54" w:name="_Toc16938518"/>
      <w:bookmarkStart w:id="55" w:name="_Toc120614213"/>
      <w:bookmarkStart w:id="56" w:name="_Toc513029202"/>
      <w:r>
        <w:rPr>
          <w:rFonts w:hint="eastAsia" w:ascii="宋体" w:hAnsi="宋体" w:eastAsia="宋体" w:cs="宋体"/>
        </w:rPr>
        <w:t>投标人须知</w:t>
      </w:r>
      <w:bookmarkEnd w:id="52"/>
      <w:bookmarkEnd w:id="53"/>
      <w:bookmarkEnd w:id="54"/>
      <w:bookmarkEnd w:id="55"/>
      <w:bookmarkEnd w:id="56"/>
    </w:p>
    <w:p w14:paraId="3232C1FD">
      <w:pPr>
        <w:pStyle w:val="46"/>
        <w:spacing w:before="240"/>
        <w:ind w:firstLine="0" w:firstLineChars="0"/>
        <w:outlineLvl w:val="1"/>
      </w:pPr>
      <w:bookmarkStart w:id="57" w:name="_Toc1696"/>
      <w:bookmarkStart w:id="58" w:name="_Toc479757207"/>
      <w:bookmarkStart w:id="59" w:name="_Toc513029242"/>
      <w:bookmarkStart w:id="60" w:name="_Toc120614221"/>
      <w:bookmarkStart w:id="61" w:name="_Toc16938558"/>
      <w:bookmarkStart w:id="62" w:name="_Toc20823314"/>
      <w:r>
        <w:rPr>
          <w:rFonts w:hint="eastAsia"/>
        </w:rPr>
        <w:t>一、总则</w:t>
      </w:r>
      <w:bookmarkEnd w:id="57"/>
    </w:p>
    <w:p w14:paraId="6048DEE0">
      <w:pPr>
        <w:spacing w:before="120" w:beforeLines="50"/>
        <w:ind w:firstLine="480" w:firstLineChars="200"/>
        <w:outlineLvl w:val="2"/>
        <w:rPr>
          <w:rFonts w:ascii="宋体" w:hAnsi="宋体" w:cs="宋体"/>
          <w:sz w:val="24"/>
          <w:szCs w:val="24"/>
        </w:rPr>
      </w:pPr>
      <w:bookmarkStart w:id="63" w:name="_Toc30275"/>
      <w:r>
        <w:rPr>
          <w:rFonts w:hint="eastAsia" w:ascii="宋体" w:hAnsi="宋体" w:cs="宋体"/>
          <w:sz w:val="24"/>
          <w:szCs w:val="24"/>
        </w:rPr>
        <w:t>1.招标方式</w:t>
      </w:r>
      <w:bookmarkEnd w:id="63"/>
    </w:p>
    <w:p w14:paraId="669B1AA7">
      <w:pPr>
        <w:spacing w:before="120" w:beforeLines="50"/>
        <w:ind w:firstLine="480" w:firstLineChars="200"/>
        <w:rPr>
          <w:rFonts w:ascii="宋体" w:hAnsi="宋体" w:cs="宋体"/>
          <w:sz w:val="24"/>
          <w:szCs w:val="24"/>
        </w:rPr>
      </w:pPr>
      <w:r>
        <w:rPr>
          <w:rFonts w:hint="eastAsia" w:ascii="宋体" w:hAnsi="宋体" w:cs="宋体"/>
          <w:sz w:val="24"/>
          <w:szCs w:val="24"/>
        </w:rPr>
        <w:t>1.1 本次招标采取公开招标方式，本招标文件仅适用于招标公告中所述项目。</w:t>
      </w:r>
    </w:p>
    <w:p w14:paraId="675A6C5B">
      <w:pPr>
        <w:spacing w:before="120" w:beforeLines="50"/>
        <w:ind w:firstLine="480" w:firstLineChars="200"/>
        <w:outlineLvl w:val="2"/>
        <w:rPr>
          <w:rFonts w:ascii="宋体" w:hAnsi="宋体" w:cs="宋体"/>
          <w:sz w:val="24"/>
          <w:szCs w:val="24"/>
        </w:rPr>
      </w:pPr>
      <w:bookmarkStart w:id="64" w:name="_Toc25655"/>
      <w:r>
        <w:rPr>
          <w:rFonts w:hint="eastAsia" w:ascii="宋体" w:hAnsi="宋体" w:cs="宋体"/>
          <w:sz w:val="24"/>
          <w:szCs w:val="24"/>
        </w:rPr>
        <w:t>2.合格的投标人</w:t>
      </w:r>
      <w:bookmarkEnd w:id="64"/>
    </w:p>
    <w:p w14:paraId="12FBCA49">
      <w:pPr>
        <w:spacing w:before="120" w:beforeLines="50"/>
        <w:ind w:firstLine="480" w:firstLineChars="200"/>
        <w:rPr>
          <w:rFonts w:ascii="宋体" w:hAnsi="宋体" w:cs="宋体"/>
          <w:sz w:val="24"/>
          <w:szCs w:val="24"/>
        </w:rPr>
      </w:pPr>
      <w:r>
        <w:rPr>
          <w:rFonts w:hint="eastAsia" w:ascii="宋体" w:hAnsi="宋体" w:cs="宋体"/>
          <w:sz w:val="24"/>
          <w:szCs w:val="24"/>
        </w:rPr>
        <w:t>2.1 满足招标公告中供应商的资格要求的规定。</w:t>
      </w:r>
    </w:p>
    <w:p w14:paraId="608C0339">
      <w:pPr>
        <w:spacing w:before="120" w:beforeLines="50"/>
        <w:ind w:firstLine="480" w:firstLineChars="200"/>
        <w:rPr>
          <w:rFonts w:ascii="宋体" w:hAnsi="宋体" w:cs="宋体"/>
          <w:sz w:val="24"/>
          <w:szCs w:val="24"/>
        </w:rPr>
      </w:pPr>
      <w:r>
        <w:rPr>
          <w:rFonts w:hint="eastAsia" w:ascii="宋体" w:hAnsi="宋体" w:cs="宋体"/>
          <w:sz w:val="24"/>
          <w:szCs w:val="24"/>
        </w:rPr>
        <w:t>2.2 满足本文件实质性要求和条件的规定。</w:t>
      </w:r>
    </w:p>
    <w:p w14:paraId="76647E17">
      <w:pPr>
        <w:spacing w:before="120" w:beforeLines="50"/>
        <w:ind w:firstLine="480" w:firstLineChars="200"/>
        <w:outlineLvl w:val="2"/>
        <w:rPr>
          <w:rFonts w:ascii="宋体" w:hAnsi="宋体" w:cs="宋体"/>
          <w:sz w:val="24"/>
          <w:szCs w:val="24"/>
        </w:rPr>
      </w:pPr>
      <w:bookmarkStart w:id="65" w:name="_Toc13430"/>
      <w:r>
        <w:rPr>
          <w:rFonts w:hint="eastAsia" w:ascii="宋体" w:hAnsi="宋体" w:cs="宋体"/>
          <w:sz w:val="24"/>
          <w:szCs w:val="24"/>
        </w:rPr>
        <w:t>3.适用法律</w:t>
      </w:r>
      <w:bookmarkEnd w:id="65"/>
    </w:p>
    <w:p w14:paraId="08463723">
      <w:pPr>
        <w:spacing w:before="120" w:beforeLines="50"/>
        <w:ind w:firstLine="480" w:firstLineChars="200"/>
        <w:rPr>
          <w:rFonts w:ascii="宋体" w:hAnsi="宋体" w:cs="宋体"/>
          <w:sz w:val="24"/>
          <w:szCs w:val="24"/>
        </w:rPr>
      </w:pPr>
      <w:r>
        <w:rPr>
          <w:rFonts w:hint="eastAsia" w:ascii="宋体" w:hAnsi="宋体" w:cs="宋体"/>
          <w:sz w:val="24"/>
          <w:szCs w:val="24"/>
        </w:rPr>
        <w:t>3.1 本次招标及由此产生的合同受中华人民共和国有关的法律法规制约和保护。</w:t>
      </w:r>
    </w:p>
    <w:p w14:paraId="08BDFA15">
      <w:pPr>
        <w:spacing w:before="120" w:beforeLines="50"/>
        <w:ind w:firstLine="480" w:firstLineChars="200"/>
        <w:rPr>
          <w:rFonts w:ascii="宋体" w:hAnsi="宋体" w:cs="宋体"/>
          <w:sz w:val="24"/>
          <w:szCs w:val="24"/>
        </w:rPr>
      </w:pPr>
      <w:r>
        <w:rPr>
          <w:rFonts w:hint="eastAsia" w:ascii="方正魏碑_GBK" w:hAnsi="方正魏碑_GBK" w:eastAsia="方正魏碑_GBK" w:cs="方正魏碑_GBK"/>
          <w:color w:val="FF0000"/>
          <w:sz w:val="24"/>
        </w:rPr>
        <w:t>3.2 在本项目政府采购活动过程中，如果所执行的标准有更新的，按照最新标准执行</w:t>
      </w:r>
    </w:p>
    <w:p w14:paraId="7B2FAC3A">
      <w:pPr>
        <w:spacing w:before="120" w:beforeLines="50"/>
        <w:ind w:firstLine="480" w:firstLineChars="200"/>
        <w:outlineLvl w:val="2"/>
        <w:rPr>
          <w:rFonts w:ascii="宋体" w:hAnsi="宋体" w:cs="宋体"/>
          <w:sz w:val="24"/>
          <w:szCs w:val="24"/>
        </w:rPr>
      </w:pPr>
      <w:bookmarkStart w:id="66" w:name="_Toc17241"/>
      <w:r>
        <w:rPr>
          <w:rFonts w:hint="eastAsia" w:ascii="宋体" w:hAnsi="宋体" w:cs="宋体"/>
          <w:sz w:val="24"/>
          <w:szCs w:val="24"/>
        </w:rPr>
        <w:t>4.投标费用</w:t>
      </w:r>
      <w:bookmarkEnd w:id="66"/>
    </w:p>
    <w:p w14:paraId="6EEF1A8A">
      <w:pPr>
        <w:spacing w:before="120" w:beforeLines="50"/>
        <w:ind w:firstLine="480" w:firstLineChars="200"/>
        <w:rPr>
          <w:rFonts w:ascii="宋体" w:hAnsi="宋体" w:cs="宋体"/>
          <w:sz w:val="24"/>
          <w:szCs w:val="24"/>
        </w:rPr>
      </w:pPr>
      <w:r>
        <w:rPr>
          <w:rFonts w:hint="eastAsia" w:ascii="宋体" w:hAnsi="宋体" w:cs="宋体"/>
          <w:sz w:val="24"/>
          <w:szCs w:val="24"/>
        </w:rPr>
        <w:t>4.1 投标人应自行承担所有与参加投标有关的费用，无论投标过程中的做法和结果如何，江苏苏豪创新科技集团高科有限公司（以下简称招标代理机构）在任何情况下均无义务和责任承担这些费用。</w:t>
      </w:r>
    </w:p>
    <w:p w14:paraId="65DA0882">
      <w:pPr>
        <w:spacing w:before="120" w:beforeLines="50"/>
        <w:ind w:firstLine="480" w:firstLineChars="200"/>
        <w:rPr>
          <w:rFonts w:ascii="宋体" w:hAnsi="宋体" w:cs="宋体"/>
          <w:sz w:val="24"/>
          <w:szCs w:val="24"/>
        </w:rPr>
      </w:pPr>
      <w:r>
        <w:rPr>
          <w:rFonts w:hint="eastAsia" w:ascii="宋体" w:hAnsi="宋体" w:cs="宋体"/>
          <w:sz w:val="24"/>
          <w:szCs w:val="24"/>
        </w:rPr>
        <w:t>4.2 本次招标代理机构不收取标书工本费。</w:t>
      </w:r>
    </w:p>
    <w:p w14:paraId="78853E1D">
      <w:pPr>
        <w:spacing w:before="120" w:beforeLines="50"/>
        <w:ind w:firstLine="480" w:firstLineChars="200"/>
        <w:rPr>
          <w:rFonts w:ascii="宋体" w:hAnsi="宋体" w:cs="宋体"/>
          <w:sz w:val="24"/>
          <w:szCs w:val="24"/>
        </w:rPr>
      </w:pPr>
      <w:r>
        <w:rPr>
          <w:rFonts w:hint="eastAsia" w:ascii="宋体" w:hAnsi="宋体" w:cs="宋体"/>
          <w:sz w:val="24"/>
          <w:szCs w:val="24"/>
        </w:rPr>
        <w:t>4.3 服务收费标准：本项目采购代理服务费参照江苏省政府采购代理服务收费指导意见[苏政采协〔2024〕20号]文收取，应在领取中标通知书前缴纳。</w:t>
      </w:r>
    </w:p>
    <w:p w14:paraId="2AACC50A">
      <w:pPr>
        <w:spacing w:before="120" w:beforeLines="50"/>
        <w:ind w:firstLine="480" w:firstLineChars="200"/>
        <w:rPr>
          <w:rFonts w:ascii="宋体" w:hAnsi="宋体" w:cs="宋体"/>
          <w:sz w:val="24"/>
          <w:szCs w:val="24"/>
        </w:rPr>
      </w:pPr>
      <w:r>
        <w:rPr>
          <w:rFonts w:hint="eastAsia" w:ascii="宋体" w:hAnsi="宋体" w:cs="宋体"/>
          <w:sz w:val="24"/>
          <w:szCs w:val="24"/>
        </w:rPr>
        <w:t>4.4 专家评审费按扬财购〔2020〕40号文《关于进一步规范扬州市政府采购专家评审费标准的通知》执行。</w:t>
      </w:r>
    </w:p>
    <w:p w14:paraId="410FD6B1">
      <w:pPr>
        <w:spacing w:before="120" w:beforeLines="50"/>
        <w:ind w:firstLine="480" w:firstLineChars="200"/>
        <w:rPr>
          <w:rFonts w:ascii="宋体" w:hAnsi="宋体" w:cs="宋体"/>
          <w:sz w:val="24"/>
          <w:szCs w:val="24"/>
        </w:rPr>
      </w:pPr>
      <w:r>
        <w:rPr>
          <w:rFonts w:hint="eastAsia" w:ascii="宋体" w:hAnsi="宋体" w:cs="宋体"/>
          <w:sz w:val="24"/>
          <w:szCs w:val="24"/>
        </w:rPr>
        <w:t>4.5 账户信息：</w:t>
      </w:r>
    </w:p>
    <w:p w14:paraId="17AC17C6">
      <w:pPr>
        <w:spacing w:before="120" w:beforeLines="50"/>
        <w:ind w:firstLine="480" w:firstLineChars="200"/>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 户    名：江苏苏豪创新科技集团高科有限公司</w:t>
      </w:r>
    </w:p>
    <w:p w14:paraId="4018C7BE">
      <w:pPr>
        <w:spacing w:before="120" w:beforeLines="50"/>
        <w:ind w:firstLine="480" w:firstLineChars="200"/>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 开户银行：工商银行江苏省南京市白下支行</w:t>
      </w:r>
    </w:p>
    <w:p w14:paraId="11B3A270">
      <w:pPr>
        <w:spacing w:before="120" w:beforeLines="50"/>
        <w:ind w:firstLine="480" w:firstLineChars="200"/>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 账    号：4301013119100888895</w:t>
      </w:r>
    </w:p>
    <w:p w14:paraId="336B5112">
      <w:pPr>
        <w:spacing w:before="120" w:beforeLines="50"/>
        <w:ind w:firstLine="480" w:firstLineChars="200"/>
        <w:outlineLvl w:val="2"/>
        <w:rPr>
          <w:rFonts w:ascii="宋体" w:hAnsi="宋体" w:cs="宋体"/>
          <w:sz w:val="24"/>
          <w:szCs w:val="24"/>
        </w:rPr>
      </w:pPr>
      <w:bookmarkStart w:id="67" w:name="_Toc28160"/>
      <w:r>
        <w:rPr>
          <w:rFonts w:hint="eastAsia" w:ascii="宋体" w:hAnsi="宋体" w:cs="宋体"/>
          <w:sz w:val="24"/>
          <w:szCs w:val="24"/>
        </w:rPr>
        <w:t>5.招标文件的约束力</w:t>
      </w:r>
      <w:bookmarkEnd w:id="67"/>
    </w:p>
    <w:p w14:paraId="3711E3BA">
      <w:pPr>
        <w:spacing w:before="120" w:beforeLines="50"/>
        <w:ind w:firstLine="480" w:firstLineChars="200"/>
        <w:rPr>
          <w:rFonts w:ascii="宋体" w:hAnsi="宋体" w:cs="宋体"/>
          <w:sz w:val="24"/>
          <w:szCs w:val="24"/>
        </w:rPr>
      </w:pPr>
      <w:r>
        <w:rPr>
          <w:rFonts w:hint="eastAsia" w:ascii="宋体" w:hAnsi="宋体" w:cs="宋体"/>
          <w:sz w:val="24"/>
          <w:szCs w:val="24"/>
        </w:rPr>
        <w:t>5.1投标人一旦参加本项目采购活动，即被认为接受了本招标文件的规定和约束。</w:t>
      </w:r>
    </w:p>
    <w:p w14:paraId="445A1549">
      <w:pPr>
        <w:pStyle w:val="46"/>
        <w:spacing w:before="240"/>
        <w:ind w:firstLine="0" w:firstLineChars="0"/>
        <w:outlineLvl w:val="1"/>
      </w:pPr>
      <w:bookmarkStart w:id="68" w:name="_Toc9608"/>
      <w:r>
        <w:rPr>
          <w:rFonts w:hint="eastAsia"/>
        </w:rPr>
        <w:t>二、招标文件</w:t>
      </w:r>
      <w:bookmarkEnd w:id="68"/>
    </w:p>
    <w:p w14:paraId="4EEF6CA2">
      <w:pPr>
        <w:spacing w:before="120" w:beforeLines="50"/>
        <w:ind w:firstLine="480" w:firstLineChars="200"/>
        <w:outlineLvl w:val="2"/>
        <w:rPr>
          <w:rFonts w:ascii="宋体" w:hAnsi="宋体" w:cs="宋体"/>
          <w:sz w:val="24"/>
          <w:szCs w:val="24"/>
        </w:rPr>
      </w:pPr>
      <w:bookmarkStart w:id="69" w:name="_Toc24615"/>
      <w:r>
        <w:rPr>
          <w:rFonts w:hint="eastAsia" w:ascii="宋体" w:hAnsi="宋体" w:cs="宋体"/>
          <w:sz w:val="24"/>
          <w:szCs w:val="24"/>
        </w:rPr>
        <w:t>6.招标文件构成</w:t>
      </w:r>
      <w:bookmarkEnd w:id="69"/>
    </w:p>
    <w:p w14:paraId="522757E5">
      <w:pPr>
        <w:spacing w:before="120" w:beforeLines="50"/>
        <w:ind w:firstLine="480" w:firstLineChars="200"/>
        <w:rPr>
          <w:rFonts w:ascii="宋体" w:hAnsi="宋体" w:cs="宋体"/>
          <w:sz w:val="24"/>
          <w:szCs w:val="24"/>
        </w:rPr>
      </w:pPr>
      <w:r>
        <w:rPr>
          <w:rFonts w:hint="eastAsia" w:ascii="宋体" w:hAnsi="宋体" w:cs="宋体"/>
          <w:sz w:val="24"/>
          <w:szCs w:val="24"/>
        </w:rPr>
        <w:t>6.1 招标文件由以下部分组成：</w:t>
      </w:r>
    </w:p>
    <w:p w14:paraId="4A63CC40">
      <w:pPr>
        <w:spacing w:before="120" w:beforeLines="50"/>
        <w:ind w:firstLine="480" w:firstLineChars="200"/>
        <w:rPr>
          <w:rFonts w:ascii="宋体" w:hAnsi="宋体" w:cs="宋体"/>
          <w:sz w:val="24"/>
          <w:szCs w:val="24"/>
        </w:rPr>
      </w:pPr>
      <w:r>
        <w:rPr>
          <w:rFonts w:hint="eastAsia" w:ascii="宋体" w:hAnsi="宋体" w:cs="宋体"/>
          <w:sz w:val="24"/>
          <w:szCs w:val="24"/>
        </w:rPr>
        <w:t>（1）投标邀请</w:t>
      </w:r>
    </w:p>
    <w:p w14:paraId="719F87D7">
      <w:pPr>
        <w:spacing w:before="120" w:beforeLines="50"/>
        <w:ind w:firstLine="480" w:firstLineChars="200"/>
        <w:rPr>
          <w:rFonts w:ascii="宋体" w:hAnsi="宋体" w:cs="宋体"/>
          <w:sz w:val="24"/>
          <w:szCs w:val="24"/>
        </w:rPr>
      </w:pPr>
      <w:r>
        <w:rPr>
          <w:rFonts w:hint="eastAsia" w:ascii="宋体" w:hAnsi="宋体" w:cs="宋体"/>
          <w:sz w:val="24"/>
          <w:szCs w:val="24"/>
        </w:rPr>
        <w:t>（2）投标人须知</w:t>
      </w:r>
    </w:p>
    <w:p w14:paraId="102B4615">
      <w:pPr>
        <w:spacing w:before="120" w:beforeLines="50"/>
        <w:ind w:firstLine="480" w:firstLineChars="200"/>
        <w:rPr>
          <w:rFonts w:ascii="宋体" w:hAnsi="宋体" w:cs="宋体"/>
          <w:sz w:val="24"/>
          <w:szCs w:val="24"/>
        </w:rPr>
      </w:pPr>
      <w:r>
        <w:rPr>
          <w:rFonts w:hint="eastAsia" w:ascii="宋体" w:hAnsi="宋体" w:cs="宋体"/>
          <w:sz w:val="24"/>
          <w:szCs w:val="24"/>
        </w:rPr>
        <w:t>（3）合同文本</w:t>
      </w:r>
    </w:p>
    <w:p w14:paraId="672C5A95">
      <w:pPr>
        <w:spacing w:before="120" w:beforeLines="50"/>
        <w:ind w:firstLine="480" w:firstLineChars="200"/>
        <w:rPr>
          <w:rFonts w:ascii="宋体" w:hAnsi="宋体" w:cs="宋体"/>
          <w:sz w:val="24"/>
          <w:szCs w:val="24"/>
        </w:rPr>
      </w:pPr>
      <w:r>
        <w:rPr>
          <w:rFonts w:hint="eastAsia" w:ascii="宋体" w:hAnsi="宋体" w:cs="宋体"/>
          <w:sz w:val="24"/>
          <w:szCs w:val="24"/>
        </w:rPr>
        <w:t>（4）采购需求</w:t>
      </w:r>
    </w:p>
    <w:p w14:paraId="2B9C06DB">
      <w:pPr>
        <w:spacing w:before="120" w:beforeLines="50"/>
        <w:ind w:firstLine="480" w:firstLineChars="200"/>
        <w:rPr>
          <w:rFonts w:ascii="宋体" w:hAnsi="宋体" w:cs="宋体"/>
          <w:sz w:val="24"/>
          <w:szCs w:val="24"/>
        </w:rPr>
      </w:pPr>
      <w:r>
        <w:rPr>
          <w:rFonts w:hint="eastAsia" w:ascii="宋体" w:hAnsi="宋体" w:cs="宋体"/>
          <w:sz w:val="24"/>
          <w:szCs w:val="24"/>
        </w:rPr>
        <w:t>（5）评标方法与评标标准</w:t>
      </w:r>
    </w:p>
    <w:p w14:paraId="1BBFDBA6">
      <w:pPr>
        <w:spacing w:before="120" w:beforeLines="50"/>
        <w:ind w:firstLine="480" w:firstLineChars="200"/>
        <w:rPr>
          <w:rFonts w:ascii="宋体" w:hAnsi="宋体" w:cs="宋体"/>
          <w:sz w:val="24"/>
          <w:szCs w:val="24"/>
        </w:rPr>
      </w:pPr>
      <w:r>
        <w:rPr>
          <w:rFonts w:hint="eastAsia" w:ascii="宋体" w:hAnsi="宋体" w:cs="宋体"/>
          <w:sz w:val="24"/>
          <w:szCs w:val="24"/>
        </w:rPr>
        <w:t>（6）投标文件格式</w:t>
      </w:r>
    </w:p>
    <w:p w14:paraId="2A5A2BD9">
      <w:pPr>
        <w:spacing w:before="120" w:beforeLines="50"/>
        <w:ind w:firstLine="480" w:firstLineChars="200"/>
        <w:rPr>
          <w:rFonts w:ascii="宋体" w:hAnsi="宋体" w:cs="宋体"/>
          <w:sz w:val="24"/>
          <w:szCs w:val="24"/>
        </w:rPr>
      </w:pPr>
      <w:r>
        <w:rPr>
          <w:rFonts w:hint="eastAsia" w:ascii="宋体" w:hAnsi="宋体" w:cs="宋体"/>
          <w:sz w:val="24"/>
          <w:szCs w:val="24"/>
        </w:rPr>
        <w:t>请仔细检查招标文件是否齐全，如有缺漏请立即与招标代理机构联系解决。</w:t>
      </w:r>
    </w:p>
    <w:p w14:paraId="6050F4AE">
      <w:pPr>
        <w:spacing w:before="120" w:beforeLines="50"/>
        <w:ind w:firstLine="480" w:firstLineChars="200"/>
        <w:rPr>
          <w:rFonts w:ascii="宋体" w:hAnsi="宋体" w:cs="宋体"/>
          <w:sz w:val="24"/>
          <w:szCs w:val="24"/>
        </w:rPr>
      </w:pPr>
      <w:r>
        <w:rPr>
          <w:rFonts w:hint="eastAsia" w:ascii="宋体" w:hAnsi="宋体" w:cs="宋体"/>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CC790AE">
      <w:pPr>
        <w:spacing w:before="120" w:beforeLines="50"/>
        <w:ind w:firstLine="480" w:firstLineChars="200"/>
        <w:outlineLvl w:val="2"/>
        <w:rPr>
          <w:rFonts w:ascii="宋体" w:hAnsi="宋体" w:cs="宋体"/>
          <w:sz w:val="24"/>
          <w:szCs w:val="24"/>
        </w:rPr>
      </w:pPr>
      <w:bookmarkStart w:id="70" w:name="_Toc13721"/>
      <w:r>
        <w:rPr>
          <w:rFonts w:hint="eastAsia" w:ascii="宋体" w:hAnsi="宋体" w:cs="宋体"/>
          <w:sz w:val="24"/>
          <w:szCs w:val="24"/>
        </w:rPr>
        <w:t>7.招标文件的澄清</w:t>
      </w:r>
      <w:bookmarkEnd w:id="70"/>
    </w:p>
    <w:p w14:paraId="2F06120B">
      <w:pPr>
        <w:spacing w:before="120" w:beforeLines="50"/>
        <w:ind w:firstLine="480" w:firstLineChars="200"/>
        <w:rPr>
          <w:rFonts w:ascii="宋体" w:hAnsi="宋体" w:cs="宋体"/>
          <w:sz w:val="24"/>
          <w:szCs w:val="24"/>
        </w:rPr>
      </w:pPr>
      <w:r>
        <w:rPr>
          <w:rFonts w:hint="eastAsia" w:ascii="宋体" w:hAnsi="宋体" w:cs="宋体"/>
          <w:sz w:val="24"/>
          <w:szCs w:val="24"/>
        </w:rPr>
        <w:t>7.1 任何要求对招标文件进行澄清的投标人，应在投标截止期十日前按招标公告中的通讯地址，以书面形式通知招标代理机构。</w:t>
      </w:r>
    </w:p>
    <w:p w14:paraId="16EEF7A1">
      <w:pPr>
        <w:spacing w:before="120" w:beforeLines="50"/>
        <w:ind w:firstLine="480" w:firstLineChars="200"/>
        <w:outlineLvl w:val="2"/>
        <w:rPr>
          <w:rFonts w:ascii="宋体" w:hAnsi="宋体" w:cs="宋体"/>
          <w:sz w:val="24"/>
          <w:szCs w:val="24"/>
        </w:rPr>
      </w:pPr>
      <w:bookmarkStart w:id="71" w:name="_Toc27268"/>
      <w:r>
        <w:rPr>
          <w:rFonts w:hint="eastAsia" w:ascii="宋体" w:hAnsi="宋体" w:cs="宋体"/>
          <w:sz w:val="24"/>
          <w:szCs w:val="24"/>
        </w:rPr>
        <w:t>8.招标文件的修改</w:t>
      </w:r>
      <w:bookmarkEnd w:id="71"/>
    </w:p>
    <w:p w14:paraId="689EA7D7">
      <w:pPr>
        <w:spacing w:before="120" w:beforeLines="50"/>
        <w:ind w:firstLine="480" w:firstLineChars="200"/>
        <w:rPr>
          <w:rFonts w:ascii="宋体" w:hAnsi="宋体" w:cs="宋体"/>
          <w:sz w:val="24"/>
          <w:szCs w:val="24"/>
        </w:rPr>
      </w:pPr>
      <w:r>
        <w:rPr>
          <w:rFonts w:hint="eastAsia" w:ascii="宋体" w:hAnsi="宋体" w:cs="宋体"/>
          <w:sz w:val="24"/>
          <w:szCs w:val="24"/>
        </w:rPr>
        <w:t>8.1 在投标截止时间前，招标代理机构可以对招标文件进行修改。</w:t>
      </w:r>
    </w:p>
    <w:p w14:paraId="2999C078">
      <w:pPr>
        <w:spacing w:before="120" w:beforeLines="50"/>
        <w:ind w:firstLine="480" w:firstLineChars="200"/>
        <w:rPr>
          <w:rFonts w:ascii="宋体" w:hAnsi="宋体" w:cs="宋体"/>
          <w:sz w:val="24"/>
          <w:szCs w:val="24"/>
        </w:rPr>
      </w:pPr>
      <w:r>
        <w:rPr>
          <w:rFonts w:hint="eastAsia" w:ascii="宋体" w:hAnsi="宋体" w:cs="宋体"/>
          <w:sz w:val="24"/>
          <w:szCs w:val="24"/>
        </w:rPr>
        <w:t>8.2 招标代理机构有权按照法定的要求推迟投标截止日期和开标日期。</w:t>
      </w:r>
    </w:p>
    <w:p w14:paraId="0A797B83">
      <w:pPr>
        <w:spacing w:before="120" w:beforeLines="50"/>
        <w:ind w:firstLine="480" w:firstLineChars="200"/>
        <w:rPr>
          <w:rFonts w:ascii="宋体" w:hAnsi="宋体" w:cs="宋体"/>
          <w:sz w:val="24"/>
          <w:szCs w:val="24"/>
        </w:rPr>
      </w:pPr>
      <w:r>
        <w:rPr>
          <w:rFonts w:hint="eastAsia" w:ascii="宋体" w:hAnsi="宋体" w:cs="宋体"/>
          <w:sz w:val="24"/>
          <w:szCs w:val="24"/>
        </w:rPr>
        <w:t>8.3 招标文件的修改将在</w:t>
      </w:r>
      <w:r>
        <w:rPr>
          <w:rFonts w:hint="eastAsia" w:ascii="宋体" w:hAnsi="宋体" w:cs="宋体"/>
          <w:b/>
          <w:bCs/>
          <w:sz w:val="24"/>
          <w:szCs w:val="24"/>
          <w:u w:val="single"/>
        </w:rPr>
        <w:t>江苏政府采购网、扬州市政府采购网</w:t>
      </w:r>
      <w:r>
        <w:rPr>
          <w:rFonts w:hint="eastAsia" w:ascii="宋体" w:hAnsi="宋体" w:cs="宋体"/>
          <w:sz w:val="24"/>
          <w:szCs w:val="24"/>
        </w:rPr>
        <w:t>公布，补充文件将作为招标文件的组成部分，并对投标人具有约束力。</w:t>
      </w:r>
    </w:p>
    <w:p w14:paraId="718401BD">
      <w:pPr>
        <w:pStyle w:val="46"/>
        <w:spacing w:before="240"/>
        <w:ind w:firstLine="0" w:firstLineChars="0"/>
        <w:outlineLvl w:val="1"/>
      </w:pPr>
      <w:bookmarkStart w:id="72" w:name="_Toc7280"/>
      <w:r>
        <w:rPr>
          <w:rFonts w:hint="eastAsia"/>
        </w:rPr>
        <w:t>三、投标文件的编制</w:t>
      </w:r>
      <w:bookmarkEnd w:id="72"/>
    </w:p>
    <w:p w14:paraId="7043B5DB">
      <w:pPr>
        <w:spacing w:before="120" w:beforeLines="50"/>
        <w:ind w:firstLine="480" w:firstLineChars="200"/>
        <w:outlineLvl w:val="2"/>
        <w:rPr>
          <w:rFonts w:ascii="宋体" w:hAnsi="宋体" w:cs="宋体"/>
          <w:sz w:val="24"/>
          <w:szCs w:val="24"/>
        </w:rPr>
      </w:pPr>
      <w:bookmarkStart w:id="73" w:name="_Toc855"/>
      <w:r>
        <w:rPr>
          <w:rFonts w:hint="eastAsia" w:ascii="宋体" w:hAnsi="宋体" w:cs="宋体"/>
          <w:sz w:val="24"/>
          <w:szCs w:val="24"/>
        </w:rPr>
        <w:t>9.投标文件的语言及度量衡单位</w:t>
      </w:r>
      <w:bookmarkEnd w:id="73"/>
    </w:p>
    <w:p w14:paraId="70A478AF">
      <w:pPr>
        <w:spacing w:before="120" w:beforeLines="50"/>
        <w:ind w:firstLine="480" w:firstLineChars="200"/>
        <w:rPr>
          <w:rFonts w:ascii="宋体" w:hAnsi="宋体" w:cs="宋体"/>
          <w:sz w:val="24"/>
          <w:szCs w:val="24"/>
        </w:rPr>
      </w:pPr>
      <w:r>
        <w:rPr>
          <w:rFonts w:hint="eastAsia" w:ascii="宋体" w:hAnsi="宋体" w:cs="宋体"/>
          <w:sz w:val="24"/>
          <w:szCs w:val="24"/>
        </w:rPr>
        <w:t>9.1 投标人提交的投标文件以及投标人与招标代理机构就有关投标的所有来往通知、函件和文件均应使用简体中文。</w:t>
      </w:r>
    </w:p>
    <w:p w14:paraId="70B6C197">
      <w:pPr>
        <w:spacing w:before="120" w:beforeLines="50"/>
        <w:ind w:firstLine="480" w:firstLineChars="200"/>
        <w:rPr>
          <w:rFonts w:ascii="宋体" w:hAnsi="宋体" w:cs="宋体"/>
          <w:sz w:val="24"/>
          <w:szCs w:val="24"/>
        </w:rPr>
      </w:pPr>
      <w:r>
        <w:rPr>
          <w:rFonts w:hint="eastAsia" w:ascii="宋体" w:hAnsi="宋体" w:cs="宋体"/>
          <w:sz w:val="24"/>
          <w:szCs w:val="24"/>
        </w:rPr>
        <w:t>9.2 除技术性能另有规定外，投标文件所使用的度量衡单位，均须采用国家法定计量单位。</w:t>
      </w:r>
    </w:p>
    <w:p w14:paraId="2E2DACFA">
      <w:pPr>
        <w:spacing w:before="120" w:beforeLines="50"/>
        <w:ind w:firstLine="480" w:firstLineChars="200"/>
        <w:outlineLvl w:val="2"/>
        <w:rPr>
          <w:rFonts w:ascii="宋体" w:hAnsi="宋体" w:cs="宋体"/>
          <w:sz w:val="24"/>
          <w:szCs w:val="24"/>
        </w:rPr>
      </w:pPr>
      <w:bookmarkStart w:id="74" w:name="_Toc19597"/>
      <w:r>
        <w:rPr>
          <w:rFonts w:hint="eastAsia" w:ascii="宋体" w:hAnsi="宋体" w:cs="宋体"/>
          <w:sz w:val="24"/>
          <w:szCs w:val="24"/>
        </w:rPr>
        <w:t>10.投标文件构成</w:t>
      </w:r>
      <w:bookmarkEnd w:id="74"/>
    </w:p>
    <w:p w14:paraId="2951B4AF">
      <w:pPr>
        <w:spacing w:before="120" w:beforeLines="50"/>
        <w:ind w:firstLine="480" w:firstLineChars="200"/>
        <w:rPr>
          <w:rFonts w:ascii="宋体" w:hAnsi="宋体" w:cs="宋体"/>
          <w:sz w:val="24"/>
          <w:szCs w:val="24"/>
        </w:rPr>
      </w:pPr>
      <w:r>
        <w:rPr>
          <w:rFonts w:hint="eastAsia" w:ascii="宋体" w:hAnsi="宋体" w:cs="宋体"/>
          <w:sz w:val="24"/>
          <w:szCs w:val="24"/>
        </w:rPr>
        <w:t>10.1 投标人编写的投标文件应包括资格证明文件、符合性证明文件、投标分项报价表、技术要求响应及偏离表、商务合同响应及偏离表、其他证明文件、投标函、开标一览表等部分。</w:t>
      </w:r>
    </w:p>
    <w:p w14:paraId="3E8D6A73">
      <w:pPr>
        <w:spacing w:before="120" w:beforeLines="50"/>
        <w:ind w:firstLine="480" w:firstLineChars="200"/>
        <w:rPr>
          <w:rFonts w:ascii="宋体" w:hAnsi="宋体" w:cs="宋体"/>
          <w:sz w:val="24"/>
          <w:szCs w:val="24"/>
        </w:rPr>
      </w:pPr>
      <w:r>
        <w:rPr>
          <w:rFonts w:hint="eastAsia" w:ascii="宋体" w:hAnsi="宋体" w:cs="宋体"/>
          <w:sz w:val="24"/>
          <w:szCs w:val="24"/>
        </w:rPr>
        <w:t>10.2 如标书制作工具中格式和内容与“江苏政府采购网”发布的招标文件不一致，请以“江苏政府采购网”发布的招标文件为准。</w:t>
      </w:r>
    </w:p>
    <w:p w14:paraId="5239A58D">
      <w:pPr>
        <w:spacing w:before="120" w:beforeLines="50"/>
        <w:ind w:firstLine="480" w:firstLineChars="200"/>
        <w:outlineLvl w:val="2"/>
        <w:rPr>
          <w:rFonts w:ascii="宋体" w:hAnsi="宋体" w:cs="宋体"/>
          <w:sz w:val="24"/>
          <w:szCs w:val="24"/>
        </w:rPr>
      </w:pPr>
      <w:bookmarkStart w:id="75" w:name="_Toc23385"/>
      <w:r>
        <w:rPr>
          <w:rFonts w:hint="eastAsia" w:ascii="宋体" w:hAnsi="宋体" w:cs="宋体"/>
          <w:sz w:val="24"/>
          <w:szCs w:val="24"/>
        </w:rPr>
        <w:t>11.证明投标人及投标标的符合招标文件规定的文件</w:t>
      </w:r>
      <w:bookmarkEnd w:id="75"/>
    </w:p>
    <w:p w14:paraId="08910205">
      <w:pPr>
        <w:spacing w:before="120" w:beforeLines="50"/>
        <w:ind w:firstLine="480" w:firstLineChars="200"/>
        <w:rPr>
          <w:rFonts w:ascii="宋体" w:hAnsi="宋体" w:cs="宋体"/>
          <w:sz w:val="24"/>
          <w:szCs w:val="24"/>
        </w:rPr>
      </w:pPr>
      <w:r>
        <w:rPr>
          <w:rFonts w:hint="eastAsia" w:ascii="宋体" w:hAnsi="宋体" w:cs="宋体"/>
          <w:sz w:val="24"/>
          <w:szCs w:val="24"/>
        </w:rPr>
        <w:t>11.1 投标人应按照法律、法规、规章和规范性文件以及招标文件要求提交证明文件，证明其及投标标的符合招标文件规定。</w:t>
      </w:r>
    </w:p>
    <w:p w14:paraId="3E072D98">
      <w:pPr>
        <w:spacing w:before="120" w:beforeLines="50"/>
        <w:ind w:firstLine="480" w:firstLineChars="200"/>
        <w:rPr>
          <w:rFonts w:ascii="宋体" w:hAnsi="宋体" w:cs="宋体"/>
          <w:sz w:val="24"/>
          <w:szCs w:val="24"/>
        </w:rPr>
      </w:pPr>
      <w:r>
        <w:rPr>
          <w:rFonts w:hint="eastAsia" w:ascii="宋体" w:hAnsi="宋体" w:cs="宋体"/>
          <w:sz w:val="24"/>
          <w:szCs w:val="24"/>
        </w:rPr>
        <w:t>11.2 招标文件对证明文件无明确形式要求的，证明文件可以以文字资料、图纸和数据等形式提交。</w:t>
      </w:r>
    </w:p>
    <w:p w14:paraId="346CE767">
      <w:pPr>
        <w:spacing w:before="120" w:beforeLines="50"/>
        <w:ind w:firstLine="480" w:firstLineChars="200"/>
        <w:outlineLvl w:val="2"/>
        <w:rPr>
          <w:rFonts w:ascii="宋体" w:hAnsi="宋体" w:cs="宋体"/>
          <w:sz w:val="24"/>
          <w:szCs w:val="24"/>
        </w:rPr>
      </w:pPr>
      <w:bookmarkStart w:id="76" w:name="_Toc796"/>
      <w:r>
        <w:rPr>
          <w:rFonts w:hint="eastAsia" w:ascii="宋体" w:hAnsi="宋体" w:cs="宋体"/>
          <w:sz w:val="24"/>
          <w:szCs w:val="24"/>
        </w:rPr>
        <w:t>12.投标分项报价表</w:t>
      </w:r>
      <w:bookmarkEnd w:id="76"/>
    </w:p>
    <w:p w14:paraId="50F62353">
      <w:pPr>
        <w:spacing w:before="120" w:beforeLines="50"/>
        <w:ind w:firstLine="480" w:firstLineChars="200"/>
        <w:rPr>
          <w:rFonts w:ascii="宋体" w:hAnsi="宋体" w:cs="宋体"/>
          <w:sz w:val="24"/>
          <w:szCs w:val="24"/>
        </w:rPr>
      </w:pPr>
      <w:r>
        <w:rPr>
          <w:rFonts w:hint="eastAsia" w:ascii="宋体" w:hAnsi="宋体" w:cs="宋体"/>
          <w:sz w:val="24"/>
          <w:szCs w:val="24"/>
        </w:rPr>
        <w:t>12.1 投标人应按照招标文件规定格式填报投标分项报价表。</w:t>
      </w:r>
    </w:p>
    <w:p w14:paraId="0DB5F6E1">
      <w:pPr>
        <w:spacing w:before="120" w:beforeLines="50"/>
        <w:ind w:firstLine="480" w:firstLineChars="200"/>
        <w:rPr>
          <w:rFonts w:ascii="宋体" w:hAnsi="宋体" w:cs="宋体"/>
          <w:sz w:val="24"/>
          <w:szCs w:val="24"/>
        </w:rPr>
      </w:pPr>
      <w:r>
        <w:rPr>
          <w:rFonts w:hint="eastAsia" w:ascii="宋体" w:hAnsi="宋体" w:cs="宋体"/>
          <w:sz w:val="24"/>
          <w:szCs w:val="24"/>
        </w:rPr>
        <w:t>12.2 投标货币。投标文件中的单价和总价无特殊规定的采用人民币报价，以元为单位标注。招标文件中另有规定的按规定执行。</w:t>
      </w:r>
    </w:p>
    <w:p w14:paraId="18CCD368">
      <w:pPr>
        <w:spacing w:before="120" w:beforeLines="50"/>
        <w:ind w:firstLine="480" w:firstLineChars="200"/>
        <w:outlineLvl w:val="2"/>
        <w:rPr>
          <w:rFonts w:ascii="宋体" w:hAnsi="宋体" w:cs="宋体"/>
          <w:sz w:val="24"/>
          <w:szCs w:val="24"/>
        </w:rPr>
      </w:pPr>
      <w:bookmarkStart w:id="77" w:name="_Toc5394"/>
      <w:r>
        <w:rPr>
          <w:rFonts w:hint="eastAsia" w:ascii="宋体" w:hAnsi="宋体" w:cs="宋体"/>
          <w:sz w:val="24"/>
          <w:szCs w:val="24"/>
        </w:rPr>
        <w:t>13.技术要求响应及偏离表、商务合同响应及偏离表</w:t>
      </w:r>
      <w:bookmarkEnd w:id="77"/>
    </w:p>
    <w:p w14:paraId="04D70311">
      <w:pPr>
        <w:spacing w:before="120" w:beforeLines="50"/>
        <w:ind w:firstLine="480" w:firstLineChars="200"/>
        <w:rPr>
          <w:rFonts w:ascii="宋体" w:hAnsi="宋体" w:cs="宋体"/>
          <w:sz w:val="24"/>
          <w:szCs w:val="24"/>
        </w:rPr>
      </w:pPr>
      <w:r>
        <w:rPr>
          <w:rFonts w:hint="eastAsia" w:ascii="宋体" w:hAnsi="宋体" w:cs="宋体"/>
          <w:sz w:val="24"/>
          <w:szCs w:val="24"/>
          <w:lang w:val="zh-CN"/>
        </w:rPr>
        <w:t>13.1 投标人需对招标文件中的技术要求与商务要求逐项作出响应或偏离，并说明原因。</w:t>
      </w:r>
    </w:p>
    <w:p w14:paraId="479D6530">
      <w:pPr>
        <w:spacing w:before="120" w:beforeLines="50"/>
        <w:ind w:firstLine="480" w:firstLineChars="200"/>
        <w:rPr>
          <w:rFonts w:ascii="宋体" w:hAnsi="宋体" w:cs="宋体"/>
          <w:sz w:val="24"/>
          <w:szCs w:val="24"/>
          <w:lang w:val="zh-CN"/>
        </w:rPr>
      </w:pPr>
      <w:r>
        <w:rPr>
          <w:rFonts w:hint="eastAsia" w:ascii="宋体" w:hAnsi="宋体" w:cs="宋体"/>
          <w:sz w:val="24"/>
          <w:szCs w:val="24"/>
          <w:lang w:val="zh-CN"/>
        </w:rPr>
        <w:t>13.2 投标人可在投标文件中提供认为需要的其他技术文件或说明。</w:t>
      </w:r>
    </w:p>
    <w:p w14:paraId="7C3FBD3F">
      <w:pPr>
        <w:spacing w:before="120" w:beforeLines="50"/>
        <w:ind w:firstLine="480" w:firstLineChars="200"/>
        <w:outlineLvl w:val="2"/>
        <w:rPr>
          <w:rFonts w:ascii="宋体" w:hAnsi="宋体" w:cs="宋体"/>
          <w:sz w:val="24"/>
          <w:szCs w:val="24"/>
        </w:rPr>
      </w:pPr>
      <w:bookmarkStart w:id="78" w:name="_Toc29282"/>
      <w:r>
        <w:rPr>
          <w:rFonts w:hint="eastAsia" w:ascii="宋体" w:hAnsi="宋体" w:cs="宋体"/>
          <w:sz w:val="24"/>
          <w:szCs w:val="24"/>
        </w:rPr>
        <w:t>14.服务承诺、培训计划、人员安排及其他</w:t>
      </w:r>
      <w:bookmarkEnd w:id="78"/>
    </w:p>
    <w:p w14:paraId="344C1FC9">
      <w:pPr>
        <w:spacing w:before="120" w:beforeLines="50"/>
        <w:ind w:firstLine="480" w:firstLineChars="200"/>
        <w:rPr>
          <w:rFonts w:ascii="宋体" w:hAnsi="宋体" w:cs="宋体"/>
          <w:sz w:val="24"/>
          <w:szCs w:val="24"/>
          <w:lang w:val="zh-CN"/>
        </w:rPr>
      </w:pPr>
      <w:r>
        <w:rPr>
          <w:rFonts w:hint="eastAsia" w:ascii="宋体" w:hAnsi="宋体" w:cs="宋体"/>
          <w:sz w:val="24"/>
          <w:szCs w:val="24"/>
          <w:lang w:val="zh-CN"/>
        </w:rPr>
        <w:t>14.1 投标人需根据招标文件要求提供有关</w:t>
      </w:r>
      <w:r>
        <w:rPr>
          <w:rFonts w:hint="eastAsia" w:ascii="宋体" w:hAnsi="宋体" w:cs="宋体"/>
          <w:sz w:val="24"/>
          <w:szCs w:val="24"/>
          <w:highlight w:val="green"/>
          <w:lang w:val="zh-CN"/>
        </w:rPr>
        <w:t>售后服务的管理制度，售后服务人员及售后服务的反应能力</w:t>
      </w:r>
      <w:r>
        <w:rPr>
          <w:rFonts w:hint="eastAsia" w:ascii="宋体" w:hAnsi="宋体" w:cs="宋体"/>
          <w:sz w:val="24"/>
          <w:szCs w:val="24"/>
          <w:lang w:val="zh-CN"/>
        </w:rPr>
        <w:t>等。</w:t>
      </w:r>
    </w:p>
    <w:p w14:paraId="676C2C45">
      <w:pPr>
        <w:spacing w:before="120" w:beforeLines="50"/>
        <w:ind w:firstLine="480" w:firstLineChars="200"/>
        <w:rPr>
          <w:rFonts w:ascii="宋体" w:hAnsi="宋体" w:cs="宋体"/>
          <w:sz w:val="24"/>
          <w:szCs w:val="24"/>
          <w:lang w:val="zh-CN"/>
        </w:rPr>
      </w:pPr>
      <w:r>
        <w:rPr>
          <w:rFonts w:hint="eastAsia" w:ascii="宋体" w:hAnsi="宋体" w:cs="宋体"/>
          <w:sz w:val="24"/>
          <w:szCs w:val="24"/>
          <w:lang w:val="zh-CN"/>
        </w:rPr>
        <w:t>14.2 投标人需根据招标文件要求提供培训计划。</w:t>
      </w:r>
    </w:p>
    <w:p w14:paraId="3BEB537E">
      <w:pPr>
        <w:spacing w:before="120" w:beforeLines="50"/>
        <w:ind w:firstLine="480" w:firstLineChars="200"/>
        <w:rPr>
          <w:rFonts w:ascii="宋体" w:hAnsi="宋体" w:cs="宋体"/>
          <w:sz w:val="24"/>
          <w:szCs w:val="24"/>
          <w:lang w:val="zh-CN"/>
        </w:rPr>
      </w:pPr>
      <w:r>
        <w:rPr>
          <w:rFonts w:hint="eastAsia" w:ascii="宋体" w:hAnsi="宋体" w:cs="宋体"/>
          <w:sz w:val="24"/>
          <w:szCs w:val="24"/>
          <w:lang w:val="zh-CN"/>
        </w:rPr>
        <w:t>14.3 投标人需根据招标文件要求提供所投标的的主要</w:t>
      </w:r>
      <w:r>
        <w:rPr>
          <w:rFonts w:hint="eastAsia" w:ascii="宋体" w:hAnsi="宋体" w:cs="宋体"/>
          <w:sz w:val="24"/>
          <w:szCs w:val="24"/>
          <w:highlight w:val="green"/>
          <w:lang w:val="zh-CN"/>
        </w:rPr>
        <w:t>组成部分、功能设计、</w:t>
      </w:r>
      <w:r>
        <w:rPr>
          <w:rFonts w:hint="eastAsia" w:ascii="宋体" w:hAnsi="宋体" w:cs="宋体"/>
          <w:sz w:val="24"/>
          <w:szCs w:val="24"/>
          <w:highlight w:val="green"/>
        </w:rPr>
        <w:t>业务流程、功能介绍</w:t>
      </w:r>
      <w:r>
        <w:rPr>
          <w:rFonts w:hint="eastAsia" w:ascii="宋体" w:hAnsi="宋体" w:cs="宋体"/>
          <w:sz w:val="24"/>
          <w:szCs w:val="24"/>
          <w:lang w:val="zh-CN"/>
        </w:rPr>
        <w:t>等。</w:t>
      </w:r>
    </w:p>
    <w:p w14:paraId="4DEEEF5A">
      <w:pPr>
        <w:spacing w:before="120" w:beforeLines="50"/>
        <w:ind w:firstLine="480" w:firstLineChars="200"/>
        <w:outlineLvl w:val="2"/>
        <w:rPr>
          <w:rFonts w:ascii="宋体" w:hAnsi="宋体" w:cs="宋体"/>
          <w:sz w:val="24"/>
          <w:szCs w:val="24"/>
        </w:rPr>
      </w:pPr>
      <w:bookmarkStart w:id="79" w:name="_Toc21512"/>
      <w:r>
        <w:rPr>
          <w:rFonts w:hint="eastAsia" w:ascii="宋体" w:hAnsi="宋体" w:cs="宋体"/>
          <w:sz w:val="24"/>
          <w:szCs w:val="24"/>
        </w:rPr>
        <w:t>15.投标函和开标一览表</w:t>
      </w:r>
      <w:bookmarkEnd w:id="79"/>
    </w:p>
    <w:p w14:paraId="62611CB8">
      <w:pPr>
        <w:spacing w:before="120" w:beforeLines="50"/>
        <w:ind w:firstLine="480" w:firstLineChars="200"/>
        <w:rPr>
          <w:rFonts w:ascii="宋体" w:hAnsi="宋体" w:cs="宋体"/>
          <w:sz w:val="24"/>
          <w:szCs w:val="24"/>
          <w:lang w:val="zh-CN"/>
        </w:rPr>
      </w:pPr>
      <w:r>
        <w:rPr>
          <w:rFonts w:hint="eastAsia" w:ascii="宋体" w:hAnsi="宋体" w:cs="宋体"/>
          <w:sz w:val="24"/>
          <w:szCs w:val="24"/>
          <w:lang w:val="zh-CN"/>
        </w:rPr>
        <w:t>15.1 投标人应按照招标文件中提供的格式完整、正确填写投标函、开标一览表。</w:t>
      </w:r>
    </w:p>
    <w:p w14:paraId="4297B48E">
      <w:pPr>
        <w:spacing w:before="120" w:beforeLines="50"/>
        <w:ind w:firstLine="480" w:firstLineChars="200"/>
        <w:rPr>
          <w:rFonts w:ascii="宋体" w:hAnsi="宋体" w:cs="宋体"/>
          <w:sz w:val="24"/>
          <w:szCs w:val="24"/>
          <w:lang w:val="zh-CN"/>
        </w:rPr>
      </w:pPr>
      <w:r>
        <w:rPr>
          <w:rFonts w:hint="eastAsia" w:ascii="宋体" w:hAnsi="宋体" w:cs="宋体"/>
          <w:sz w:val="24"/>
          <w:szCs w:val="24"/>
          <w:lang w:val="zh-CN"/>
        </w:rPr>
        <w:t>15.2 对于采用货币报价的项目，开标一览表中的投标总报价应与投标分项报价表中的投标总报价一致，如不一致，不作为无效投标处理，但评标时按开标一览表中价格为准。</w:t>
      </w:r>
    </w:p>
    <w:p w14:paraId="50F69323">
      <w:pPr>
        <w:spacing w:before="120" w:beforeLines="50"/>
        <w:ind w:firstLine="480" w:firstLineChars="200"/>
        <w:outlineLvl w:val="2"/>
        <w:rPr>
          <w:rFonts w:ascii="宋体" w:hAnsi="宋体" w:cs="宋体"/>
          <w:sz w:val="24"/>
          <w:szCs w:val="24"/>
        </w:rPr>
      </w:pPr>
      <w:bookmarkStart w:id="80" w:name="_Toc26818"/>
      <w:r>
        <w:rPr>
          <w:rFonts w:hint="eastAsia" w:ascii="宋体" w:hAnsi="宋体" w:cs="宋体"/>
          <w:sz w:val="24"/>
          <w:szCs w:val="24"/>
        </w:rPr>
        <w:t>16.投标有效期</w:t>
      </w:r>
      <w:bookmarkEnd w:id="80"/>
    </w:p>
    <w:p w14:paraId="1E77809B">
      <w:pPr>
        <w:spacing w:before="120" w:beforeLines="50"/>
        <w:ind w:firstLine="480" w:firstLineChars="200"/>
        <w:rPr>
          <w:rFonts w:ascii="宋体" w:hAnsi="宋体" w:cs="宋体"/>
          <w:sz w:val="24"/>
          <w:szCs w:val="24"/>
          <w:lang w:val="zh-CN"/>
        </w:rPr>
      </w:pPr>
      <w:r>
        <w:rPr>
          <w:rFonts w:hint="eastAsia" w:ascii="宋体" w:hAnsi="宋体" w:cs="宋体"/>
          <w:sz w:val="24"/>
          <w:szCs w:val="24"/>
          <w:lang w:val="zh-CN"/>
        </w:rPr>
        <w:t>16.1 投标有效期为招标代理机构规定的开标之日后</w:t>
      </w:r>
      <w:r>
        <w:rPr>
          <w:rFonts w:hint="eastAsia" w:ascii="宋体" w:hAnsi="宋体" w:cs="宋体"/>
          <w:b/>
          <w:bCs/>
          <w:sz w:val="24"/>
          <w:szCs w:val="24"/>
          <w:u w:val="single"/>
          <w:lang w:val="zh-CN"/>
        </w:rPr>
        <w:t>六十（60）天</w:t>
      </w:r>
      <w:r>
        <w:rPr>
          <w:rFonts w:hint="eastAsia" w:ascii="宋体" w:hAnsi="宋体" w:cs="宋体"/>
          <w:sz w:val="24"/>
          <w:szCs w:val="24"/>
          <w:lang w:val="zh-CN"/>
        </w:rPr>
        <w:t>。投标有效期比规定短的将被视为未实质性响应招标文件而予以拒绝。</w:t>
      </w:r>
    </w:p>
    <w:p w14:paraId="698D7A72">
      <w:pPr>
        <w:spacing w:before="120" w:beforeLines="50"/>
        <w:ind w:firstLine="480" w:firstLineChars="200"/>
        <w:outlineLvl w:val="2"/>
        <w:rPr>
          <w:rFonts w:ascii="宋体" w:hAnsi="宋体" w:cs="宋体"/>
          <w:sz w:val="24"/>
          <w:szCs w:val="24"/>
        </w:rPr>
      </w:pPr>
      <w:bookmarkStart w:id="81" w:name="_Toc19009"/>
      <w:r>
        <w:rPr>
          <w:rFonts w:hint="eastAsia" w:ascii="宋体" w:hAnsi="宋体" w:cs="宋体"/>
          <w:sz w:val="24"/>
          <w:szCs w:val="24"/>
        </w:rPr>
        <w:t>17.投标有效期的延长</w:t>
      </w:r>
      <w:bookmarkEnd w:id="81"/>
    </w:p>
    <w:p w14:paraId="739F53D5">
      <w:pPr>
        <w:spacing w:before="120" w:beforeLines="50"/>
        <w:ind w:firstLine="480" w:firstLineChars="200"/>
        <w:rPr>
          <w:rFonts w:ascii="宋体" w:hAnsi="宋体" w:cs="宋体"/>
          <w:sz w:val="24"/>
          <w:szCs w:val="24"/>
          <w:lang w:val="zh-CN"/>
        </w:rPr>
      </w:pPr>
      <w:r>
        <w:rPr>
          <w:rFonts w:hint="eastAsia" w:ascii="宋体" w:hAnsi="宋体" w:cs="宋体"/>
          <w:sz w:val="24"/>
          <w:szCs w:val="24"/>
          <w:lang w:val="zh-CN"/>
        </w:rPr>
        <w:t>17.1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p>
    <w:p w14:paraId="42600C36">
      <w:pPr>
        <w:pStyle w:val="46"/>
        <w:spacing w:before="240"/>
        <w:ind w:firstLine="0" w:firstLineChars="0"/>
        <w:outlineLvl w:val="1"/>
      </w:pPr>
      <w:bookmarkStart w:id="82" w:name="_Toc8363"/>
      <w:r>
        <w:rPr>
          <w:rFonts w:hint="eastAsia"/>
        </w:rPr>
        <w:t>四、投标文件的递交</w:t>
      </w:r>
      <w:bookmarkEnd w:id="82"/>
    </w:p>
    <w:p w14:paraId="79C15AF1">
      <w:pPr>
        <w:spacing w:before="120" w:beforeLines="50"/>
        <w:ind w:firstLine="480" w:firstLineChars="200"/>
        <w:outlineLvl w:val="2"/>
        <w:rPr>
          <w:rFonts w:ascii="宋体" w:hAnsi="宋体" w:cs="宋体"/>
          <w:sz w:val="24"/>
          <w:szCs w:val="24"/>
          <w:lang w:val="zh-CN"/>
        </w:rPr>
      </w:pPr>
      <w:bookmarkStart w:id="83" w:name="_Toc24298"/>
      <w:r>
        <w:rPr>
          <w:rFonts w:hint="eastAsia" w:ascii="宋体" w:hAnsi="宋体" w:cs="宋体"/>
          <w:sz w:val="24"/>
          <w:szCs w:val="24"/>
        </w:rPr>
        <w:t>18.</w:t>
      </w:r>
      <w:r>
        <w:rPr>
          <w:rFonts w:hint="eastAsia" w:ascii="宋体" w:hAnsi="宋体" w:cs="宋体"/>
          <w:sz w:val="24"/>
          <w:szCs w:val="24"/>
          <w:lang w:val="zh-CN"/>
        </w:rPr>
        <w:t>电子投标文件的递交</w:t>
      </w:r>
      <w:bookmarkEnd w:id="83"/>
    </w:p>
    <w:p w14:paraId="09CABBE7">
      <w:pPr>
        <w:spacing w:before="120" w:beforeLines="50"/>
        <w:ind w:firstLine="480" w:firstLineChars="200"/>
        <w:rPr>
          <w:rFonts w:ascii="宋体" w:hAnsi="宋体" w:cs="宋体"/>
          <w:sz w:val="24"/>
          <w:szCs w:val="24"/>
          <w:lang w:val="zh-CN"/>
        </w:rPr>
      </w:pPr>
      <w:r>
        <w:rPr>
          <w:rFonts w:hint="eastAsia" w:ascii="宋体" w:hAnsi="宋体" w:cs="宋体"/>
          <w:sz w:val="24"/>
          <w:szCs w:val="24"/>
        </w:rPr>
        <w:t xml:space="preserve">18.1 </w:t>
      </w:r>
      <w:r>
        <w:rPr>
          <w:rFonts w:hint="eastAsia" w:ascii="宋体" w:hAnsi="宋体" w:cs="宋体"/>
          <w:sz w:val="24"/>
          <w:szCs w:val="24"/>
          <w:lang w:val="zh-CN"/>
        </w:rPr>
        <w:t>电子投标文件的递交投标人应当按照《操作手册》规定，在投标截止时间前制作并上传电子投标文件。</w:t>
      </w:r>
    </w:p>
    <w:p w14:paraId="41973335">
      <w:pPr>
        <w:spacing w:before="120" w:beforeLines="50"/>
        <w:ind w:firstLine="480" w:firstLineChars="200"/>
        <w:outlineLvl w:val="2"/>
        <w:rPr>
          <w:rFonts w:ascii="宋体" w:hAnsi="宋体" w:cs="宋体"/>
          <w:sz w:val="24"/>
          <w:szCs w:val="24"/>
        </w:rPr>
      </w:pPr>
      <w:bookmarkStart w:id="84" w:name="_Toc2346"/>
      <w:r>
        <w:rPr>
          <w:rFonts w:hint="eastAsia" w:ascii="宋体" w:hAnsi="宋体" w:cs="宋体"/>
          <w:sz w:val="24"/>
          <w:szCs w:val="24"/>
        </w:rPr>
        <w:t>19.投标截止时间</w:t>
      </w:r>
      <w:bookmarkEnd w:id="84"/>
    </w:p>
    <w:p w14:paraId="60944B1F">
      <w:pPr>
        <w:spacing w:before="120" w:beforeLines="50"/>
        <w:ind w:firstLine="480" w:firstLineChars="200"/>
        <w:rPr>
          <w:rFonts w:ascii="宋体" w:hAnsi="宋体" w:cs="宋体"/>
          <w:i/>
          <w:iCs/>
          <w:sz w:val="24"/>
          <w:szCs w:val="24"/>
          <w:u w:val="single"/>
        </w:rPr>
      </w:pPr>
      <w:r>
        <w:rPr>
          <w:rFonts w:hint="eastAsia" w:ascii="宋体" w:hAnsi="宋体" w:cs="宋体"/>
          <w:i/>
          <w:iCs/>
          <w:sz w:val="24"/>
          <w:szCs w:val="24"/>
          <w:u w:val="single"/>
        </w:rPr>
        <w:t>19.1 投标人上传电子投标文件的时间不得迟于招标公告中规定的投标截止时间。</w:t>
      </w:r>
    </w:p>
    <w:p w14:paraId="3412E06B">
      <w:pPr>
        <w:spacing w:before="120" w:beforeLines="50"/>
        <w:ind w:firstLine="480" w:firstLineChars="200"/>
        <w:rPr>
          <w:rFonts w:ascii="宋体" w:hAnsi="宋体" w:cs="宋体"/>
          <w:sz w:val="24"/>
          <w:szCs w:val="24"/>
        </w:rPr>
      </w:pPr>
      <w:r>
        <w:rPr>
          <w:rFonts w:hint="eastAsia" w:ascii="宋体" w:hAnsi="宋体" w:cs="宋体"/>
          <w:sz w:val="24"/>
          <w:szCs w:val="24"/>
        </w:rPr>
        <w:t>投标人应充分考虑到网络环境、网络带宽等风险因素，如因投标人自身原因造成的电子投标文件上传不成功的按照本招标文件第二章第</w:t>
      </w:r>
      <w:r>
        <w:rPr>
          <w:rFonts w:hint="eastAsia" w:ascii="宋体" w:hAnsi="宋体" w:cs="宋体"/>
          <w:sz w:val="24"/>
          <w:szCs w:val="24"/>
          <w:highlight w:val="yellow"/>
        </w:rPr>
        <w:t>27.1.2</w:t>
      </w:r>
      <w:r>
        <w:rPr>
          <w:rFonts w:hint="eastAsia" w:ascii="宋体" w:hAnsi="宋体" w:cs="宋体"/>
          <w:sz w:val="24"/>
          <w:szCs w:val="24"/>
        </w:rPr>
        <w:t>条 规定做无效投标处理。</w:t>
      </w:r>
    </w:p>
    <w:p w14:paraId="533841E3">
      <w:pPr>
        <w:spacing w:before="120" w:beforeLines="50"/>
        <w:ind w:firstLine="480" w:firstLineChars="200"/>
        <w:rPr>
          <w:rFonts w:ascii="宋体" w:hAnsi="宋体" w:cs="宋体"/>
          <w:sz w:val="24"/>
          <w:szCs w:val="24"/>
        </w:rPr>
      </w:pPr>
      <w:r>
        <w:rPr>
          <w:rFonts w:hint="eastAsia" w:ascii="宋体" w:hAnsi="宋体" w:cs="宋体"/>
          <w:sz w:val="24"/>
          <w:szCs w:val="24"/>
        </w:rPr>
        <w:t>19.2 招标代理机构可以按照规定，通过修改招标文件酌情延长投标截止时间，在此情况下，投标人的所有权利和义务以及投标人受制的截止时间均应以延长后新的截止时间为准。</w:t>
      </w:r>
    </w:p>
    <w:p w14:paraId="30447337">
      <w:pPr>
        <w:spacing w:before="120" w:beforeLines="50"/>
        <w:ind w:firstLine="480" w:firstLineChars="200"/>
        <w:outlineLvl w:val="2"/>
        <w:rPr>
          <w:rFonts w:ascii="宋体" w:hAnsi="宋体" w:cs="宋体"/>
          <w:sz w:val="24"/>
          <w:szCs w:val="24"/>
        </w:rPr>
      </w:pPr>
      <w:bookmarkStart w:id="85" w:name="_Toc7969"/>
      <w:r>
        <w:rPr>
          <w:rFonts w:hint="eastAsia" w:ascii="宋体" w:hAnsi="宋体" w:cs="宋体"/>
          <w:sz w:val="24"/>
          <w:szCs w:val="24"/>
        </w:rPr>
        <w:t>20.投标文件的拒收</w:t>
      </w:r>
      <w:bookmarkEnd w:id="85"/>
    </w:p>
    <w:p w14:paraId="4D04BEF9">
      <w:pPr>
        <w:spacing w:before="120" w:beforeLines="50"/>
        <w:ind w:firstLine="480" w:firstLineChars="200"/>
        <w:rPr>
          <w:rFonts w:ascii="宋体" w:hAnsi="宋体" w:cs="宋体"/>
          <w:sz w:val="24"/>
          <w:szCs w:val="24"/>
        </w:rPr>
      </w:pPr>
      <w:r>
        <w:rPr>
          <w:rFonts w:hint="eastAsia" w:ascii="宋体" w:hAnsi="宋体" w:cs="宋体"/>
          <w:sz w:val="24"/>
          <w:szCs w:val="24"/>
        </w:rPr>
        <w:t>20.1 招标代理机构拒绝接收在其规定的投标截止时间后上传的任何投标文件。</w:t>
      </w:r>
    </w:p>
    <w:p w14:paraId="4A1F46ED">
      <w:pPr>
        <w:spacing w:before="120" w:beforeLines="50"/>
        <w:ind w:firstLine="480" w:firstLineChars="200"/>
        <w:outlineLvl w:val="2"/>
        <w:rPr>
          <w:rFonts w:ascii="宋体" w:hAnsi="宋体" w:cs="宋体"/>
          <w:sz w:val="24"/>
          <w:szCs w:val="24"/>
        </w:rPr>
      </w:pPr>
      <w:bookmarkStart w:id="86" w:name="_Toc5123"/>
      <w:r>
        <w:rPr>
          <w:rFonts w:hint="eastAsia" w:ascii="宋体" w:hAnsi="宋体" w:cs="宋体"/>
          <w:sz w:val="24"/>
          <w:szCs w:val="24"/>
        </w:rPr>
        <w:t>21.投标文件的撤回和修改</w:t>
      </w:r>
      <w:bookmarkEnd w:id="86"/>
    </w:p>
    <w:p w14:paraId="2CF0BE3A">
      <w:pPr>
        <w:spacing w:before="120" w:beforeLines="50"/>
        <w:ind w:firstLine="480" w:firstLineChars="200"/>
        <w:rPr>
          <w:rFonts w:ascii="宋体" w:hAnsi="宋体" w:cs="宋体"/>
          <w:sz w:val="24"/>
          <w:szCs w:val="24"/>
        </w:rPr>
      </w:pPr>
      <w:r>
        <w:rPr>
          <w:rFonts w:hint="eastAsia" w:ascii="宋体" w:hAnsi="宋体" w:cs="宋体"/>
          <w:sz w:val="24"/>
          <w:szCs w:val="24"/>
        </w:rPr>
        <w:t>21.1 电子投标文件的撤回</w:t>
      </w:r>
    </w:p>
    <w:p w14:paraId="2ABE7F87">
      <w:pPr>
        <w:spacing w:before="120" w:beforeLines="50"/>
        <w:ind w:firstLine="480" w:firstLineChars="200"/>
        <w:rPr>
          <w:rFonts w:ascii="宋体" w:hAnsi="宋体" w:cs="宋体"/>
          <w:sz w:val="24"/>
          <w:szCs w:val="24"/>
        </w:rPr>
      </w:pPr>
      <w:r>
        <w:rPr>
          <w:rFonts w:hint="eastAsia" w:ascii="宋体" w:hAnsi="宋体" w:cs="宋体"/>
          <w:sz w:val="24"/>
          <w:szCs w:val="24"/>
        </w:rPr>
        <w:t>21.1.1 投标人可在投标截止时间前，撤回其电子投标文件，具体操作方法见《操作手册》。</w:t>
      </w:r>
    </w:p>
    <w:p w14:paraId="692F2A51">
      <w:pPr>
        <w:spacing w:before="120" w:beforeLines="50"/>
        <w:ind w:firstLine="480" w:firstLineChars="200"/>
        <w:rPr>
          <w:rFonts w:ascii="宋体" w:hAnsi="宋体" w:cs="宋体"/>
          <w:sz w:val="24"/>
          <w:szCs w:val="24"/>
        </w:rPr>
      </w:pPr>
      <w:r>
        <w:rPr>
          <w:rFonts w:hint="eastAsia" w:ascii="宋体" w:hAnsi="宋体" w:cs="宋体"/>
          <w:sz w:val="24"/>
          <w:szCs w:val="24"/>
        </w:rPr>
        <w:t>21.1.2 投标人撤回电子投标文件，则认为其不再参与本项目投标活动。</w:t>
      </w:r>
    </w:p>
    <w:p w14:paraId="5177622E">
      <w:pPr>
        <w:spacing w:before="120" w:beforeLines="50"/>
        <w:ind w:firstLine="480" w:firstLineChars="200"/>
        <w:rPr>
          <w:rFonts w:ascii="宋体" w:hAnsi="宋体" w:cs="宋体"/>
          <w:sz w:val="24"/>
          <w:szCs w:val="24"/>
        </w:rPr>
      </w:pPr>
      <w:r>
        <w:rPr>
          <w:rFonts w:hint="eastAsia" w:ascii="宋体" w:hAnsi="宋体" w:cs="宋体"/>
          <w:sz w:val="24"/>
          <w:szCs w:val="24"/>
        </w:rPr>
        <w:t>21.2 电子投标文件的修改</w:t>
      </w:r>
    </w:p>
    <w:p w14:paraId="6BFE691B">
      <w:pPr>
        <w:spacing w:before="120" w:beforeLines="50"/>
        <w:ind w:firstLine="480" w:firstLineChars="200"/>
        <w:rPr>
          <w:rFonts w:ascii="宋体" w:hAnsi="宋体" w:cs="宋体"/>
          <w:sz w:val="24"/>
          <w:szCs w:val="24"/>
        </w:rPr>
      </w:pPr>
      <w:r>
        <w:rPr>
          <w:rFonts w:hint="eastAsia" w:ascii="宋体" w:hAnsi="宋体" w:cs="宋体"/>
          <w:sz w:val="24"/>
          <w:szCs w:val="24"/>
        </w:rPr>
        <w:t>21.2.1投标人可在投标截止时间前，对其电子投标文件进行修改，具体操作方法见《操作手册》。</w:t>
      </w:r>
    </w:p>
    <w:p w14:paraId="1A132E51">
      <w:pPr>
        <w:spacing w:before="120" w:beforeLines="50"/>
        <w:ind w:firstLine="480" w:firstLineChars="200"/>
        <w:rPr>
          <w:rFonts w:ascii="宋体" w:hAnsi="宋体" w:cs="宋体"/>
          <w:sz w:val="24"/>
          <w:szCs w:val="24"/>
        </w:rPr>
      </w:pPr>
      <w:r>
        <w:rPr>
          <w:rFonts w:hint="eastAsia" w:ascii="宋体" w:hAnsi="宋体" w:cs="宋体"/>
          <w:sz w:val="24"/>
          <w:szCs w:val="24"/>
        </w:rPr>
        <w:t>21.2.2 在投标截止时间之后，投标人不得对其电子投标文件作任何修改。</w:t>
      </w:r>
    </w:p>
    <w:p w14:paraId="6CE4967D">
      <w:pPr>
        <w:spacing w:before="120" w:beforeLines="50"/>
        <w:ind w:firstLine="480" w:firstLineChars="200"/>
        <w:rPr>
          <w:rFonts w:ascii="宋体" w:hAnsi="宋体" w:cs="宋体"/>
          <w:sz w:val="24"/>
          <w:szCs w:val="24"/>
        </w:rPr>
      </w:pPr>
      <w:r>
        <w:rPr>
          <w:rFonts w:hint="eastAsia" w:ascii="宋体" w:hAnsi="宋体" w:cs="宋体"/>
          <w:sz w:val="24"/>
          <w:szCs w:val="24"/>
        </w:rPr>
        <w:t>21.3 在投标截止时间至招标文件中规定的投标有效期满之间的这段时间内，投标人不得撤回其投标。</w:t>
      </w:r>
    </w:p>
    <w:p w14:paraId="186E3B0A">
      <w:pPr>
        <w:pStyle w:val="46"/>
        <w:spacing w:before="240"/>
        <w:ind w:firstLine="0" w:firstLineChars="0"/>
        <w:outlineLvl w:val="1"/>
      </w:pPr>
      <w:bookmarkStart w:id="87" w:name="_Toc29243"/>
      <w:r>
        <w:rPr>
          <w:rFonts w:hint="eastAsia"/>
        </w:rPr>
        <w:t>五、开标与评标</w:t>
      </w:r>
      <w:bookmarkEnd w:id="87"/>
    </w:p>
    <w:p w14:paraId="57DBAB66">
      <w:pPr>
        <w:spacing w:before="120" w:beforeLines="50"/>
        <w:ind w:firstLine="480" w:firstLineChars="200"/>
        <w:outlineLvl w:val="2"/>
        <w:rPr>
          <w:rFonts w:ascii="宋体" w:hAnsi="宋体" w:cs="宋体"/>
          <w:sz w:val="24"/>
          <w:szCs w:val="24"/>
        </w:rPr>
      </w:pPr>
      <w:bookmarkStart w:id="88" w:name="_Toc15726"/>
      <w:r>
        <w:rPr>
          <w:rFonts w:hint="eastAsia" w:ascii="宋体" w:hAnsi="宋体" w:cs="宋体"/>
          <w:sz w:val="24"/>
          <w:szCs w:val="24"/>
        </w:rPr>
        <w:t>22.开标</w:t>
      </w:r>
      <w:bookmarkEnd w:id="88"/>
    </w:p>
    <w:p w14:paraId="214B4DCF">
      <w:pPr>
        <w:spacing w:before="120" w:beforeLines="50"/>
        <w:ind w:firstLine="480" w:firstLineChars="200"/>
        <w:rPr>
          <w:rFonts w:ascii="宋体" w:hAnsi="宋体" w:cs="宋体"/>
          <w:sz w:val="24"/>
          <w:szCs w:val="24"/>
        </w:rPr>
      </w:pPr>
      <w:r>
        <w:rPr>
          <w:rFonts w:hint="eastAsia" w:ascii="宋体" w:hAnsi="宋体" w:cs="宋体"/>
          <w:sz w:val="24"/>
          <w:szCs w:val="24"/>
        </w:rPr>
        <w:t>22.1 招标代理机构将在招标公告中规定的时间和地点组织公开开标。投标人应当按照《操作手册》规定，参加开标活动和在苏采云系统规定的时间内对投标文件进行解密。</w:t>
      </w:r>
    </w:p>
    <w:p w14:paraId="60F4CB4C">
      <w:pPr>
        <w:spacing w:before="120" w:beforeLines="50"/>
        <w:ind w:firstLine="480" w:firstLineChars="200"/>
        <w:rPr>
          <w:rFonts w:ascii="宋体" w:hAnsi="宋体" w:cs="宋体"/>
          <w:sz w:val="24"/>
          <w:szCs w:val="24"/>
        </w:rPr>
      </w:pPr>
      <w:r>
        <w:rPr>
          <w:rFonts w:hint="eastAsia" w:ascii="宋体" w:hAnsi="宋体" w:cs="宋体"/>
          <w:sz w:val="24"/>
          <w:szCs w:val="24"/>
        </w:rPr>
        <w:t>22.2 开标仪式由招标代理机构组织。苏采云系统将自动对项目进行开标，并宣布各投标人名称和投标价格。</w:t>
      </w:r>
    </w:p>
    <w:p w14:paraId="2A281F4B">
      <w:pPr>
        <w:spacing w:before="120" w:beforeLines="50"/>
        <w:ind w:firstLine="480" w:firstLineChars="200"/>
        <w:rPr>
          <w:rFonts w:ascii="宋体" w:hAnsi="宋体" w:cs="宋体"/>
          <w:sz w:val="24"/>
          <w:szCs w:val="24"/>
        </w:rPr>
      </w:pPr>
      <w:r>
        <w:rPr>
          <w:rFonts w:hint="eastAsia" w:ascii="宋体" w:hAnsi="宋体" w:cs="宋体"/>
          <w:sz w:val="24"/>
          <w:szCs w:val="24"/>
        </w:rPr>
        <w:t>22.3 投标人在开标过程中涉及到的投标文件解密、开标结果确认等工作，应按照《操作手册》规定执行。</w:t>
      </w:r>
    </w:p>
    <w:p w14:paraId="60453D50">
      <w:pPr>
        <w:spacing w:before="120" w:beforeLines="50"/>
        <w:ind w:firstLine="480" w:firstLineChars="200"/>
        <w:rPr>
          <w:rFonts w:ascii="宋体" w:hAnsi="宋体" w:cs="宋体"/>
          <w:sz w:val="24"/>
          <w:szCs w:val="24"/>
        </w:rPr>
      </w:pPr>
      <w:r>
        <w:rPr>
          <w:rFonts w:hint="eastAsia" w:ascii="宋体" w:hAnsi="宋体" w:cs="宋体"/>
          <w:sz w:val="24"/>
          <w:szCs w:val="24"/>
        </w:rPr>
        <w:t>22.4 投标人如果对开标过程和开标记录有疑义，应当根据《操作手册》规定提出，如 苏采云系统中《开标记录表》宣布后5分钟内未提出的，视同认可开标结果。</w:t>
      </w:r>
    </w:p>
    <w:p w14:paraId="5B4E0153">
      <w:pPr>
        <w:spacing w:before="120" w:beforeLines="50"/>
        <w:ind w:firstLine="480" w:firstLineChars="200"/>
        <w:outlineLvl w:val="2"/>
        <w:rPr>
          <w:rFonts w:ascii="宋体" w:hAnsi="宋体" w:cs="宋体"/>
          <w:sz w:val="24"/>
          <w:szCs w:val="24"/>
        </w:rPr>
      </w:pPr>
      <w:bookmarkStart w:id="89" w:name="_Toc5364"/>
      <w:r>
        <w:rPr>
          <w:rFonts w:hint="eastAsia" w:ascii="宋体" w:hAnsi="宋体" w:cs="宋体"/>
          <w:sz w:val="24"/>
          <w:szCs w:val="24"/>
        </w:rPr>
        <w:t>23.评标委员会</w:t>
      </w:r>
      <w:bookmarkEnd w:id="89"/>
    </w:p>
    <w:p w14:paraId="5A95B022">
      <w:pPr>
        <w:spacing w:before="120" w:beforeLines="50"/>
        <w:ind w:firstLine="480" w:firstLineChars="200"/>
        <w:rPr>
          <w:rFonts w:ascii="宋体" w:hAnsi="宋体" w:cs="宋体"/>
          <w:sz w:val="24"/>
          <w:szCs w:val="24"/>
        </w:rPr>
      </w:pPr>
      <w:r>
        <w:rPr>
          <w:rFonts w:hint="eastAsia" w:ascii="宋体" w:hAnsi="宋体" w:cs="宋体"/>
          <w:sz w:val="24"/>
          <w:szCs w:val="24"/>
        </w:rPr>
        <w:t>23.1 开标后，招标代理机构将立即组织评标委员会（以下简称评委会）进行评标。</w:t>
      </w:r>
    </w:p>
    <w:p w14:paraId="3B92E02B">
      <w:pPr>
        <w:spacing w:before="120" w:beforeLines="50"/>
        <w:ind w:firstLine="480" w:firstLineChars="200"/>
        <w:rPr>
          <w:rFonts w:ascii="宋体" w:hAnsi="宋体" w:cs="宋体"/>
          <w:sz w:val="24"/>
          <w:szCs w:val="24"/>
        </w:rPr>
      </w:pPr>
      <w:r>
        <w:rPr>
          <w:rFonts w:hint="eastAsia" w:ascii="宋体" w:hAnsi="宋体" w:cs="宋体"/>
          <w:sz w:val="24"/>
          <w:szCs w:val="24"/>
        </w:rPr>
        <w:t>23.2 评委会由采购人代表和有关技术、经济等方面的专家组成，且人员构成符合政府采购有关规定。</w:t>
      </w:r>
    </w:p>
    <w:p w14:paraId="0CAEA6F8">
      <w:pPr>
        <w:spacing w:before="120" w:beforeLines="50"/>
        <w:ind w:firstLine="480" w:firstLineChars="200"/>
        <w:rPr>
          <w:rFonts w:ascii="宋体" w:hAnsi="宋体" w:cs="宋体"/>
          <w:sz w:val="24"/>
          <w:szCs w:val="24"/>
        </w:rPr>
      </w:pPr>
      <w:r>
        <w:rPr>
          <w:rFonts w:hint="eastAsia" w:ascii="宋体" w:hAnsi="宋体" w:cs="宋体"/>
          <w:sz w:val="24"/>
          <w:szCs w:val="24"/>
        </w:rPr>
        <w:t>23.3 评委会独立工作，负责评审所有投标文件并确定中标候选人。</w:t>
      </w:r>
    </w:p>
    <w:p w14:paraId="2348274D">
      <w:pPr>
        <w:spacing w:before="120" w:beforeLines="50"/>
        <w:ind w:firstLine="480" w:firstLineChars="200"/>
        <w:outlineLvl w:val="2"/>
        <w:rPr>
          <w:rFonts w:ascii="宋体" w:hAnsi="宋体" w:cs="宋体"/>
          <w:sz w:val="24"/>
          <w:szCs w:val="24"/>
        </w:rPr>
      </w:pPr>
      <w:bookmarkStart w:id="90" w:name="_Toc25331"/>
      <w:r>
        <w:rPr>
          <w:rFonts w:hint="eastAsia" w:ascii="宋体" w:hAnsi="宋体" w:cs="宋体"/>
          <w:sz w:val="24"/>
          <w:szCs w:val="24"/>
        </w:rPr>
        <w:t>24.评标过程的保密与公正</w:t>
      </w:r>
      <w:bookmarkEnd w:id="90"/>
    </w:p>
    <w:p w14:paraId="22187916">
      <w:pPr>
        <w:spacing w:before="120" w:beforeLines="50"/>
        <w:ind w:firstLine="480" w:firstLineChars="200"/>
        <w:rPr>
          <w:rFonts w:ascii="宋体" w:hAnsi="宋体" w:cs="宋体"/>
          <w:sz w:val="24"/>
          <w:szCs w:val="24"/>
        </w:rPr>
      </w:pPr>
      <w:r>
        <w:rPr>
          <w:rFonts w:hint="eastAsia" w:ascii="宋体" w:hAnsi="宋体" w:cs="宋体"/>
          <w:sz w:val="24"/>
          <w:szCs w:val="24"/>
        </w:rPr>
        <w:t>24.1 凡是与审查、澄清、评价和比较投标的有关资料以及授标建议等，采购人、评委、招标代理机构均不得向投标人或与评标无关的其他人员透露。</w:t>
      </w:r>
    </w:p>
    <w:p w14:paraId="1FE9F8BE">
      <w:pPr>
        <w:spacing w:before="120" w:beforeLines="50"/>
        <w:ind w:firstLine="480" w:firstLineChars="200"/>
        <w:rPr>
          <w:rFonts w:ascii="宋体" w:hAnsi="宋体" w:cs="宋体"/>
          <w:sz w:val="24"/>
          <w:szCs w:val="24"/>
        </w:rPr>
      </w:pPr>
      <w:r>
        <w:rPr>
          <w:rFonts w:hint="eastAsia" w:ascii="宋体" w:hAnsi="宋体" w:cs="宋体"/>
          <w:sz w:val="24"/>
          <w:szCs w:val="24"/>
        </w:rPr>
        <w:t>24.2 在评标过程中，投标人不得以任何行为影响评标过程，否则其投标文件将被作为无效投标文件。</w:t>
      </w:r>
    </w:p>
    <w:p w14:paraId="6DF849E4">
      <w:pPr>
        <w:spacing w:before="120" w:beforeLines="50"/>
        <w:ind w:firstLine="480" w:firstLineChars="200"/>
        <w:rPr>
          <w:rFonts w:ascii="宋体" w:hAnsi="宋体" w:cs="宋体"/>
          <w:sz w:val="24"/>
          <w:szCs w:val="24"/>
        </w:rPr>
      </w:pPr>
      <w:r>
        <w:rPr>
          <w:rFonts w:hint="eastAsia" w:ascii="宋体" w:hAnsi="宋体" w:cs="宋体"/>
          <w:sz w:val="24"/>
          <w:szCs w:val="24"/>
        </w:rPr>
        <w:t>24.3 招标代理机构和评标委员会不向未中标的投标人解释未中标原因，也不公布评标过程中的相关细节。</w:t>
      </w:r>
    </w:p>
    <w:p w14:paraId="6937AADC">
      <w:pPr>
        <w:spacing w:before="120" w:beforeLines="50"/>
        <w:ind w:firstLine="480" w:firstLineChars="200"/>
        <w:rPr>
          <w:rFonts w:ascii="宋体" w:hAnsi="宋体" w:cs="宋体"/>
          <w:sz w:val="24"/>
          <w:szCs w:val="24"/>
        </w:rPr>
      </w:pPr>
      <w:r>
        <w:rPr>
          <w:rFonts w:hint="eastAsia" w:ascii="宋体" w:hAnsi="宋体" w:cs="宋体"/>
          <w:sz w:val="24"/>
          <w:szCs w:val="24"/>
        </w:rPr>
        <w:t>24.4 采用综合评分法的项目，未中标的投标人可于中标结果公告期限届满之日起通过苏采云系统查看自己的评审得分及排序情况。</w:t>
      </w:r>
    </w:p>
    <w:p w14:paraId="17A29DA7">
      <w:pPr>
        <w:spacing w:before="120" w:beforeLines="50"/>
        <w:ind w:firstLine="480" w:firstLineChars="200"/>
        <w:outlineLvl w:val="2"/>
        <w:rPr>
          <w:rFonts w:ascii="宋体" w:hAnsi="宋体" w:cs="宋体"/>
          <w:sz w:val="24"/>
          <w:szCs w:val="24"/>
        </w:rPr>
      </w:pPr>
      <w:bookmarkStart w:id="91" w:name="_Toc15216"/>
      <w:r>
        <w:rPr>
          <w:rFonts w:hint="eastAsia" w:ascii="宋体" w:hAnsi="宋体" w:cs="宋体"/>
          <w:sz w:val="24"/>
          <w:szCs w:val="24"/>
        </w:rPr>
        <w:t>25.投标文件的澄清</w:t>
      </w:r>
      <w:bookmarkEnd w:id="91"/>
    </w:p>
    <w:p w14:paraId="5486E071">
      <w:pPr>
        <w:spacing w:before="120" w:beforeLines="50"/>
        <w:ind w:firstLine="480" w:firstLineChars="200"/>
        <w:rPr>
          <w:rFonts w:ascii="宋体" w:hAnsi="宋体" w:cs="宋体"/>
          <w:sz w:val="24"/>
          <w:szCs w:val="24"/>
        </w:rPr>
      </w:pPr>
      <w:r>
        <w:rPr>
          <w:rFonts w:hint="eastAsia" w:ascii="宋体" w:hAnsi="宋体" w:cs="宋体"/>
          <w:sz w:val="24"/>
          <w:szCs w:val="24"/>
        </w:rPr>
        <w:t>25.1 评标期间，评委会对投标文件中含义不明确、同类问题表述不一致或者有明显文字和计算错误的内容 ，有权要求投标人作出必要的澄清、说明或者补正。</w:t>
      </w:r>
    </w:p>
    <w:p w14:paraId="555D218C">
      <w:pPr>
        <w:spacing w:before="120" w:beforeLines="50"/>
        <w:ind w:firstLine="480" w:firstLineChars="200"/>
        <w:rPr>
          <w:rFonts w:ascii="宋体" w:hAnsi="宋体" w:cs="宋体"/>
          <w:sz w:val="24"/>
          <w:szCs w:val="24"/>
        </w:rPr>
      </w:pPr>
      <w:r>
        <w:rPr>
          <w:rFonts w:hint="eastAsia" w:ascii="宋体" w:hAnsi="宋体" w:cs="宋体"/>
          <w:sz w:val="24"/>
          <w:szCs w:val="24"/>
        </w:rPr>
        <w:t>投标人的澄清、说明或者补正不得超出投标文件的范围或者改变投标文件的实质性内容。</w:t>
      </w:r>
    </w:p>
    <w:p w14:paraId="70DCD12C">
      <w:pPr>
        <w:spacing w:before="120" w:beforeLines="50"/>
        <w:ind w:firstLine="480" w:firstLineChars="200"/>
        <w:rPr>
          <w:rFonts w:ascii="宋体" w:hAnsi="宋体" w:cs="宋体"/>
          <w:sz w:val="24"/>
          <w:szCs w:val="24"/>
        </w:rPr>
      </w:pPr>
      <w:r>
        <w:rPr>
          <w:rFonts w:hint="eastAsia" w:ascii="宋体" w:hAnsi="宋体" w:cs="宋体"/>
          <w:sz w:val="24"/>
          <w:szCs w:val="24"/>
        </w:rPr>
        <w:t>评标委员会并非对每个投标人都做澄清要求。</w:t>
      </w:r>
    </w:p>
    <w:p w14:paraId="6251729A">
      <w:pPr>
        <w:spacing w:before="120" w:beforeLines="50"/>
        <w:ind w:firstLine="480" w:firstLineChars="200"/>
        <w:rPr>
          <w:rFonts w:ascii="宋体" w:hAnsi="宋体" w:cs="宋体"/>
          <w:sz w:val="24"/>
          <w:szCs w:val="24"/>
        </w:rPr>
      </w:pPr>
      <w:r>
        <w:rPr>
          <w:rFonts w:hint="eastAsia" w:ascii="宋体" w:hAnsi="宋体" w:cs="宋体"/>
          <w:sz w:val="24"/>
          <w:szCs w:val="24"/>
        </w:rPr>
        <w:t>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9A67441">
      <w:pPr>
        <w:spacing w:before="120" w:beforeLines="50"/>
        <w:ind w:firstLine="480" w:firstLineChars="200"/>
        <w:rPr>
          <w:rFonts w:ascii="宋体" w:hAnsi="宋体" w:cs="宋体"/>
          <w:sz w:val="24"/>
          <w:szCs w:val="24"/>
        </w:rPr>
      </w:pPr>
      <w:r>
        <w:rPr>
          <w:rFonts w:hint="eastAsia" w:ascii="宋体" w:hAnsi="宋体" w:cs="宋体"/>
          <w:sz w:val="24"/>
          <w:szCs w:val="24"/>
        </w:rPr>
        <w:t>25.3 接到评委会澄清、说明和补正要求的投标人如未按规定做出澄清、说明和补正，其风险由投标人自行承担。</w:t>
      </w:r>
    </w:p>
    <w:p w14:paraId="31C6DA8C">
      <w:pPr>
        <w:spacing w:before="120" w:beforeLines="50"/>
        <w:ind w:firstLine="480" w:firstLineChars="200"/>
        <w:outlineLvl w:val="2"/>
        <w:rPr>
          <w:rFonts w:ascii="宋体" w:hAnsi="宋体" w:cs="宋体"/>
          <w:sz w:val="24"/>
          <w:szCs w:val="24"/>
        </w:rPr>
      </w:pPr>
      <w:bookmarkStart w:id="92" w:name="_Toc27134"/>
      <w:r>
        <w:rPr>
          <w:rFonts w:hint="eastAsia" w:ascii="宋体" w:hAnsi="宋体" w:cs="宋体"/>
          <w:sz w:val="24"/>
          <w:szCs w:val="24"/>
        </w:rPr>
        <w:t>26.对投标文件的初审</w:t>
      </w:r>
      <w:bookmarkEnd w:id="92"/>
    </w:p>
    <w:p w14:paraId="34BB0D25">
      <w:pPr>
        <w:spacing w:before="120" w:beforeLines="50"/>
        <w:ind w:firstLine="480" w:firstLineChars="200"/>
        <w:rPr>
          <w:rFonts w:ascii="宋体" w:hAnsi="宋体" w:cs="宋体"/>
          <w:sz w:val="24"/>
          <w:szCs w:val="24"/>
        </w:rPr>
      </w:pPr>
      <w:r>
        <w:rPr>
          <w:rFonts w:hint="eastAsia" w:ascii="宋体" w:hAnsi="宋体" w:cs="宋体"/>
          <w:sz w:val="24"/>
          <w:szCs w:val="24"/>
        </w:rPr>
        <w:t>26.1 投标文件初审分为资格审查和符合性审查。</w:t>
      </w:r>
    </w:p>
    <w:p w14:paraId="06F40795">
      <w:pPr>
        <w:spacing w:before="120" w:beforeLines="50"/>
        <w:ind w:firstLine="480" w:firstLineChars="200"/>
        <w:rPr>
          <w:rFonts w:ascii="宋体" w:hAnsi="宋体" w:cs="宋体"/>
          <w:sz w:val="24"/>
          <w:szCs w:val="24"/>
        </w:rPr>
      </w:pPr>
      <w:r>
        <w:rPr>
          <w:rFonts w:hint="eastAsia" w:ascii="宋体" w:hAnsi="宋体" w:cs="宋体"/>
          <w:sz w:val="24"/>
          <w:szCs w:val="24"/>
        </w:rPr>
        <w:t>26.1.1 资格审查：依据法律法规和招标文件的规定，由采购人对投标文件中的资格证明文件进行审查。资格审查的结论，采购人以书面形式向评委会进行反馈。</w:t>
      </w:r>
    </w:p>
    <w:p w14:paraId="5AD38903">
      <w:pPr>
        <w:spacing w:before="120" w:beforeLines="50"/>
        <w:ind w:firstLine="480" w:firstLineChars="200"/>
        <w:rPr>
          <w:rFonts w:ascii="宋体" w:hAnsi="宋体" w:cs="宋体"/>
          <w:sz w:val="24"/>
          <w:szCs w:val="24"/>
        </w:rPr>
      </w:pPr>
      <w:r>
        <w:rPr>
          <w:rFonts w:hint="eastAsia" w:ascii="宋体" w:hAnsi="宋体" w:cs="宋体"/>
          <w:color w:val="0000FF"/>
          <w:sz w:val="24"/>
          <w:szCs w:val="24"/>
        </w:rPr>
        <w:t>采购人在进行资格性审查的同时，将在“信用中国”网站（www.creditchina.gov.cn）和“中国政府采购网"(www.ccgp.gov.cn）查询投标人的信用记录，以确定投标人是否具备投标资格。</w:t>
      </w:r>
    </w:p>
    <w:p w14:paraId="003C268A">
      <w:pPr>
        <w:spacing w:before="120" w:beforeLines="50"/>
        <w:ind w:firstLine="480" w:firstLineChars="200"/>
        <w:rPr>
          <w:rFonts w:ascii="宋体" w:hAnsi="宋体" w:cs="宋体"/>
          <w:sz w:val="24"/>
          <w:szCs w:val="24"/>
        </w:rPr>
      </w:pPr>
      <w:r>
        <w:rPr>
          <w:rFonts w:hint="eastAsia" w:ascii="宋体" w:hAnsi="宋体" w:cs="宋体"/>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1E9F2592">
      <w:pPr>
        <w:spacing w:before="120" w:beforeLines="50"/>
        <w:ind w:firstLine="480" w:firstLineChars="200"/>
        <w:rPr>
          <w:rFonts w:ascii="宋体" w:hAnsi="宋体" w:cs="宋体"/>
          <w:sz w:val="24"/>
          <w:szCs w:val="24"/>
        </w:rPr>
      </w:pPr>
      <w:r>
        <w:rPr>
          <w:rFonts w:hint="eastAsia" w:ascii="宋体" w:hAnsi="宋体" w:cs="宋体"/>
          <w:sz w:val="24"/>
          <w:szCs w:val="24"/>
        </w:rPr>
        <w:t>26.1.2 符合性审查：依据招标文件的规定，由评委会从投标文件的有效性、完整性和对招标文件的响应程度进行审查，以确定是否对招标文件的实质性要求作出响应。</w:t>
      </w:r>
    </w:p>
    <w:p w14:paraId="5A7116AC">
      <w:pPr>
        <w:spacing w:before="120" w:beforeLines="50"/>
        <w:ind w:firstLine="480" w:firstLineChars="200"/>
        <w:rPr>
          <w:rFonts w:ascii="宋体" w:hAnsi="宋体" w:cs="宋体"/>
          <w:sz w:val="24"/>
          <w:szCs w:val="24"/>
        </w:rPr>
      </w:pPr>
      <w:r>
        <w:rPr>
          <w:rFonts w:hint="eastAsia" w:ascii="宋体" w:hAnsi="宋体" w:cs="宋体"/>
          <w:sz w:val="24"/>
          <w:szCs w:val="24"/>
        </w:rPr>
        <w:t>26.1.3 未通过资格审查或符合性审查的投标人，招标代理机构将在苏采云系统中告知未通过资格审查或符合性审查的原因，评标结束后，招标代理机构将不再告知未通过资格审查和符合性审查的原因。</w:t>
      </w:r>
    </w:p>
    <w:p w14:paraId="3F7FBB65">
      <w:pPr>
        <w:spacing w:before="120" w:beforeLines="50"/>
        <w:ind w:firstLine="480" w:firstLineChars="200"/>
        <w:rPr>
          <w:rFonts w:ascii="宋体" w:hAnsi="宋体" w:cs="宋体"/>
          <w:sz w:val="24"/>
          <w:szCs w:val="24"/>
        </w:rPr>
      </w:pPr>
      <w:r>
        <w:rPr>
          <w:rFonts w:hint="eastAsia" w:ascii="宋体" w:hAnsi="宋体" w:cs="宋体"/>
          <w:sz w:val="24"/>
          <w:szCs w:val="24"/>
        </w:rPr>
        <w:t>26.2 在详细评标之前，评委会将首先审查每份投标文件是否实质性响应了招标文件的要求。实质性响应的投标应该是与招标文件要求的全部条款、条件和规格相符，没有重大偏离或保留的投标。</w:t>
      </w:r>
    </w:p>
    <w:p w14:paraId="2244F5A6">
      <w:pPr>
        <w:spacing w:before="120" w:beforeLines="50"/>
        <w:ind w:firstLine="480" w:firstLineChars="200"/>
        <w:rPr>
          <w:rFonts w:ascii="宋体" w:hAnsi="宋体" w:cs="宋体"/>
          <w:sz w:val="24"/>
          <w:szCs w:val="24"/>
        </w:rPr>
      </w:pPr>
      <w:r>
        <w:rPr>
          <w:rFonts w:hint="eastAsia" w:ascii="宋体" w:hAnsi="宋体" w:cs="宋体"/>
          <w:sz w:val="24"/>
          <w:szCs w:val="24"/>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A90A09E">
      <w:pPr>
        <w:spacing w:before="120" w:beforeLines="50"/>
        <w:ind w:firstLine="480" w:firstLineChars="200"/>
        <w:rPr>
          <w:rFonts w:ascii="宋体" w:hAnsi="宋体" w:cs="宋体"/>
          <w:sz w:val="24"/>
          <w:szCs w:val="24"/>
        </w:rPr>
      </w:pPr>
      <w:r>
        <w:rPr>
          <w:rFonts w:hint="eastAsia" w:ascii="宋体" w:hAnsi="宋体" w:cs="宋体"/>
          <w:sz w:val="24"/>
          <w:szCs w:val="24"/>
        </w:rPr>
        <w:t>26.3 如果投标文件实质上没有响应招标文件的要求，评委会将予以拒绝，投标人不得通过修改或撤销不合要求的偏离或保留而使其投标成为实质性响应的投标。</w:t>
      </w:r>
    </w:p>
    <w:p w14:paraId="296EB9E5">
      <w:pPr>
        <w:spacing w:before="120" w:beforeLines="50"/>
        <w:ind w:firstLine="480" w:firstLineChars="200"/>
        <w:rPr>
          <w:rFonts w:ascii="宋体" w:hAnsi="宋体" w:cs="宋体"/>
          <w:sz w:val="24"/>
          <w:szCs w:val="24"/>
        </w:rPr>
      </w:pPr>
      <w:r>
        <w:rPr>
          <w:rFonts w:hint="eastAsia" w:ascii="宋体" w:hAnsi="宋体" w:cs="宋体"/>
          <w:sz w:val="24"/>
          <w:szCs w:val="24"/>
        </w:rPr>
        <w:t>26.4 评委会将对确定为实质性响应的投标进行进一步审核，确定其是否有计算上或累加上的算术错误，修正错误的原则如下：</w:t>
      </w:r>
    </w:p>
    <w:p w14:paraId="17DE60A2">
      <w:pPr>
        <w:spacing w:before="120" w:beforeLines="50"/>
        <w:ind w:firstLine="480" w:firstLineChars="200"/>
        <w:rPr>
          <w:rFonts w:ascii="宋体" w:hAnsi="宋体" w:cs="宋体"/>
          <w:sz w:val="24"/>
          <w:szCs w:val="24"/>
        </w:rPr>
      </w:pPr>
      <w:r>
        <w:rPr>
          <w:rFonts w:hint="eastAsia" w:ascii="宋体" w:hAnsi="宋体" w:cs="宋体"/>
          <w:sz w:val="24"/>
          <w:szCs w:val="24"/>
        </w:rPr>
        <w:t>（1）投标文件中开标一览表内容与投标文件中相应内容不一致的，以开标一览表为准。</w:t>
      </w:r>
    </w:p>
    <w:p w14:paraId="492DE38B">
      <w:pPr>
        <w:spacing w:before="120" w:beforeLines="50"/>
        <w:ind w:firstLine="480" w:firstLineChars="200"/>
        <w:rPr>
          <w:rFonts w:ascii="宋体" w:hAnsi="宋体" w:cs="宋体"/>
          <w:sz w:val="24"/>
          <w:szCs w:val="24"/>
        </w:rPr>
      </w:pPr>
      <w:r>
        <w:rPr>
          <w:rFonts w:hint="eastAsia" w:ascii="宋体" w:hAnsi="宋体" w:cs="宋体"/>
          <w:sz w:val="24"/>
          <w:szCs w:val="24"/>
        </w:rPr>
        <w:t>（2）大写金额和小写金额不一致的，以大写金额为准。</w:t>
      </w:r>
    </w:p>
    <w:p w14:paraId="007F2A49">
      <w:pPr>
        <w:spacing w:before="120" w:beforeLines="50"/>
        <w:ind w:firstLine="480" w:firstLineChars="200"/>
        <w:rPr>
          <w:rFonts w:ascii="宋体" w:hAnsi="宋体" w:cs="宋体"/>
          <w:sz w:val="24"/>
          <w:szCs w:val="24"/>
        </w:rPr>
      </w:pPr>
      <w:r>
        <w:rPr>
          <w:rFonts w:hint="eastAsia" w:ascii="宋体" w:hAnsi="宋体" w:cs="宋体"/>
          <w:sz w:val="24"/>
          <w:szCs w:val="24"/>
        </w:rPr>
        <w:t>（3）单价金额小数点或者百分比有明显错位的，以开标一览表的总价为准，并修改单价。</w:t>
      </w:r>
    </w:p>
    <w:p w14:paraId="2985DD61">
      <w:pPr>
        <w:spacing w:before="120" w:beforeLines="50"/>
        <w:ind w:firstLine="480" w:firstLineChars="200"/>
        <w:rPr>
          <w:rFonts w:ascii="宋体" w:hAnsi="宋体" w:cs="宋体"/>
          <w:sz w:val="24"/>
          <w:szCs w:val="24"/>
        </w:rPr>
      </w:pPr>
      <w:r>
        <w:rPr>
          <w:rFonts w:hint="eastAsia" w:ascii="宋体" w:hAnsi="宋体" w:cs="宋体"/>
          <w:sz w:val="24"/>
          <w:szCs w:val="24"/>
        </w:rPr>
        <w:t>（4）总价金额与按单价汇总金额不一致的，以单价金额计算结果为准。</w:t>
      </w:r>
    </w:p>
    <w:p w14:paraId="0F8AA82F">
      <w:pPr>
        <w:spacing w:before="120" w:beforeLines="50"/>
        <w:ind w:firstLine="480" w:firstLineChars="200"/>
        <w:rPr>
          <w:rFonts w:ascii="宋体" w:hAnsi="宋体" w:cs="宋体"/>
          <w:sz w:val="24"/>
          <w:szCs w:val="24"/>
        </w:rPr>
      </w:pPr>
      <w:r>
        <w:rPr>
          <w:rFonts w:hint="eastAsia" w:ascii="宋体" w:hAnsi="宋体" w:cs="宋体"/>
          <w:sz w:val="24"/>
          <w:szCs w:val="24"/>
        </w:rPr>
        <w:t>同时出现两种以上错误的，按照前款规定的顺序修正。</w:t>
      </w:r>
    </w:p>
    <w:p w14:paraId="5562DF2A">
      <w:pPr>
        <w:spacing w:before="120" w:beforeLines="50"/>
        <w:ind w:firstLine="480" w:firstLineChars="200"/>
        <w:rPr>
          <w:rFonts w:ascii="宋体" w:hAnsi="宋体" w:cs="宋体"/>
          <w:sz w:val="24"/>
          <w:szCs w:val="24"/>
        </w:rPr>
      </w:pPr>
      <w:r>
        <w:rPr>
          <w:rFonts w:hint="eastAsia" w:ascii="宋体" w:hAnsi="宋体" w:cs="宋体"/>
          <w:sz w:val="24"/>
          <w:szCs w:val="24"/>
        </w:rPr>
        <w:t>26.5 评委会将按上述修正错误的方法调整投标文件中的投标报价，并通过苏采云系统告知投标人，调整后的价格应对投标人具有约束力。如果投标人不接受修正后的价格，则其投标将被拒绝。</w:t>
      </w:r>
    </w:p>
    <w:p w14:paraId="4D182669">
      <w:pPr>
        <w:spacing w:before="120" w:beforeLines="50"/>
        <w:ind w:firstLine="480" w:firstLineChars="200"/>
        <w:rPr>
          <w:rFonts w:ascii="宋体" w:hAnsi="宋体" w:cs="宋体"/>
          <w:sz w:val="24"/>
          <w:szCs w:val="24"/>
        </w:rPr>
      </w:pPr>
      <w:r>
        <w:rPr>
          <w:rFonts w:hint="eastAsia" w:ascii="宋体" w:hAnsi="宋体" w:cs="宋体"/>
          <w:sz w:val="24"/>
          <w:szCs w:val="24"/>
        </w:rPr>
        <w:t>26.6 投标人在开、评标全过程中应保持通讯畅通，及时登录苏采云系统查阅、答复相关信息，并安排专人与招标代理机构及评标委员会联系。</w:t>
      </w:r>
    </w:p>
    <w:p w14:paraId="32866BB4">
      <w:pPr>
        <w:spacing w:before="120" w:beforeLines="50"/>
        <w:ind w:firstLine="480" w:firstLineChars="200"/>
        <w:outlineLvl w:val="2"/>
        <w:rPr>
          <w:rFonts w:ascii="宋体" w:hAnsi="宋体" w:cs="宋体"/>
          <w:sz w:val="24"/>
          <w:szCs w:val="24"/>
        </w:rPr>
      </w:pPr>
      <w:bookmarkStart w:id="93" w:name="_Toc30711"/>
      <w:r>
        <w:rPr>
          <w:rFonts w:hint="eastAsia" w:ascii="宋体" w:hAnsi="宋体" w:cs="宋体"/>
          <w:sz w:val="24"/>
          <w:szCs w:val="24"/>
        </w:rPr>
        <w:t>27.无效投标条款和废标条款</w:t>
      </w:r>
      <w:bookmarkEnd w:id="93"/>
    </w:p>
    <w:p w14:paraId="69DE9EE5">
      <w:pPr>
        <w:spacing w:before="120" w:beforeLines="50"/>
        <w:ind w:firstLine="480" w:firstLineChars="200"/>
        <w:rPr>
          <w:rFonts w:ascii="宋体" w:hAnsi="宋体" w:cs="宋体"/>
          <w:sz w:val="24"/>
          <w:szCs w:val="24"/>
        </w:rPr>
      </w:pPr>
      <w:r>
        <w:rPr>
          <w:rFonts w:hint="eastAsia" w:ascii="宋体" w:hAnsi="宋体" w:cs="宋体"/>
          <w:sz w:val="24"/>
          <w:szCs w:val="24"/>
        </w:rPr>
        <w:t>27.1无效投标条款</w:t>
      </w:r>
    </w:p>
    <w:p w14:paraId="1C82B479">
      <w:pPr>
        <w:spacing w:before="120" w:beforeLines="50"/>
        <w:ind w:firstLine="480" w:firstLineChars="200"/>
        <w:rPr>
          <w:rFonts w:ascii="宋体" w:hAnsi="宋体" w:cs="宋体"/>
          <w:sz w:val="24"/>
          <w:szCs w:val="24"/>
        </w:rPr>
      </w:pPr>
      <w:r>
        <w:rPr>
          <w:rFonts w:hint="eastAsia" w:ascii="宋体" w:hAnsi="宋体" w:cs="宋体"/>
          <w:sz w:val="24"/>
          <w:szCs w:val="24"/>
        </w:rPr>
        <w:t>27.1.1 投标人在苏采云系统规定的时间内未成功解密电子投标文件的。</w:t>
      </w:r>
    </w:p>
    <w:p w14:paraId="5D525468">
      <w:pPr>
        <w:spacing w:before="120" w:beforeLines="50"/>
        <w:ind w:firstLine="480" w:firstLineChars="200"/>
        <w:rPr>
          <w:rFonts w:ascii="宋体" w:hAnsi="宋体" w:cs="宋体"/>
          <w:sz w:val="24"/>
          <w:szCs w:val="24"/>
        </w:rPr>
      </w:pPr>
      <w:r>
        <w:rPr>
          <w:rFonts w:hint="eastAsia" w:ascii="宋体" w:hAnsi="宋体" w:cs="宋体"/>
          <w:sz w:val="24"/>
          <w:szCs w:val="24"/>
        </w:rPr>
        <w:t>27.1.2 投标人未按照招标文件要求上传电子投标文件的。</w:t>
      </w:r>
    </w:p>
    <w:p w14:paraId="3A7CFA70">
      <w:pPr>
        <w:spacing w:before="120" w:beforeLines="50"/>
        <w:ind w:firstLine="480" w:firstLineChars="200"/>
        <w:rPr>
          <w:rFonts w:ascii="宋体" w:hAnsi="宋体" w:cs="宋体"/>
          <w:sz w:val="24"/>
          <w:szCs w:val="24"/>
        </w:rPr>
      </w:pPr>
      <w:r>
        <w:rPr>
          <w:rFonts w:hint="eastAsia" w:ascii="宋体" w:hAnsi="宋体" w:cs="宋体"/>
          <w:sz w:val="24"/>
          <w:szCs w:val="24"/>
        </w:rPr>
        <w:t>27.1.3 同一投标人提交两个（含两个）以上不同的投标报价的。</w:t>
      </w:r>
    </w:p>
    <w:p w14:paraId="67A080AA">
      <w:pPr>
        <w:spacing w:before="120" w:beforeLines="50"/>
        <w:ind w:firstLine="480" w:firstLineChars="200"/>
        <w:rPr>
          <w:rFonts w:ascii="宋体" w:hAnsi="宋体" w:cs="宋体"/>
          <w:sz w:val="24"/>
          <w:szCs w:val="24"/>
        </w:rPr>
      </w:pPr>
      <w:r>
        <w:rPr>
          <w:rFonts w:hint="eastAsia" w:ascii="宋体" w:hAnsi="宋体" w:cs="宋体"/>
          <w:sz w:val="24"/>
          <w:szCs w:val="24"/>
        </w:rPr>
        <w:t>27.1.4 投标人不具备招标文件中规定资格要求的。</w:t>
      </w:r>
    </w:p>
    <w:p w14:paraId="1374DBC4">
      <w:pPr>
        <w:spacing w:before="120" w:beforeLines="50"/>
        <w:ind w:firstLine="480" w:firstLineChars="200"/>
        <w:rPr>
          <w:rFonts w:ascii="宋体" w:hAnsi="宋体" w:cs="宋体"/>
          <w:sz w:val="24"/>
          <w:szCs w:val="24"/>
        </w:rPr>
      </w:pPr>
      <w:r>
        <w:rPr>
          <w:rFonts w:hint="eastAsia" w:ascii="宋体" w:hAnsi="宋体" w:cs="宋体"/>
          <w:sz w:val="24"/>
          <w:szCs w:val="24"/>
        </w:rPr>
        <w:t>27.1.5 投标人的报价超过了采购预算或最高限价的。</w:t>
      </w:r>
    </w:p>
    <w:p w14:paraId="051FB829">
      <w:pPr>
        <w:spacing w:before="120" w:beforeLines="50"/>
        <w:ind w:firstLine="480" w:firstLineChars="200"/>
        <w:rPr>
          <w:rFonts w:ascii="宋体" w:hAnsi="宋体" w:cs="宋体"/>
          <w:sz w:val="24"/>
          <w:szCs w:val="24"/>
        </w:rPr>
      </w:pPr>
      <w:r>
        <w:rPr>
          <w:rFonts w:hint="eastAsia" w:ascii="宋体" w:hAnsi="宋体" w:cs="宋体"/>
          <w:sz w:val="24"/>
          <w:szCs w:val="24"/>
        </w:rPr>
        <w:t>27.1.6 未通过符合性审查的。</w:t>
      </w:r>
    </w:p>
    <w:p w14:paraId="2CE8BB16">
      <w:pPr>
        <w:spacing w:line="440" w:lineRule="exact"/>
        <w:ind w:firstLine="360"/>
        <w:rPr>
          <w:rFonts w:ascii="宋体" w:hAnsi="宋体" w:cs="宋体"/>
          <w:bCs/>
          <w:sz w:val="24"/>
        </w:rPr>
      </w:pPr>
      <w:r>
        <w:rPr>
          <w:rFonts w:hint="eastAsia" w:ascii="宋体" w:hAnsi="宋体" w:cs="宋体"/>
          <w:bCs/>
          <w:sz w:val="24"/>
        </w:rPr>
        <w:t xml:space="preserve"> 27.1.7 不符合招标文件中规定的实质性要求和条件的（</w:t>
      </w:r>
      <w:r>
        <w:rPr>
          <w:rFonts w:hint="eastAsia" w:ascii="宋体" w:hAnsi="宋体" w:cs="宋体"/>
          <w:bCs/>
          <w:i/>
          <w:iCs/>
          <w:sz w:val="24"/>
          <w:u w:val="single"/>
        </w:rPr>
        <w:t>本招标文件中斜体且有下划线部分为实质性要求和条件</w:t>
      </w:r>
      <w:r>
        <w:rPr>
          <w:rFonts w:hint="eastAsia" w:ascii="宋体" w:hAnsi="宋体" w:cs="宋体"/>
          <w:bCs/>
          <w:sz w:val="24"/>
        </w:rPr>
        <w:t>）。</w:t>
      </w:r>
    </w:p>
    <w:p w14:paraId="775E0BB0">
      <w:pPr>
        <w:spacing w:line="440" w:lineRule="exact"/>
        <w:ind w:firstLine="480"/>
        <w:rPr>
          <w:rFonts w:ascii="宋体" w:hAnsi="宋体" w:cs="宋体"/>
          <w:bCs/>
          <w:sz w:val="24"/>
        </w:rPr>
      </w:pPr>
      <w:r>
        <w:rPr>
          <w:rFonts w:hint="eastAsia" w:ascii="宋体" w:hAnsi="宋体" w:cs="宋体"/>
          <w:bCs/>
          <w:sz w:val="24"/>
        </w:rPr>
        <w:t>27.1.8 投标人被 “信用中国”网站（www.creditchina.gov.cn）列入失信被执行人或</w:t>
      </w:r>
      <w:r>
        <w:rPr>
          <w:rFonts w:hint="eastAsia" w:ascii="宋体" w:hAnsi="宋体" w:cs="宋体"/>
          <w:bCs/>
          <w:sz w:val="24"/>
          <w:u w:val="single"/>
        </w:rPr>
        <w:t>重大税收违法失信主体</w:t>
      </w:r>
      <w:r>
        <w:rPr>
          <w:rFonts w:hint="eastAsia" w:ascii="宋体" w:hAnsi="宋体" w:cs="宋体"/>
          <w:bCs/>
          <w:sz w:val="24"/>
        </w:rPr>
        <w:t>，被</w:t>
      </w:r>
      <w:r>
        <w:rPr>
          <w:rFonts w:hint="eastAsia" w:ascii="宋体" w:hAnsi="宋体" w:cs="宋体"/>
          <w:sz w:val="24"/>
          <w:szCs w:val="24"/>
        </w:rPr>
        <w:t>“中国政府采购网”(www.ccgp.gov.cn）列入政府采购严重失信行为记录名单，</w:t>
      </w:r>
      <w:r>
        <w:rPr>
          <w:rFonts w:hint="eastAsia" w:ascii="宋体" w:hAnsi="宋体" w:cs="宋体"/>
          <w:bCs/>
          <w:sz w:val="24"/>
        </w:rPr>
        <w:t>或查询“信用中国”网站后发现投标人存在其他不符合《中华人民共和国政府采购法》第二十二条规定条件的信用记录。</w:t>
      </w:r>
    </w:p>
    <w:p w14:paraId="6DF350D3">
      <w:pPr>
        <w:spacing w:line="440" w:lineRule="exact"/>
        <w:ind w:firstLine="480"/>
        <w:rPr>
          <w:rFonts w:ascii="宋体" w:hAnsi="宋体" w:cs="宋体"/>
          <w:bCs/>
          <w:sz w:val="24"/>
        </w:rPr>
      </w:pPr>
      <w:r>
        <w:rPr>
          <w:rFonts w:hint="eastAsia" w:ascii="宋体" w:hAnsi="宋体" w:cs="宋体"/>
          <w:bCs/>
          <w:sz w:val="24"/>
        </w:rPr>
        <w:t>27.1.9 投标文件含有采购人不能接受的附加条件的。</w:t>
      </w:r>
    </w:p>
    <w:p w14:paraId="2A70B274">
      <w:pPr>
        <w:spacing w:line="440" w:lineRule="exact"/>
        <w:ind w:firstLine="480"/>
        <w:rPr>
          <w:rFonts w:ascii="宋体" w:hAnsi="宋体" w:cs="宋体"/>
          <w:bCs/>
          <w:sz w:val="24"/>
        </w:rPr>
      </w:pPr>
      <w:r>
        <w:rPr>
          <w:rFonts w:hint="eastAsia" w:ascii="宋体" w:hAnsi="宋体" w:cs="宋体"/>
          <w:bCs/>
          <w:sz w:val="24"/>
        </w:rPr>
        <w:t>27.1.10 评标委员会认为投标人的报价明显低于其他通过符合性审查投标人的报价，有可能影响产品质量或者不能诚信履约的，将通过</w:t>
      </w:r>
      <w:r>
        <w:rPr>
          <w:rFonts w:hint="eastAsia" w:ascii="宋体" w:hAnsi="宋体" w:cs="宋体"/>
          <w:sz w:val="24"/>
          <w:szCs w:val="24"/>
        </w:rPr>
        <w:t>苏采云系统</w:t>
      </w:r>
      <w:r>
        <w:rPr>
          <w:rFonts w:hint="eastAsia" w:ascii="宋体" w:hAnsi="宋体" w:cs="宋体"/>
          <w:bCs/>
          <w:sz w:val="24"/>
        </w:rPr>
        <w:t>要求其在合理的时间内提供说明，必要时提交相关证明材料；投标人不能证明其报价合理性的，评标委员会应当将其作为无效投标处理。</w:t>
      </w:r>
    </w:p>
    <w:p w14:paraId="407AD319">
      <w:pPr>
        <w:spacing w:line="440" w:lineRule="exact"/>
        <w:ind w:firstLine="480"/>
        <w:rPr>
          <w:rFonts w:ascii="宋体" w:hAnsi="宋体" w:cs="宋体"/>
          <w:bCs/>
          <w:sz w:val="24"/>
        </w:rPr>
      </w:pPr>
      <w:r>
        <w:rPr>
          <w:rFonts w:hint="eastAsia" w:ascii="宋体" w:hAnsi="宋体" w:cs="宋体"/>
          <w:bCs/>
          <w:sz w:val="24"/>
        </w:rPr>
        <w:t>27.1.11 投标文件未按照招标文件要求加盖CA电子公章的。</w:t>
      </w:r>
    </w:p>
    <w:p w14:paraId="43014072">
      <w:pPr>
        <w:spacing w:line="440" w:lineRule="exact"/>
        <w:ind w:firstLine="480"/>
        <w:rPr>
          <w:rFonts w:ascii="宋体" w:hAnsi="宋体" w:cs="宋体"/>
          <w:bCs/>
          <w:sz w:val="24"/>
        </w:rPr>
      </w:pPr>
      <w:r>
        <w:rPr>
          <w:rFonts w:hint="eastAsia" w:ascii="宋体" w:hAnsi="宋体" w:cs="宋体"/>
          <w:bCs/>
          <w:sz w:val="24"/>
        </w:rPr>
        <w:t>27.1.12 其他法律、法规及本招标文件规定的属于无效投标的情形。</w:t>
      </w:r>
    </w:p>
    <w:p w14:paraId="22123181">
      <w:pPr>
        <w:spacing w:before="120" w:beforeLines="50"/>
        <w:ind w:firstLine="480" w:firstLineChars="200"/>
        <w:rPr>
          <w:rFonts w:ascii="宋体" w:hAnsi="宋体" w:cs="宋体"/>
          <w:sz w:val="24"/>
          <w:szCs w:val="24"/>
        </w:rPr>
      </w:pPr>
      <w:r>
        <w:rPr>
          <w:rFonts w:hint="eastAsia" w:ascii="宋体" w:hAnsi="宋体" w:cs="宋体"/>
          <w:sz w:val="24"/>
          <w:szCs w:val="24"/>
        </w:rPr>
        <w:t>27.2 废标条款</w:t>
      </w:r>
    </w:p>
    <w:p w14:paraId="2F01DE68">
      <w:pPr>
        <w:spacing w:before="120" w:beforeLines="50"/>
        <w:ind w:firstLine="480" w:firstLineChars="200"/>
        <w:rPr>
          <w:rFonts w:ascii="宋体" w:hAnsi="宋体" w:cs="宋体"/>
          <w:sz w:val="24"/>
          <w:szCs w:val="24"/>
        </w:rPr>
      </w:pPr>
      <w:r>
        <w:rPr>
          <w:rFonts w:hint="eastAsia" w:ascii="宋体" w:hAnsi="宋体" w:cs="宋体"/>
          <w:sz w:val="24"/>
          <w:szCs w:val="24"/>
        </w:rPr>
        <w:t>27.2.1 符合专业条件的供应商或者对招标文件作实质响应的供应商不足三家的。</w:t>
      </w:r>
    </w:p>
    <w:p w14:paraId="75BE0CA0">
      <w:pPr>
        <w:spacing w:before="120" w:beforeLines="50"/>
        <w:ind w:firstLine="480" w:firstLineChars="200"/>
        <w:rPr>
          <w:rFonts w:ascii="宋体" w:hAnsi="宋体" w:cs="宋体"/>
          <w:sz w:val="24"/>
          <w:szCs w:val="24"/>
        </w:rPr>
      </w:pPr>
      <w:r>
        <w:rPr>
          <w:rFonts w:hint="eastAsia" w:ascii="宋体" w:hAnsi="宋体" w:cs="宋体"/>
          <w:sz w:val="24"/>
          <w:szCs w:val="24"/>
        </w:rPr>
        <w:t>27.2.2 出现影响采购公正的违法、违规行为的。</w:t>
      </w:r>
    </w:p>
    <w:p w14:paraId="16F755F5">
      <w:pPr>
        <w:spacing w:before="120" w:beforeLines="50"/>
        <w:ind w:firstLine="480" w:firstLineChars="200"/>
        <w:rPr>
          <w:rFonts w:ascii="宋体" w:hAnsi="宋体" w:cs="宋体"/>
          <w:sz w:val="24"/>
          <w:szCs w:val="24"/>
        </w:rPr>
      </w:pPr>
      <w:r>
        <w:rPr>
          <w:rFonts w:hint="eastAsia" w:ascii="宋体" w:hAnsi="宋体" w:cs="宋体"/>
          <w:sz w:val="24"/>
          <w:szCs w:val="24"/>
        </w:rPr>
        <w:t>27.2.3 因重大变故，采购任务取消的。</w:t>
      </w:r>
    </w:p>
    <w:p w14:paraId="29A946FC">
      <w:pPr>
        <w:spacing w:before="120" w:beforeLines="50"/>
        <w:ind w:firstLine="480" w:firstLineChars="200"/>
        <w:rPr>
          <w:rFonts w:ascii="宋体" w:hAnsi="宋体" w:cs="宋体"/>
          <w:sz w:val="24"/>
          <w:szCs w:val="24"/>
        </w:rPr>
      </w:pPr>
      <w:r>
        <w:rPr>
          <w:rFonts w:hint="eastAsia" w:ascii="宋体" w:hAnsi="宋体" w:cs="宋体"/>
          <w:sz w:val="24"/>
          <w:szCs w:val="24"/>
        </w:rPr>
        <w:t>27.2.4 评标委员会认定招标文件存在歧义、重大缺陷导致评审工作无法进行。</w:t>
      </w:r>
    </w:p>
    <w:p w14:paraId="5E15071D">
      <w:pPr>
        <w:spacing w:before="120" w:beforeLines="50"/>
        <w:ind w:firstLine="480" w:firstLineChars="200"/>
        <w:rPr>
          <w:rFonts w:ascii="宋体" w:hAnsi="宋体" w:cs="宋体"/>
          <w:sz w:val="24"/>
          <w:szCs w:val="24"/>
        </w:rPr>
      </w:pPr>
      <w:r>
        <w:rPr>
          <w:rFonts w:hint="eastAsia" w:ascii="宋体" w:hAnsi="宋体" w:cs="宋体"/>
          <w:sz w:val="24"/>
          <w:szCs w:val="24"/>
        </w:rPr>
        <w:t>27.2.5 因苏采云系统故障原因造成开标不成功的。</w:t>
      </w:r>
    </w:p>
    <w:p w14:paraId="67BECE02">
      <w:pPr>
        <w:spacing w:before="120" w:beforeLines="50"/>
        <w:ind w:firstLine="480" w:firstLineChars="200"/>
        <w:rPr>
          <w:rFonts w:ascii="宋体" w:hAnsi="宋体" w:cs="宋体"/>
          <w:sz w:val="24"/>
          <w:szCs w:val="24"/>
        </w:rPr>
      </w:pPr>
      <w:r>
        <w:rPr>
          <w:rFonts w:hint="eastAsia" w:ascii="宋体" w:hAnsi="宋体" w:cs="宋体"/>
          <w:sz w:val="24"/>
          <w:szCs w:val="24"/>
        </w:rPr>
        <w:t>27.3 投标截止时间结束后参加投标的供应商不足三家的处理：</w:t>
      </w:r>
    </w:p>
    <w:p w14:paraId="1DF200D7">
      <w:pPr>
        <w:spacing w:before="120" w:beforeLines="50"/>
        <w:ind w:firstLine="480" w:firstLineChars="200"/>
        <w:rPr>
          <w:rFonts w:ascii="宋体" w:hAnsi="宋体" w:cs="宋体"/>
          <w:sz w:val="24"/>
          <w:szCs w:val="24"/>
        </w:rPr>
      </w:pPr>
      <w:r>
        <w:rPr>
          <w:rFonts w:hint="eastAsia" w:ascii="宋体" w:hAnsi="宋体" w:cs="宋体"/>
          <w:sz w:val="24"/>
          <w:szCs w:val="24"/>
        </w:rPr>
        <w:t>27.3.1 如出现投标截止时间结束后参加投标的供应商或者在评标期间对招标文件做出实质响应的供应商不足三家情况，按政府采购相关规定执行。</w:t>
      </w:r>
    </w:p>
    <w:p w14:paraId="6816F0F9">
      <w:pPr>
        <w:pStyle w:val="46"/>
        <w:spacing w:before="240"/>
        <w:ind w:firstLine="0" w:firstLineChars="0"/>
        <w:outlineLvl w:val="1"/>
      </w:pPr>
      <w:bookmarkStart w:id="94" w:name="_Toc31766"/>
      <w:r>
        <w:rPr>
          <w:rFonts w:hint="eastAsia"/>
        </w:rPr>
        <w:t>六、定标</w:t>
      </w:r>
      <w:bookmarkEnd w:id="94"/>
    </w:p>
    <w:p w14:paraId="53277B7D">
      <w:pPr>
        <w:spacing w:before="120" w:beforeLines="50"/>
        <w:ind w:firstLine="480" w:firstLineChars="200"/>
        <w:outlineLvl w:val="2"/>
        <w:rPr>
          <w:rFonts w:ascii="宋体" w:hAnsi="宋体" w:cs="宋体"/>
          <w:sz w:val="24"/>
          <w:szCs w:val="24"/>
        </w:rPr>
      </w:pPr>
      <w:bookmarkStart w:id="95" w:name="_Toc13514"/>
      <w:r>
        <w:rPr>
          <w:rFonts w:hint="eastAsia" w:ascii="宋体" w:hAnsi="宋体" w:cs="宋体"/>
          <w:sz w:val="24"/>
          <w:szCs w:val="24"/>
        </w:rPr>
        <w:t>28.确定中标单位</w:t>
      </w:r>
      <w:bookmarkEnd w:id="95"/>
    </w:p>
    <w:p w14:paraId="2CB94DFE">
      <w:pPr>
        <w:spacing w:before="120" w:beforeLines="50"/>
        <w:ind w:firstLine="480" w:firstLineChars="200"/>
        <w:rPr>
          <w:rFonts w:ascii="宋体" w:hAnsi="宋体" w:cs="宋体"/>
          <w:sz w:val="24"/>
          <w:szCs w:val="24"/>
        </w:rPr>
      </w:pPr>
      <w:r>
        <w:rPr>
          <w:rFonts w:hint="eastAsia" w:ascii="宋体" w:hAnsi="宋体" w:cs="宋体"/>
          <w:sz w:val="24"/>
          <w:szCs w:val="24"/>
        </w:rPr>
        <w:t xml:space="preserve">28.1 中标候选人的选取原则和数量见招标文件第五章规定。 </w:t>
      </w:r>
    </w:p>
    <w:p w14:paraId="5BF1CC1C">
      <w:pPr>
        <w:spacing w:before="120" w:beforeLines="50"/>
        <w:ind w:firstLine="480" w:firstLineChars="200"/>
        <w:rPr>
          <w:rFonts w:ascii="宋体" w:hAnsi="宋体" w:cs="宋体"/>
          <w:sz w:val="24"/>
          <w:szCs w:val="24"/>
        </w:rPr>
      </w:pPr>
      <w:r>
        <w:rPr>
          <w:rFonts w:hint="eastAsia" w:ascii="宋体" w:hAnsi="宋体" w:cs="宋体"/>
          <w:sz w:val="24"/>
          <w:szCs w:val="24"/>
        </w:rPr>
        <w:t>28.2 采购人应根据评委会推荐的中标候选人确定中标人。</w:t>
      </w:r>
    </w:p>
    <w:p w14:paraId="663028E8">
      <w:pPr>
        <w:spacing w:before="120" w:beforeLines="50"/>
        <w:ind w:firstLine="480" w:firstLineChars="200"/>
        <w:rPr>
          <w:rFonts w:ascii="宋体" w:hAnsi="宋体" w:cs="宋体"/>
          <w:sz w:val="24"/>
          <w:szCs w:val="24"/>
        </w:rPr>
      </w:pPr>
      <w:r>
        <w:rPr>
          <w:rFonts w:hint="eastAsia" w:ascii="宋体" w:hAnsi="宋体" w:cs="宋体"/>
          <w:sz w:val="24"/>
          <w:szCs w:val="24"/>
        </w:rPr>
        <w:t>28.3 招标代理机构将在</w:t>
      </w:r>
      <w:r>
        <w:rPr>
          <w:rFonts w:hint="eastAsia" w:ascii="宋体" w:hAnsi="宋体" w:cs="宋体"/>
          <w:b/>
          <w:bCs/>
          <w:sz w:val="24"/>
          <w:szCs w:val="24"/>
          <w:u w:val="single"/>
        </w:rPr>
        <w:t>“江苏政府采购网”“扬州市政府采购网”</w:t>
      </w:r>
      <w:r>
        <w:rPr>
          <w:rFonts w:hint="eastAsia" w:ascii="宋体" w:hAnsi="宋体" w:cs="宋体"/>
          <w:sz w:val="24"/>
          <w:szCs w:val="24"/>
        </w:rPr>
        <w:t>发布中标公告，公告期限为1个工作日。</w:t>
      </w:r>
    </w:p>
    <w:p w14:paraId="609E4B35">
      <w:pPr>
        <w:spacing w:before="120" w:beforeLines="50"/>
        <w:ind w:firstLine="480" w:firstLineChars="200"/>
        <w:rPr>
          <w:rFonts w:ascii="宋体" w:hAnsi="宋体" w:cs="宋体"/>
          <w:sz w:val="24"/>
          <w:szCs w:val="24"/>
        </w:rPr>
      </w:pPr>
      <w:r>
        <w:rPr>
          <w:rFonts w:hint="eastAsia" w:ascii="宋体" w:hAnsi="宋体" w:cs="宋体"/>
          <w:sz w:val="24"/>
          <w:szCs w:val="24"/>
        </w:rPr>
        <w:t>28.4 若有充分证据证明，中标人出现下列情况之一的，一经查实，将被取消中标资格：</w:t>
      </w:r>
    </w:p>
    <w:p w14:paraId="33B824EB">
      <w:pPr>
        <w:spacing w:before="120" w:beforeLines="50"/>
        <w:ind w:firstLine="480" w:firstLineChars="200"/>
        <w:rPr>
          <w:rFonts w:ascii="宋体" w:hAnsi="宋体" w:cs="宋体"/>
          <w:sz w:val="24"/>
          <w:szCs w:val="24"/>
        </w:rPr>
      </w:pPr>
      <w:r>
        <w:rPr>
          <w:rFonts w:hint="eastAsia" w:ascii="宋体" w:hAnsi="宋体" w:cs="宋体"/>
          <w:sz w:val="24"/>
          <w:szCs w:val="24"/>
        </w:rPr>
        <w:t>28.4.1 提供虚假材料谋取中标的。</w:t>
      </w:r>
    </w:p>
    <w:p w14:paraId="3A6D1E18">
      <w:pPr>
        <w:spacing w:before="120" w:beforeLines="50"/>
        <w:ind w:firstLine="480" w:firstLineChars="200"/>
        <w:rPr>
          <w:rFonts w:ascii="宋体" w:hAnsi="宋体" w:cs="宋体"/>
          <w:sz w:val="24"/>
          <w:szCs w:val="24"/>
        </w:rPr>
      </w:pPr>
      <w:r>
        <w:rPr>
          <w:rFonts w:hint="eastAsia" w:ascii="宋体" w:hAnsi="宋体" w:cs="宋体"/>
          <w:sz w:val="24"/>
          <w:szCs w:val="24"/>
        </w:rPr>
        <w:t>28.4.2 向采购人、招标代理机构行贿或者提供其他不正当利益的。</w:t>
      </w:r>
    </w:p>
    <w:p w14:paraId="07284694">
      <w:pPr>
        <w:spacing w:before="120" w:beforeLines="50"/>
        <w:ind w:firstLine="480" w:firstLineChars="200"/>
        <w:rPr>
          <w:rFonts w:ascii="宋体" w:hAnsi="宋体" w:cs="宋体"/>
          <w:sz w:val="24"/>
          <w:szCs w:val="24"/>
        </w:rPr>
      </w:pPr>
      <w:r>
        <w:rPr>
          <w:rFonts w:hint="eastAsia" w:ascii="宋体" w:hAnsi="宋体" w:cs="宋体"/>
          <w:sz w:val="24"/>
          <w:szCs w:val="24"/>
        </w:rPr>
        <w:t>28.4.3 属于本文件规定的无效条件，但在评标过程中又未被评委会发现的。</w:t>
      </w:r>
    </w:p>
    <w:p w14:paraId="2F2856A9">
      <w:pPr>
        <w:spacing w:before="120" w:beforeLines="50"/>
        <w:ind w:firstLine="480" w:firstLineChars="200"/>
        <w:rPr>
          <w:rFonts w:ascii="宋体" w:hAnsi="宋体" w:cs="宋体"/>
          <w:sz w:val="24"/>
          <w:szCs w:val="24"/>
        </w:rPr>
      </w:pPr>
      <w:r>
        <w:rPr>
          <w:rFonts w:hint="eastAsia" w:ascii="宋体" w:hAnsi="宋体" w:cs="宋体"/>
          <w:sz w:val="24"/>
          <w:szCs w:val="24"/>
        </w:rPr>
        <w:t>28.4.4 与采购人或者其他供应商恶意串通的。</w:t>
      </w:r>
    </w:p>
    <w:p w14:paraId="39916265">
      <w:pPr>
        <w:spacing w:before="120" w:beforeLines="50"/>
        <w:ind w:firstLine="480" w:firstLineChars="200"/>
        <w:rPr>
          <w:rFonts w:ascii="宋体" w:hAnsi="宋体" w:cs="宋体"/>
          <w:sz w:val="24"/>
          <w:szCs w:val="24"/>
        </w:rPr>
      </w:pPr>
      <w:r>
        <w:rPr>
          <w:rFonts w:hint="eastAsia" w:ascii="宋体" w:hAnsi="宋体" w:cs="宋体"/>
          <w:sz w:val="24"/>
          <w:szCs w:val="24"/>
        </w:rPr>
        <w:t>28.4.5 采取不正当手段诋毁、排挤其他供应商的。</w:t>
      </w:r>
    </w:p>
    <w:p w14:paraId="19787DBB">
      <w:pPr>
        <w:spacing w:before="120" w:beforeLines="50"/>
        <w:ind w:firstLine="480" w:firstLineChars="200"/>
        <w:rPr>
          <w:rFonts w:ascii="宋体" w:hAnsi="宋体" w:cs="宋体"/>
          <w:sz w:val="24"/>
          <w:szCs w:val="24"/>
        </w:rPr>
      </w:pPr>
      <w:r>
        <w:rPr>
          <w:rFonts w:hint="eastAsia" w:ascii="宋体" w:hAnsi="宋体" w:cs="宋体"/>
          <w:sz w:val="24"/>
          <w:szCs w:val="24"/>
        </w:rPr>
        <w:t>28.5 有下列情形之一的，视为投标人串通投标，投标无效：</w:t>
      </w:r>
    </w:p>
    <w:p w14:paraId="3E7C3BE3">
      <w:pPr>
        <w:spacing w:before="120" w:beforeLines="50"/>
        <w:ind w:firstLine="480" w:firstLineChars="200"/>
        <w:rPr>
          <w:rFonts w:ascii="宋体" w:hAnsi="宋体" w:cs="宋体"/>
          <w:sz w:val="24"/>
          <w:szCs w:val="24"/>
        </w:rPr>
      </w:pPr>
      <w:r>
        <w:rPr>
          <w:rFonts w:hint="eastAsia" w:ascii="宋体" w:hAnsi="宋体" w:cs="宋体"/>
          <w:sz w:val="24"/>
          <w:szCs w:val="24"/>
        </w:rPr>
        <w:t>28.5.1 不同投标人的投标文件由同一单位或者个人编制。</w:t>
      </w:r>
    </w:p>
    <w:p w14:paraId="3F123BD9">
      <w:pPr>
        <w:spacing w:before="120" w:beforeLines="50"/>
        <w:ind w:firstLine="480" w:firstLineChars="200"/>
        <w:rPr>
          <w:rFonts w:ascii="宋体" w:hAnsi="宋体" w:cs="宋体"/>
          <w:sz w:val="24"/>
          <w:szCs w:val="24"/>
        </w:rPr>
      </w:pPr>
      <w:r>
        <w:rPr>
          <w:rFonts w:hint="eastAsia" w:ascii="宋体" w:hAnsi="宋体" w:cs="宋体"/>
          <w:sz w:val="24"/>
          <w:szCs w:val="24"/>
        </w:rPr>
        <w:t>28.5.2 不同投标人委托同一单位或者个人办理投标事宜。</w:t>
      </w:r>
    </w:p>
    <w:p w14:paraId="398EB924">
      <w:pPr>
        <w:spacing w:before="120" w:beforeLines="50"/>
        <w:ind w:firstLine="480" w:firstLineChars="200"/>
        <w:rPr>
          <w:rFonts w:ascii="宋体" w:hAnsi="宋体" w:cs="宋体"/>
          <w:sz w:val="24"/>
          <w:szCs w:val="24"/>
        </w:rPr>
      </w:pPr>
      <w:r>
        <w:rPr>
          <w:rFonts w:hint="eastAsia" w:ascii="宋体" w:hAnsi="宋体" w:cs="宋体"/>
          <w:sz w:val="24"/>
          <w:szCs w:val="24"/>
        </w:rPr>
        <w:t>28.5.3 不同投标人的投标文件载明的项目管理成员或者联系人员为同一人。</w:t>
      </w:r>
    </w:p>
    <w:p w14:paraId="33617498">
      <w:pPr>
        <w:spacing w:before="120" w:beforeLines="50"/>
        <w:ind w:firstLine="480" w:firstLineChars="200"/>
        <w:rPr>
          <w:rFonts w:ascii="宋体" w:hAnsi="宋体" w:cs="宋体"/>
          <w:sz w:val="24"/>
          <w:szCs w:val="24"/>
        </w:rPr>
      </w:pPr>
      <w:r>
        <w:rPr>
          <w:rFonts w:hint="eastAsia" w:ascii="宋体" w:hAnsi="宋体" w:cs="宋体"/>
          <w:sz w:val="24"/>
          <w:szCs w:val="24"/>
        </w:rPr>
        <w:t>28.5.4 不同投标人的投标文件异常一致或者投标报价呈规律性差异。</w:t>
      </w:r>
    </w:p>
    <w:p w14:paraId="3CC2AEE1">
      <w:pPr>
        <w:spacing w:before="120" w:beforeLines="50"/>
        <w:ind w:firstLine="480" w:firstLineChars="200"/>
        <w:outlineLvl w:val="2"/>
        <w:rPr>
          <w:rFonts w:ascii="宋体" w:hAnsi="宋体" w:cs="宋体"/>
          <w:sz w:val="24"/>
          <w:szCs w:val="24"/>
        </w:rPr>
      </w:pPr>
      <w:bookmarkStart w:id="96" w:name="_Toc3558"/>
      <w:r>
        <w:rPr>
          <w:rFonts w:hint="eastAsia" w:ascii="宋体" w:hAnsi="宋体" w:cs="宋体"/>
          <w:sz w:val="24"/>
          <w:szCs w:val="24"/>
        </w:rPr>
        <w:t>29.质疑处理</w:t>
      </w:r>
      <w:bookmarkEnd w:id="96"/>
    </w:p>
    <w:p w14:paraId="13BBC868">
      <w:pPr>
        <w:spacing w:before="120" w:beforeLines="50"/>
        <w:ind w:firstLine="480" w:firstLineChars="200"/>
        <w:rPr>
          <w:rFonts w:ascii="宋体" w:hAnsi="宋体" w:cs="宋体"/>
          <w:sz w:val="24"/>
          <w:szCs w:val="24"/>
        </w:rPr>
      </w:pPr>
      <w:r>
        <w:rPr>
          <w:rFonts w:hint="eastAsia" w:ascii="宋体" w:hAnsi="宋体" w:cs="宋体"/>
          <w:sz w:val="24"/>
          <w:szCs w:val="24"/>
        </w:rPr>
        <w:t>29.1 提出质疑的供应商应当是参与所质疑项目采购活动的供应商。潜在供应商依法获取其可质疑的采购文件的，可以对采购文件提出质疑。</w:t>
      </w:r>
    </w:p>
    <w:p w14:paraId="2603E904">
      <w:pPr>
        <w:spacing w:before="120" w:beforeLines="50"/>
        <w:ind w:firstLine="480" w:firstLineChars="200"/>
        <w:rPr>
          <w:rFonts w:ascii="宋体" w:hAnsi="宋体" w:cs="宋体"/>
          <w:sz w:val="24"/>
          <w:szCs w:val="24"/>
        </w:rPr>
      </w:pPr>
      <w:r>
        <w:rPr>
          <w:rFonts w:hint="eastAsia" w:ascii="宋体" w:hAnsi="宋体" w:cs="宋体"/>
          <w:sz w:val="24"/>
          <w:szCs w:val="24"/>
        </w:rPr>
        <w:t>29.2 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p>
    <w:p w14:paraId="7F0F10DF">
      <w:pPr>
        <w:spacing w:line="480" w:lineRule="exact"/>
        <w:ind w:firstLine="480"/>
        <w:rPr>
          <w:rFonts w:ascii="宋体" w:hAnsi="宋体" w:cs="宋体"/>
          <w:sz w:val="24"/>
          <w:szCs w:val="24"/>
        </w:rPr>
      </w:pPr>
      <w:r>
        <w:rPr>
          <w:rFonts w:hint="eastAsia" w:ascii="宋体" w:hAnsi="宋体" w:cs="宋体"/>
          <w:sz w:val="24"/>
          <w:szCs w:val="24"/>
        </w:rPr>
        <w:t>29.2.1 对可以质疑的采购文件提出质疑的，为收到采购文件之日或者采购文件公告期限届满之日；</w:t>
      </w:r>
    </w:p>
    <w:p w14:paraId="000733BA">
      <w:pPr>
        <w:spacing w:line="480" w:lineRule="exact"/>
        <w:ind w:firstLine="480"/>
        <w:rPr>
          <w:rFonts w:ascii="宋体" w:hAnsi="宋体" w:cs="宋体"/>
          <w:sz w:val="24"/>
          <w:szCs w:val="24"/>
        </w:rPr>
      </w:pPr>
      <w:r>
        <w:rPr>
          <w:rFonts w:hint="eastAsia" w:ascii="宋体" w:hAnsi="宋体" w:cs="宋体"/>
          <w:sz w:val="24"/>
          <w:szCs w:val="24"/>
        </w:rPr>
        <w:t>29.2.2 对采购过程提出质疑的，为各采购程序环节结束之日；</w:t>
      </w:r>
    </w:p>
    <w:p w14:paraId="2F580BA9">
      <w:pPr>
        <w:spacing w:line="480" w:lineRule="exact"/>
        <w:ind w:firstLine="480"/>
        <w:rPr>
          <w:rFonts w:ascii="宋体" w:hAnsi="宋体" w:cs="宋体"/>
          <w:sz w:val="24"/>
          <w:szCs w:val="24"/>
        </w:rPr>
      </w:pPr>
      <w:r>
        <w:rPr>
          <w:rFonts w:hint="eastAsia" w:ascii="宋体" w:hAnsi="宋体" w:cs="宋体"/>
          <w:sz w:val="24"/>
          <w:szCs w:val="24"/>
        </w:rPr>
        <w:t>29.2.3 对中标或者成交结果提出质疑的，为中标或者成交结果公告期限届满之日。</w:t>
      </w:r>
    </w:p>
    <w:p w14:paraId="5FC428DD">
      <w:pPr>
        <w:spacing w:line="480" w:lineRule="exact"/>
        <w:ind w:firstLine="480"/>
        <w:rPr>
          <w:rFonts w:ascii="宋体" w:hAnsi="宋体" w:cs="宋体"/>
          <w:sz w:val="24"/>
          <w:szCs w:val="24"/>
        </w:rPr>
      </w:pPr>
      <w:r>
        <w:rPr>
          <w:rFonts w:hint="eastAsia" w:ascii="宋体" w:hAnsi="宋体" w:cs="宋体"/>
          <w:sz w:val="24"/>
          <w:szCs w:val="24"/>
        </w:rPr>
        <w:t>供应商应当在法定质疑期内一次性提出针对同一采购程序环节的质疑。供应商如在法定期限内对同一采购程序环节提出多次质疑的，招标代理机构、采购人将只对供应商第一次质疑作出答复。</w:t>
      </w:r>
    </w:p>
    <w:p w14:paraId="03607EEE">
      <w:pPr>
        <w:spacing w:line="480" w:lineRule="exact"/>
        <w:ind w:firstLine="480"/>
        <w:rPr>
          <w:rFonts w:ascii="宋体" w:hAnsi="宋体" w:cs="宋体"/>
          <w:sz w:val="24"/>
          <w:szCs w:val="24"/>
        </w:rPr>
      </w:pPr>
      <w:r>
        <w:rPr>
          <w:rFonts w:hint="eastAsia" w:ascii="宋体" w:hAnsi="宋体" w:cs="宋体"/>
          <w:sz w:val="24"/>
          <w:szCs w:val="24"/>
        </w:rPr>
        <w:t>29.3 质疑函必须按照本招标文件中《质疑函范本》要求的格式和内容进行填写。供应商如组成联合体参加投标，则《质疑函范本》中要求签字、盖章、加盖公章之处，联合体各方均须按要求签字、盖章、加盖公章。</w:t>
      </w:r>
    </w:p>
    <w:p w14:paraId="27F21F5E">
      <w:pPr>
        <w:snapToGrid w:val="0"/>
        <w:spacing w:line="480" w:lineRule="exact"/>
        <w:ind w:firstLine="480" w:firstLineChars="200"/>
        <w:rPr>
          <w:rFonts w:ascii="宋体" w:hAnsi="宋体" w:cs="宋体"/>
          <w:b/>
          <w:sz w:val="24"/>
          <w:szCs w:val="24"/>
        </w:rPr>
      </w:pPr>
      <w:r>
        <w:rPr>
          <w:rFonts w:hint="eastAsia" w:ascii="宋体" w:hAnsi="宋体" w:cs="宋体"/>
          <w:sz w:val="24"/>
          <w:szCs w:val="24"/>
        </w:rPr>
        <w:t>29.4 供应商（含潜在供应商）对与本项目有关的所有询问、质疑均请向采购人提出，由采购人负责答复。</w:t>
      </w:r>
    </w:p>
    <w:p w14:paraId="0EAA27C0">
      <w:pPr>
        <w:snapToGrid w:val="0"/>
        <w:spacing w:line="480" w:lineRule="exact"/>
        <w:ind w:firstLine="480" w:firstLineChars="200"/>
        <w:rPr>
          <w:rFonts w:ascii="宋体" w:hAnsi="宋体" w:cs="宋体"/>
          <w:sz w:val="24"/>
          <w:szCs w:val="24"/>
        </w:rPr>
      </w:pPr>
      <w:r>
        <w:rPr>
          <w:rFonts w:hint="eastAsia" w:ascii="宋体" w:hAnsi="宋体" w:cs="宋体"/>
          <w:sz w:val="24"/>
          <w:szCs w:val="24"/>
        </w:rPr>
        <w:t>采购人及招标代理机构只接收以纸质原件形式送达的质疑，建议供应商尽量通过邮寄方式提交质疑（采购人和招标代理机构不接受未填写快递运单的快件）。</w:t>
      </w:r>
    </w:p>
    <w:p w14:paraId="30C3B8FB">
      <w:pPr>
        <w:spacing w:line="480" w:lineRule="exact"/>
        <w:ind w:firstLine="480"/>
        <w:rPr>
          <w:rFonts w:ascii="宋体" w:hAnsi="宋体" w:cs="宋体"/>
          <w:sz w:val="24"/>
          <w:szCs w:val="24"/>
        </w:rPr>
      </w:pPr>
      <w:r>
        <w:rPr>
          <w:rFonts w:hint="eastAsia" w:ascii="宋体" w:hAnsi="宋体" w:cs="宋体"/>
          <w:sz w:val="24"/>
          <w:szCs w:val="24"/>
        </w:rPr>
        <w:t>招标代理机构质疑接受人及联系方式详见招标文件第一章。</w:t>
      </w:r>
    </w:p>
    <w:p w14:paraId="5F9C52EB">
      <w:pPr>
        <w:spacing w:line="480" w:lineRule="exact"/>
        <w:ind w:firstLine="480"/>
        <w:rPr>
          <w:rFonts w:ascii="宋体" w:hAnsi="宋体" w:cs="宋体"/>
          <w:sz w:val="24"/>
          <w:szCs w:val="24"/>
        </w:rPr>
      </w:pPr>
      <w:r>
        <w:rPr>
          <w:rFonts w:hint="eastAsia" w:ascii="宋体" w:hAnsi="宋体" w:cs="宋体"/>
          <w:sz w:val="24"/>
          <w:szCs w:val="24"/>
        </w:rPr>
        <w:t>采购人质疑接收人及联系方式见招标文件第一章。</w:t>
      </w:r>
    </w:p>
    <w:p w14:paraId="0B25E421">
      <w:pPr>
        <w:spacing w:line="480" w:lineRule="exact"/>
        <w:ind w:firstLine="480"/>
        <w:rPr>
          <w:rFonts w:ascii="宋体" w:hAnsi="宋体" w:cs="宋体"/>
          <w:sz w:val="24"/>
          <w:szCs w:val="24"/>
        </w:rPr>
      </w:pPr>
      <w:r>
        <w:rPr>
          <w:rFonts w:hint="eastAsia" w:ascii="宋体" w:hAnsi="宋体" w:cs="宋体"/>
          <w:sz w:val="24"/>
          <w:szCs w:val="24"/>
        </w:rPr>
        <w:t>29.5 以下情形的质疑不予受理</w:t>
      </w:r>
    </w:p>
    <w:p w14:paraId="47AD88E6">
      <w:pPr>
        <w:spacing w:line="480" w:lineRule="exact"/>
        <w:ind w:firstLine="480"/>
        <w:rPr>
          <w:rFonts w:ascii="宋体" w:hAnsi="宋体" w:cs="宋体"/>
          <w:sz w:val="24"/>
          <w:szCs w:val="24"/>
        </w:rPr>
      </w:pPr>
      <w:r>
        <w:rPr>
          <w:rFonts w:hint="eastAsia" w:ascii="宋体" w:hAnsi="宋体" w:cs="宋体"/>
          <w:sz w:val="24"/>
          <w:szCs w:val="24"/>
        </w:rPr>
        <w:t>29.5.1 内容不符合《政府采购质疑和投诉办法》第十二条规定的质疑。</w:t>
      </w:r>
    </w:p>
    <w:p w14:paraId="6769C142">
      <w:pPr>
        <w:spacing w:line="480" w:lineRule="exact"/>
        <w:ind w:firstLine="480"/>
        <w:rPr>
          <w:rFonts w:ascii="宋体" w:hAnsi="宋体" w:cs="宋体"/>
          <w:sz w:val="24"/>
          <w:szCs w:val="24"/>
        </w:rPr>
      </w:pPr>
      <w:r>
        <w:rPr>
          <w:rFonts w:hint="eastAsia" w:ascii="宋体" w:hAnsi="宋体" w:cs="宋体"/>
          <w:sz w:val="24"/>
          <w:szCs w:val="24"/>
        </w:rPr>
        <w:t>29.5.2 超出政府采购法定期限的质疑。</w:t>
      </w:r>
    </w:p>
    <w:p w14:paraId="5F27FBC8">
      <w:pPr>
        <w:spacing w:line="480" w:lineRule="exact"/>
        <w:ind w:firstLine="480"/>
        <w:rPr>
          <w:rFonts w:ascii="宋体" w:hAnsi="宋体" w:cs="宋体"/>
          <w:sz w:val="24"/>
          <w:szCs w:val="24"/>
        </w:rPr>
      </w:pPr>
      <w:r>
        <w:rPr>
          <w:rFonts w:hint="eastAsia" w:ascii="宋体" w:hAnsi="宋体" w:cs="宋体"/>
          <w:sz w:val="24"/>
          <w:szCs w:val="24"/>
        </w:rPr>
        <w:t>29.5.3 以传真、电子邮件等方式递交的非原件形式的质疑。</w:t>
      </w:r>
    </w:p>
    <w:p w14:paraId="1BF31CB2">
      <w:pPr>
        <w:spacing w:line="480" w:lineRule="exact"/>
        <w:ind w:firstLine="480"/>
        <w:rPr>
          <w:rFonts w:ascii="宋体" w:hAnsi="宋体" w:cs="宋体"/>
          <w:sz w:val="24"/>
          <w:szCs w:val="24"/>
        </w:rPr>
      </w:pPr>
      <w:r>
        <w:rPr>
          <w:rFonts w:hint="eastAsia" w:ascii="宋体" w:hAnsi="宋体" w:cs="宋体"/>
          <w:sz w:val="24"/>
          <w:szCs w:val="24"/>
        </w:rPr>
        <w:t>29.5.4 未参加投标活动的供应商或在投标活动中自身权益未受到损害的供应商所提出的质疑。</w:t>
      </w:r>
    </w:p>
    <w:p w14:paraId="58A0A7DD">
      <w:pPr>
        <w:spacing w:line="480" w:lineRule="exact"/>
        <w:ind w:firstLine="480"/>
        <w:rPr>
          <w:rFonts w:ascii="宋体" w:hAnsi="宋体" w:cs="宋体"/>
          <w:sz w:val="24"/>
          <w:szCs w:val="24"/>
        </w:rPr>
      </w:pPr>
      <w:r>
        <w:rPr>
          <w:rFonts w:hint="eastAsia" w:ascii="宋体" w:hAnsi="宋体" w:cs="宋体"/>
          <w:sz w:val="24"/>
          <w:szCs w:val="24"/>
        </w:rPr>
        <w:t>29.5.5 供应商组成联合体参加投标，联合体中任何一方或多方未按要求签字、盖章、加盖公章的质疑。</w:t>
      </w:r>
    </w:p>
    <w:p w14:paraId="2654A2E7">
      <w:pPr>
        <w:spacing w:line="480" w:lineRule="exact"/>
        <w:ind w:firstLine="468"/>
        <w:rPr>
          <w:rFonts w:ascii="宋体" w:hAnsi="宋体" w:cs="宋体"/>
          <w:sz w:val="24"/>
          <w:szCs w:val="24"/>
        </w:rPr>
      </w:pPr>
      <w:r>
        <w:rPr>
          <w:rFonts w:hint="eastAsia" w:ascii="宋体" w:hAnsi="宋体" w:cs="宋体"/>
          <w:sz w:val="24"/>
          <w:szCs w:val="24"/>
        </w:rPr>
        <w:t>29.6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p>
    <w:p w14:paraId="17FA34B0">
      <w:pPr>
        <w:spacing w:before="120" w:beforeLines="50"/>
        <w:ind w:firstLine="480" w:firstLineChars="200"/>
        <w:outlineLvl w:val="2"/>
        <w:rPr>
          <w:rFonts w:ascii="宋体" w:hAnsi="宋体" w:cs="宋体"/>
          <w:sz w:val="24"/>
          <w:szCs w:val="24"/>
        </w:rPr>
      </w:pPr>
      <w:bookmarkStart w:id="97" w:name="_Toc16787"/>
      <w:r>
        <w:rPr>
          <w:rFonts w:hint="eastAsia" w:ascii="宋体" w:hAnsi="宋体" w:cs="宋体"/>
          <w:sz w:val="24"/>
          <w:szCs w:val="24"/>
        </w:rPr>
        <w:t>30.中标通知书</w:t>
      </w:r>
      <w:bookmarkEnd w:id="97"/>
    </w:p>
    <w:p w14:paraId="74C40353">
      <w:pPr>
        <w:spacing w:line="480" w:lineRule="exact"/>
        <w:ind w:firstLine="468"/>
        <w:rPr>
          <w:rFonts w:ascii="宋体" w:hAnsi="宋体" w:cs="宋体"/>
          <w:sz w:val="24"/>
          <w:szCs w:val="24"/>
        </w:rPr>
      </w:pPr>
      <w:r>
        <w:rPr>
          <w:rFonts w:hint="eastAsia" w:ascii="宋体" w:hAnsi="宋体" w:cs="宋体"/>
          <w:sz w:val="24"/>
          <w:szCs w:val="24"/>
        </w:rPr>
        <w:t>30.l 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EC07A9F">
      <w:pPr>
        <w:spacing w:line="480" w:lineRule="exact"/>
        <w:ind w:firstLine="468"/>
        <w:rPr>
          <w:rFonts w:ascii="宋体" w:hAnsi="宋体" w:cs="宋体"/>
          <w:sz w:val="24"/>
          <w:szCs w:val="24"/>
        </w:rPr>
      </w:pPr>
      <w:r>
        <w:rPr>
          <w:rFonts w:hint="eastAsia" w:ascii="宋体" w:hAnsi="宋体" w:cs="宋体"/>
          <w:sz w:val="24"/>
          <w:szCs w:val="24"/>
        </w:rPr>
        <w:t>30.2 中标通知书将是合同的一个组成部分。对采购人和中标人均具有法律效力。中标通知书发出后，采购人改变中标结果的，或者中标人放弃中标项目的，应当依法承担法律责任。</w:t>
      </w:r>
    </w:p>
    <w:p w14:paraId="592CD5CA">
      <w:pPr>
        <w:pStyle w:val="46"/>
        <w:spacing w:before="240"/>
        <w:ind w:firstLine="0" w:firstLineChars="0"/>
        <w:outlineLvl w:val="1"/>
      </w:pPr>
      <w:bookmarkStart w:id="98" w:name="_Toc20346"/>
      <w:r>
        <w:rPr>
          <w:rFonts w:hint="eastAsia"/>
        </w:rPr>
        <w:t>七、授予合同</w:t>
      </w:r>
      <w:bookmarkEnd w:id="98"/>
    </w:p>
    <w:p w14:paraId="281290C8">
      <w:pPr>
        <w:spacing w:before="120" w:beforeLines="50"/>
        <w:ind w:firstLine="480" w:firstLineChars="200"/>
        <w:outlineLvl w:val="2"/>
        <w:rPr>
          <w:rFonts w:ascii="宋体" w:hAnsi="宋体" w:cs="宋体"/>
          <w:sz w:val="24"/>
          <w:szCs w:val="24"/>
        </w:rPr>
      </w:pPr>
      <w:bookmarkStart w:id="99" w:name="_Toc14636"/>
      <w:r>
        <w:rPr>
          <w:rFonts w:hint="eastAsia" w:ascii="宋体" w:hAnsi="宋体" w:cs="宋体"/>
          <w:sz w:val="24"/>
          <w:szCs w:val="24"/>
        </w:rPr>
        <w:t>31. 签订合同</w:t>
      </w:r>
      <w:bookmarkEnd w:id="99"/>
    </w:p>
    <w:p w14:paraId="6B491FCC">
      <w:pPr>
        <w:spacing w:line="480" w:lineRule="exact"/>
        <w:ind w:firstLine="468"/>
        <w:rPr>
          <w:rFonts w:ascii="宋体" w:hAnsi="宋体" w:cs="宋体"/>
          <w:sz w:val="24"/>
          <w:szCs w:val="24"/>
        </w:rPr>
      </w:pPr>
      <w:r>
        <w:rPr>
          <w:rFonts w:hint="eastAsia" w:ascii="宋体" w:hAnsi="宋体" w:cs="宋体"/>
          <w:sz w:val="24"/>
          <w:szCs w:val="24"/>
        </w:rPr>
        <w:t>31.l 中标人应当在中标通知书发出之日起十五日内，按照招标文件确定的事项与采购人签订政府采购合同。</w:t>
      </w:r>
    </w:p>
    <w:p w14:paraId="6F55B876">
      <w:pPr>
        <w:spacing w:line="480" w:lineRule="exact"/>
        <w:ind w:firstLine="468"/>
        <w:rPr>
          <w:rFonts w:ascii="宋体" w:hAnsi="宋体" w:cs="宋体"/>
          <w:sz w:val="24"/>
          <w:szCs w:val="24"/>
        </w:rPr>
      </w:pPr>
      <w:r>
        <w:rPr>
          <w:rFonts w:hint="eastAsia" w:ascii="宋体" w:hAnsi="宋体" w:cs="宋体"/>
          <w:sz w:val="24"/>
          <w:szCs w:val="24"/>
        </w:rPr>
        <w:t>31.2 招标文件、中标人的投标文件及招标过程中有关澄清、承诺文件均应作为合同附件。</w:t>
      </w:r>
    </w:p>
    <w:p w14:paraId="469281AD">
      <w:pPr>
        <w:spacing w:line="480" w:lineRule="exact"/>
        <w:ind w:firstLine="468"/>
        <w:rPr>
          <w:rFonts w:ascii="宋体" w:hAnsi="宋体" w:cs="宋体"/>
          <w:sz w:val="24"/>
          <w:szCs w:val="24"/>
        </w:rPr>
      </w:pPr>
      <w:r>
        <w:rPr>
          <w:rFonts w:hint="eastAsia" w:ascii="宋体" w:hAnsi="宋体" w:cs="宋体"/>
          <w:sz w:val="24"/>
          <w:szCs w:val="24"/>
        </w:rPr>
        <w:t>31.3 签订合同后，中标人不得将合同标的进行转包。未经采购人同意，中标人也不得采用分包的形式履行合同，否则采购人有权终止合同。转包或分包造成采购人损失的，中标人应承担相应赔偿责任。</w:t>
      </w:r>
    </w:p>
    <w:p w14:paraId="7D859898">
      <w:pPr>
        <w:pStyle w:val="46"/>
        <w:spacing w:before="240"/>
        <w:ind w:firstLine="0" w:firstLineChars="0"/>
        <w:outlineLvl w:val="1"/>
        <w:rPr>
          <w:highlight w:val="green"/>
        </w:rPr>
      </w:pPr>
      <w:r>
        <w:rPr>
          <w:rFonts w:hint="eastAsia"/>
          <w:highlight w:val="green"/>
        </w:rPr>
        <w:t>八、政府采购中实施本国产品标准及相关政策</w:t>
      </w:r>
    </w:p>
    <w:p w14:paraId="093BFBC1">
      <w:pPr>
        <w:pStyle w:val="2"/>
        <w:spacing w:line="360" w:lineRule="auto"/>
        <w:ind w:firstLine="480" w:firstLineChars="200"/>
        <w:rPr>
          <w:rFonts w:hAnsi="宋体"/>
        </w:rPr>
      </w:pPr>
      <w:r>
        <w:rPr>
          <w:rFonts w:hint="eastAsia" w:hAnsi="宋体"/>
        </w:rPr>
        <w:t>32.1 本项目对采购本国产品给予政策支持，具体内容见招标文件“第五章 评标方法与评标标准”。</w:t>
      </w:r>
    </w:p>
    <w:p w14:paraId="5D35CA64">
      <w:pPr>
        <w:pStyle w:val="2"/>
        <w:spacing w:line="360" w:lineRule="auto"/>
        <w:ind w:firstLine="480" w:firstLineChars="200"/>
        <w:rPr>
          <w:rFonts w:hAnsi="宋体"/>
        </w:rPr>
      </w:pPr>
      <w:r>
        <w:rPr>
          <w:rFonts w:hint="eastAsia" w:hAnsi="宋体"/>
        </w:rPr>
        <w:t>32.2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3A24FC4">
      <w:pPr>
        <w:pStyle w:val="2"/>
        <w:spacing w:line="360" w:lineRule="auto"/>
        <w:ind w:firstLine="480" w:firstLineChars="200"/>
        <w:rPr>
          <w:rFonts w:hAnsi="宋体"/>
        </w:rPr>
      </w:pPr>
      <w:r>
        <w:rPr>
          <w:rFonts w:hint="eastAsia" w:hAnsi="宋体"/>
        </w:rPr>
        <w:t>32.3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4DB128E">
      <w:pPr>
        <w:spacing w:line="480" w:lineRule="exact"/>
        <w:ind w:firstLine="468"/>
        <w:rPr>
          <w:rFonts w:ascii="宋体" w:hAnsi="宋体" w:cs="宋体"/>
          <w:sz w:val="24"/>
          <w:szCs w:val="24"/>
        </w:rPr>
      </w:pPr>
    </w:p>
    <w:p w14:paraId="5363B145">
      <w:pPr>
        <w:rPr>
          <w:rFonts w:ascii="宋体" w:hAnsi="宋体" w:cs="宋体"/>
          <w:sz w:val="24"/>
          <w:szCs w:val="24"/>
        </w:rPr>
      </w:pPr>
      <w:r>
        <w:rPr>
          <w:rFonts w:hint="eastAsia" w:ascii="宋体" w:hAnsi="宋体" w:cs="宋体"/>
          <w:sz w:val="24"/>
          <w:szCs w:val="24"/>
        </w:rPr>
        <w:br w:type="page"/>
      </w:r>
    </w:p>
    <w:p w14:paraId="32947C2F">
      <w:pPr>
        <w:pStyle w:val="52"/>
        <w:ind w:firstLine="2640"/>
        <w:jc w:val="both"/>
        <w:rPr>
          <w:rFonts w:ascii="宋体" w:hAnsi="宋体" w:eastAsia="宋体" w:cs="宋体"/>
          <w:bCs/>
          <w:sz w:val="44"/>
        </w:rPr>
      </w:pPr>
      <w:bookmarkStart w:id="100" w:name="_Toc22356"/>
      <w:r>
        <w:rPr>
          <w:rFonts w:hint="eastAsia" w:ascii="宋体" w:hAnsi="宋体" w:eastAsia="宋体" w:cs="宋体"/>
          <w:bCs/>
          <w:sz w:val="44"/>
        </w:rPr>
        <w:t>第三章  合同文本</w:t>
      </w:r>
      <w:bookmarkEnd w:id="100"/>
    </w:p>
    <w:p w14:paraId="056CE1EE">
      <w:pPr>
        <w:spacing w:line="500" w:lineRule="exact"/>
        <w:ind w:firstLine="480"/>
        <w:rPr>
          <w:rFonts w:ascii="宋体" w:hAnsi="宋体" w:cs="宋体"/>
          <w:bCs/>
          <w:sz w:val="24"/>
          <w:szCs w:val="22"/>
        </w:rPr>
      </w:pPr>
      <w:r>
        <w:rPr>
          <w:rFonts w:hint="eastAsia" w:ascii="宋体" w:hAnsi="宋体" w:cs="宋体"/>
          <w:bCs/>
          <w:sz w:val="24"/>
          <w:szCs w:val="22"/>
        </w:rPr>
        <w:t>以下为中标后签订本项目合同的通用条款，中标人不得提出实质性的修改，关于专用条款将由采购人与中标人结合本项目具体情况协商后签订。</w:t>
      </w:r>
    </w:p>
    <w:p w14:paraId="3D242C8C">
      <w:pPr>
        <w:spacing w:before="145" w:after="145"/>
        <w:jc w:val="center"/>
        <w:rPr>
          <w:rFonts w:ascii="宋体" w:hAnsi="宋体" w:cs="宋体"/>
          <w:b/>
          <w:sz w:val="30"/>
          <w:szCs w:val="22"/>
        </w:rPr>
      </w:pPr>
    </w:p>
    <w:p w14:paraId="2FCDBC78">
      <w:pPr>
        <w:spacing w:before="145" w:after="145"/>
        <w:jc w:val="center"/>
        <w:outlineLvl w:val="1"/>
        <w:rPr>
          <w:rFonts w:ascii="宋体" w:hAnsi="宋体" w:cs="宋体"/>
          <w:b/>
          <w:bCs/>
          <w:sz w:val="30"/>
          <w:szCs w:val="20"/>
        </w:rPr>
      </w:pPr>
      <w:bookmarkStart w:id="101" w:name="_Toc27351"/>
      <w:r>
        <w:rPr>
          <w:rFonts w:hint="eastAsia" w:ascii="宋体" w:hAnsi="宋体" w:cs="宋体"/>
          <w:b/>
          <w:sz w:val="30"/>
          <w:szCs w:val="22"/>
        </w:rPr>
        <w:t>江苏省政府采购合同（货物）（合同编号）</w:t>
      </w:r>
      <w:bookmarkEnd w:id="101"/>
    </w:p>
    <w:p w14:paraId="02C4179F">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szCs w:val="22"/>
        </w:rPr>
      </w:pPr>
      <w:r>
        <w:rPr>
          <w:rFonts w:hint="eastAsia" w:ascii="宋体" w:hAnsi="宋体" w:cs="宋体"/>
          <w:color w:val="000000"/>
          <w:sz w:val="24"/>
          <w:szCs w:val="22"/>
        </w:rPr>
        <w:t>项目名称：</w:t>
      </w:r>
      <w:r>
        <w:rPr>
          <w:rFonts w:hint="eastAsia" w:ascii="宋体" w:hAnsi="宋体" w:cs="宋体"/>
          <w:color w:val="000000"/>
          <w:sz w:val="24"/>
          <w:szCs w:val="22"/>
          <w:u w:val="single"/>
        </w:rPr>
        <w:t xml:space="preserve">______       </w:t>
      </w:r>
    </w:p>
    <w:p w14:paraId="37CAE1F0">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szCs w:val="22"/>
        </w:rPr>
      </w:pPr>
      <w:r>
        <w:rPr>
          <w:rFonts w:hint="eastAsia" w:ascii="宋体" w:hAnsi="宋体" w:cs="宋体"/>
          <w:color w:val="000000"/>
          <w:sz w:val="24"/>
          <w:szCs w:val="22"/>
        </w:rPr>
        <w:t>项目编号：</w:t>
      </w:r>
      <w:r>
        <w:rPr>
          <w:rFonts w:hint="eastAsia" w:ascii="宋体" w:hAnsi="宋体" w:cs="宋体"/>
          <w:color w:val="000000"/>
          <w:sz w:val="24"/>
          <w:szCs w:val="22"/>
          <w:u w:val="single"/>
        </w:rPr>
        <w:t xml:space="preserve">______       </w:t>
      </w:r>
    </w:p>
    <w:p w14:paraId="7D4A9059">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szCs w:val="22"/>
        </w:rPr>
      </w:pPr>
      <w:r>
        <w:rPr>
          <w:rFonts w:hint="eastAsia" w:ascii="宋体" w:hAnsi="宋体" w:cs="宋体"/>
          <w:color w:val="000000"/>
          <w:sz w:val="24"/>
          <w:szCs w:val="22"/>
        </w:rPr>
        <w:t>甲方：（买方）</w:t>
      </w:r>
    </w:p>
    <w:p w14:paraId="3090A736">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szCs w:val="22"/>
        </w:rPr>
      </w:pPr>
      <w:r>
        <w:rPr>
          <w:rFonts w:hint="eastAsia" w:ascii="宋体" w:hAnsi="宋体" w:cs="宋体"/>
          <w:color w:val="000000"/>
          <w:sz w:val="24"/>
          <w:szCs w:val="22"/>
        </w:rPr>
        <w:t>乙方：（卖方）_________</w:t>
      </w:r>
    </w:p>
    <w:p w14:paraId="386B8647">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甲、乙双方根据</w:t>
      </w:r>
      <w:r>
        <w:rPr>
          <w:rFonts w:hint="eastAsia" w:ascii="宋体" w:hAnsi="宋体" w:cs="宋体"/>
          <w:sz w:val="24"/>
          <w:szCs w:val="24"/>
          <w:u w:val="single"/>
        </w:rPr>
        <w:t>（项目名称）</w:t>
      </w:r>
      <w:r>
        <w:rPr>
          <w:rFonts w:hint="eastAsia" w:ascii="宋体" w:hAnsi="宋体" w:cs="宋体"/>
          <w:color w:val="000000"/>
          <w:sz w:val="24"/>
          <w:szCs w:val="22"/>
        </w:rPr>
        <w:t>公开招标的结果，签署本合同。</w:t>
      </w:r>
    </w:p>
    <w:p w14:paraId="100B2C76">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一、合同内容</w:t>
      </w:r>
    </w:p>
    <w:p w14:paraId="17B5561B">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1.1 标的名称：______</w:t>
      </w:r>
    </w:p>
    <w:p w14:paraId="22B4F5DE">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1.2 标的质量：______</w:t>
      </w:r>
    </w:p>
    <w:p w14:paraId="134917FF">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1.3 标的数量（规模）：______</w:t>
      </w:r>
    </w:p>
    <w:p w14:paraId="762A5D03">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1.4 履行时间（期限）：______</w:t>
      </w:r>
    </w:p>
    <w:p w14:paraId="523F31F4">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1.5 履行地点：______</w:t>
      </w:r>
    </w:p>
    <w:p w14:paraId="5D6C2CD7">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1.6 履行方式：______</w:t>
      </w:r>
    </w:p>
    <w:p w14:paraId="1A010DB9">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1.7 包装方式：______</w:t>
      </w:r>
    </w:p>
    <w:p w14:paraId="35782EFA">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二、合同金额</w:t>
      </w:r>
    </w:p>
    <w:p w14:paraId="5EAEEC35">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2.1 本合同金额为（大写）：_______圆（___元）人民币或其他币种。</w:t>
      </w:r>
    </w:p>
    <w:p w14:paraId="77A8A0B7">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三、技术资料</w:t>
      </w:r>
    </w:p>
    <w:p w14:paraId="1B2A892A">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3.1乙方应按招标文件规定的时间向甲方提供使用货物（包含与货物相关的服务）的有关技术资料。</w:t>
      </w:r>
    </w:p>
    <w:p w14:paraId="49DCCD53">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6BDC46A">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szCs w:val="22"/>
        </w:rPr>
      </w:pPr>
      <w:r>
        <w:rPr>
          <w:rFonts w:hint="eastAsia" w:ascii="宋体" w:hAnsi="宋体" w:cs="宋体"/>
          <w:b/>
          <w:color w:val="000000"/>
          <w:sz w:val="24"/>
          <w:szCs w:val="22"/>
        </w:rPr>
        <w:t>四、知识产权</w:t>
      </w:r>
    </w:p>
    <w:p w14:paraId="2924F97D">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color w:val="000000"/>
          <w:sz w:val="24"/>
          <w:szCs w:val="22"/>
        </w:rPr>
      </w:pPr>
      <w:r>
        <w:rPr>
          <w:rFonts w:hint="eastAsia" w:ascii="宋体" w:hAnsi="宋体" w:cs="宋体"/>
          <w:color w:val="000000"/>
          <w:sz w:val="24"/>
          <w:szCs w:val="22"/>
        </w:rPr>
        <w:t>4.1乙方应保证甲方在使用、接受本合同货物（包含与货物相关的服务）或其任何一部分时不受第三方提出侵犯其专利权、版权、商标权和工业设计权等知识产权的起诉。一旦出现侵权，由乙方负全部责任。     </w:t>
      </w:r>
    </w:p>
    <w:p w14:paraId="0A84083B">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五、产权担保</w:t>
      </w:r>
    </w:p>
    <w:p w14:paraId="063C6E6B">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5.1 乙方保证所交付的货物（包含与货物相关的服务）的所有权完全属于乙方且无任何抵押、查封等产权瑕疵。</w:t>
      </w:r>
    </w:p>
    <w:p w14:paraId="5764AE13">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六、履约保证金</w:t>
      </w:r>
    </w:p>
    <w:p w14:paraId="4C76F960">
      <w:pPr>
        <w:snapToGrid w:val="0"/>
        <w:spacing w:before="120" w:after="120"/>
        <w:ind w:firstLine="480" w:firstLineChars="200"/>
        <w:rPr>
          <w:rFonts w:ascii="宋体" w:hAnsi="宋体" w:cs="宋体"/>
          <w:color w:val="000000"/>
          <w:sz w:val="24"/>
          <w:szCs w:val="24"/>
        </w:rPr>
      </w:pPr>
      <w:r>
        <w:rPr>
          <w:rFonts w:hint="eastAsia" w:ascii="宋体" w:hAnsi="宋体" w:cs="宋体"/>
          <w:color w:val="000000"/>
          <w:sz w:val="24"/>
          <w:szCs w:val="24"/>
        </w:rPr>
        <w:t>6.1 乙方交纳人民币0元作为本合同的履约保证金。</w:t>
      </w:r>
    </w:p>
    <w:p w14:paraId="0B49B5FD">
      <w:pPr>
        <w:snapToGrid w:val="0"/>
        <w:spacing w:before="120" w:after="120"/>
        <w:ind w:firstLine="480" w:firstLineChars="200"/>
        <w:rPr>
          <w:rFonts w:ascii="宋体" w:hAnsi="宋体" w:cs="宋体"/>
          <w:color w:val="000000"/>
          <w:sz w:val="24"/>
          <w:szCs w:val="24"/>
        </w:rPr>
      </w:pPr>
      <w:r>
        <w:rPr>
          <w:rFonts w:hint="eastAsia" w:ascii="宋体" w:hAnsi="宋体" w:cs="宋体"/>
          <w:color w:val="000000"/>
          <w:sz w:val="24"/>
          <w:szCs w:val="24"/>
        </w:rPr>
        <w:t>6.2合同履行结束后，甲方应及时退还交纳的履约保证金。</w:t>
      </w:r>
    </w:p>
    <w:p w14:paraId="25D763C8">
      <w:pPr>
        <w:snapToGrid w:val="0"/>
        <w:spacing w:before="120" w:after="120"/>
        <w:ind w:firstLine="480" w:firstLineChars="200"/>
        <w:rPr>
          <w:rFonts w:ascii="宋体" w:hAnsi="宋体" w:cs="宋体"/>
          <w:color w:val="000000"/>
          <w:sz w:val="24"/>
          <w:szCs w:val="24"/>
        </w:rPr>
      </w:pPr>
      <w:r>
        <w:rPr>
          <w:rFonts w:hint="eastAsia" w:ascii="宋体" w:hAnsi="宋体" w:cs="宋体"/>
          <w:color w:val="000000"/>
          <w:sz w:val="24"/>
          <w:szCs w:val="24"/>
        </w:rPr>
        <w:t>6.2.1履约保证金退还方式：</w:t>
      </w:r>
    </w:p>
    <w:p w14:paraId="531BC453">
      <w:pPr>
        <w:snapToGrid w:val="0"/>
        <w:spacing w:before="120" w:after="120"/>
        <w:ind w:firstLine="480" w:firstLineChars="200"/>
        <w:rPr>
          <w:rFonts w:ascii="宋体" w:hAnsi="宋体" w:cs="宋体"/>
          <w:color w:val="000000"/>
          <w:sz w:val="24"/>
          <w:szCs w:val="24"/>
        </w:rPr>
      </w:pPr>
      <w:r>
        <w:rPr>
          <w:rFonts w:hint="eastAsia" w:ascii="宋体" w:hAnsi="宋体" w:cs="宋体"/>
          <w:color w:val="000000"/>
          <w:sz w:val="24"/>
          <w:szCs w:val="24"/>
        </w:rPr>
        <w:t>6.2.2履约保证金退还时间：</w:t>
      </w:r>
    </w:p>
    <w:p w14:paraId="6B4787BB">
      <w:pPr>
        <w:snapToGrid w:val="0"/>
        <w:spacing w:before="120" w:after="120"/>
        <w:ind w:firstLine="480" w:firstLineChars="200"/>
        <w:rPr>
          <w:rFonts w:ascii="宋体" w:hAnsi="宋体" w:cs="宋体"/>
          <w:color w:val="000000"/>
          <w:sz w:val="24"/>
          <w:szCs w:val="24"/>
        </w:rPr>
      </w:pPr>
      <w:r>
        <w:rPr>
          <w:rFonts w:hint="eastAsia" w:ascii="宋体" w:hAnsi="宋体" w:cs="宋体"/>
          <w:color w:val="000000"/>
          <w:sz w:val="24"/>
          <w:szCs w:val="24"/>
        </w:rPr>
        <w:t>6.2.3履约保证金退还条件：</w:t>
      </w:r>
    </w:p>
    <w:p w14:paraId="322EFA22">
      <w:pPr>
        <w:snapToGrid w:val="0"/>
        <w:spacing w:before="120" w:after="120"/>
        <w:ind w:firstLine="480" w:firstLineChars="200"/>
        <w:rPr>
          <w:rFonts w:ascii="宋体" w:hAnsi="宋体" w:cs="宋体"/>
        </w:rPr>
      </w:pPr>
      <w:r>
        <w:rPr>
          <w:rFonts w:hint="eastAsia" w:ascii="宋体" w:hAnsi="宋体" w:cs="宋体"/>
          <w:color w:val="000000"/>
          <w:sz w:val="24"/>
          <w:szCs w:val="24"/>
        </w:rPr>
        <w:t>6.2.4履约保证金不予退还的情形：</w:t>
      </w:r>
    </w:p>
    <w:p w14:paraId="4F3EC517">
      <w:pPr>
        <w:spacing w:before="145" w:after="145"/>
        <w:ind w:firstLine="480"/>
        <w:rPr>
          <w:rFonts w:ascii="宋体" w:hAnsi="宋体" w:cs="宋体"/>
          <w:sz w:val="24"/>
          <w:szCs w:val="24"/>
        </w:rPr>
      </w:pPr>
      <w:r>
        <w:rPr>
          <w:rFonts w:hint="eastAsia" w:ascii="宋体" w:hAnsi="宋体" w:cs="宋体"/>
          <w:sz w:val="24"/>
          <w:szCs w:val="24"/>
        </w:rPr>
        <w:t>备注：若收取履约保证金：双方签订合同后5日内，乙方可以自主选择支票、汇票、本票、保函等非现金形式缴纳中标金额的  作为本合同的履约保证金。（不得超过10%）</w:t>
      </w:r>
    </w:p>
    <w:p w14:paraId="361BDBEC">
      <w:pPr>
        <w:spacing w:before="145" w:after="145"/>
        <w:ind w:firstLine="480"/>
        <w:rPr>
          <w:rFonts w:ascii="宋体" w:hAnsi="宋体" w:cs="宋体"/>
          <w:sz w:val="24"/>
          <w:szCs w:val="24"/>
        </w:rPr>
      </w:pPr>
      <w:r>
        <w:rPr>
          <w:rFonts w:hint="eastAsia" w:ascii="宋体" w:hAnsi="宋体" w:cs="宋体"/>
          <w:sz w:val="24"/>
          <w:szCs w:val="24"/>
        </w:rPr>
        <w:t>6.1合同履行结束后，甲方应及时退还缴纳的履约保证金。</w:t>
      </w:r>
    </w:p>
    <w:p w14:paraId="65D0BB08">
      <w:pPr>
        <w:spacing w:before="145" w:after="145"/>
        <w:ind w:firstLine="480"/>
        <w:rPr>
          <w:rFonts w:ascii="宋体" w:hAnsi="宋体" w:cs="宋体"/>
          <w:sz w:val="24"/>
          <w:szCs w:val="24"/>
        </w:rPr>
      </w:pPr>
      <w:r>
        <w:rPr>
          <w:rFonts w:hint="eastAsia" w:ascii="宋体" w:hAnsi="宋体" w:cs="宋体"/>
          <w:sz w:val="24"/>
          <w:szCs w:val="24"/>
        </w:rPr>
        <w:t>6.2履约保证金退还方式：按照乙方缴纳的方式进行退还。</w:t>
      </w:r>
    </w:p>
    <w:p w14:paraId="13A41AFE">
      <w:pPr>
        <w:spacing w:before="145" w:after="145"/>
        <w:ind w:firstLine="480"/>
        <w:rPr>
          <w:rFonts w:ascii="宋体" w:hAnsi="宋体" w:cs="宋体"/>
          <w:sz w:val="24"/>
          <w:szCs w:val="24"/>
        </w:rPr>
      </w:pPr>
      <w:r>
        <w:rPr>
          <w:rFonts w:hint="eastAsia" w:ascii="宋体" w:hAnsi="宋体" w:cs="宋体"/>
          <w:sz w:val="24"/>
          <w:szCs w:val="24"/>
        </w:rPr>
        <w:t>6.3履约保证金退还时间：项目验收合格后15日内。</w:t>
      </w:r>
    </w:p>
    <w:p w14:paraId="19AC4A22">
      <w:pPr>
        <w:spacing w:before="145" w:after="145"/>
        <w:ind w:firstLine="480"/>
        <w:rPr>
          <w:rFonts w:ascii="宋体" w:hAnsi="宋体" w:cs="宋体"/>
          <w:sz w:val="24"/>
          <w:szCs w:val="24"/>
        </w:rPr>
      </w:pPr>
      <w:r>
        <w:rPr>
          <w:rFonts w:hint="eastAsia" w:ascii="宋体" w:hAnsi="宋体" w:cs="宋体"/>
          <w:sz w:val="24"/>
          <w:szCs w:val="24"/>
        </w:rPr>
        <w:t>6.4履约保证金退还条件：乙方在履约期间未给甲方造成损失或造成的损失经扣除后存有结余的。</w:t>
      </w:r>
    </w:p>
    <w:p w14:paraId="01A4B540">
      <w:pPr>
        <w:spacing w:before="145" w:after="145"/>
        <w:ind w:firstLine="480"/>
        <w:rPr>
          <w:rFonts w:ascii="宋体" w:hAnsi="宋体" w:cs="宋体"/>
          <w:sz w:val="24"/>
          <w:szCs w:val="24"/>
        </w:rPr>
      </w:pPr>
      <w:r>
        <w:rPr>
          <w:rFonts w:hint="eastAsia" w:ascii="宋体" w:hAnsi="宋体" w:cs="宋体"/>
          <w:sz w:val="24"/>
          <w:szCs w:val="24"/>
        </w:rPr>
        <w:t>6.5履约保证金不予退还的情形：履约保证金额不足以弥补乙方违约造成甲方损失的。</w:t>
      </w:r>
    </w:p>
    <w:p w14:paraId="26CA02E3">
      <w:pPr>
        <w:spacing w:before="145" w:after="145"/>
        <w:ind w:firstLine="480"/>
        <w:rPr>
          <w:rFonts w:ascii="宋体" w:hAnsi="宋体" w:cs="宋体"/>
          <w:sz w:val="24"/>
          <w:szCs w:val="24"/>
        </w:rPr>
      </w:pPr>
      <w:r>
        <w:rPr>
          <w:rFonts w:hint="eastAsia" w:ascii="宋体" w:hAnsi="宋体" w:cs="宋体"/>
          <w:sz w:val="24"/>
          <w:szCs w:val="24"/>
        </w:rPr>
        <w:t>6.6履约保证金逾期退还的违约责任：按中国人民银行同期贷款基准利率上浮20%后的利率支付超期资金占用费，但因乙方自身原因导致无法及时退还的除外。不收取该段删除）</w:t>
      </w:r>
    </w:p>
    <w:p w14:paraId="2EDD7F81">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szCs w:val="22"/>
        </w:rPr>
      </w:pPr>
      <w:r>
        <w:rPr>
          <w:rFonts w:hint="eastAsia" w:ascii="宋体" w:hAnsi="宋体" w:cs="宋体"/>
          <w:b/>
          <w:color w:val="000000"/>
          <w:sz w:val="24"/>
          <w:szCs w:val="22"/>
        </w:rPr>
        <w:t>七、质保期</w:t>
      </w:r>
    </w:p>
    <w:p w14:paraId="02715052">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质保期</w:t>
      </w:r>
      <w:r>
        <w:rPr>
          <w:rFonts w:hint="eastAsia" w:ascii="宋体" w:hAnsi="宋体" w:cs="宋体"/>
          <w:color w:val="000000"/>
          <w:sz w:val="24"/>
          <w:szCs w:val="22"/>
          <w:u w:val="single"/>
        </w:rPr>
        <w:t xml:space="preserve">      </w:t>
      </w:r>
      <w:r>
        <w:rPr>
          <w:rFonts w:hint="eastAsia" w:ascii="宋体" w:hAnsi="宋体" w:cs="宋体"/>
          <w:color w:val="000000"/>
          <w:sz w:val="24"/>
          <w:szCs w:val="22"/>
        </w:rPr>
        <w:t>年。（自交货验收合格之日起计）</w:t>
      </w:r>
    </w:p>
    <w:p w14:paraId="50230A74">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szCs w:val="22"/>
        </w:rPr>
      </w:pPr>
      <w:r>
        <w:rPr>
          <w:rFonts w:hint="eastAsia" w:ascii="宋体" w:hAnsi="宋体" w:cs="宋体"/>
          <w:b/>
          <w:color w:val="000000"/>
          <w:sz w:val="24"/>
          <w:szCs w:val="22"/>
        </w:rPr>
        <w:t>八、合同转包或分包</w:t>
      </w:r>
    </w:p>
    <w:p w14:paraId="6B54F03A">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8.1乙方不得将合同标的转包给他人履行。</w:t>
      </w:r>
    </w:p>
    <w:p w14:paraId="3490BF55">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8.2乙方不得将合同标的分包给他人履行。</w:t>
      </w:r>
    </w:p>
    <w:p w14:paraId="3008E6D6">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8.3乙方如有转包或未经甲方同意的分包行为，甲方有权给予终止合同。</w:t>
      </w:r>
    </w:p>
    <w:p w14:paraId="608C7A1B">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九、合同款项支付</w:t>
      </w:r>
    </w:p>
    <w:p w14:paraId="083539E6">
      <w:pPr>
        <w:pBdr>
          <w:top w:val="none" w:color="000000" w:sz="0" w:space="0"/>
          <w:left w:val="none" w:color="000000" w:sz="0" w:space="0"/>
          <w:bottom w:val="none" w:color="000000" w:sz="0" w:space="0"/>
          <w:right w:val="none" w:color="000000" w:sz="0" w:space="0"/>
        </w:pBdr>
        <w:spacing w:before="120" w:after="120" w:line="85" w:lineRule="atLeast"/>
        <w:ind w:firstLine="482"/>
        <w:rPr>
          <w:rFonts w:ascii="宋体" w:hAnsi="宋体" w:cs="宋体"/>
          <w:sz w:val="24"/>
          <w:szCs w:val="24"/>
        </w:rPr>
      </w:pPr>
      <w:r>
        <w:rPr>
          <w:rFonts w:hint="eastAsia" w:ascii="宋体" w:hAnsi="宋体" w:cs="宋体"/>
          <w:sz w:val="24"/>
          <w:szCs w:val="24"/>
        </w:rPr>
        <w:t>合同签订后且乙方向甲方出具发票后，甲方10个工作日内支付合同款的</w:t>
      </w:r>
      <w:r>
        <w:rPr>
          <w:rFonts w:hint="eastAsia" w:ascii="宋体" w:hAnsi="宋体" w:cs="宋体"/>
          <w:sz w:val="24"/>
          <w:szCs w:val="24"/>
          <w:u w:val="single"/>
        </w:rPr>
        <w:t>30%</w:t>
      </w:r>
      <w:r>
        <w:rPr>
          <w:rFonts w:hint="eastAsia" w:ascii="宋体" w:hAnsi="宋体" w:cs="宋体"/>
          <w:sz w:val="24"/>
          <w:szCs w:val="24"/>
        </w:rPr>
        <w:t>，项目验收合格后，且甲方收到乙方开具的等额发票10个工作日内，甲方一次性支付合同款的</w:t>
      </w:r>
      <w:r>
        <w:rPr>
          <w:rFonts w:hint="eastAsia" w:ascii="宋体" w:hAnsi="宋体" w:cs="宋体"/>
          <w:sz w:val="24"/>
          <w:szCs w:val="24"/>
          <w:u w:val="single"/>
        </w:rPr>
        <w:t>70%</w:t>
      </w:r>
      <w:r>
        <w:rPr>
          <w:rFonts w:hint="eastAsia" w:ascii="宋体" w:hAnsi="宋体" w:cs="宋体"/>
          <w:sz w:val="24"/>
          <w:szCs w:val="24"/>
        </w:rPr>
        <w:t>。</w:t>
      </w:r>
    </w:p>
    <w:p w14:paraId="7CFAE918">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十、税费</w:t>
      </w:r>
    </w:p>
    <w:p w14:paraId="40CD34EE">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10.1本合同执行中相关的一切税费均由乙方负担。</w:t>
      </w:r>
    </w:p>
    <w:p w14:paraId="1B746801">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十一、质量保修范围和保修期及售后服务</w:t>
      </w:r>
    </w:p>
    <w:p w14:paraId="5BC6A429">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11.1 乙方应按招标文件规定的货物性能、技术要求、质量标准向甲方提供未经使用的全新产品。</w:t>
      </w:r>
    </w:p>
    <w:p w14:paraId="6E94A2C4">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11.2 乙方提供的货物在质量期内因货物本身的质量问题发生故障，乙方应负责免费更换。对达不到技术要求者，根据实际情况，经双方协商，可按以下办法处理：</w:t>
      </w:r>
    </w:p>
    <w:p w14:paraId="57352C4B">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⑴更换：由乙方承担所发生的全部费用。</w:t>
      </w:r>
    </w:p>
    <w:p w14:paraId="2DF11316">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⑵贬值处理：由甲乙双方合议定价。</w:t>
      </w:r>
    </w:p>
    <w:p w14:paraId="147604AB">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⑶退货处理：乙方应退还甲方支付的合同款，同时应承担该货物的直接费用（运输、保险、检验、货款利息及银行手续费等）。</w:t>
      </w:r>
    </w:p>
    <w:p w14:paraId="0E9DC727">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11.3 如在使用过程中发生质量问题，乙方在接到甲方通知后在_________小时内到达甲方现场。</w:t>
      </w:r>
    </w:p>
    <w:p w14:paraId="55EDCB07">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11.4 在质保期内，乙方应对货物出现的质量及安全问题负责处理解决并承担一切费用。</w:t>
      </w:r>
    </w:p>
    <w:p w14:paraId="1E92BDA9">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11.5上述的货物免费保修期为</w:t>
      </w:r>
      <w:r>
        <w:rPr>
          <w:rFonts w:hint="eastAsia" w:ascii="宋体" w:hAnsi="宋体" w:cs="宋体"/>
          <w:color w:val="000000"/>
          <w:sz w:val="24"/>
          <w:szCs w:val="22"/>
          <w:u w:val="single"/>
        </w:rPr>
        <w:t xml:space="preserve">     </w:t>
      </w:r>
      <w:r>
        <w:rPr>
          <w:rFonts w:hint="eastAsia" w:ascii="宋体" w:hAnsi="宋体" w:cs="宋体"/>
          <w:color w:val="000000"/>
          <w:sz w:val="24"/>
          <w:szCs w:val="22"/>
        </w:rPr>
        <w:t>年（自交货验收合格之日起计），因人为因素出现的故障不在免费保修范围内。超过保修期的机器设备，终身维修，维修时只收部件成本费。</w:t>
      </w:r>
    </w:p>
    <w:p w14:paraId="7E82C85E">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十二、项目验收</w:t>
      </w:r>
    </w:p>
    <w:p w14:paraId="7A4DC564">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12.1 甲方依法组织履约验收工作。</w:t>
      </w:r>
    </w:p>
    <w:p w14:paraId="149A884A">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76B3536">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12.3 对于实际使用人和甲方分离的项目，甲方邀请实际使用人参与验收。</w:t>
      </w:r>
    </w:p>
    <w:p w14:paraId="36E5002E">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12.4 如有必要，甲方邀请参加本项目的其他供应商或第三方专业机构及专家参与验收，相关意见将作为验收书的参考资料。</w:t>
      </w:r>
    </w:p>
    <w:p w14:paraId="0A44BAF5">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9C4FF1B">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12.6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57B67D4">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szCs w:val="22"/>
        </w:rPr>
      </w:pPr>
      <w:r>
        <w:rPr>
          <w:rFonts w:hint="eastAsia" w:ascii="宋体" w:hAnsi="宋体" w:cs="宋体"/>
          <w:b/>
          <w:color w:val="000000"/>
          <w:sz w:val="24"/>
          <w:szCs w:val="22"/>
        </w:rPr>
        <w:t>十三、货物的包装、发运及运输</w:t>
      </w:r>
    </w:p>
    <w:p w14:paraId="4A4B129F">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13.1 乙方应在货物发运前对其进行满足运输距离、防潮、防震、防锈和防破损装卸等要求包装，以保证货物安全运达甲方指定地点。</w:t>
      </w:r>
    </w:p>
    <w:p w14:paraId="3D16391A">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13.2 使用说明书、质量检验证明书、随配附件和工具以及清单一并附于货物内。</w:t>
      </w:r>
    </w:p>
    <w:p w14:paraId="18995E09">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13.3 乙方在货物发运手续办理完毕后24小时内或货到甲方48小时前通知甲方，以准备接货。</w:t>
      </w:r>
    </w:p>
    <w:p w14:paraId="4EB92C9A">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13.4 货物在交付甲方前发生的风险均由乙方负责。</w:t>
      </w:r>
    </w:p>
    <w:p w14:paraId="30F0E5AA">
      <w:pPr>
        <w:pBdr>
          <w:top w:val="none" w:color="000000" w:sz="0" w:space="0"/>
          <w:left w:val="none" w:color="000000" w:sz="0" w:space="0"/>
          <w:bottom w:val="none" w:color="000000" w:sz="0" w:space="0"/>
          <w:right w:val="none" w:color="000000" w:sz="0" w:space="0"/>
        </w:pBdr>
        <w:spacing w:before="156" w:after="156" w:line="85" w:lineRule="atLeast"/>
        <w:ind w:firstLine="480"/>
        <w:rPr>
          <w:rFonts w:ascii="宋体" w:hAnsi="宋体" w:cs="宋体"/>
          <w:szCs w:val="22"/>
        </w:rPr>
      </w:pPr>
      <w:r>
        <w:rPr>
          <w:rFonts w:hint="eastAsia" w:ascii="宋体" w:hAnsi="宋体" w:cs="宋体"/>
          <w:color w:val="000000"/>
          <w:sz w:val="24"/>
          <w:szCs w:val="22"/>
        </w:rPr>
        <w:t>13.5 货物在规定的交付期限内由乙方送达甲方指定的地点视为交付，乙方同时需通知甲方货物已送达。</w:t>
      </w:r>
    </w:p>
    <w:p w14:paraId="24A77CCE">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十四、违约责任</w:t>
      </w:r>
    </w:p>
    <w:p w14:paraId="486BC0B4">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14.1 甲方无正当理由拒收货物的，甲方向乙方偿付拒收货款总值</w:t>
      </w:r>
      <w:r>
        <w:rPr>
          <w:rFonts w:hint="eastAsia" w:ascii="宋体" w:hAnsi="宋体" w:cs="宋体"/>
          <w:color w:val="000000"/>
          <w:sz w:val="24"/>
          <w:szCs w:val="22"/>
          <w:u w:val="single"/>
        </w:rPr>
        <w:t xml:space="preserve">     </w:t>
      </w:r>
      <w:r>
        <w:rPr>
          <w:rFonts w:hint="eastAsia" w:ascii="宋体" w:hAnsi="宋体" w:cs="宋体"/>
          <w:color w:val="000000"/>
          <w:sz w:val="24"/>
          <w:szCs w:val="22"/>
        </w:rPr>
        <w:t>的违约金。</w:t>
      </w:r>
    </w:p>
    <w:p w14:paraId="68CC995F">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14.2 甲方无故逾期验收和办理货款支付手续的，甲方应按逾期付款总额每日       向乙方支付违约金。</w:t>
      </w:r>
    </w:p>
    <w:p w14:paraId="0C24C581">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14.3 乙方逾期交付货物的，乙方应按逾期交货总额每日</w:t>
      </w:r>
      <w:r>
        <w:rPr>
          <w:rFonts w:hint="eastAsia" w:ascii="宋体" w:hAnsi="宋体" w:cs="宋体"/>
          <w:color w:val="000000"/>
          <w:sz w:val="24"/>
          <w:szCs w:val="22"/>
          <w:u w:val="single"/>
        </w:rPr>
        <w:t xml:space="preserve">      </w:t>
      </w:r>
      <w:r>
        <w:rPr>
          <w:rFonts w:hint="eastAsia" w:ascii="宋体" w:hAnsi="宋体" w:cs="宋体"/>
          <w:color w:val="000000"/>
          <w:sz w:val="24"/>
          <w:szCs w:val="22"/>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的违约金，如造成甲方损失超过违约金的，超出部分由乙方继续承担赔偿责任。 </w:t>
      </w:r>
    </w:p>
    <w:p w14:paraId="79B9A03B">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144E461">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十五、不可抗力事件处理</w:t>
      </w:r>
    </w:p>
    <w:p w14:paraId="2AFA3B46">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15.1 在合同有效期内，任何一方因不可抗力事件导致不能履行合同，则合同履行期可延长，其延长期与不可抗力影响期相同。</w:t>
      </w:r>
    </w:p>
    <w:p w14:paraId="5CC0C4B2">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15.2 不可抗力事件发生后，应立即通知对方，并寄送有关权威机构出具的证明。</w:t>
      </w:r>
    </w:p>
    <w:p w14:paraId="6A46B974">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15.3 不可抗力事件延续120天以上，双方应通过友好协商，确定是否继续履行合同。</w:t>
      </w:r>
    </w:p>
    <w:p w14:paraId="36457A59">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十六、解决争议的方法</w:t>
      </w:r>
    </w:p>
    <w:p w14:paraId="22736EB1">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16.1甲乙双方因合同签订、履行而发生的一切争议，应通过友好协商解决。如协商不成由甲方住所地人民法院管辖。</w:t>
      </w:r>
    </w:p>
    <w:p w14:paraId="416A4548">
      <w:pPr>
        <w:pBdr>
          <w:top w:val="none" w:color="000000" w:sz="0" w:space="0"/>
          <w:left w:val="none" w:color="000000" w:sz="0" w:space="0"/>
          <w:bottom w:val="none" w:color="000000" w:sz="0" w:space="0"/>
          <w:right w:val="none" w:color="000000" w:sz="0" w:space="0"/>
        </w:pBdr>
        <w:spacing w:before="120" w:after="120" w:line="85" w:lineRule="atLeast"/>
        <w:ind w:firstLine="482"/>
        <w:outlineLvl w:val="3"/>
        <w:rPr>
          <w:rFonts w:ascii="宋体" w:hAnsi="宋体" w:cs="宋体"/>
          <w:b/>
          <w:color w:val="000000"/>
          <w:sz w:val="24"/>
          <w:szCs w:val="22"/>
        </w:rPr>
      </w:pPr>
      <w:r>
        <w:rPr>
          <w:rFonts w:hint="eastAsia" w:ascii="宋体" w:hAnsi="宋体" w:cs="宋体"/>
          <w:b/>
          <w:color w:val="000000"/>
          <w:sz w:val="24"/>
          <w:szCs w:val="22"/>
        </w:rPr>
        <w:t>十七、合同生效及其它</w:t>
      </w:r>
    </w:p>
    <w:p w14:paraId="24F0B1DA">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17.1 合同经双方法定代表人或授权委托代表人签字并加盖单位公章后生效。</w:t>
      </w:r>
    </w:p>
    <w:p w14:paraId="40E3B1BE">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17.2本合同未尽事宜，遵照《中华人民共和国民法典》《中华人民共和国政府采购法》有关条文执行。</w:t>
      </w:r>
    </w:p>
    <w:p w14:paraId="7A268CAD">
      <w:pPr>
        <w:pBdr>
          <w:top w:val="none" w:color="000000" w:sz="0" w:space="0"/>
          <w:left w:val="none" w:color="000000" w:sz="0" w:space="0"/>
          <w:bottom w:val="none" w:color="000000" w:sz="0" w:space="0"/>
          <w:right w:val="none" w:color="000000" w:sz="0" w:space="0"/>
        </w:pBdr>
        <w:spacing w:before="120" w:after="120" w:line="85" w:lineRule="atLeast"/>
        <w:ind w:firstLine="480"/>
        <w:rPr>
          <w:rFonts w:ascii="宋体" w:hAnsi="宋体" w:cs="宋体"/>
          <w:szCs w:val="22"/>
        </w:rPr>
      </w:pPr>
      <w:r>
        <w:rPr>
          <w:rFonts w:hint="eastAsia" w:ascii="宋体" w:hAnsi="宋体" w:cs="宋体"/>
          <w:color w:val="000000"/>
          <w:sz w:val="24"/>
          <w:szCs w:val="22"/>
        </w:rPr>
        <w:t>17.3 本合同正本一式___份，具有同等法律效力，甲方、乙方及财政监管部门各执一份。</w:t>
      </w:r>
    </w:p>
    <w:p w14:paraId="33EFD411">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color w:val="000000"/>
          <w:sz w:val="24"/>
          <w:szCs w:val="22"/>
        </w:rPr>
      </w:pPr>
    </w:p>
    <w:p w14:paraId="12A75689">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szCs w:val="22"/>
        </w:rPr>
      </w:pPr>
      <w:r>
        <w:rPr>
          <w:rFonts w:hint="eastAsia" w:ascii="宋体" w:hAnsi="宋体" w:cs="宋体"/>
          <w:color w:val="000000"/>
          <w:sz w:val="24"/>
          <w:szCs w:val="22"/>
        </w:rPr>
        <w:t xml:space="preserve">甲方（盖章）：                           乙方（盖章）： </w:t>
      </w:r>
    </w:p>
    <w:p w14:paraId="38AF8EC0">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szCs w:val="22"/>
        </w:rPr>
      </w:pPr>
      <w:r>
        <w:rPr>
          <w:rFonts w:hint="eastAsia" w:ascii="宋体" w:hAnsi="宋体" w:cs="宋体"/>
          <w:color w:val="000000"/>
          <w:sz w:val="24"/>
          <w:szCs w:val="22"/>
        </w:rPr>
        <w:t xml:space="preserve">地址：                                   地址： </w:t>
      </w:r>
    </w:p>
    <w:p w14:paraId="42043271">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szCs w:val="22"/>
        </w:rPr>
      </w:pPr>
      <w:r>
        <w:rPr>
          <w:rFonts w:hint="eastAsia" w:ascii="宋体" w:hAnsi="宋体" w:cs="宋体"/>
          <w:color w:val="000000"/>
          <w:sz w:val="24"/>
          <w:szCs w:val="22"/>
        </w:rPr>
        <w:t>法定代表人或授权代表：                   法定代表人或授权代表：</w:t>
      </w:r>
    </w:p>
    <w:p w14:paraId="360FF8F6">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szCs w:val="22"/>
        </w:rPr>
      </w:pPr>
      <w:r>
        <w:rPr>
          <w:rFonts w:hint="eastAsia" w:ascii="宋体" w:hAnsi="宋体" w:cs="宋体"/>
          <w:color w:val="000000"/>
          <w:sz w:val="24"/>
          <w:szCs w:val="22"/>
        </w:rPr>
        <w:t>经办人：                                 经办人：</w:t>
      </w:r>
    </w:p>
    <w:p w14:paraId="1DCEBC07">
      <w:pPr>
        <w:pBdr>
          <w:top w:val="none" w:color="000000" w:sz="0" w:space="0"/>
          <w:left w:val="none" w:color="000000" w:sz="0" w:space="0"/>
          <w:bottom w:val="none" w:color="000000" w:sz="0" w:space="0"/>
          <w:right w:val="none" w:color="000000" w:sz="0" w:space="0"/>
        </w:pBdr>
        <w:spacing w:before="120" w:after="120" w:line="85" w:lineRule="atLeast"/>
        <w:rPr>
          <w:rFonts w:ascii="宋体" w:hAnsi="宋体" w:cs="宋体"/>
          <w:szCs w:val="22"/>
        </w:rPr>
      </w:pPr>
      <w:r>
        <w:rPr>
          <w:rFonts w:hint="eastAsia" w:ascii="宋体" w:hAnsi="宋体" w:cs="宋体"/>
          <w:color w:val="000000"/>
          <w:sz w:val="24"/>
          <w:szCs w:val="22"/>
        </w:rPr>
        <w:t>联系电话：                               联系电话：</w:t>
      </w:r>
    </w:p>
    <w:p w14:paraId="1F101709">
      <w:pPr>
        <w:spacing w:line="480" w:lineRule="exact"/>
        <w:rPr>
          <w:rFonts w:ascii="宋体" w:hAnsi="宋体" w:cs="宋体"/>
          <w:sz w:val="24"/>
          <w:szCs w:val="24"/>
        </w:rPr>
      </w:pPr>
      <w:r>
        <w:rPr>
          <w:rFonts w:hint="eastAsia" w:ascii="宋体" w:hAnsi="宋体" w:cs="宋体"/>
          <w:color w:val="000000"/>
          <w:sz w:val="24"/>
          <w:szCs w:val="22"/>
        </w:rPr>
        <w:t>签订日期：      年    月   日</w:t>
      </w:r>
    </w:p>
    <w:p w14:paraId="47507A7A">
      <w:pPr>
        <w:pStyle w:val="52"/>
        <w:rPr>
          <w:rFonts w:ascii="宋体" w:hAnsi="宋体" w:eastAsia="宋体" w:cs="宋体"/>
          <w:bCs/>
          <w:sz w:val="44"/>
        </w:rPr>
      </w:pPr>
      <w:bookmarkStart w:id="102" w:name="_Toc10058"/>
      <w:r>
        <w:rPr>
          <w:rFonts w:hint="eastAsia" w:ascii="宋体" w:hAnsi="宋体" w:eastAsia="宋体" w:cs="宋体"/>
          <w:bCs/>
          <w:sz w:val="44"/>
        </w:rPr>
        <w:t>第四章 采购需求</w:t>
      </w:r>
      <w:bookmarkEnd w:id="102"/>
    </w:p>
    <w:p w14:paraId="75777BB9">
      <w:pPr>
        <w:pStyle w:val="46"/>
        <w:spacing w:before="240"/>
        <w:ind w:firstLine="0" w:firstLineChars="0"/>
        <w:outlineLvl w:val="1"/>
      </w:pPr>
      <w:bookmarkStart w:id="103" w:name="_Toc2602"/>
      <w:r>
        <w:rPr>
          <w:rFonts w:hint="eastAsia"/>
        </w:rPr>
        <w:t>一、项目概况：</w:t>
      </w:r>
      <w:bookmarkEnd w:id="103"/>
    </w:p>
    <w:p w14:paraId="03D26D82">
      <w:pPr>
        <w:pBdr>
          <w:top w:val="none" w:color="000000" w:sz="0" w:space="0"/>
          <w:left w:val="none" w:color="000000" w:sz="0" w:space="0"/>
          <w:bottom w:val="none" w:color="000000" w:sz="0" w:space="0"/>
          <w:right w:val="none" w:color="000000" w:sz="0" w:space="0"/>
        </w:pBdr>
        <w:ind w:firstLine="482"/>
        <w:outlineLvl w:val="2"/>
        <w:rPr>
          <w:rFonts w:ascii="宋体" w:hAnsi="宋体" w:cs="宋体"/>
          <w:bCs/>
          <w:color w:val="000000"/>
          <w:sz w:val="24"/>
          <w:szCs w:val="22"/>
        </w:rPr>
      </w:pPr>
      <w:bookmarkStart w:id="104" w:name="_Toc24916"/>
      <w:r>
        <w:rPr>
          <w:rFonts w:hint="eastAsia" w:ascii="宋体" w:hAnsi="宋体" w:cs="宋体"/>
          <w:b/>
          <w:color w:val="000000"/>
          <w:sz w:val="24"/>
          <w:szCs w:val="22"/>
        </w:rPr>
        <w:t>1.1 总体目标：</w:t>
      </w:r>
      <w:r>
        <w:rPr>
          <w:rFonts w:hint="eastAsia" w:ascii="宋体" w:hAnsi="宋体" w:cs="宋体"/>
          <w:bCs/>
          <w:color w:val="000000"/>
          <w:sz w:val="24"/>
          <w:szCs w:val="22"/>
        </w:rPr>
        <w:t>为解决院内随访工作存在的一系列问题，通过采购</w:t>
      </w:r>
      <w:r>
        <w:rPr>
          <w:rFonts w:hint="eastAsia" w:ascii="宋体" w:hAnsi="宋体" w:cs="宋体"/>
          <w:bCs/>
          <w:color w:val="000000"/>
          <w:sz w:val="24"/>
          <w:szCs w:val="22"/>
          <w:highlight w:val="green"/>
        </w:rPr>
        <w:t>健康管理随访中心信息化平台</w:t>
      </w:r>
      <w:r>
        <w:rPr>
          <w:rFonts w:hint="eastAsia" w:ascii="宋体" w:hAnsi="宋体" w:cs="宋体"/>
          <w:bCs/>
          <w:color w:val="000000"/>
          <w:sz w:val="24"/>
          <w:szCs w:val="22"/>
        </w:rPr>
        <w:t>降低随访人员的工作量，提高工作效率，改善患者就医体验，强化随访管理，满足医院随访管理工作要求。</w:t>
      </w:r>
      <w:bookmarkEnd w:id="104"/>
    </w:p>
    <w:p w14:paraId="3ABFCD19">
      <w:pPr>
        <w:pBdr>
          <w:top w:val="none" w:color="000000" w:sz="0" w:space="0"/>
          <w:left w:val="none" w:color="000000" w:sz="0" w:space="0"/>
          <w:bottom w:val="none" w:color="000000" w:sz="0" w:space="0"/>
          <w:right w:val="none" w:color="000000" w:sz="0" w:space="0"/>
        </w:pBdr>
        <w:ind w:firstLine="482"/>
        <w:outlineLvl w:val="2"/>
        <w:rPr>
          <w:rFonts w:ascii="宋体" w:hAnsi="宋体" w:cs="宋体"/>
          <w:b/>
          <w:color w:val="000000"/>
          <w:sz w:val="24"/>
          <w:szCs w:val="22"/>
        </w:rPr>
      </w:pPr>
      <w:bookmarkStart w:id="105" w:name="_Toc17190"/>
      <w:r>
        <w:rPr>
          <w:rFonts w:hint="eastAsia" w:ascii="宋体" w:hAnsi="宋体" w:cs="宋体"/>
          <w:b/>
          <w:color w:val="000000"/>
          <w:sz w:val="24"/>
          <w:szCs w:val="22"/>
        </w:rPr>
        <w:t>1.2 采购清单</w:t>
      </w:r>
      <w:bookmarkEnd w:id="105"/>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3462"/>
        <w:gridCol w:w="929"/>
        <w:gridCol w:w="1997"/>
        <w:gridCol w:w="1571"/>
      </w:tblGrid>
      <w:tr w14:paraId="2B55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7" w:type="dxa"/>
            <w:vAlign w:val="center"/>
          </w:tcPr>
          <w:p w14:paraId="6B2C0CC0">
            <w:pPr>
              <w:jc w:val="center"/>
              <w:rPr>
                <w:rFonts w:ascii="宋体" w:hAnsi="宋体" w:cs="宋体"/>
                <w:b/>
                <w:sz w:val="24"/>
                <w:szCs w:val="24"/>
              </w:rPr>
            </w:pPr>
            <w:r>
              <w:rPr>
                <w:rFonts w:hint="eastAsia" w:ascii="宋体" w:hAnsi="宋体" w:cs="宋体"/>
                <w:b/>
                <w:sz w:val="24"/>
                <w:szCs w:val="24"/>
              </w:rPr>
              <w:t>序号</w:t>
            </w:r>
          </w:p>
        </w:tc>
        <w:tc>
          <w:tcPr>
            <w:tcW w:w="3462" w:type="dxa"/>
            <w:vAlign w:val="center"/>
          </w:tcPr>
          <w:p w14:paraId="13F20555">
            <w:pPr>
              <w:jc w:val="center"/>
              <w:rPr>
                <w:rFonts w:ascii="宋体" w:hAnsi="宋体" w:cs="宋体"/>
                <w:b/>
                <w:sz w:val="24"/>
                <w:szCs w:val="24"/>
              </w:rPr>
            </w:pPr>
            <w:r>
              <w:rPr>
                <w:rFonts w:hint="eastAsia" w:ascii="宋体" w:hAnsi="宋体" w:cs="宋体"/>
                <w:b/>
                <w:sz w:val="24"/>
                <w:szCs w:val="24"/>
              </w:rPr>
              <w:t>货物名称</w:t>
            </w:r>
          </w:p>
        </w:tc>
        <w:tc>
          <w:tcPr>
            <w:tcW w:w="929" w:type="dxa"/>
            <w:vAlign w:val="center"/>
          </w:tcPr>
          <w:p w14:paraId="46C350CA">
            <w:pPr>
              <w:jc w:val="center"/>
              <w:rPr>
                <w:rFonts w:ascii="宋体" w:hAnsi="宋体" w:cs="宋体"/>
                <w:b/>
                <w:sz w:val="24"/>
                <w:szCs w:val="24"/>
              </w:rPr>
            </w:pPr>
            <w:r>
              <w:rPr>
                <w:rFonts w:hint="eastAsia" w:ascii="宋体" w:hAnsi="宋体" w:cs="宋体"/>
                <w:b/>
                <w:sz w:val="24"/>
                <w:szCs w:val="24"/>
              </w:rPr>
              <w:t>数量</w:t>
            </w:r>
          </w:p>
        </w:tc>
        <w:tc>
          <w:tcPr>
            <w:tcW w:w="1997" w:type="dxa"/>
            <w:vAlign w:val="center"/>
          </w:tcPr>
          <w:p w14:paraId="4DFF3717">
            <w:pPr>
              <w:jc w:val="center"/>
              <w:rPr>
                <w:rFonts w:ascii="宋体" w:hAnsi="宋体" w:cs="宋体"/>
                <w:b/>
                <w:sz w:val="24"/>
                <w:szCs w:val="24"/>
              </w:rPr>
            </w:pPr>
            <w:r>
              <w:rPr>
                <w:rFonts w:hint="eastAsia" w:ascii="宋体" w:hAnsi="宋体" w:cs="宋体"/>
                <w:b/>
                <w:sz w:val="24"/>
                <w:szCs w:val="24"/>
              </w:rPr>
              <w:t>采购预算</w:t>
            </w:r>
          </w:p>
          <w:p w14:paraId="52F141CC">
            <w:pPr>
              <w:jc w:val="center"/>
              <w:rPr>
                <w:rFonts w:ascii="宋体" w:hAnsi="宋体" w:cs="宋体"/>
                <w:b/>
                <w:sz w:val="24"/>
                <w:szCs w:val="24"/>
              </w:rPr>
            </w:pPr>
            <w:r>
              <w:rPr>
                <w:rFonts w:hint="eastAsia" w:ascii="宋体" w:hAnsi="宋体" w:cs="宋体"/>
                <w:b/>
                <w:sz w:val="24"/>
                <w:szCs w:val="24"/>
              </w:rPr>
              <w:t>（万元人民币）</w:t>
            </w:r>
          </w:p>
        </w:tc>
        <w:tc>
          <w:tcPr>
            <w:tcW w:w="1571" w:type="dxa"/>
            <w:vAlign w:val="center"/>
          </w:tcPr>
          <w:p w14:paraId="0C762427">
            <w:pPr>
              <w:jc w:val="center"/>
              <w:rPr>
                <w:rFonts w:ascii="宋体" w:hAnsi="宋体" w:cs="宋体"/>
                <w:b/>
                <w:sz w:val="24"/>
                <w:szCs w:val="24"/>
              </w:rPr>
            </w:pPr>
            <w:r>
              <w:rPr>
                <w:rFonts w:hint="eastAsia" w:ascii="宋体" w:hAnsi="宋体" w:cs="宋体"/>
                <w:b/>
                <w:sz w:val="24"/>
                <w:szCs w:val="24"/>
              </w:rPr>
              <w:t>是否接受进口产品投标</w:t>
            </w:r>
          </w:p>
        </w:tc>
      </w:tr>
      <w:tr w14:paraId="201C1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7" w:type="dxa"/>
            <w:vAlign w:val="center"/>
          </w:tcPr>
          <w:p w14:paraId="0D4220FB">
            <w:pPr>
              <w:jc w:val="center"/>
              <w:rPr>
                <w:rFonts w:ascii="宋体" w:hAnsi="宋体" w:cs="宋体"/>
                <w:sz w:val="24"/>
                <w:szCs w:val="24"/>
              </w:rPr>
            </w:pPr>
            <w:r>
              <w:rPr>
                <w:rFonts w:hint="eastAsia" w:ascii="宋体" w:hAnsi="宋体" w:cs="宋体"/>
                <w:sz w:val="24"/>
                <w:szCs w:val="24"/>
              </w:rPr>
              <w:t>1</w:t>
            </w:r>
          </w:p>
        </w:tc>
        <w:tc>
          <w:tcPr>
            <w:tcW w:w="3462" w:type="dxa"/>
            <w:vAlign w:val="center"/>
          </w:tcPr>
          <w:p w14:paraId="3CF7F9F3">
            <w:pPr>
              <w:jc w:val="center"/>
              <w:rPr>
                <w:rFonts w:ascii="宋体" w:hAnsi="宋体" w:cs="宋体"/>
                <w:sz w:val="24"/>
                <w:szCs w:val="24"/>
              </w:rPr>
            </w:pPr>
            <w:r>
              <w:rPr>
                <w:rFonts w:hint="eastAsia" w:ascii="宋体" w:hAnsi="宋体" w:cs="宋体"/>
                <w:sz w:val="24"/>
                <w:szCs w:val="24"/>
                <w:highlight w:val="yellow"/>
              </w:rPr>
              <w:t>健康管理随访中心信息化平台</w:t>
            </w:r>
          </w:p>
        </w:tc>
        <w:tc>
          <w:tcPr>
            <w:tcW w:w="929" w:type="dxa"/>
            <w:vAlign w:val="center"/>
          </w:tcPr>
          <w:p w14:paraId="103CC509">
            <w:pPr>
              <w:jc w:val="center"/>
              <w:rPr>
                <w:rFonts w:ascii="宋体" w:hAnsi="宋体" w:cs="宋体"/>
                <w:sz w:val="24"/>
                <w:szCs w:val="24"/>
              </w:rPr>
            </w:pPr>
            <w:r>
              <w:rPr>
                <w:rFonts w:hint="eastAsia" w:ascii="宋体" w:hAnsi="宋体" w:cs="宋体"/>
                <w:spacing w:val="-5"/>
                <w:sz w:val="24"/>
                <w:szCs w:val="24"/>
              </w:rPr>
              <w:t>1套</w:t>
            </w:r>
          </w:p>
        </w:tc>
        <w:tc>
          <w:tcPr>
            <w:tcW w:w="1997" w:type="dxa"/>
            <w:vAlign w:val="center"/>
          </w:tcPr>
          <w:p w14:paraId="065F9103">
            <w:pPr>
              <w:widowControl/>
              <w:jc w:val="center"/>
              <w:rPr>
                <w:rFonts w:ascii="宋体" w:hAnsi="宋体" w:cs="宋体"/>
                <w:sz w:val="24"/>
                <w:szCs w:val="24"/>
              </w:rPr>
            </w:pPr>
            <w:r>
              <w:rPr>
                <w:rFonts w:hint="eastAsia" w:ascii="宋体" w:hAnsi="宋体" w:cs="宋体"/>
                <w:sz w:val="24"/>
                <w:szCs w:val="24"/>
              </w:rPr>
              <w:t>100</w:t>
            </w:r>
          </w:p>
        </w:tc>
        <w:tc>
          <w:tcPr>
            <w:tcW w:w="1571" w:type="dxa"/>
            <w:vAlign w:val="center"/>
          </w:tcPr>
          <w:p w14:paraId="1B4AD00C">
            <w:pPr>
              <w:jc w:val="center"/>
              <w:rPr>
                <w:rFonts w:ascii="宋体" w:hAnsi="宋体" w:cs="宋体"/>
                <w:sz w:val="24"/>
                <w:szCs w:val="24"/>
              </w:rPr>
            </w:pPr>
            <w:r>
              <w:rPr>
                <w:rFonts w:hint="eastAsia" w:ascii="宋体" w:hAnsi="宋体" w:cs="宋体"/>
                <w:sz w:val="24"/>
                <w:szCs w:val="24"/>
              </w:rPr>
              <w:t>不接受</w:t>
            </w:r>
          </w:p>
        </w:tc>
      </w:tr>
    </w:tbl>
    <w:p w14:paraId="710845DC">
      <w:pPr>
        <w:pBdr>
          <w:top w:val="none" w:color="000000" w:sz="0" w:space="0"/>
          <w:left w:val="none" w:color="000000" w:sz="0" w:space="0"/>
          <w:bottom w:val="none" w:color="000000" w:sz="0" w:space="0"/>
          <w:right w:val="none" w:color="000000" w:sz="0" w:space="0"/>
        </w:pBdr>
        <w:ind w:firstLine="482"/>
        <w:outlineLvl w:val="2"/>
        <w:rPr>
          <w:rFonts w:ascii="宋体" w:hAnsi="宋体" w:cs="宋体"/>
          <w:b/>
          <w:color w:val="000000"/>
          <w:sz w:val="24"/>
          <w:szCs w:val="22"/>
        </w:rPr>
      </w:pPr>
      <w:bookmarkStart w:id="106" w:name="_Toc29610"/>
      <w:r>
        <w:rPr>
          <w:rFonts w:hint="eastAsia" w:ascii="宋体" w:hAnsi="宋体" w:cs="宋体"/>
          <w:b/>
          <w:color w:val="000000"/>
          <w:sz w:val="24"/>
          <w:szCs w:val="22"/>
        </w:rPr>
        <w:t>1.3 交货期：合同签订后2个月内</w:t>
      </w:r>
      <w:bookmarkEnd w:id="106"/>
    </w:p>
    <w:p w14:paraId="656CEBE6">
      <w:pPr>
        <w:pBdr>
          <w:top w:val="none" w:color="000000" w:sz="0" w:space="0"/>
          <w:left w:val="none" w:color="000000" w:sz="0" w:space="0"/>
          <w:bottom w:val="none" w:color="000000" w:sz="0" w:space="0"/>
          <w:right w:val="none" w:color="000000" w:sz="0" w:space="0"/>
        </w:pBdr>
        <w:ind w:firstLine="482"/>
        <w:outlineLvl w:val="2"/>
        <w:rPr>
          <w:rFonts w:ascii="宋体" w:hAnsi="宋体" w:cs="宋体"/>
          <w:b/>
          <w:color w:val="000000"/>
          <w:sz w:val="24"/>
          <w:szCs w:val="22"/>
        </w:rPr>
      </w:pPr>
      <w:bookmarkStart w:id="107" w:name="_Toc31842"/>
      <w:r>
        <w:rPr>
          <w:rFonts w:hint="eastAsia" w:ascii="宋体" w:hAnsi="宋体" w:cs="宋体"/>
          <w:b/>
          <w:color w:val="000000"/>
          <w:sz w:val="24"/>
          <w:szCs w:val="22"/>
        </w:rPr>
        <w:t>1.4 质保期：1年</w:t>
      </w:r>
      <w:bookmarkEnd w:id="107"/>
    </w:p>
    <w:p w14:paraId="1EA2D4D0">
      <w:pPr>
        <w:pStyle w:val="46"/>
        <w:spacing w:before="240"/>
        <w:ind w:firstLine="0" w:firstLineChars="0"/>
        <w:outlineLvl w:val="1"/>
      </w:pPr>
      <w:bookmarkStart w:id="108" w:name="_Toc32479"/>
      <w:r>
        <w:rPr>
          <w:rFonts w:hint="eastAsia"/>
        </w:rPr>
        <w:t>二、技术要求</w:t>
      </w:r>
      <w:bookmarkEnd w:id="108"/>
    </w:p>
    <w:p w14:paraId="67CAE582">
      <w:pPr>
        <w:pBdr>
          <w:top w:val="none" w:color="000000" w:sz="0" w:space="0"/>
          <w:left w:val="none" w:color="000000" w:sz="0" w:space="0"/>
          <w:bottom w:val="none" w:color="000000" w:sz="0" w:space="0"/>
          <w:right w:val="none" w:color="000000" w:sz="0" w:space="0"/>
        </w:pBdr>
        <w:ind w:firstLine="482"/>
        <w:outlineLvl w:val="2"/>
        <w:rPr>
          <w:rFonts w:ascii="宋体" w:hAnsi="宋体" w:cs="宋体"/>
          <w:b/>
          <w:i/>
          <w:iCs/>
          <w:color w:val="000000"/>
          <w:sz w:val="24"/>
          <w:szCs w:val="22"/>
          <w:u w:val="single"/>
        </w:rPr>
      </w:pPr>
      <w:bookmarkStart w:id="109" w:name="_Toc7981"/>
      <w:r>
        <w:rPr>
          <w:rFonts w:hint="eastAsia" w:ascii="宋体" w:hAnsi="宋体" w:cs="宋体"/>
          <w:b/>
          <w:i/>
          <w:iCs/>
          <w:color w:val="000000"/>
          <w:sz w:val="24"/>
          <w:szCs w:val="22"/>
          <w:u w:val="single"/>
        </w:rPr>
        <w:t xml:space="preserve">2.1 </w:t>
      </w:r>
      <w:r>
        <w:rPr>
          <w:rFonts w:hint="eastAsia" w:asciiTheme="minorEastAsia" w:hAnsiTheme="minorEastAsia" w:eastAsiaTheme="minorEastAsia"/>
          <w:bCs/>
          <w:i/>
          <w:iCs/>
          <w:color w:val="000000" w:themeColor="text1"/>
          <w:sz w:val="24"/>
          <w:szCs w:val="24"/>
          <w:u w:val="single"/>
          <w14:textFill>
            <w14:solidFill>
              <w14:schemeClr w14:val="tx1"/>
            </w14:solidFill>
          </w14:textFill>
        </w:rPr>
        <w:t>★</w:t>
      </w:r>
      <w:r>
        <w:rPr>
          <w:rFonts w:hint="eastAsia" w:ascii="宋体" w:hAnsi="宋体" w:cs="宋体"/>
          <w:b/>
          <w:i/>
          <w:iCs/>
          <w:color w:val="000000"/>
          <w:sz w:val="24"/>
          <w:szCs w:val="22"/>
          <w:u w:val="single"/>
        </w:rPr>
        <w:t>系统建设清单及范围：</w:t>
      </w:r>
      <w:bookmarkEnd w:id="109"/>
    </w:p>
    <w:tbl>
      <w:tblPr>
        <w:tblStyle w:val="39"/>
        <w:tblW w:w="4891"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152"/>
        <w:gridCol w:w="1642"/>
        <w:gridCol w:w="5179"/>
      </w:tblGrid>
      <w:tr w14:paraId="7F75D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6DD3A409">
            <w:pPr>
              <w:jc w:val="center"/>
              <w:rPr>
                <w:rFonts w:ascii="宋体" w:hAnsi="宋体" w:cs="宋体"/>
              </w:rPr>
            </w:pPr>
            <w:r>
              <w:rPr>
                <w:rFonts w:hint="eastAsia" w:ascii="宋体" w:hAnsi="宋体" w:cs="宋体"/>
              </w:rPr>
              <w:t>序号</w:t>
            </w:r>
          </w:p>
        </w:tc>
        <w:tc>
          <w:tcPr>
            <w:tcW w:w="658" w:type="pct"/>
            <w:shd w:val="clear" w:color="auto" w:fill="auto"/>
            <w:vAlign w:val="center"/>
          </w:tcPr>
          <w:p w14:paraId="6B48D81D">
            <w:pPr>
              <w:jc w:val="center"/>
              <w:rPr>
                <w:rFonts w:ascii="宋体" w:hAnsi="宋体" w:cs="宋体"/>
              </w:rPr>
            </w:pPr>
            <w:r>
              <w:rPr>
                <w:rFonts w:hint="eastAsia" w:ascii="宋体" w:hAnsi="宋体" w:cs="宋体"/>
              </w:rPr>
              <w:t>系统</w:t>
            </w:r>
          </w:p>
        </w:tc>
        <w:tc>
          <w:tcPr>
            <w:tcW w:w="938" w:type="pct"/>
            <w:shd w:val="clear" w:color="auto" w:fill="auto"/>
            <w:vAlign w:val="center"/>
          </w:tcPr>
          <w:p w14:paraId="6497D1A2">
            <w:pPr>
              <w:jc w:val="center"/>
              <w:rPr>
                <w:rFonts w:ascii="宋体" w:hAnsi="宋体" w:cs="宋体"/>
              </w:rPr>
            </w:pPr>
            <w:r>
              <w:rPr>
                <w:rFonts w:hint="eastAsia" w:ascii="宋体" w:hAnsi="宋体" w:cs="宋体"/>
              </w:rPr>
              <w:t>功能</w:t>
            </w:r>
          </w:p>
        </w:tc>
        <w:tc>
          <w:tcPr>
            <w:tcW w:w="2958" w:type="pct"/>
            <w:shd w:val="clear" w:color="auto" w:fill="auto"/>
            <w:vAlign w:val="center"/>
          </w:tcPr>
          <w:p w14:paraId="2F5232DB">
            <w:pPr>
              <w:jc w:val="center"/>
              <w:rPr>
                <w:rFonts w:ascii="宋体" w:hAnsi="宋体" w:cs="宋体"/>
              </w:rPr>
            </w:pPr>
            <w:r>
              <w:rPr>
                <w:rFonts w:hint="eastAsia" w:ascii="宋体" w:hAnsi="宋体" w:cs="宋体"/>
              </w:rPr>
              <w:t>应用范围</w:t>
            </w:r>
          </w:p>
        </w:tc>
      </w:tr>
      <w:tr w14:paraId="1A6B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65D9239D">
            <w:pPr>
              <w:jc w:val="center"/>
              <w:rPr>
                <w:rFonts w:ascii="宋体" w:hAnsi="宋体" w:cs="宋体"/>
              </w:rPr>
            </w:pPr>
            <w:r>
              <w:rPr>
                <w:rFonts w:hint="eastAsia" w:ascii="宋体" w:hAnsi="宋体" w:cs="宋体"/>
              </w:rPr>
              <w:t>1</w:t>
            </w:r>
          </w:p>
        </w:tc>
        <w:tc>
          <w:tcPr>
            <w:tcW w:w="658" w:type="pct"/>
            <w:vMerge w:val="restart"/>
            <w:shd w:val="clear" w:color="auto" w:fill="auto"/>
            <w:vAlign w:val="center"/>
          </w:tcPr>
          <w:p w14:paraId="56382CB4">
            <w:pPr>
              <w:jc w:val="center"/>
              <w:rPr>
                <w:rFonts w:ascii="宋体" w:hAnsi="宋体" w:cs="宋体"/>
              </w:rPr>
            </w:pPr>
            <w:r>
              <w:rPr>
                <w:rFonts w:hint="eastAsia" w:ascii="宋体" w:hAnsi="宋体" w:cs="宋体"/>
                <w:highlight w:val="yellow"/>
              </w:rPr>
              <w:t>患者随访系统</w:t>
            </w:r>
          </w:p>
        </w:tc>
        <w:tc>
          <w:tcPr>
            <w:tcW w:w="938" w:type="pct"/>
            <w:shd w:val="clear" w:color="auto" w:fill="auto"/>
            <w:vAlign w:val="center"/>
          </w:tcPr>
          <w:p w14:paraId="4417DA18">
            <w:pPr>
              <w:jc w:val="center"/>
              <w:rPr>
                <w:rFonts w:ascii="宋体" w:hAnsi="宋体" w:cs="宋体"/>
              </w:rPr>
            </w:pPr>
            <w:r>
              <w:rPr>
                <w:rFonts w:hint="eastAsia" w:ascii="宋体" w:hAnsi="宋体" w:cs="宋体"/>
              </w:rPr>
              <w:t>业务基础平台</w:t>
            </w:r>
          </w:p>
        </w:tc>
        <w:tc>
          <w:tcPr>
            <w:tcW w:w="2958" w:type="pct"/>
            <w:shd w:val="clear" w:color="auto" w:fill="auto"/>
            <w:vAlign w:val="center"/>
          </w:tcPr>
          <w:p w14:paraId="6216A95A">
            <w:pPr>
              <w:rPr>
                <w:rFonts w:ascii="宋体" w:hAnsi="宋体" w:cs="宋体"/>
              </w:rPr>
            </w:pPr>
            <w:r>
              <w:rPr>
                <w:rFonts w:hint="eastAsia" w:ascii="宋体" w:hAnsi="宋体" w:cs="宋体"/>
              </w:rPr>
              <w:t>所有临床科室、行风办、监查室、体检中心、病案室、科教科</w:t>
            </w:r>
          </w:p>
        </w:tc>
      </w:tr>
      <w:tr w14:paraId="5D38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3464CD28">
            <w:pPr>
              <w:jc w:val="center"/>
              <w:rPr>
                <w:rFonts w:ascii="宋体" w:hAnsi="宋体" w:cs="宋体"/>
              </w:rPr>
            </w:pPr>
            <w:r>
              <w:rPr>
                <w:rFonts w:hint="eastAsia" w:ascii="宋体" w:hAnsi="宋体" w:cs="宋体"/>
              </w:rPr>
              <w:t>2</w:t>
            </w:r>
          </w:p>
        </w:tc>
        <w:tc>
          <w:tcPr>
            <w:tcW w:w="658" w:type="pct"/>
            <w:vMerge w:val="continue"/>
            <w:shd w:val="clear" w:color="auto" w:fill="auto"/>
            <w:vAlign w:val="center"/>
          </w:tcPr>
          <w:p w14:paraId="1A1F375F">
            <w:pPr>
              <w:jc w:val="center"/>
              <w:rPr>
                <w:rFonts w:ascii="宋体" w:hAnsi="宋体" w:cs="宋体"/>
              </w:rPr>
            </w:pPr>
          </w:p>
        </w:tc>
        <w:tc>
          <w:tcPr>
            <w:tcW w:w="938" w:type="pct"/>
            <w:shd w:val="clear" w:color="auto" w:fill="auto"/>
            <w:vAlign w:val="center"/>
          </w:tcPr>
          <w:p w14:paraId="3A9C080F">
            <w:pPr>
              <w:jc w:val="center"/>
              <w:rPr>
                <w:rFonts w:ascii="宋体" w:hAnsi="宋体" w:cs="宋体"/>
              </w:rPr>
            </w:pPr>
            <w:r>
              <w:rPr>
                <w:rFonts w:hint="eastAsia" w:ascii="宋体" w:hAnsi="宋体" w:cs="宋体"/>
              </w:rPr>
              <w:t>满意度调查</w:t>
            </w:r>
          </w:p>
        </w:tc>
        <w:tc>
          <w:tcPr>
            <w:tcW w:w="2958" w:type="pct"/>
            <w:shd w:val="clear" w:color="auto" w:fill="auto"/>
            <w:vAlign w:val="center"/>
          </w:tcPr>
          <w:p w14:paraId="0EEE0B68">
            <w:pPr>
              <w:rPr>
                <w:rFonts w:ascii="宋体" w:hAnsi="宋体" w:cs="宋体"/>
              </w:rPr>
            </w:pPr>
            <w:r>
              <w:rPr>
                <w:rFonts w:hint="eastAsia" w:ascii="宋体" w:hAnsi="宋体" w:cs="宋体"/>
              </w:rPr>
              <w:t>所有门诊、住院科室、行风办、监查室</w:t>
            </w:r>
          </w:p>
        </w:tc>
      </w:tr>
      <w:tr w14:paraId="0D80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54FF0937">
            <w:pPr>
              <w:jc w:val="center"/>
              <w:rPr>
                <w:rFonts w:ascii="宋体" w:hAnsi="宋体" w:cs="宋体"/>
              </w:rPr>
            </w:pPr>
            <w:r>
              <w:rPr>
                <w:rFonts w:hint="eastAsia" w:ascii="宋体" w:hAnsi="宋体" w:cs="宋体"/>
              </w:rPr>
              <w:t>3</w:t>
            </w:r>
          </w:p>
        </w:tc>
        <w:tc>
          <w:tcPr>
            <w:tcW w:w="658" w:type="pct"/>
            <w:vMerge w:val="continue"/>
            <w:shd w:val="clear" w:color="auto" w:fill="auto"/>
            <w:vAlign w:val="center"/>
          </w:tcPr>
          <w:p w14:paraId="57115D6B">
            <w:pPr>
              <w:jc w:val="center"/>
              <w:rPr>
                <w:rFonts w:ascii="宋体" w:hAnsi="宋体" w:cs="宋体"/>
              </w:rPr>
            </w:pPr>
          </w:p>
        </w:tc>
        <w:tc>
          <w:tcPr>
            <w:tcW w:w="938" w:type="pct"/>
            <w:shd w:val="clear" w:color="auto" w:fill="auto"/>
            <w:vAlign w:val="center"/>
          </w:tcPr>
          <w:p w14:paraId="5039B4ED">
            <w:pPr>
              <w:jc w:val="center"/>
              <w:rPr>
                <w:rFonts w:ascii="宋体" w:hAnsi="宋体" w:cs="宋体"/>
              </w:rPr>
            </w:pPr>
            <w:r>
              <w:rPr>
                <w:rFonts w:hint="eastAsia" w:ascii="宋体" w:hAnsi="宋体" w:cs="宋体"/>
              </w:rPr>
              <w:t>医德医风</w:t>
            </w:r>
          </w:p>
        </w:tc>
        <w:tc>
          <w:tcPr>
            <w:tcW w:w="2958" w:type="pct"/>
            <w:shd w:val="clear" w:color="auto" w:fill="auto"/>
            <w:vAlign w:val="center"/>
          </w:tcPr>
          <w:p w14:paraId="50DEC6E2">
            <w:pPr>
              <w:rPr>
                <w:rFonts w:ascii="宋体" w:hAnsi="宋体" w:cs="宋体"/>
              </w:rPr>
            </w:pPr>
            <w:r>
              <w:rPr>
                <w:rFonts w:hint="eastAsia" w:ascii="宋体" w:hAnsi="宋体" w:cs="宋体"/>
              </w:rPr>
              <w:t>所有临床科室、职能科室、行风办、监查室</w:t>
            </w:r>
          </w:p>
        </w:tc>
      </w:tr>
      <w:tr w14:paraId="4C30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1A204F19">
            <w:pPr>
              <w:jc w:val="center"/>
              <w:rPr>
                <w:rFonts w:ascii="宋体" w:hAnsi="宋体" w:cs="宋体"/>
              </w:rPr>
            </w:pPr>
            <w:r>
              <w:rPr>
                <w:rFonts w:hint="eastAsia" w:ascii="宋体" w:hAnsi="宋体" w:cs="宋体"/>
              </w:rPr>
              <w:t>4</w:t>
            </w:r>
          </w:p>
        </w:tc>
        <w:tc>
          <w:tcPr>
            <w:tcW w:w="658" w:type="pct"/>
            <w:vMerge w:val="continue"/>
            <w:shd w:val="clear" w:color="auto" w:fill="auto"/>
            <w:vAlign w:val="center"/>
          </w:tcPr>
          <w:p w14:paraId="648732AB">
            <w:pPr>
              <w:jc w:val="center"/>
              <w:rPr>
                <w:rFonts w:ascii="宋体" w:hAnsi="宋体" w:cs="宋体"/>
              </w:rPr>
            </w:pPr>
          </w:p>
        </w:tc>
        <w:tc>
          <w:tcPr>
            <w:tcW w:w="938" w:type="pct"/>
            <w:shd w:val="clear" w:color="auto" w:fill="auto"/>
            <w:vAlign w:val="center"/>
          </w:tcPr>
          <w:p w14:paraId="31AFB9FD">
            <w:pPr>
              <w:jc w:val="center"/>
              <w:rPr>
                <w:rFonts w:ascii="宋体" w:hAnsi="宋体" w:cs="宋体"/>
              </w:rPr>
            </w:pPr>
            <w:r>
              <w:rPr>
                <w:rFonts w:hint="eastAsia" w:ascii="宋体" w:hAnsi="宋体" w:cs="宋体"/>
              </w:rPr>
              <w:t>病区随访</w:t>
            </w:r>
          </w:p>
        </w:tc>
        <w:tc>
          <w:tcPr>
            <w:tcW w:w="2958" w:type="pct"/>
            <w:shd w:val="clear" w:color="auto" w:fill="auto"/>
            <w:vAlign w:val="center"/>
          </w:tcPr>
          <w:p w14:paraId="3D7F0005">
            <w:pPr>
              <w:rPr>
                <w:rFonts w:ascii="宋体" w:hAnsi="宋体" w:cs="宋体"/>
              </w:rPr>
            </w:pPr>
            <w:r>
              <w:rPr>
                <w:rFonts w:hint="eastAsia" w:ascii="宋体" w:hAnsi="宋体" w:cs="宋体"/>
              </w:rPr>
              <w:t>所有住院科室</w:t>
            </w:r>
          </w:p>
        </w:tc>
      </w:tr>
      <w:tr w14:paraId="2438A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7C19BB04">
            <w:pPr>
              <w:jc w:val="center"/>
              <w:rPr>
                <w:rFonts w:ascii="宋体" w:hAnsi="宋体" w:cs="宋体"/>
              </w:rPr>
            </w:pPr>
            <w:r>
              <w:rPr>
                <w:rFonts w:hint="eastAsia" w:ascii="宋体" w:hAnsi="宋体" w:cs="宋体"/>
              </w:rPr>
              <w:t>5</w:t>
            </w:r>
          </w:p>
        </w:tc>
        <w:tc>
          <w:tcPr>
            <w:tcW w:w="658" w:type="pct"/>
            <w:vMerge w:val="continue"/>
            <w:shd w:val="clear" w:color="auto" w:fill="auto"/>
            <w:vAlign w:val="center"/>
          </w:tcPr>
          <w:p w14:paraId="02287B06">
            <w:pPr>
              <w:jc w:val="center"/>
              <w:rPr>
                <w:rFonts w:ascii="宋体" w:hAnsi="宋体" w:cs="宋体"/>
              </w:rPr>
            </w:pPr>
          </w:p>
        </w:tc>
        <w:tc>
          <w:tcPr>
            <w:tcW w:w="938" w:type="pct"/>
            <w:shd w:val="clear" w:color="auto" w:fill="auto"/>
            <w:vAlign w:val="center"/>
          </w:tcPr>
          <w:p w14:paraId="66043E50">
            <w:pPr>
              <w:jc w:val="center"/>
              <w:rPr>
                <w:rFonts w:ascii="宋体" w:hAnsi="宋体" w:cs="宋体"/>
              </w:rPr>
            </w:pPr>
            <w:r>
              <w:rPr>
                <w:rFonts w:hint="eastAsia" w:ascii="宋体" w:hAnsi="宋体" w:cs="宋体"/>
              </w:rPr>
              <w:t>体检随访</w:t>
            </w:r>
          </w:p>
        </w:tc>
        <w:tc>
          <w:tcPr>
            <w:tcW w:w="2958" w:type="pct"/>
            <w:shd w:val="clear" w:color="auto" w:fill="auto"/>
            <w:vAlign w:val="center"/>
          </w:tcPr>
          <w:p w14:paraId="4BD7788D">
            <w:pPr>
              <w:rPr>
                <w:rFonts w:ascii="宋体" w:hAnsi="宋体" w:cs="宋体"/>
              </w:rPr>
            </w:pPr>
            <w:r>
              <w:rPr>
                <w:rFonts w:hint="eastAsia" w:ascii="宋体" w:hAnsi="宋体" w:cs="宋体"/>
              </w:rPr>
              <w:t>体检中心</w:t>
            </w:r>
          </w:p>
        </w:tc>
      </w:tr>
      <w:tr w14:paraId="22E7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2BCD2333">
            <w:pPr>
              <w:jc w:val="center"/>
              <w:rPr>
                <w:rFonts w:ascii="宋体" w:hAnsi="宋体" w:cs="宋体"/>
              </w:rPr>
            </w:pPr>
            <w:r>
              <w:rPr>
                <w:rFonts w:hint="eastAsia" w:ascii="宋体" w:hAnsi="宋体" w:cs="宋体"/>
              </w:rPr>
              <w:t>6</w:t>
            </w:r>
          </w:p>
        </w:tc>
        <w:tc>
          <w:tcPr>
            <w:tcW w:w="658" w:type="pct"/>
            <w:vMerge w:val="continue"/>
            <w:shd w:val="clear" w:color="auto" w:fill="auto"/>
            <w:vAlign w:val="center"/>
          </w:tcPr>
          <w:p w14:paraId="77CC1B5D">
            <w:pPr>
              <w:jc w:val="center"/>
              <w:rPr>
                <w:rFonts w:ascii="宋体" w:hAnsi="宋体" w:cs="宋体"/>
              </w:rPr>
            </w:pPr>
          </w:p>
        </w:tc>
        <w:tc>
          <w:tcPr>
            <w:tcW w:w="938" w:type="pct"/>
            <w:shd w:val="clear" w:color="auto" w:fill="auto"/>
            <w:vAlign w:val="center"/>
          </w:tcPr>
          <w:p w14:paraId="6C42B5B2">
            <w:pPr>
              <w:jc w:val="center"/>
              <w:rPr>
                <w:rFonts w:ascii="宋体" w:hAnsi="宋体" w:cs="宋体"/>
              </w:rPr>
            </w:pPr>
            <w:r>
              <w:rPr>
                <w:rFonts w:hint="eastAsia" w:ascii="宋体" w:hAnsi="宋体" w:cs="宋体"/>
              </w:rPr>
              <w:t>通用专病随访</w:t>
            </w:r>
          </w:p>
        </w:tc>
        <w:tc>
          <w:tcPr>
            <w:tcW w:w="2958" w:type="pct"/>
            <w:shd w:val="clear" w:color="auto" w:fill="auto"/>
            <w:vAlign w:val="center"/>
          </w:tcPr>
          <w:p w14:paraId="564151B1">
            <w:pPr>
              <w:rPr>
                <w:rFonts w:ascii="宋体" w:hAnsi="宋体" w:cs="宋体"/>
              </w:rPr>
            </w:pPr>
            <w:r>
              <w:rPr>
                <w:rFonts w:hint="eastAsia" w:ascii="宋体" w:hAnsi="宋体" w:cs="宋体"/>
              </w:rPr>
              <w:t>有专病随访需求的门诊、住院科室</w:t>
            </w:r>
          </w:p>
        </w:tc>
      </w:tr>
      <w:tr w14:paraId="3FBD2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348A0F29">
            <w:pPr>
              <w:jc w:val="center"/>
              <w:rPr>
                <w:rFonts w:ascii="宋体" w:hAnsi="宋体" w:cs="宋体"/>
              </w:rPr>
            </w:pPr>
            <w:r>
              <w:rPr>
                <w:rFonts w:hint="eastAsia" w:ascii="宋体" w:hAnsi="宋体" w:cs="宋体"/>
              </w:rPr>
              <w:t>7</w:t>
            </w:r>
          </w:p>
        </w:tc>
        <w:tc>
          <w:tcPr>
            <w:tcW w:w="658" w:type="pct"/>
            <w:vMerge w:val="continue"/>
            <w:shd w:val="clear" w:color="auto" w:fill="auto"/>
            <w:vAlign w:val="center"/>
          </w:tcPr>
          <w:p w14:paraId="2F746E97">
            <w:pPr>
              <w:jc w:val="center"/>
              <w:rPr>
                <w:rFonts w:ascii="宋体" w:hAnsi="宋体" w:cs="宋体"/>
              </w:rPr>
            </w:pPr>
          </w:p>
        </w:tc>
        <w:tc>
          <w:tcPr>
            <w:tcW w:w="938" w:type="pct"/>
            <w:shd w:val="clear" w:color="auto" w:fill="auto"/>
            <w:vAlign w:val="center"/>
          </w:tcPr>
          <w:p w14:paraId="20C35067">
            <w:pPr>
              <w:jc w:val="center"/>
              <w:rPr>
                <w:rFonts w:ascii="宋体" w:hAnsi="宋体" w:cs="宋体"/>
              </w:rPr>
            </w:pPr>
            <w:r>
              <w:rPr>
                <w:rFonts w:hint="eastAsia" w:ascii="宋体" w:hAnsi="宋体" w:cs="宋体"/>
              </w:rPr>
              <w:t>科研课题管理</w:t>
            </w:r>
          </w:p>
        </w:tc>
        <w:tc>
          <w:tcPr>
            <w:tcW w:w="2958" w:type="pct"/>
            <w:shd w:val="clear" w:color="auto" w:fill="auto"/>
            <w:vAlign w:val="center"/>
          </w:tcPr>
          <w:p w14:paraId="7FF04612">
            <w:pPr>
              <w:rPr>
                <w:rFonts w:ascii="宋体" w:hAnsi="宋体" w:cs="宋体"/>
              </w:rPr>
            </w:pPr>
            <w:r>
              <w:rPr>
                <w:rFonts w:hint="eastAsia" w:ascii="宋体" w:hAnsi="宋体" w:cs="宋体"/>
              </w:rPr>
              <w:t>所有临床科室、病案室、科教科</w:t>
            </w:r>
          </w:p>
        </w:tc>
      </w:tr>
      <w:tr w14:paraId="629FC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574477D5">
            <w:pPr>
              <w:jc w:val="center"/>
              <w:rPr>
                <w:rFonts w:ascii="宋体" w:hAnsi="宋体" w:cs="宋体"/>
              </w:rPr>
            </w:pPr>
            <w:r>
              <w:rPr>
                <w:rFonts w:hint="eastAsia" w:ascii="宋体" w:hAnsi="宋体" w:cs="宋体"/>
              </w:rPr>
              <w:t>8</w:t>
            </w:r>
          </w:p>
        </w:tc>
        <w:tc>
          <w:tcPr>
            <w:tcW w:w="658" w:type="pct"/>
            <w:vMerge w:val="continue"/>
            <w:shd w:val="clear" w:color="auto" w:fill="auto"/>
            <w:vAlign w:val="center"/>
          </w:tcPr>
          <w:p w14:paraId="78B615B8">
            <w:pPr>
              <w:jc w:val="center"/>
              <w:rPr>
                <w:rFonts w:ascii="宋体" w:hAnsi="宋体" w:cs="宋体"/>
              </w:rPr>
            </w:pPr>
          </w:p>
        </w:tc>
        <w:tc>
          <w:tcPr>
            <w:tcW w:w="938" w:type="pct"/>
            <w:shd w:val="clear" w:color="auto" w:fill="auto"/>
            <w:vAlign w:val="center"/>
          </w:tcPr>
          <w:p w14:paraId="7C6C30E5">
            <w:pPr>
              <w:jc w:val="center"/>
              <w:rPr>
                <w:rFonts w:ascii="宋体" w:hAnsi="宋体" w:cs="宋体"/>
              </w:rPr>
            </w:pPr>
            <w:r>
              <w:rPr>
                <w:rFonts w:hint="eastAsia" w:ascii="宋体" w:hAnsi="宋体" w:cs="宋体"/>
              </w:rPr>
              <w:t>健康宣教</w:t>
            </w:r>
          </w:p>
        </w:tc>
        <w:tc>
          <w:tcPr>
            <w:tcW w:w="2958" w:type="pct"/>
            <w:shd w:val="clear" w:color="auto" w:fill="auto"/>
            <w:vAlign w:val="center"/>
          </w:tcPr>
          <w:p w14:paraId="5D9CC789">
            <w:pPr>
              <w:rPr>
                <w:rFonts w:ascii="宋体" w:hAnsi="宋体" w:cs="宋体"/>
              </w:rPr>
            </w:pPr>
            <w:r>
              <w:rPr>
                <w:rFonts w:hint="eastAsia" w:ascii="宋体" w:hAnsi="宋体" w:cs="宋体"/>
              </w:rPr>
              <w:t>所有住院科室</w:t>
            </w:r>
          </w:p>
        </w:tc>
      </w:tr>
      <w:tr w14:paraId="57C8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5" w:type="pct"/>
            <w:shd w:val="clear" w:color="auto" w:fill="auto"/>
            <w:vAlign w:val="center"/>
          </w:tcPr>
          <w:p w14:paraId="269BC115">
            <w:pPr>
              <w:jc w:val="center"/>
              <w:rPr>
                <w:rFonts w:ascii="宋体" w:hAnsi="宋体" w:cs="宋体"/>
              </w:rPr>
            </w:pPr>
            <w:r>
              <w:rPr>
                <w:rFonts w:hint="eastAsia" w:ascii="宋体" w:hAnsi="宋体" w:cs="宋体"/>
              </w:rPr>
              <w:t>9</w:t>
            </w:r>
          </w:p>
        </w:tc>
        <w:tc>
          <w:tcPr>
            <w:tcW w:w="658" w:type="pct"/>
            <w:vMerge w:val="continue"/>
            <w:shd w:val="clear" w:color="auto" w:fill="auto"/>
            <w:vAlign w:val="center"/>
          </w:tcPr>
          <w:p w14:paraId="404B0517">
            <w:pPr>
              <w:jc w:val="center"/>
              <w:rPr>
                <w:rFonts w:ascii="宋体" w:hAnsi="宋体" w:cs="宋体"/>
              </w:rPr>
            </w:pPr>
          </w:p>
        </w:tc>
        <w:tc>
          <w:tcPr>
            <w:tcW w:w="938" w:type="pct"/>
            <w:shd w:val="clear" w:color="auto" w:fill="auto"/>
            <w:vAlign w:val="center"/>
          </w:tcPr>
          <w:p w14:paraId="190F219E">
            <w:pPr>
              <w:jc w:val="center"/>
              <w:rPr>
                <w:rFonts w:ascii="宋体" w:hAnsi="宋体" w:cs="宋体"/>
              </w:rPr>
            </w:pPr>
            <w:r>
              <w:rPr>
                <w:rFonts w:hint="eastAsia" w:ascii="宋体" w:hAnsi="宋体" w:cs="宋体"/>
              </w:rPr>
              <w:t>AI语音平台</w:t>
            </w:r>
          </w:p>
        </w:tc>
        <w:tc>
          <w:tcPr>
            <w:tcW w:w="2958" w:type="pct"/>
            <w:shd w:val="clear" w:color="auto" w:fill="auto"/>
            <w:vAlign w:val="center"/>
          </w:tcPr>
          <w:p w14:paraId="74897134">
            <w:pPr>
              <w:rPr>
                <w:rFonts w:ascii="宋体" w:hAnsi="宋体" w:cs="宋体"/>
              </w:rPr>
            </w:pPr>
            <w:r>
              <w:rPr>
                <w:rFonts w:hint="eastAsia" w:ascii="宋体" w:hAnsi="宋体" w:cs="宋体"/>
              </w:rPr>
              <w:t>所有门诊、住院科室</w:t>
            </w:r>
          </w:p>
        </w:tc>
      </w:tr>
    </w:tbl>
    <w:p w14:paraId="4D14598A">
      <w:pPr>
        <w:pBdr>
          <w:top w:val="none" w:color="000000" w:sz="0" w:space="0"/>
          <w:left w:val="none" w:color="000000" w:sz="0" w:space="0"/>
          <w:bottom w:val="none" w:color="000000" w:sz="0" w:space="0"/>
          <w:right w:val="none" w:color="000000" w:sz="0" w:space="0"/>
        </w:pBdr>
        <w:spacing w:before="120" w:after="120" w:line="85" w:lineRule="atLeast"/>
        <w:ind w:firstLine="482"/>
        <w:outlineLvl w:val="2"/>
        <w:rPr>
          <w:rFonts w:ascii="宋体" w:hAnsi="宋体" w:cs="宋体"/>
          <w:b/>
          <w:color w:val="000000"/>
          <w:sz w:val="24"/>
          <w:szCs w:val="22"/>
        </w:rPr>
      </w:pPr>
      <w:bookmarkStart w:id="110" w:name="_Toc3555"/>
      <w:r>
        <w:rPr>
          <w:rFonts w:hint="eastAsia" w:ascii="宋体" w:hAnsi="宋体" w:cs="宋体"/>
          <w:b/>
          <w:color w:val="000000"/>
          <w:sz w:val="24"/>
          <w:szCs w:val="22"/>
        </w:rPr>
        <w:t>2.2 功能要求</w:t>
      </w:r>
      <w:bookmarkEnd w:id="110"/>
    </w:p>
    <w:p w14:paraId="20BBE54B">
      <w:pPr>
        <w:pBdr>
          <w:top w:val="none" w:color="000000" w:sz="0" w:space="0"/>
          <w:left w:val="none" w:color="000000" w:sz="0" w:space="0"/>
          <w:bottom w:val="none" w:color="000000" w:sz="0" w:space="0"/>
          <w:right w:val="none" w:color="000000" w:sz="0" w:space="0"/>
        </w:pBdr>
        <w:spacing w:before="120" w:after="120" w:line="85" w:lineRule="atLeast"/>
        <w:ind w:firstLine="482" w:firstLineChars="200"/>
        <w:outlineLvl w:val="3"/>
        <w:rPr>
          <w:rFonts w:ascii="宋体" w:hAnsi="宋体" w:cs="宋体"/>
          <w:b/>
          <w:bCs/>
          <w:sz w:val="24"/>
          <w:szCs w:val="24"/>
        </w:rPr>
      </w:pPr>
      <w:r>
        <w:rPr>
          <w:rFonts w:hint="eastAsia" w:ascii="宋体" w:hAnsi="宋体" w:cs="宋体"/>
          <w:b/>
          <w:bCs/>
          <w:sz w:val="24"/>
          <w:szCs w:val="24"/>
        </w:rPr>
        <w:t>2.2.1 业务基础平台</w:t>
      </w:r>
    </w:p>
    <w:p w14:paraId="63581FC6">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rPr>
      </w:pPr>
      <w:r>
        <w:rPr>
          <w:rFonts w:hint="eastAsia" w:ascii="宋体" w:hAnsi="宋体" w:cs="宋体"/>
          <w:b/>
          <w:bCs/>
        </w:rPr>
        <w:t>2.2.1.1 数据接口：</w:t>
      </w:r>
      <w:r>
        <w:rPr>
          <w:rFonts w:hint="eastAsia" w:ascii="宋体" w:hAnsi="宋体" w:cs="宋体"/>
        </w:rPr>
        <w:t>院内系统对接：支持与医院HIS系统对接，实现患者信息、就诊记录导入、列表查询与展现。</w:t>
      </w:r>
    </w:p>
    <w:p w14:paraId="46C7CB3E">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2.2.1.2 我的桌面</w:t>
      </w:r>
    </w:p>
    <w:p w14:paraId="79CCDAF8">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5"/>
        <w:rPr>
          <w:rFonts w:ascii="宋体" w:hAnsi="宋体" w:cs="宋体"/>
        </w:rPr>
      </w:pPr>
      <w:r>
        <w:rPr>
          <w:rFonts w:hint="eastAsia" w:ascii="宋体" w:hAnsi="宋体" w:cs="宋体"/>
        </w:rPr>
        <w:t>2.2.1.2.1 待办事项：针对不同用户，实现首页模块自定义配置显示模块，包括随访管理、健康宣教、满意度调查、消息通知等待办事项。</w:t>
      </w:r>
    </w:p>
    <w:p w14:paraId="42F946F1">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5"/>
        <w:rPr>
          <w:rFonts w:ascii="宋体" w:hAnsi="宋体" w:cs="宋体"/>
        </w:rPr>
      </w:pPr>
      <w:r>
        <w:rPr>
          <w:rFonts w:hint="eastAsia" w:ascii="宋体" w:hAnsi="宋体" w:cs="宋体"/>
        </w:rPr>
        <w:t>2.2.1.2.2 随访窗口：在随访窗口提供随访任务快捷处理入口，包括待随访、随访异常任务、已完成、未完成任务入口。</w:t>
      </w:r>
    </w:p>
    <w:p w14:paraId="70236649">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 xml:space="preserve">2.2.1.2.3 满意度调查窗口：在满意度调查窗口提供满意度调查快捷处理入口，包括待随访、随访异常任务、已完成、未完成任务入口。 </w:t>
      </w:r>
    </w:p>
    <w:p w14:paraId="1917FD73">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2.2.1.2.4 健康宣教窗口：在健康宣教窗口提供宣教任务快捷处理入口，包括未读、已宣教、已读、总数宣教任务入口。</w:t>
      </w:r>
    </w:p>
    <w:p w14:paraId="4862F33A">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 xml:space="preserve">2.2.1.2.5 消息窗口：在我的消息窗口提供消息处理入口，包括未读、已读、已处理、总数消息任务入口。 </w:t>
      </w:r>
    </w:p>
    <w:p w14:paraId="1719D8BB">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2.2.1.3 患者基础档案</w:t>
      </w:r>
    </w:p>
    <w:p w14:paraId="559C3D8C">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2.2.1.3.1 患者健康档案：支持患者健康档案中查看患者个人信息，包括姓名、性别、年龄、电话等基本信息；支持维护患者使用的联系方式，患者家属主要联系人的电话号码信息。支持显示和查看患者全息综合信息，按时间倒序展示历次门诊、住院、随访信息。</w:t>
      </w:r>
    </w:p>
    <w:p w14:paraId="65F205DD">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2.2.1.3.2 医疗档案：医疗档案记录患者个人的历次门诊、住院等诊疗记录，支持查看、编辑维护。在该患者所有诊疗记录内提供搜索查询。</w:t>
      </w:r>
    </w:p>
    <w:p w14:paraId="10D7DF9B">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2.2.1.3.3 业务记录：业务管理记录患者个人的历次随访、异常随访、反馈、电话、短信等业务记录，每个业务记录页面提供相应的功能项，在随访记录页面提供电话联系患者功能；异常随访页面提供新建计划、设置处理状态功能；短信记录页面提供短信发送功能。在该患者所有业务记录内提供搜索查询功能。</w:t>
      </w:r>
    </w:p>
    <w:p w14:paraId="44A9FB80">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2.2.1.3.4 门诊诊疗信息：查看患者历次门诊诊疗信息，包括就诊记录、门诊诊断、检查等；按照时间顺序对患者历次门诊诊疗记录进行排列，同时可查看门诊就诊次数。</w:t>
      </w:r>
    </w:p>
    <w:p w14:paraId="48222E33">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2.2.1.3.5 住院诊疗信息：支持查看历次住院诊疗记录，包括出院记录、医嘱信息等；按照时间顺序对历次门诊诊疗记录进行排列，同时可查看门诊就诊次数。</w:t>
      </w:r>
    </w:p>
    <w:p w14:paraId="6253260E">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b/>
          <w:bCs/>
        </w:rPr>
      </w:pPr>
      <w:r>
        <w:rPr>
          <w:rFonts w:hint="eastAsia" w:ascii="宋体" w:hAnsi="宋体" w:cs="宋体"/>
        </w:rPr>
        <w:t>2.2.1.3.6 ▲患者标记：支持自定义设置标记，并可以自定义标记的颜色及分组，如医患组可设置纠纷、友好、黑名单等标记，管理组可设置长期、待观察、高危等标记，病种组可设置高血压、糖尿病、肿瘤等标记。可对患者选择一个或多个标记，标记可作为查询条件进行查询。</w:t>
      </w:r>
      <w:r>
        <w:rPr>
          <w:rFonts w:hint="eastAsia" w:ascii="宋体" w:hAnsi="宋体" w:cs="宋体"/>
          <w:b/>
          <w:bCs/>
        </w:rPr>
        <w:t>(提供系统演示视频）</w:t>
      </w:r>
    </w:p>
    <w:p w14:paraId="2AE7C486">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2.2.1.3.7 ▲档案字段增加：可以对患者信息页面进行微调，以非代码方式自定义增加患者档案信息字段，对患者档案进行本地化个性化调整，字段位置可灵活定位，字段属性可以是文本输入、选项、数字或日期、可设置可空或必填。</w:t>
      </w:r>
      <w:r>
        <w:rPr>
          <w:rFonts w:hint="eastAsia" w:ascii="宋体" w:hAnsi="宋体" w:cs="宋体"/>
          <w:b/>
          <w:bCs/>
        </w:rPr>
        <w:t>(提供系统演示视频）</w:t>
      </w:r>
    </w:p>
    <w:p w14:paraId="186B0F91">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2.2.1.3.8 快捷互动：支持在列表页点击患者联系电话，即可进入拨号页面，支持一键拨号、短信发送、微信推送等操作。</w:t>
      </w:r>
    </w:p>
    <w:p w14:paraId="5E40DAB5">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2.2.1.4 患者查询管理</w:t>
      </w:r>
    </w:p>
    <w:p w14:paraId="791331F5">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2.2.1.4.1 搜索查询：在患者基本信息、住院信息、门诊信息、随访信息等所有信息列表页提供搜索查询功能，支持多条件组合查询。支持将某个查询方案保存并命名；支持将该查询方案的权限设置为通用方案或指定角色，所有用户或指定角色用户可共享该查询方案。</w:t>
      </w:r>
    </w:p>
    <w:p w14:paraId="70708CE5">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2.2.1.4.2 ▲快捷查询：支持将常用的查询条件设置成自定义快捷查询按钮，在列表页显示，可自定义名称及颜色。</w:t>
      </w:r>
      <w:r>
        <w:rPr>
          <w:rFonts w:hint="eastAsia" w:ascii="宋体" w:hAnsi="宋体" w:cs="宋体"/>
          <w:b/>
          <w:bCs/>
        </w:rPr>
        <w:t>(提供系统演示视频）</w:t>
      </w:r>
    </w:p>
    <w:p w14:paraId="28DA2800">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b/>
          <w:bCs/>
        </w:rPr>
      </w:pPr>
      <w:r>
        <w:rPr>
          <w:rFonts w:hint="eastAsia" w:ascii="宋体" w:hAnsi="宋体" w:cs="宋体"/>
        </w:rPr>
        <w:t>2.2.1.4.3 ▲全局高级查询：在任意患者信息列表页的搜索功能中，支持全局跨页面多条件组合查询，如在患者基本信息页面，可以自定义关联检验、检查、住院、随访等页面的字段作为查询条件。请提供至少３种不同信息页不少于５个字段组合的查询方案。</w:t>
      </w:r>
      <w:r>
        <w:rPr>
          <w:rFonts w:hint="eastAsia" w:ascii="宋体" w:hAnsi="宋体" w:cs="宋体"/>
          <w:b/>
          <w:bCs/>
        </w:rPr>
        <w:t>(提供系统演示视频）</w:t>
      </w:r>
    </w:p>
    <w:p w14:paraId="543D56C0">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2.2.1.4.4 列表参数设置：支持自定义调整对患者信息、门诊、住院、随访等信息的列表项进行顺序调整、隐藏等设置，仅展示需要看到的列表项，并保存为通用方案或指定角色方案，所有用户或指定角色用户均可共享该展示方案。</w:t>
      </w:r>
    </w:p>
    <w:p w14:paraId="5035D9EB">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2.2.1.4.5 自定义排序设置：支持自定义按列表项名称的顺序或倒序设置患者排序规则，如按时间、年龄、数字、首字母等大小进行排序，显示患者列表。患者列表支持列表和卡片2种展现形式切换。</w:t>
      </w:r>
    </w:p>
    <w:p w14:paraId="3CF5E1DD">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2.2.1.5 知识库管理</w:t>
      </w:r>
    </w:p>
    <w:p w14:paraId="3FE6BECA">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2.2.1.5.1 宣教知识库：提供健康宣教知识库管理，医院可添加专科护理相关知识条目。支持文字、图片形式，配置编辑工具，可自定义进行编辑。</w:t>
      </w:r>
    </w:p>
    <w:p w14:paraId="12322D9E">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2.2.1.5.2 通知模板库：提供短消、微信息模板管理，支持通知模板、节日问候模板、复诊短语模板的维护管理。</w:t>
      </w:r>
    </w:p>
    <w:p w14:paraId="2A0CBEE5">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2.2.1.5.3 问卷题型设置：支持为每个表单设置随访方式，包括电话、短信、微信、PAD等；系统支持多题型（文本填空题，单选题，多选题，矩阵题，图片选择题，下拉选择题，多选输入框题）随访表单的自定义设置及问题选项内容维护；问卷设置支持共享权限和修改权限设置。布局控件支持答案整行布局、等宽列布局、最小值布局等形式。</w:t>
      </w:r>
    </w:p>
    <w:p w14:paraId="46042F62">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2.2.1.5.4 问卷选项解读：支持对问题答案进行解释，解释内容形式包括选项、文字输入及文本提示；支持维护题目之间跳题逻辑；</w:t>
      </w:r>
    </w:p>
    <w:p w14:paraId="299A946D">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b/>
          <w:bCs/>
        </w:rPr>
      </w:pPr>
      <w:r>
        <w:rPr>
          <w:rFonts w:hint="eastAsia" w:ascii="宋体" w:hAnsi="宋体" w:cs="宋体"/>
        </w:rPr>
        <w:t>2.2.1.5.5 ▲问卷异常项设置：支持随访异常设置，可自定义配置某问题的异常判断条件，判定方式不少于5种。</w:t>
      </w:r>
      <w:r>
        <w:rPr>
          <w:rFonts w:hint="eastAsia" w:ascii="宋体" w:hAnsi="宋体" w:cs="宋体"/>
          <w:b/>
          <w:bCs/>
        </w:rPr>
        <w:t>(提供系统演示视频）</w:t>
      </w:r>
    </w:p>
    <w:p w14:paraId="2A3CDA90">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2.2.1.5.6 问题调用：随访表单编辑时支持从问题库引用单题，用于统一统计管理。随访表单维护好后，可进行预览查看，并且保存发布。</w:t>
      </w:r>
    </w:p>
    <w:p w14:paraId="7B998C4B">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2.2.1.5.7 问题库管理：提供问题库管理，支持选择系统内随访表单中的优质的问题批量添加到问题库中，自动生成ID，多套随访表单可以快速调用共享同一ID的问题。</w:t>
      </w:r>
    </w:p>
    <w:p w14:paraId="4CA80C1C">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2.2.1.5.8 疾病知识库：提供600种以上疾病知识库，同时可进行编辑维护。</w:t>
      </w:r>
    </w:p>
    <w:p w14:paraId="65E5798B">
      <w:pPr>
        <w:pBdr>
          <w:top w:val="none" w:color="000000" w:sz="0" w:space="0"/>
          <w:left w:val="none" w:color="000000" w:sz="0" w:space="0"/>
          <w:bottom w:val="none" w:color="000000" w:sz="0" w:space="0"/>
          <w:right w:val="none" w:color="000000" w:sz="0" w:space="0"/>
        </w:pBdr>
        <w:spacing w:before="120" w:after="120" w:line="85" w:lineRule="atLeast"/>
        <w:ind w:firstLine="482"/>
        <w:outlineLvl w:val="5"/>
        <w:rPr>
          <w:rFonts w:ascii="宋体" w:hAnsi="宋体" w:cs="宋体"/>
        </w:rPr>
      </w:pPr>
      <w:r>
        <w:rPr>
          <w:rFonts w:hint="eastAsia" w:ascii="宋体" w:hAnsi="宋体" w:cs="宋体"/>
        </w:rPr>
        <w:t>2.2.1.5.9 宣教关联：支持将知识条目与相应随访问卷关联，随访时快捷展现该条宣教知识，帮助医护人员服务患者。</w:t>
      </w:r>
    </w:p>
    <w:p w14:paraId="2F74AE80">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2.2.1.6 随访管理</w:t>
      </w:r>
    </w:p>
    <w:p w14:paraId="2A5738A5">
      <w:pPr>
        <w:ind w:firstLine="420" w:firstLineChars="200"/>
        <w:outlineLvl w:val="5"/>
        <w:rPr>
          <w:rFonts w:ascii="宋体" w:hAnsi="宋体" w:cs="宋体"/>
        </w:rPr>
      </w:pPr>
      <w:r>
        <w:rPr>
          <w:rFonts w:hint="eastAsia" w:ascii="宋体" w:hAnsi="宋体" w:cs="宋体"/>
        </w:rPr>
        <w:t>2.2.1.6.1 随访表单：提供通用随访表单模板，用户可直接使用库中的随访表单，无需所有的表单都要用户来自建。可根据科室需求进行修改调整，满足医院随访需求。</w:t>
      </w:r>
    </w:p>
    <w:p w14:paraId="6F24EB1B">
      <w:pPr>
        <w:ind w:firstLine="420" w:firstLineChars="200"/>
        <w:outlineLvl w:val="5"/>
        <w:rPr>
          <w:rFonts w:ascii="宋体" w:hAnsi="宋体" w:cs="宋体"/>
        </w:rPr>
      </w:pPr>
      <w:r>
        <w:rPr>
          <w:rFonts w:hint="eastAsia" w:ascii="宋体" w:hAnsi="宋体" w:cs="宋体"/>
        </w:rPr>
        <w:t>2.2.1.6.2 ▲分发参数设置：支持设置随访表单中的答案值作为系统执行条件，自动启动数据处理目标，处理目标项包括患者信息填入、创建任务、取消任务、关联反馈等任务，提交问卷符合执行条件，则自动启动任务。</w:t>
      </w:r>
      <w:r>
        <w:rPr>
          <w:rFonts w:hint="eastAsia" w:ascii="宋体" w:hAnsi="宋体" w:cs="宋体"/>
          <w:b/>
          <w:bCs/>
        </w:rPr>
        <w:t>(提供系统功能截图）</w:t>
      </w:r>
    </w:p>
    <w:p w14:paraId="765C4A7D">
      <w:pPr>
        <w:ind w:firstLine="420" w:firstLineChars="200"/>
        <w:outlineLvl w:val="5"/>
        <w:rPr>
          <w:rFonts w:ascii="宋体" w:hAnsi="宋体" w:cs="宋体"/>
        </w:rPr>
      </w:pPr>
      <w:r>
        <w:rPr>
          <w:rFonts w:hint="eastAsia" w:ascii="宋体" w:hAnsi="宋体" w:cs="宋体"/>
        </w:rPr>
        <w:t>2.2.1.6.3 分值管理：支持对随访表单进行分值管理，支持平均值、权重值、总和值、考试分值四种常用计算方式，并支持自定义配置算法，并为分值赋予结论意义。</w:t>
      </w:r>
    </w:p>
    <w:p w14:paraId="4DA29BF7">
      <w:pPr>
        <w:ind w:firstLine="420" w:firstLineChars="200"/>
        <w:outlineLvl w:val="5"/>
        <w:rPr>
          <w:rFonts w:ascii="宋体" w:hAnsi="宋体" w:cs="宋体"/>
        </w:rPr>
      </w:pPr>
      <w:r>
        <w:rPr>
          <w:rFonts w:hint="eastAsia" w:ascii="宋体" w:hAnsi="宋体" w:cs="宋体"/>
        </w:rPr>
        <w:t>2.2.1.6.4 随访路径设置</w:t>
      </w:r>
    </w:p>
    <w:p w14:paraId="724624A0">
      <w:pPr>
        <w:ind w:firstLine="420" w:firstLineChars="200"/>
        <w:outlineLvl w:val="6"/>
        <w:rPr>
          <w:rFonts w:ascii="宋体" w:hAnsi="宋体" w:cs="宋体"/>
        </w:rPr>
      </w:pPr>
      <w:r>
        <w:rPr>
          <w:rFonts w:hint="eastAsia" w:ascii="宋体" w:hAnsi="宋体" w:cs="宋体"/>
        </w:rPr>
        <w:t>2.2.1.6.4.1 支持按门诊、住院、随访科室需求创建随访计划，将随访表单、宣教知识和提醒消息按照时间组合。可设置随访路径的权限，在随访过程中是否可修改随访日期、随访问卷。</w:t>
      </w:r>
    </w:p>
    <w:p w14:paraId="07F7FC6C">
      <w:pPr>
        <w:ind w:firstLine="420" w:firstLineChars="200"/>
        <w:outlineLvl w:val="6"/>
        <w:rPr>
          <w:rFonts w:ascii="宋体" w:hAnsi="宋体" w:cs="宋体"/>
          <w:b/>
          <w:bCs/>
        </w:rPr>
      </w:pPr>
      <w:r>
        <w:rPr>
          <w:rFonts w:hint="eastAsia" w:ascii="宋体" w:hAnsi="宋体" w:cs="宋体"/>
        </w:rPr>
        <w:t>2.2.1.6.4.2 ▲可设置随访接收对象为本人、家属或全部。随访路径可设置计划起始日期，包括创建日期、最近门诊、最近出院、手术日期、最近入院日期、指定起始日期等。路径中的各个随访节点可设置在起始日期、上次日期之前或之后多少日、周、月、年。</w:t>
      </w:r>
      <w:r>
        <w:rPr>
          <w:rFonts w:hint="eastAsia" w:ascii="宋体" w:hAnsi="宋体" w:cs="宋体"/>
          <w:b/>
          <w:bCs/>
        </w:rPr>
        <w:t>(提供系统演示视频）</w:t>
      </w:r>
    </w:p>
    <w:p w14:paraId="4F9B7D19">
      <w:pPr>
        <w:ind w:firstLine="420" w:firstLineChars="200"/>
        <w:outlineLvl w:val="5"/>
        <w:rPr>
          <w:rFonts w:ascii="宋体" w:hAnsi="宋体" w:cs="宋体"/>
          <w:b/>
          <w:bCs/>
        </w:rPr>
      </w:pPr>
      <w:r>
        <w:rPr>
          <w:rFonts w:hint="eastAsia" w:ascii="宋体" w:hAnsi="宋体" w:cs="宋体"/>
        </w:rPr>
        <w:t>2.2.1.6.5 ▲随访规则管理：系统支持设置随访规则，自动筛选符合条件的患者，匹配相应的随访任务。支持设置随访时间间隔，避免对短时间再入院患者随访。支持设置优先级，支持设置是否开启自动过滤选项，包括：死亡患者、不接受随访、无联系方式等。</w:t>
      </w:r>
      <w:r>
        <w:rPr>
          <w:rFonts w:hint="eastAsia" w:ascii="宋体" w:hAnsi="宋体" w:cs="宋体"/>
          <w:b/>
          <w:bCs/>
        </w:rPr>
        <w:t>(提供系统演示视频）</w:t>
      </w:r>
    </w:p>
    <w:p w14:paraId="1B1AF4F6">
      <w:pPr>
        <w:ind w:firstLine="420" w:firstLineChars="200"/>
        <w:outlineLvl w:val="5"/>
        <w:rPr>
          <w:rFonts w:ascii="宋体" w:hAnsi="宋体" w:cs="宋体"/>
        </w:rPr>
      </w:pPr>
      <w:r>
        <w:rPr>
          <w:rFonts w:hint="eastAsia" w:ascii="宋体" w:hAnsi="宋体" w:cs="宋体"/>
        </w:rPr>
        <w:t>2.2.1.6.6 任务提醒：随访任务提醒，到期需要电话随访的患者在今日待访中展现，随访人员登录系统即可在桌面看到。</w:t>
      </w:r>
    </w:p>
    <w:p w14:paraId="743442C7">
      <w:pPr>
        <w:ind w:firstLine="420" w:firstLineChars="200"/>
        <w:outlineLvl w:val="5"/>
        <w:rPr>
          <w:rFonts w:ascii="宋体" w:hAnsi="宋体" w:cs="宋体"/>
        </w:rPr>
      </w:pPr>
      <w:r>
        <w:rPr>
          <w:rFonts w:hint="eastAsia" w:ascii="宋体" w:hAnsi="宋体" w:cs="宋体"/>
        </w:rPr>
        <w:t>2.2.1.6.7 ▲随访执行：具备多功能综合随访工作台，支持在执行随访时，无需跳转其他页面即可查看和修改患者基本信息、历次门诊住院信息、查看历次随访记录、历次通讯记录、查看当前随访问卷。支持在随访时，无需跳转其他页面就可以执行一键拨打电话、发送短信和微信，填写随访问卷、记录患者表扬投诉等反馈内容；支持支持在随访时，无需跳转其他页面，即可添加随访备注、联系人、患者标记，通过关键词查询知识库。支持在随访时，无需跳转其他页面就可以设置随访状态，取消随访、调整当前随访计划。</w:t>
      </w:r>
      <w:r>
        <w:rPr>
          <w:rFonts w:hint="eastAsia" w:ascii="宋体" w:hAnsi="宋体" w:cs="宋体"/>
          <w:b/>
          <w:bCs/>
        </w:rPr>
        <w:t>(提供系统演示视频）</w:t>
      </w:r>
    </w:p>
    <w:p w14:paraId="13F2BC17">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2.2.1.7电话平台</w:t>
      </w:r>
    </w:p>
    <w:p w14:paraId="62267221">
      <w:pPr>
        <w:ind w:firstLine="420" w:firstLineChars="200"/>
        <w:outlineLvl w:val="5"/>
        <w:rPr>
          <w:rFonts w:ascii="宋体" w:hAnsi="宋体" w:cs="宋体"/>
        </w:rPr>
      </w:pPr>
      <w:r>
        <w:rPr>
          <w:rFonts w:hint="eastAsia" w:ascii="宋体" w:hAnsi="宋体" w:cs="宋体"/>
        </w:rPr>
        <w:t>2.2.1.7.1一键外呼：提供按钮式的电话拨打功能，通过电话端点击按钮，即可发起电话。</w:t>
      </w:r>
    </w:p>
    <w:p w14:paraId="77F54988">
      <w:pPr>
        <w:ind w:firstLine="420" w:firstLineChars="200"/>
        <w:outlineLvl w:val="5"/>
        <w:rPr>
          <w:rFonts w:ascii="宋体" w:hAnsi="宋体" w:cs="宋体"/>
        </w:rPr>
      </w:pPr>
      <w:r>
        <w:rPr>
          <w:rFonts w:hint="eastAsia" w:ascii="宋体" w:hAnsi="宋体" w:cs="宋体"/>
        </w:rPr>
        <w:t>2.2.1.7.来去电弹屏：来去电时，电脑自动弹出通话患者的资料及历次沟通记录等，提供知识库和患者反馈登记功能。</w:t>
      </w:r>
    </w:p>
    <w:p w14:paraId="1812D5AD">
      <w:pPr>
        <w:ind w:firstLine="420" w:firstLineChars="200"/>
        <w:outlineLvl w:val="5"/>
        <w:rPr>
          <w:rFonts w:ascii="宋体" w:hAnsi="宋体" w:cs="宋体"/>
        </w:rPr>
      </w:pPr>
      <w:r>
        <w:rPr>
          <w:rFonts w:hint="eastAsia" w:ascii="宋体" w:hAnsi="宋体" w:cs="宋体"/>
        </w:rPr>
        <w:t>2.2.1.7.号码归属地：呼叫时可查看患者手机号码归属地，可区分患者是否为本地患者；支持后台加拨规则设置，支持区分本地、外地加拨规则，固化区号加拨，科室加拨规则。</w:t>
      </w:r>
    </w:p>
    <w:p w14:paraId="259C1DA6">
      <w:pPr>
        <w:ind w:firstLine="420" w:firstLineChars="200"/>
        <w:outlineLvl w:val="5"/>
        <w:rPr>
          <w:rFonts w:ascii="宋体" w:hAnsi="宋体" w:cs="宋体"/>
        </w:rPr>
      </w:pPr>
      <w:r>
        <w:rPr>
          <w:rFonts w:hint="eastAsia" w:ascii="宋体" w:hAnsi="宋体" w:cs="宋体"/>
        </w:rPr>
        <w:t>2.2.1.7.通话录音：所有来去电话均可自动保存并录音，录音文件存储于服务器电脑的硬盘上，具备相应权限的用户可随时查听。</w:t>
      </w:r>
    </w:p>
    <w:p w14:paraId="712A2DF0">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2.2.1.8 短信平台</w:t>
      </w:r>
    </w:p>
    <w:p w14:paraId="7A3138B6">
      <w:pPr>
        <w:ind w:firstLine="420" w:firstLineChars="200"/>
        <w:outlineLvl w:val="5"/>
        <w:rPr>
          <w:rFonts w:ascii="宋体" w:hAnsi="宋体" w:cs="宋体"/>
        </w:rPr>
      </w:pPr>
      <w:r>
        <w:rPr>
          <w:rFonts w:hint="eastAsia" w:ascii="宋体" w:hAnsi="宋体" w:cs="宋体"/>
        </w:rPr>
        <w:t>2.2.1.8.1 短信对接：可对接医院短信平台，实现短信推送服务（如普通短信的提醒、复诊提醒、生日祝福，带链接形式短信的宣教推送、表单的推送）</w:t>
      </w:r>
    </w:p>
    <w:p w14:paraId="4D5986F1">
      <w:pPr>
        <w:ind w:firstLine="420" w:firstLineChars="200"/>
        <w:outlineLvl w:val="5"/>
        <w:rPr>
          <w:rFonts w:ascii="宋体" w:hAnsi="宋体" w:cs="宋体"/>
        </w:rPr>
      </w:pPr>
      <w:r>
        <w:rPr>
          <w:rFonts w:hint="eastAsia" w:ascii="宋体" w:hAnsi="宋体" w:cs="宋体"/>
        </w:rPr>
        <w:t>2.2.1.8.2 短信快捷发送：支持在电话等场景下快速唤起短信发送界面，实时发送短信给患者。</w:t>
      </w:r>
    </w:p>
    <w:p w14:paraId="7E9AA9E2">
      <w:pPr>
        <w:ind w:firstLine="420" w:firstLineChars="200"/>
        <w:outlineLvl w:val="5"/>
        <w:rPr>
          <w:rFonts w:ascii="宋体" w:hAnsi="宋体" w:cs="宋体"/>
        </w:rPr>
      </w:pPr>
      <w:r>
        <w:rPr>
          <w:rFonts w:hint="eastAsia" w:ascii="宋体" w:hAnsi="宋体" w:cs="宋体"/>
        </w:rPr>
        <w:t>2.2.1.8.3 短信批量发送：支持制定短信定时任务，按科室，疾病等条件筛选门诊，住院，出院患者进行短信通知或到点提醒。</w:t>
      </w:r>
    </w:p>
    <w:p w14:paraId="0E74373E">
      <w:pPr>
        <w:ind w:firstLine="420" w:firstLineChars="200"/>
        <w:outlineLvl w:val="5"/>
        <w:rPr>
          <w:rFonts w:ascii="宋体" w:hAnsi="宋体" w:cs="宋体"/>
        </w:rPr>
      </w:pPr>
      <w:r>
        <w:rPr>
          <w:rFonts w:hint="eastAsia" w:ascii="宋体" w:hAnsi="宋体" w:cs="宋体"/>
        </w:rPr>
        <w:t>2.2.1.8.4 短信自动发送：支持建立短信自动任务，根据条件自动发送对应短信内容给患者。</w:t>
      </w:r>
    </w:p>
    <w:p w14:paraId="1B780DFB">
      <w:pPr>
        <w:ind w:firstLine="420" w:firstLineChars="200"/>
        <w:outlineLvl w:val="5"/>
        <w:rPr>
          <w:rFonts w:ascii="宋体" w:hAnsi="宋体" w:cs="宋体"/>
        </w:rPr>
      </w:pPr>
      <w:r>
        <w:rPr>
          <w:rFonts w:hint="eastAsia" w:ascii="宋体" w:hAnsi="宋体" w:cs="宋体"/>
        </w:rPr>
        <w:t>2.2.1.8.5 短信记录：支持查看通过系统发送的所有短信记录，支持根据发送时间、接收人、接收人电话、发送人、发送科室等条件进行查询，可查看发送状态。</w:t>
      </w:r>
    </w:p>
    <w:p w14:paraId="67BD2275">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2.2.1.9 微信平台</w:t>
      </w:r>
    </w:p>
    <w:p w14:paraId="5DDFDF42">
      <w:pPr>
        <w:ind w:firstLine="420" w:firstLineChars="200"/>
        <w:outlineLvl w:val="5"/>
        <w:rPr>
          <w:rFonts w:ascii="宋体" w:hAnsi="宋体" w:cs="宋体"/>
        </w:rPr>
      </w:pPr>
      <w:r>
        <w:rPr>
          <w:rFonts w:hint="eastAsia" w:ascii="宋体" w:hAnsi="宋体" w:cs="宋体"/>
        </w:rPr>
        <w:t>2.2.1.9.1 微信平台对接：支持与院方官方微信进行对接（须提供微信服务号），实现微信随访、宣教等推送服务。</w:t>
      </w:r>
    </w:p>
    <w:p w14:paraId="7084D15F">
      <w:pPr>
        <w:ind w:firstLine="420" w:firstLineChars="200"/>
        <w:outlineLvl w:val="5"/>
        <w:rPr>
          <w:rFonts w:ascii="宋体" w:hAnsi="宋体" w:cs="宋体"/>
        </w:rPr>
      </w:pPr>
      <w:r>
        <w:rPr>
          <w:rFonts w:hint="eastAsia" w:ascii="宋体" w:hAnsi="宋体" w:cs="宋体"/>
        </w:rPr>
        <w:t>2.2.1.9.2 用户管理：可查看所有已注册医院微信号的用户，并设置用户状态，维护和编辑微信用户信息。</w:t>
      </w:r>
    </w:p>
    <w:p w14:paraId="32612705">
      <w:pPr>
        <w:ind w:firstLine="420" w:firstLineChars="200"/>
        <w:outlineLvl w:val="5"/>
        <w:rPr>
          <w:rFonts w:ascii="宋体" w:hAnsi="宋体" w:cs="宋体"/>
        </w:rPr>
      </w:pPr>
      <w:r>
        <w:rPr>
          <w:rFonts w:hint="eastAsia" w:ascii="宋体" w:hAnsi="宋体" w:cs="宋体"/>
        </w:rPr>
        <w:t>2.2.1.9.3 微信发送：可以从患者信息、门诊、住院等列表中，选择患者推送微信模板消息，系统自动识别所选患者是否已注册医院微信服务号。</w:t>
      </w:r>
    </w:p>
    <w:p w14:paraId="5422A7E2">
      <w:pPr>
        <w:ind w:firstLine="420" w:firstLineChars="200"/>
        <w:outlineLvl w:val="5"/>
        <w:rPr>
          <w:rFonts w:ascii="宋体" w:hAnsi="宋体" w:cs="宋体"/>
        </w:rPr>
      </w:pPr>
      <w:r>
        <w:rPr>
          <w:rFonts w:hint="eastAsia" w:ascii="宋体" w:hAnsi="宋体" w:cs="宋体"/>
        </w:rPr>
        <w:t>2.2.1.9.4 消息记录：可查看已发微信消息、待访微信消息和已收到的微信消息。</w:t>
      </w:r>
    </w:p>
    <w:p w14:paraId="508F645D">
      <w:pPr>
        <w:ind w:firstLine="420" w:firstLineChars="200"/>
        <w:outlineLvl w:val="5"/>
        <w:rPr>
          <w:rFonts w:ascii="宋体" w:hAnsi="宋体" w:cs="宋体"/>
        </w:rPr>
      </w:pPr>
      <w:r>
        <w:rPr>
          <w:rFonts w:hint="eastAsia" w:ascii="宋体" w:hAnsi="宋体" w:cs="宋体"/>
        </w:rPr>
        <w:t>2.2.1.9.5 随访提醒：可通过微信服务号自动向医护人员推送到期随访任务，提醒随访。</w:t>
      </w:r>
    </w:p>
    <w:p w14:paraId="280A26C4">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2.2.1.10 系统管理</w:t>
      </w:r>
    </w:p>
    <w:p w14:paraId="287E0505">
      <w:pPr>
        <w:ind w:firstLine="420" w:firstLineChars="200"/>
        <w:outlineLvl w:val="5"/>
        <w:rPr>
          <w:rFonts w:ascii="宋体" w:hAnsi="宋体" w:cs="宋体"/>
        </w:rPr>
      </w:pPr>
      <w:r>
        <w:rPr>
          <w:rFonts w:hint="eastAsia" w:ascii="宋体" w:hAnsi="宋体" w:cs="宋体"/>
        </w:rPr>
        <w:t>2.2.1.10.1 角色设置：系统支持自定义添加、编辑、删除系统角色，并设置角色权限，支持通过勾选系统内所有的功能模块的方式自定义赋予某个角色的权限范围。支持自定义命名角色名称，护士、心内医生、系统管理员等。在新增或者编辑系统角色时，支持复制其他角色的权限设置，在此基础上进行快速调整，避免从零开始新建角色。</w:t>
      </w:r>
    </w:p>
    <w:p w14:paraId="0593662A">
      <w:pPr>
        <w:ind w:firstLine="420" w:firstLineChars="200"/>
        <w:outlineLvl w:val="5"/>
        <w:rPr>
          <w:rFonts w:ascii="宋体" w:hAnsi="宋体" w:cs="宋体"/>
        </w:rPr>
      </w:pPr>
      <w:r>
        <w:rPr>
          <w:rFonts w:hint="eastAsia" w:ascii="宋体" w:hAnsi="宋体" w:cs="宋体"/>
        </w:rPr>
        <w:t>2.2.1.10.2 ▲角色规划管理：支持同时选择多个角色对照展示各角色权限范围内的功能列表，并支持对各角色所属功能菜单进行重命名、上移、下移、取消授权、添加授权等操作。</w:t>
      </w:r>
      <w:r>
        <w:rPr>
          <w:rFonts w:hint="eastAsia" w:ascii="宋体" w:hAnsi="宋体" w:cs="宋体"/>
          <w:b/>
          <w:bCs/>
        </w:rPr>
        <w:t>(提供系统功能截图）</w:t>
      </w:r>
    </w:p>
    <w:p w14:paraId="02C30877">
      <w:pPr>
        <w:ind w:firstLine="420" w:firstLineChars="200"/>
        <w:outlineLvl w:val="5"/>
        <w:rPr>
          <w:rFonts w:ascii="宋体" w:hAnsi="宋体" w:cs="宋体"/>
        </w:rPr>
      </w:pPr>
      <w:r>
        <w:rPr>
          <w:rFonts w:hint="eastAsia" w:ascii="宋体" w:hAnsi="宋体" w:cs="宋体"/>
        </w:rPr>
        <w:t>2.2.1.10.3 用户管理：支持自定义创建系统用户名称，为用户选择所属角色并获得相应权限，为用户选择所属机构并获得管理查询该机构患者数据权限。支持设置用户的有效期，到期该用户账号自动不可用。</w:t>
      </w:r>
    </w:p>
    <w:p w14:paraId="0F288158">
      <w:pPr>
        <w:ind w:firstLine="420" w:firstLineChars="200"/>
        <w:outlineLvl w:val="5"/>
        <w:rPr>
          <w:rFonts w:ascii="宋体" w:hAnsi="宋体" w:cs="宋体"/>
        </w:rPr>
      </w:pPr>
      <w:r>
        <w:rPr>
          <w:rFonts w:hint="eastAsia" w:ascii="宋体" w:hAnsi="宋体" w:cs="宋体"/>
        </w:rPr>
        <w:t>2.2.1.10.4 机构管理；对接HIS系统导入医院各科室名称、分类、联系电话、上下级等信息。支持添加、编辑、删除机构。 可查看和设置某机构关联的所有系统用户，支持添加或取消关联用户的机构数据权限。</w:t>
      </w:r>
    </w:p>
    <w:p w14:paraId="1FF6C4B8">
      <w:pPr>
        <w:ind w:firstLine="420" w:firstLineChars="200"/>
        <w:outlineLvl w:val="5"/>
        <w:rPr>
          <w:rFonts w:ascii="宋体" w:hAnsi="宋体" w:cs="宋体"/>
        </w:rPr>
      </w:pPr>
      <w:r>
        <w:rPr>
          <w:rFonts w:hint="eastAsia" w:ascii="宋体" w:hAnsi="宋体" w:cs="宋体"/>
        </w:rPr>
        <w:t>2.2.1.10.5 员工管理：对接HIS系统，导入医院员工信息，可对员工信息进行维护。</w:t>
      </w:r>
    </w:p>
    <w:p w14:paraId="58E596B7">
      <w:pPr>
        <w:ind w:firstLine="420" w:firstLineChars="200"/>
        <w:outlineLvl w:val="5"/>
      </w:pPr>
      <w:r>
        <w:rPr>
          <w:rFonts w:hint="eastAsia" w:ascii="宋体" w:hAnsi="宋体" w:cs="宋体"/>
        </w:rPr>
        <w:t xml:space="preserve">2.2.1.10.6 </w:t>
      </w:r>
      <w:r>
        <w:rPr>
          <w:rFonts w:hint="eastAsia"/>
        </w:rPr>
        <w:t>静态属性设置：支持自定义设置患者信息字段、随访类型、知识类型等业务模块中的下拉可选项内容。</w:t>
      </w:r>
    </w:p>
    <w:p w14:paraId="7AD3DC71">
      <w:pPr>
        <w:ind w:firstLine="420" w:firstLineChars="200"/>
        <w:outlineLvl w:val="5"/>
      </w:pPr>
      <w:r>
        <w:rPr>
          <w:rFonts w:hint="eastAsia" w:ascii="宋体" w:hAnsi="宋体" w:cs="宋体"/>
        </w:rPr>
        <w:t xml:space="preserve">2.2.1.10.7 </w:t>
      </w:r>
      <w:r>
        <w:rPr>
          <w:rFonts w:hint="eastAsia"/>
          <w:lang w:val="zh-CN"/>
        </w:rPr>
        <w:t>▲</w:t>
      </w:r>
      <w:r>
        <w:rPr>
          <w:rFonts w:hint="eastAsia"/>
        </w:rPr>
        <w:t>系统菜单管理：支持对系统所有菜单进行管理，包括自定义修改菜单名称、调整上下级关系，调整菜单排序等功能。支持将菜单分配给指定的系统角色，赋予改角色使用菜单的权限。</w:t>
      </w:r>
      <w:r>
        <w:rPr>
          <w:rFonts w:hint="eastAsia"/>
          <w:b/>
          <w:bCs/>
        </w:rPr>
        <w:t>(提供系统演示视频）</w:t>
      </w:r>
    </w:p>
    <w:p w14:paraId="2CBCE5D2">
      <w:pPr>
        <w:ind w:firstLine="420" w:firstLineChars="200"/>
        <w:outlineLvl w:val="5"/>
        <w:rPr>
          <w:rFonts w:ascii="宋体" w:hAnsi="宋体" w:cs="宋体"/>
        </w:rPr>
      </w:pPr>
      <w:r>
        <w:rPr>
          <w:rFonts w:hint="eastAsia" w:ascii="宋体" w:hAnsi="宋体" w:cs="宋体"/>
        </w:rPr>
        <w:t>2.2.1.10.8 隐私设置：支持设置系统隐私处理，可对姓名、地址、联系方式等内容设置全部隐私处理、部分隐私处理、不使用隐私处理。</w:t>
      </w:r>
    </w:p>
    <w:p w14:paraId="65C96C0C">
      <w:pPr>
        <w:ind w:firstLine="420" w:firstLineChars="200"/>
        <w:outlineLvl w:val="5"/>
        <w:rPr>
          <w:rFonts w:ascii="宋体" w:hAnsi="宋体" w:cs="宋体"/>
        </w:rPr>
      </w:pPr>
      <w:r>
        <w:rPr>
          <w:rFonts w:hint="eastAsia" w:ascii="宋体" w:hAnsi="宋体" w:cs="宋体"/>
        </w:rPr>
        <w:t xml:space="preserve">2.2.1.10.9 </w:t>
      </w:r>
      <w:r>
        <w:rPr>
          <w:rFonts w:hint="eastAsia" w:ascii="宋体" w:hAnsi="宋体" w:cs="宋体"/>
          <w:lang w:val="zh-CN"/>
        </w:rPr>
        <w:t>▲</w:t>
      </w:r>
      <w:r>
        <w:rPr>
          <w:rFonts w:hint="eastAsia" w:ascii="宋体" w:hAnsi="宋体" w:cs="宋体"/>
        </w:rPr>
        <w:t>系统自动质检：支持系统自动质检运行情况，自动生成质检记录，自动发送给系统相关技术管理人员。并且支持手动临时系统质检，生成质检评估记录，支持导出。</w:t>
      </w:r>
      <w:r>
        <w:rPr>
          <w:rFonts w:hint="eastAsia" w:ascii="宋体" w:hAnsi="宋体" w:cs="宋体"/>
          <w:b/>
          <w:bCs/>
        </w:rPr>
        <w:t>(提供系统功能截图）</w:t>
      </w:r>
    </w:p>
    <w:p w14:paraId="7B43027D">
      <w:pPr>
        <w:pBdr>
          <w:top w:val="none" w:color="000000" w:sz="0" w:space="0"/>
          <w:left w:val="none" w:color="000000" w:sz="0" w:space="0"/>
          <w:bottom w:val="none" w:color="000000" w:sz="0" w:space="0"/>
          <w:right w:val="none" w:color="000000" w:sz="0" w:space="0"/>
        </w:pBdr>
        <w:spacing w:before="120" w:after="120" w:line="85" w:lineRule="atLeast"/>
        <w:ind w:firstLine="482" w:firstLineChars="200"/>
        <w:outlineLvl w:val="3"/>
        <w:rPr>
          <w:rFonts w:ascii="宋体" w:hAnsi="宋体" w:cs="宋体"/>
          <w:b/>
          <w:bCs/>
          <w:sz w:val="24"/>
          <w:szCs w:val="24"/>
        </w:rPr>
      </w:pPr>
      <w:r>
        <w:rPr>
          <w:rFonts w:hint="eastAsia" w:ascii="宋体" w:hAnsi="宋体" w:cs="宋体"/>
          <w:b/>
          <w:bCs/>
          <w:sz w:val="24"/>
          <w:szCs w:val="24"/>
        </w:rPr>
        <w:t>2.2.2 患者满意度调查</w:t>
      </w:r>
    </w:p>
    <w:p w14:paraId="54C37875">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2.2.2.1满意度调查设置</w:t>
      </w:r>
    </w:p>
    <w:p w14:paraId="69F114DE">
      <w:pPr>
        <w:ind w:firstLine="420" w:firstLineChars="200"/>
        <w:outlineLvl w:val="5"/>
        <w:rPr>
          <w:rFonts w:ascii="宋体" w:hAnsi="宋体" w:cs="宋体"/>
        </w:rPr>
      </w:pPr>
      <w:r>
        <w:rPr>
          <w:rFonts w:hint="eastAsia" w:ascii="宋体" w:hAnsi="宋体" w:cs="宋体"/>
        </w:rPr>
        <w:t>2.2.2.1.1 内置调查场景：根据医院需求，配置门诊、住院和医院各类人群满意度调查问卷及计划。</w:t>
      </w:r>
    </w:p>
    <w:p w14:paraId="60BA65DC">
      <w:pPr>
        <w:ind w:firstLine="420" w:firstLineChars="200"/>
        <w:outlineLvl w:val="5"/>
        <w:rPr>
          <w:rFonts w:ascii="宋体" w:hAnsi="宋体" w:cs="宋体"/>
        </w:rPr>
      </w:pPr>
      <w:r>
        <w:rPr>
          <w:rFonts w:hint="eastAsia" w:ascii="宋体" w:hAnsi="宋体" w:cs="宋体"/>
        </w:rPr>
        <w:t>2.2.2.1.2 调查业务配置：系统支持门诊、住院和医院各类人群满意度调查的设置，可根据需求修改。支持后续可根据业务变动进行配置更改；支持按门诊、住院患者来源，配置调查科室/病区、调查人员、计划调查时间。</w:t>
      </w:r>
    </w:p>
    <w:p w14:paraId="69E28143">
      <w:pPr>
        <w:ind w:firstLine="420" w:firstLineChars="200"/>
        <w:outlineLvl w:val="5"/>
        <w:rPr>
          <w:rFonts w:ascii="宋体" w:hAnsi="宋体" w:cs="宋体"/>
        </w:rPr>
      </w:pPr>
      <w:r>
        <w:rPr>
          <w:rFonts w:hint="eastAsia" w:ascii="宋体" w:hAnsi="宋体" w:cs="宋体"/>
        </w:rPr>
        <w:t>2.2.2.1.3 患者筛选引擎：所有需要调查的患者，均通过预先设置的条件（门诊、住院等），自动筛选符合条件的患者，支持按比例、数量抽取患者并生成相应的调查任务。</w:t>
      </w:r>
    </w:p>
    <w:p w14:paraId="3185C719">
      <w:pPr>
        <w:ind w:firstLine="420" w:firstLineChars="200"/>
        <w:outlineLvl w:val="5"/>
        <w:rPr>
          <w:rFonts w:ascii="宋体" w:hAnsi="宋体" w:cs="宋体"/>
        </w:rPr>
      </w:pPr>
      <w:r>
        <w:rPr>
          <w:rFonts w:hint="eastAsia" w:ascii="宋体" w:hAnsi="宋体" w:cs="宋体"/>
        </w:rPr>
        <w:t>2.2.2.1.4 名单过滤管理：管理患者死亡名单，支持自动获取院内死亡名单和手动标识死亡；管理过滤名单，将特殊纠纷或不愿打扰患者手动加入过滤名单。</w:t>
      </w:r>
    </w:p>
    <w:p w14:paraId="7433E92A">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2.2.2.2调查执行</w:t>
      </w:r>
    </w:p>
    <w:p w14:paraId="0684DD5B">
      <w:pPr>
        <w:ind w:firstLine="420" w:firstLineChars="200"/>
        <w:outlineLvl w:val="5"/>
        <w:rPr>
          <w:rFonts w:ascii="宋体" w:hAnsi="宋体" w:cs="宋体"/>
        </w:rPr>
      </w:pPr>
      <w:r>
        <w:rPr>
          <w:rFonts w:hint="eastAsia" w:ascii="宋体" w:hAnsi="宋体" w:cs="宋体"/>
        </w:rPr>
        <w:t>2.2.2.2.1 调查任务推送：支持实时或指定时间点推送满意度问卷；支持短信（新增、待发送、已发送、已回复等）、电话随访的多渠道设置；支持超时未回复的问卷自动重发。</w:t>
      </w:r>
    </w:p>
    <w:p w14:paraId="322CB185">
      <w:pPr>
        <w:ind w:firstLine="420" w:firstLineChars="200"/>
        <w:outlineLvl w:val="5"/>
        <w:rPr>
          <w:rFonts w:ascii="宋体" w:hAnsi="宋体" w:cs="宋体"/>
        </w:rPr>
      </w:pPr>
      <w:r>
        <w:rPr>
          <w:rFonts w:hint="eastAsia" w:ascii="宋体" w:hAnsi="宋体" w:cs="宋体"/>
        </w:rPr>
        <w:t>2.2.2.2.2 短信调查：可与医院短信平台对接。对门诊、出院患者进行全覆盖的短信满意度调查，患者根据短信内容回复对应内容，系统定期对回复内容进行统计，形成患者满意度调查。</w:t>
      </w:r>
    </w:p>
    <w:p w14:paraId="77A2FD66">
      <w:pPr>
        <w:ind w:firstLine="420" w:firstLineChars="200"/>
        <w:outlineLvl w:val="5"/>
        <w:rPr>
          <w:rFonts w:ascii="宋体" w:hAnsi="宋体" w:cs="宋体"/>
        </w:rPr>
      </w:pPr>
      <w:r>
        <w:rPr>
          <w:rFonts w:hint="eastAsia" w:ascii="宋体" w:hAnsi="宋体" w:cs="宋体"/>
        </w:rPr>
        <w:t>2.2.2.2.3 微信调查：支持微信渠道开展调查，推送调查问卷到微信服务号，患者可在手机端接收并填写。</w:t>
      </w:r>
    </w:p>
    <w:p w14:paraId="42E03A33">
      <w:pPr>
        <w:ind w:firstLine="420" w:firstLineChars="200"/>
        <w:outlineLvl w:val="5"/>
        <w:rPr>
          <w:rFonts w:ascii="宋体" w:hAnsi="宋体" w:cs="宋体"/>
        </w:rPr>
      </w:pPr>
      <w:r>
        <w:rPr>
          <w:rFonts w:hint="eastAsia" w:ascii="宋体" w:hAnsi="宋体" w:cs="宋体"/>
        </w:rPr>
        <w:t>2.2.2.2.4 AI语音调查：支持通过AI语音外呼开展满意度调查，系统自动拨号与患者对话，将沟通结果录入调查问卷进行结构化储存，并保留录音和文本。</w:t>
      </w:r>
    </w:p>
    <w:p w14:paraId="2F259204">
      <w:pPr>
        <w:ind w:firstLine="420" w:firstLineChars="200"/>
        <w:outlineLvl w:val="5"/>
        <w:rPr>
          <w:rFonts w:ascii="宋体" w:hAnsi="宋体" w:cs="宋体"/>
        </w:rPr>
      </w:pPr>
      <w:r>
        <w:rPr>
          <w:rFonts w:hint="eastAsia" w:ascii="宋体" w:hAnsi="宋体" w:cs="宋体"/>
        </w:rPr>
        <w:t>2.2.2.2.5 二维码评价：可以针对门诊、住院患者生成相应的满意度调查二维码，扫码即可填写相应问卷进行评价。</w:t>
      </w:r>
    </w:p>
    <w:p w14:paraId="4F5F74F9">
      <w:pPr>
        <w:ind w:firstLine="420" w:firstLineChars="200"/>
        <w:outlineLvl w:val="5"/>
        <w:rPr>
          <w:rFonts w:ascii="宋体" w:hAnsi="宋体" w:cs="宋体"/>
        </w:rPr>
      </w:pPr>
      <w:r>
        <w:rPr>
          <w:rFonts w:hint="eastAsia" w:ascii="宋体" w:hAnsi="宋体" w:cs="宋体"/>
        </w:rPr>
        <w:t>2.2.2.2.6 电话调查：支持通过电话联系患者，展开满意度调查。</w:t>
      </w:r>
    </w:p>
    <w:p w14:paraId="1C176647">
      <w:pPr>
        <w:ind w:firstLine="420" w:firstLineChars="200"/>
        <w:outlineLvl w:val="5"/>
        <w:rPr>
          <w:rFonts w:ascii="宋体" w:hAnsi="宋体" w:cs="宋体"/>
        </w:rPr>
      </w:pPr>
      <w:r>
        <w:rPr>
          <w:rFonts w:hint="eastAsia" w:ascii="宋体" w:hAnsi="宋体" w:cs="宋体"/>
        </w:rPr>
        <w:t>2.2.2.2.7 满意度统计：内置满意度调查业务统计，对所有收集的满意度调查数据进行不同维度的统计包含按患者统计、按满意度分类、按问卷单题统计。</w:t>
      </w:r>
    </w:p>
    <w:p w14:paraId="48BB61E6">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2.2.2.3 投诉表扬管理</w:t>
      </w:r>
    </w:p>
    <w:p w14:paraId="57A77F8F">
      <w:pPr>
        <w:ind w:firstLine="420" w:firstLineChars="200"/>
        <w:outlineLvl w:val="5"/>
        <w:rPr>
          <w:rFonts w:ascii="宋体" w:hAnsi="宋体" w:cs="宋体"/>
        </w:rPr>
      </w:pPr>
      <w:r>
        <w:rPr>
          <w:rFonts w:hint="eastAsia" w:ascii="宋体" w:hAnsi="宋体" w:cs="宋体"/>
        </w:rPr>
        <w:t>2.2.2.3.1 反馈登记：支持对患者提出的表扬、投诉建议等内容进行登记。</w:t>
      </w:r>
    </w:p>
    <w:p w14:paraId="4FD563F8">
      <w:pPr>
        <w:ind w:firstLine="420" w:firstLineChars="200"/>
        <w:outlineLvl w:val="5"/>
        <w:rPr>
          <w:rFonts w:ascii="宋体" w:hAnsi="宋体" w:cs="宋体"/>
        </w:rPr>
      </w:pPr>
      <w:r>
        <w:rPr>
          <w:rFonts w:hint="eastAsia" w:ascii="宋体" w:hAnsi="宋体" w:cs="宋体"/>
        </w:rPr>
        <w:t>2.2.2.3.2 反馈标签：支持自定义设置反馈标签，对应表扬、投诉等反馈类型，反馈标签能够进行统计。</w:t>
      </w:r>
    </w:p>
    <w:p w14:paraId="486904D3">
      <w:pPr>
        <w:ind w:firstLine="420" w:firstLineChars="200"/>
        <w:outlineLvl w:val="5"/>
        <w:rPr>
          <w:rFonts w:ascii="宋体" w:hAnsi="宋体" w:cs="宋体"/>
        </w:rPr>
      </w:pPr>
      <w:r>
        <w:rPr>
          <w:rFonts w:hint="eastAsia" w:ascii="宋体" w:hAnsi="宋体" w:cs="宋体"/>
        </w:rPr>
        <w:t>2.2.2.3.3 反馈记录管理：可展示所有记录的表扬投诉记录，可按照反馈类型、反馈科室、反馈员工、记录顺序排列展示。可对每条反馈记录进行编辑、联系患者、查询录音等操作。</w:t>
      </w:r>
    </w:p>
    <w:p w14:paraId="7FEAE36C">
      <w:pPr>
        <w:ind w:firstLine="420" w:firstLineChars="200"/>
        <w:outlineLvl w:val="5"/>
        <w:rPr>
          <w:rFonts w:ascii="宋体" w:hAnsi="宋体" w:cs="宋体"/>
        </w:rPr>
      </w:pPr>
      <w:r>
        <w:rPr>
          <w:rFonts w:hint="eastAsia" w:ascii="宋体" w:hAnsi="宋体" w:cs="宋体"/>
        </w:rPr>
        <w:t>2.2.2.3.4 投诉表扬查询：支持对反馈记录进行多条件搜索查询，按反馈时间、反馈类型、反馈标签等条件查询。</w:t>
      </w:r>
    </w:p>
    <w:p w14:paraId="71239F17">
      <w:pPr>
        <w:ind w:firstLine="420" w:firstLineChars="200"/>
        <w:outlineLvl w:val="5"/>
        <w:rPr>
          <w:rFonts w:ascii="宋体" w:hAnsi="宋体" w:cs="宋体"/>
        </w:rPr>
      </w:pPr>
      <w:r>
        <w:rPr>
          <w:rFonts w:hint="eastAsia" w:ascii="宋体" w:hAnsi="宋体" w:cs="宋体"/>
        </w:rPr>
        <w:t>2.2.2.3.5 投诉表扬统计：支持统计投诉表扬总数、各类别数量和占比、反馈渠道、以及反馈标签进行统计。支持结果导出Excel。</w:t>
      </w:r>
    </w:p>
    <w:p w14:paraId="7E9B351B">
      <w:pPr>
        <w:pBdr>
          <w:top w:val="none" w:color="000000" w:sz="0" w:space="0"/>
          <w:left w:val="none" w:color="000000" w:sz="0" w:space="0"/>
          <w:bottom w:val="none" w:color="000000" w:sz="0" w:space="0"/>
          <w:right w:val="none" w:color="000000" w:sz="0" w:space="0"/>
        </w:pBdr>
        <w:spacing w:before="120" w:after="120" w:line="85" w:lineRule="atLeast"/>
        <w:ind w:firstLine="482" w:firstLineChars="200"/>
        <w:outlineLvl w:val="3"/>
        <w:rPr>
          <w:rFonts w:ascii="宋体" w:hAnsi="宋体" w:cs="宋体"/>
          <w:b/>
          <w:bCs/>
          <w:sz w:val="24"/>
          <w:szCs w:val="24"/>
        </w:rPr>
      </w:pPr>
      <w:r>
        <w:rPr>
          <w:rFonts w:hint="eastAsia" w:ascii="宋体" w:hAnsi="宋体" w:cs="宋体"/>
          <w:b/>
          <w:bCs/>
          <w:sz w:val="24"/>
          <w:szCs w:val="24"/>
        </w:rPr>
        <w:t>2.2.3医德医风管理</w:t>
      </w:r>
    </w:p>
    <w:p w14:paraId="23514179">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2.2.3.1 考评档案管理</w:t>
      </w:r>
      <w:r>
        <w:rPr>
          <w:rFonts w:hint="eastAsia" w:ascii="宋体" w:hAnsi="宋体" w:cs="宋体"/>
          <w:b/>
          <w:bCs/>
        </w:rPr>
        <w:tab/>
      </w:r>
    </w:p>
    <w:p w14:paraId="7F4991C0">
      <w:pPr>
        <w:ind w:firstLine="420" w:firstLineChars="200"/>
        <w:outlineLvl w:val="5"/>
        <w:rPr>
          <w:rFonts w:ascii="宋体" w:hAnsi="宋体" w:cs="宋体"/>
        </w:rPr>
      </w:pPr>
      <w:r>
        <w:rPr>
          <w:rFonts w:hint="eastAsia" w:ascii="宋体" w:hAnsi="宋体" w:cs="宋体"/>
        </w:rPr>
        <w:t>2.2.3.1.1 医德档案管理：考评细则之外的加分、减分项，比如获得国家奖项，进行加分，个人提交时可上传获奖证明，管理部门进行审核。</w:t>
      </w:r>
    </w:p>
    <w:p w14:paraId="446967F0">
      <w:pPr>
        <w:ind w:firstLine="420" w:firstLineChars="200"/>
        <w:outlineLvl w:val="5"/>
        <w:rPr>
          <w:rFonts w:ascii="宋体" w:hAnsi="宋体" w:cs="宋体"/>
        </w:rPr>
      </w:pPr>
      <w:r>
        <w:rPr>
          <w:rFonts w:hint="eastAsia" w:ascii="宋体" w:hAnsi="宋体" w:cs="宋体"/>
        </w:rPr>
        <w:t>2.2.3.1.2 员工档案管理：包含员工姓名、工号、职称、科室、类别、证书编码等。</w:t>
      </w:r>
    </w:p>
    <w:p w14:paraId="1AC53F53">
      <w:pPr>
        <w:ind w:firstLine="420" w:firstLineChars="200"/>
        <w:outlineLvl w:val="5"/>
        <w:rPr>
          <w:rFonts w:ascii="宋体" w:hAnsi="宋体" w:cs="宋体"/>
        </w:rPr>
      </w:pPr>
      <w:r>
        <w:rPr>
          <w:rFonts w:hint="eastAsia" w:ascii="宋体" w:hAnsi="宋体" w:cs="宋体"/>
        </w:rPr>
        <w:t>2.2.3.1.3 科室变更：可修改员工所在科室。</w:t>
      </w:r>
    </w:p>
    <w:p w14:paraId="1C1B2487">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2.2.3.2 考评规则管理</w:t>
      </w:r>
      <w:r>
        <w:rPr>
          <w:rFonts w:hint="eastAsia" w:ascii="宋体" w:hAnsi="宋体" w:cs="宋体"/>
          <w:b/>
          <w:bCs/>
        </w:rPr>
        <w:tab/>
      </w:r>
    </w:p>
    <w:p w14:paraId="58550C8F">
      <w:pPr>
        <w:ind w:firstLine="420" w:firstLineChars="200"/>
        <w:outlineLvl w:val="5"/>
        <w:rPr>
          <w:rFonts w:ascii="宋体" w:hAnsi="宋体" w:cs="宋体"/>
        </w:rPr>
      </w:pPr>
      <w:r>
        <w:rPr>
          <w:rFonts w:hint="eastAsia" w:ascii="宋体" w:hAnsi="宋体" w:cs="宋体"/>
        </w:rPr>
        <w:t>2.2.3.2.1 档案计分办法：医德考评细则之外的加分、减分，添加计分日期在考评启动计分开始--到计分结束纳入计算。</w:t>
      </w:r>
    </w:p>
    <w:p w14:paraId="51CFA8A8">
      <w:pPr>
        <w:ind w:firstLine="420" w:firstLineChars="200"/>
        <w:outlineLvl w:val="5"/>
        <w:rPr>
          <w:rFonts w:ascii="宋体" w:hAnsi="宋体" w:cs="宋体"/>
          <w:b/>
          <w:bCs/>
        </w:rPr>
      </w:pPr>
      <w:r>
        <w:rPr>
          <w:rFonts w:hint="eastAsia" w:ascii="宋体" w:hAnsi="宋体" w:cs="宋体"/>
        </w:rPr>
        <w:t>2.2.3.2.2 ▲医德考评细则：分为基础分、本题上限分数、下限分数，题目排序。可以根据类别选择考核对象，比如医生、护士、全院职工。里面的细项支持加分、减分、每细项加分次数、减分次数。</w:t>
      </w:r>
      <w:r>
        <w:rPr>
          <w:rFonts w:hint="eastAsia" w:ascii="宋体" w:hAnsi="宋体" w:cs="宋体"/>
          <w:b/>
          <w:bCs/>
        </w:rPr>
        <w:t>(提供系统功能截图）</w:t>
      </w:r>
    </w:p>
    <w:p w14:paraId="268625A6">
      <w:pPr>
        <w:ind w:firstLine="420" w:firstLineChars="200"/>
        <w:outlineLvl w:val="5"/>
        <w:rPr>
          <w:rFonts w:ascii="宋体" w:hAnsi="宋体" w:cs="宋体"/>
        </w:rPr>
      </w:pPr>
      <w:r>
        <w:rPr>
          <w:rFonts w:hint="eastAsia" w:ascii="宋体" w:hAnsi="宋体" w:cs="宋体"/>
        </w:rPr>
        <w:t>2.2.3.2.3 医德考评等级：优秀、良好、一般、较差，根据需要进行设置。</w:t>
      </w:r>
    </w:p>
    <w:p w14:paraId="035F2B5F">
      <w:pPr>
        <w:ind w:firstLine="420" w:firstLineChars="200"/>
        <w:outlineLvl w:val="5"/>
        <w:rPr>
          <w:rFonts w:ascii="宋体" w:hAnsi="宋体" w:cs="宋体"/>
          <w:color w:val="000000" w:themeColor="text1"/>
          <w:kern w:val="2"/>
          <w:sz w:val="24"/>
          <w:szCs w:val="24"/>
          <w14:textFill>
            <w14:solidFill>
              <w14:schemeClr w14:val="tx1"/>
            </w14:solidFill>
          </w14:textFill>
        </w:rPr>
      </w:pPr>
      <w:r>
        <w:rPr>
          <w:rFonts w:hint="eastAsia" w:ascii="宋体" w:hAnsi="宋体" w:cs="宋体"/>
        </w:rPr>
        <w:t>2.2.3.2.4 等级设定规则：支持比率，比如优秀最高只能20%。支持根据分数判定等级、并列分数等情况</w:t>
      </w:r>
      <w:r>
        <w:rPr>
          <w:rFonts w:hint="eastAsia" w:ascii="宋体" w:hAnsi="宋体" w:cs="宋体"/>
          <w:color w:val="000000" w:themeColor="text1"/>
          <w:kern w:val="2"/>
          <w:sz w:val="24"/>
          <w:szCs w:val="24"/>
          <w14:textFill>
            <w14:solidFill>
              <w14:schemeClr w14:val="tx1"/>
            </w14:solidFill>
          </w14:textFill>
        </w:rPr>
        <w:t>。</w:t>
      </w:r>
    </w:p>
    <w:p w14:paraId="750F9BB9">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2.2.3.3 考评管理</w:t>
      </w:r>
      <w:r>
        <w:rPr>
          <w:rFonts w:hint="eastAsia" w:ascii="宋体" w:hAnsi="宋体" w:cs="宋体"/>
          <w:b/>
          <w:bCs/>
        </w:rPr>
        <w:tab/>
      </w:r>
    </w:p>
    <w:p w14:paraId="72D5FB98">
      <w:pPr>
        <w:ind w:firstLine="420" w:firstLineChars="200"/>
        <w:outlineLvl w:val="5"/>
        <w:rPr>
          <w:rFonts w:ascii="宋体" w:hAnsi="宋体" w:cs="宋体"/>
        </w:rPr>
      </w:pPr>
      <w:r>
        <w:rPr>
          <w:rFonts w:hint="eastAsia" w:ascii="宋体" w:hAnsi="宋体" w:cs="宋体"/>
        </w:rPr>
        <w:t>2.2.3.3.1 考评启动：开启考评，比如第一季度，支持考评日期，即可以考评的日期范围。计分日期，即开始计分到结束计分时间。考评可以配置短信提醒，员工信息里面要有员工电话才可以推送短信提醒考评。</w:t>
      </w:r>
    </w:p>
    <w:p w14:paraId="1621EBEF">
      <w:pPr>
        <w:ind w:firstLine="420" w:firstLineChars="200"/>
        <w:outlineLvl w:val="5"/>
        <w:rPr>
          <w:rFonts w:ascii="宋体" w:hAnsi="宋体" w:cs="宋体"/>
        </w:rPr>
      </w:pPr>
      <w:r>
        <w:rPr>
          <w:rFonts w:hint="eastAsia" w:ascii="宋体" w:hAnsi="宋体" w:cs="宋体"/>
        </w:rPr>
        <w:t>2.2.3.3.2 员工自评：系统将考评任务提醒员工，员工根据自评表进行填写，并提交。</w:t>
      </w:r>
    </w:p>
    <w:p w14:paraId="2E64F117">
      <w:pPr>
        <w:ind w:firstLine="420" w:firstLineChars="200"/>
        <w:outlineLvl w:val="5"/>
        <w:rPr>
          <w:rFonts w:ascii="宋体" w:hAnsi="宋体" w:cs="宋体"/>
        </w:rPr>
      </w:pPr>
      <w:r>
        <w:rPr>
          <w:rFonts w:hint="eastAsia" w:ascii="宋体" w:hAnsi="宋体" w:cs="宋体"/>
        </w:rPr>
        <w:t>2.2.3.3.3 科室考评管理：员工自评后进行科室考评，可以看到员工自评。支持复制自评，撤回考评。</w:t>
      </w:r>
    </w:p>
    <w:p w14:paraId="7181BAD9">
      <w:pPr>
        <w:ind w:firstLine="420" w:firstLineChars="200"/>
        <w:outlineLvl w:val="5"/>
        <w:rPr>
          <w:rFonts w:ascii="宋体" w:hAnsi="宋体" w:cs="宋体"/>
        </w:rPr>
      </w:pPr>
      <w:r>
        <w:rPr>
          <w:rFonts w:hint="eastAsia" w:ascii="宋体" w:hAnsi="宋体" w:cs="宋体"/>
        </w:rPr>
        <w:t>2.2.3.3.4 主管部门考评：科室考评后主管部门进行考评，主管部门能看到科室考评和个人自评记录，支持撤回，支持批量操作等级（主要用于按百分比评选优秀等级）。</w:t>
      </w:r>
    </w:p>
    <w:p w14:paraId="18E9F937">
      <w:pPr>
        <w:ind w:firstLine="420" w:firstLineChars="200"/>
        <w:outlineLvl w:val="5"/>
        <w:rPr>
          <w:rFonts w:ascii="宋体" w:hAnsi="宋体" w:cs="宋体"/>
        </w:rPr>
      </w:pPr>
      <w:r>
        <w:rPr>
          <w:rFonts w:hint="eastAsia" w:ascii="宋体" w:hAnsi="宋体" w:cs="宋体"/>
        </w:rPr>
        <w:t>2.2.3.3.5 领导审批：用于最终确定考评结果，考评汇总。</w:t>
      </w:r>
    </w:p>
    <w:p w14:paraId="630A797C">
      <w:pPr>
        <w:ind w:firstLine="420" w:firstLineChars="200"/>
        <w:outlineLvl w:val="5"/>
        <w:rPr>
          <w:rFonts w:ascii="宋体" w:hAnsi="宋体" w:cs="宋体"/>
        </w:rPr>
      </w:pPr>
      <w:r>
        <w:rPr>
          <w:rFonts w:hint="eastAsia" w:ascii="宋体" w:hAnsi="宋体" w:cs="宋体"/>
        </w:rPr>
        <w:t>2.2.3.3.6 医德档案分类统计：支持与上一期对比，同比和环比。</w:t>
      </w:r>
    </w:p>
    <w:p w14:paraId="23E38754">
      <w:pPr>
        <w:ind w:firstLine="420" w:firstLineChars="200"/>
        <w:outlineLvl w:val="5"/>
        <w:rPr>
          <w:rFonts w:ascii="宋体" w:hAnsi="宋体" w:cs="宋体"/>
        </w:rPr>
      </w:pPr>
      <w:r>
        <w:rPr>
          <w:rFonts w:hint="eastAsia" w:ascii="宋体" w:hAnsi="宋体" w:cs="宋体"/>
        </w:rPr>
        <w:t>2.2.3.3.7 考评进度统计：考评进度汇总，查看整体已考评多少人、未考评多少人及考评状态。</w:t>
      </w:r>
    </w:p>
    <w:p w14:paraId="6ACB6FF7">
      <w:pPr>
        <w:pBdr>
          <w:top w:val="none" w:color="000000" w:sz="0" w:space="0"/>
          <w:left w:val="none" w:color="000000" w:sz="0" w:space="0"/>
          <w:bottom w:val="none" w:color="000000" w:sz="0" w:space="0"/>
          <w:right w:val="none" w:color="000000" w:sz="0" w:space="0"/>
        </w:pBdr>
        <w:spacing w:before="120" w:after="120" w:line="85" w:lineRule="atLeast"/>
        <w:ind w:firstLine="482" w:firstLineChars="200"/>
        <w:outlineLvl w:val="3"/>
        <w:rPr>
          <w:rFonts w:ascii="宋体" w:hAnsi="宋体" w:cs="宋体"/>
          <w:b/>
          <w:bCs/>
          <w:sz w:val="24"/>
          <w:szCs w:val="24"/>
        </w:rPr>
      </w:pPr>
      <w:r>
        <w:rPr>
          <w:rFonts w:hint="eastAsia" w:ascii="宋体" w:hAnsi="宋体" w:cs="宋体"/>
          <w:b/>
          <w:bCs/>
          <w:sz w:val="24"/>
          <w:szCs w:val="24"/>
        </w:rPr>
        <w:t>2.2.4 病区随访</w:t>
      </w:r>
    </w:p>
    <w:p w14:paraId="19933764">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2.2.4.1 随访设置</w:t>
      </w:r>
    </w:p>
    <w:p w14:paraId="3FC0B718">
      <w:pPr>
        <w:ind w:firstLine="422" w:firstLineChars="200"/>
        <w:outlineLvl w:val="5"/>
        <w:rPr>
          <w:rFonts w:ascii="宋体" w:hAnsi="宋体" w:cs="宋体"/>
        </w:rPr>
      </w:pPr>
      <w:r>
        <w:rPr>
          <w:rFonts w:hint="eastAsia" w:ascii="宋体" w:hAnsi="宋体" w:cs="宋体"/>
          <w:b/>
          <w:bCs/>
        </w:rPr>
        <w:t xml:space="preserve">2.2.4.1.1 </w:t>
      </w:r>
      <w:r>
        <w:rPr>
          <w:rFonts w:hint="eastAsia" w:ascii="宋体" w:hAnsi="宋体" w:cs="宋体"/>
        </w:rPr>
        <w:t>内置随访场景：支持按病区进行出院患者随访，自定义随访起始时间。</w:t>
      </w:r>
    </w:p>
    <w:p w14:paraId="5F3CDD4C">
      <w:pPr>
        <w:ind w:firstLine="422" w:firstLineChars="200"/>
        <w:outlineLvl w:val="5"/>
        <w:rPr>
          <w:rFonts w:ascii="宋体" w:hAnsi="宋体" w:cs="宋体"/>
        </w:rPr>
      </w:pPr>
      <w:r>
        <w:rPr>
          <w:rFonts w:hint="eastAsia" w:ascii="宋体" w:hAnsi="宋体" w:cs="宋体"/>
          <w:b/>
          <w:bCs/>
        </w:rPr>
        <w:t xml:space="preserve">2.2.4.1.2 </w:t>
      </w:r>
      <w:r>
        <w:rPr>
          <w:rFonts w:hint="eastAsia" w:ascii="宋体" w:hAnsi="宋体" w:cs="宋体"/>
        </w:rPr>
        <w:t>随访业务配置：初次概览随访业务的配置信息，可修改并启动业务；后续可根据业务变动进行配置更改。支持按出院患者来源、科室/病区设置条件，随访人员、计划随访时间、抽取比例的设置。</w:t>
      </w:r>
    </w:p>
    <w:p w14:paraId="3D0294AF">
      <w:pPr>
        <w:ind w:firstLine="422" w:firstLineChars="200"/>
        <w:outlineLvl w:val="5"/>
        <w:rPr>
          <w:rFonts w:ascii="宋体" w:hAnsi="宋体" w:cs="宋体"/>
        </w:rPr>
      </w:pPr>
      <w:r>
        <w:rPr>
          <w:rFonts w:hint="eastAsia" w:ascii="宋体" w:hAnsi="宋体" w:cs="宋体"/>
          <w:b/>
          <w:bCs/>
        </w:rPr>
        <w:t xml:space="preserve">2.2.4.1.3 </w:t>
      </w:r>
      <w:r>
        <w:rPr>
          <w:rFonts w:hint="eastAsia" w:ascii="宋体" w:hAnsi="宋体" w:cs="宋体"/>
        </w:rPr>
        <w:t>支持多种随访任务设置：如住院任务、门诊任务、全院任务等类型。</w:t>
      </w:r>
    </w:p>
    <w:p w14:paraId="270EE2E1">
      <w:pPr>
        <w:ind w:firstLine="422" w:firstLineChars="200"/>
        <w:outlineLvl w:val="5"/>
        <w:rPr>
          <w:rFonts w:ascii="宋体" w:hAnsi="宋体" w:cs="宋体"/>
        </w:rPr>
      </w:pPr>
      <w:r>
        <w:rPr>
          <w:rFonts w:hint="eastAsia" w:ascii="宋体" w:hAnsi="宋体" w:cs="宋体"/>
          <w:b/>
          <w:bCs/>
        </w:rPr>
        <w:t xml:space="preserve">2.2.4.1.4 </w:t>
      </w:r>
      <w:r>
        <w:rPr>
          <w:rFonts w:hint="eastAsia" w:ascii="宋体" w:hAnsi="宋体" w:cs="宋体"/>
        </w:rPr>
        <w:t>患者筛选引：所有需要随访的病区患者，均通过预先设置的条件，自动筛选符合条件的患者，支持按比例、数量抽取患者并生成相应的随访任务。</w:t>
      </w:r>
    </w:p>
    <w:p w14:paraId="01229B66">
      <w:pPr>
        <w:ind w:firstLine="422" w:firstLineChars="200"/>
        <w:outlineLvl w:val="5"/>
        <w:rPr>
          <w:rFonts w:ascii="宋体" w:hAnsi="宋体" w:cs="宋体"/>
        </w:rPr>
      </w:pPr>
      <w:r>
        <w:rPr>
          <w:rFonts w:hint="eastAsia" w:ascii="宋体" w:hAnsi="宋体" w:cs="宋体"/>
          <w:b/>
          <w:bCs/>
        </w:rPr>
        <w:t xml:space="preserve">2.2.4.1.5 </w:t>
      </w:r>
      <w:r>
        <w:rPr>
          <w:rFonts w:hint="eastAsia" w:ascii="宋体" w:hAnsi="宋体" w:cs="宋体"/>
        </w:rPr>
        <w:t>患者过滤管理：随访计划配置筛选患者时将自动过滤死亡、无联系方式、不接受调查名单，同时将正在随访的患者结案。</w:t>
      </w:r>
    </w:p>
    <w:p w14:paraId="27B03A60">
      <w:pPr>
        <w:ind w:firstLine="422" w:firstLineChars="200"/>
        <w:outlineLvl w:val="5"/>
        <w:rPr>
          <w:rFonts w:ascii="宋体" w:hAnsi="宋体" w:cs="宋体"/>
        </w:rPr>
      </w:pPr>
      <w:r>
        <w:rPr>
          <w:rFonts w:hint="eastAsia" w:ascii="宋体" w:hAnsi="宋体" w:cs="宋体"/>
          <w:b/>
          <w:bCs/>
        </w:rPr>
        <w:t xml:space="preserve">2.2.4.1.6 </w:t>
      </w:r>
      <w:r>
        <w:rPr>
          <w:rFonts w:hint="eastAsia" w:ascii="宋体" w:hAnsi="宋体" w:cs="宋体"/>
        </w:rPr>
        <w:t>随访计划匹配：可根据医院需求自动从HIS系统导入符合条件的患者，并根据医院的需求设置好对应的随访规则，为不同类别的患者匹配相应的随访任务。</w:t>
      </w:r>
    </w:p>
    <w:p w14:paraId="2EBC2FB2">
      <w:pPr>
        <w:pBdr>
          <w:top w:val="none" w:color="000000" w:sz="0" w:space="0"/>
          <w:left w:val="none" w:color="000000" w:sz="0" w:space="0"/>
          <w:bottom w:val="none" w:color="000000" w:sz="0" w:space="0"/>
          <w:right w:val="none" w:color="000000" w:sz="0" w:space="0"/>
        </w:pBdr>
        <w:spacing w:before="120" w:after="120" w:line="85" w:lineRule="atLeast"/>
        <w:ind w:firstLine="422" w:firstLineChars="200"/>
        <w:outlineLvl w:val="4"/>
        <w:rPr>
          <w:rFonts w:ascii="宋体" w:hAnsi="宋体" w:cs="宋体"/>
          <w:b/>
          <w:bCs/>
        </w:rPr>
      </w:pPr>
      <w:r>
        <w:rPr>
          <w:rFonts w:hint="eastAsia" w:ascii="宋体" w:hAnsi="宋体" w:cs="宋体"/>
          <w:b/>
          <w:bCs/>
        </w:rPr>
        <w:t>2.2.4.2 随访执行</w:t>
      </w:r>
    </w:p>
    <w:p w14:paraId="047E9533">
      <w:pPr>
        <w:ind w:firstLine="420" w:firstLineChars="200"/>
        <w:outlineLvl w:val="5"/>
        <w:rPr>
          <w:rFonts w:ascii="宋体" w:hAnsi="宋体" w:cs="宋体"/>
        </w:rPr>
      </w:pPr>
      <w:r>
        <w:rPr>
          <w:rFonts w:hint="eastAsia" w:ascii="宋体" w:hAnsi="宋体" w:cs="宋体"/>
        </w:rPr>
        <w:t>2.2.4.2.1 取消随访：支持在随访过程中选择取消随访，包括取消当前随访、取消当前随访计划、取消当前患者所有随访计划、取消当前死亡患者的所有随访计划，并记录取消原因。</w:t>
      </w:r>
    </w:p>
    <w:p w14:paraId="072E72FA">
      <w:pPr>
        <w:ind w:firstLine="420" w:firstLineChars="200"/>
        <w:outlineLvl w:val="5"/>
        <w:rPr>
          <w:rFonts w:ascii="宋体" w:hAnsi="宋体" w:cs="宋体"/>
        </w:rPr>
      </w:pPr>
      <w:r>
        <w:rPr>
          <w:rFonts w:hint="eastAsia" w:ascii="宋体" w:hAnsi="宋体" w:cs="宋体"/>
        </w:rPr>
        <w:t>2.2.4.2.2 微信随访：支持微信渠道开展随访，推送出院随访问卷到微信公众号，患者可在手机端接收并填写。</w:t>
      </w:r>
    </w:p>
    <w:p w14:paraId="1BFD8773">
      <w:pPr>
        <w:ind w:firstLine="420" w:firstLineChars="200"/>
        <w:outlineLvl w:val="5"/>
        <w:rPr>
          <w:rFonts w:ascii="宋体" w:hAnsi="宋体" w:cs="宋体"/>
        </w:rPr>
      </w:pPr>
      <w:r>
        <w:rPr>
          <w:rFonts w:hint="eastAsia" w:ascii="宋体" w:hAnsi="宋体" w:cs="宋体"/>
        </w:rPr>
        <w:t>2.2.4.2.3 短信随访：支持短信渠道开展随访，推送带链接短信到患者手机端，患者在手机端填写并提交随访问卷。</w:t>
      </w:r>
    </w:p>
    <w:p w14:paraId="6841FF75">
      <w:pPr>
        <w:ind w:firstLine="420" w:firstLineChars="200"/>
        <w:outlineLvl w:val="5"/>
        <w:rPr>
          <w:rFonts w:ascii="宋体" w:hAnsi="宋体" w:cs="宋体"/>
        </w:rPr>
      </w:pPr>
      <w:r>
        <w:rPr>
          <w:rFonts w:hint="eastAsia" w:ascii="宋体" w:hAnsi="宋体" w:cs="宋体"/>
        </w:rPr>
        <w:t>2.2.4.2.4 AI语音随访：支持通过AI语音外呼方式开展病区随访，系统自动拨号与患者对话，将沟通结果录入随访表单进行结构化储存，并保留录音和文本。</w:t>
      </w:r>
    </w:p>
    <w:p w14:paraId="46F2284C">
      <w:pPr>
        <w:ind w:firstLine="420" w:firstLineChars="200"/>
        <w:outlineLvl w:val="5"/>
        <w:rPr>
          <w:rFonts w:ascii="宋体" w:hAnsi="宋体" w:cs="宋体"/>
        </w:rPr>
      </w:pPr>
      <w:r>
        <w:rPr>
          <w:rFonts w:hint="eastAsia" w:ascii="宋体" w:hAnsi="宋体" w:cs="宋体"/>
        </w:rPr>
        <w:t>2.2.4.2.5 电话随访：支持通过电话随访方式，对患者进行随访。（支持一键拨号，通话过程全程录音）。</w:t>
      </w:r>
    </w:p>
    <w:p w14:paraId="5300C646">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b/>
          <w:bCs/>
        </w:rPr>
      </w:pPr>
      <w:r>
        <w:rPr>
          <w:rFonts w:hint="eastAsia" w:ascii="宋体" w:hAnsi="宋体" w:cs="宋体"/>
        </w:rPr>
        <w:t xml:space="preserve">2.2.4.3 </w:t>
      </w:r>
      <w:r>
        <w:rPr>
          <w:rFonts w:hint="eastAsia" w:ascii="宋体" w:hAnsi="宋体" w:cs="宋体"/>
          <w:b/>
          <w:bCs/>
        </w:rPr>
        <w:t>随访查询统计</w:t>
      </w:r>
    </w:p>
    <w:p w14:paraId="5FC33D06">
      <w:pPr>
        <w:ind w:firstLine="420" w:firstLineChars="200"/>
        <w:outlineLvl w:val="5"/>
        <w:rPr>
          <w:rFonts w:ascii="宋体" w:hAnsi="宋体" w:cs="宋体"/>
        </w:rPr>
      </w:pPr>
      <w:r>
        <w:rPr>
          <w:rFonts w:hint="eastAsia" w:ascii="宋体" w:hAnsi="宋体" w:cs="宋体"/>
        </w:rPr>
        <w:t>2.2.4.3.1 随访结果查看：可直观的展现患者的随访情况，例如是否回复，表单评分等。</w:t>
      </w:r>
    </w:p>
    <w:p w14:paraId="600907F6">
      <w:pPr>
        <w:ind w:firstLine="420" w:firstLineChars="200"/>
        <w:outlineLvl w:val="5"/>
        <w:rPr>
          <w:rFonts w:ascii="宋体" w:hAnsi="宋体" w:cs="宋体"/>
        </w:rPr>
      </w:pPr>
      <w:r>
        <w:rPr>
          <w:rFonts w:hint="eastAsia" w:ascii="宋体" w:hAnsi="宋体" w:cs="宋体"/>
        </w:rPr>
        <w:t>2.2.4.3.2 随访查询：系统支持将某一患者所有随访记录按时间展现，支持查询多个患者同一随访问卷的单个或多个问题答案的查询和展示。</w:t>
      </w:r>
    </w:p>
    <w:p w14:paraId="55836113">
      <w:pPr>
        <w:ind w:firstLine="420" w:firstLineChars="200"/>
        <w:outlineLvl w:val="5"/>
        <w:rPr>
          <w:rFonts w:ascii="宋体" w:hAnsi="宋体" w:cs="宋体"/>
        </w:rPr>
      </w:pPr>
      <w:r>
        <w:rPr>
          <w:rFonts w:hint="eastAsia" w:ascii="宋体" w:hAnsi="宋体" w:cs="宋体"/>
        </w:rPr>
        <w:t>2.2.4.3.3 随访导出：支持按问卷答案导出随访结果，支持按照随访问卷的所有问题及答案导出结果，支持按照随访问卷特定问题的单个或多个答案导出结果。</w:t>
      </w:r>
    </w:p>
    <w:p w14:paraId="2C3007A5">
      <w:pPr>
        <w:ind w:firstLine="420" w:firstLineChars="200"/>
        <w:outlineLvl w:val="5"/>
        <w:rPr>
          <w:rFonts w:ascii="宋体" w:hAnsi="宋体" w:cs="宋体"/>
        </w:rPr>
      </w:pPr>
      <w:r>
        <w:rPr>
          <w:rFonts w:hint="eastAsia" w:ascii="宋体" w:hAnsi="宋体" w:cs="宋体"/>
        </w:rPr>
        <w:t>2.2.4.3.4 抽查随访：可对已经随访完的任务进行随机抽查，随机比列可自定义。</w:t>
      </w:r>
    </w:p>
    <w:p w14:paraId="49A21471">
      <w:pPr>
        <w:ind w:firstLine="420" w:firstLineChars="200"/>
        <w:outlineLvl w:val="5"/>
        <w:rPr>
          <w:rFonts w:ascii="宋体" w:hAnsi="宋体" w:cs="宋体"/>
        </w:rPr>
      </w:pPr>
      <w:r>
        <w:rPr>
          <w:rFonts w:hint="eastAsia" w:ascii="宋体" w:hAnsi="宋体" w:cs="宋体"/>
        </w:rPr>
        <w:t>2.2.4.3.5 绩效统计：对科室绩效、员工绩效、病区绩效、问卷数量、失访率进行统计。</w:t>
      </w:r>
    </w:p>
    <w:p w14:paraId="69F7022C">
      <w:pPr>
        <w:ind w:firstLine="420" w:firstLineChars="200"/>
        <w:outlineLvl w:val="5"/>
        <w:rPr>
          <w:rFonts w:ascii="宋体" w:hAnsi="宋体" w:cs="宋体"/>
        </w:rPr>
      </w:pPr>
      <w:r>
        <w:rPr>
          <w:rFonts w:hint="eastAsia" w:ascii="宋体" w:hAnsi="宋体" w:cs="宋体"/>
        </w:rPr>
        <w:t>2.2.4.3.6 问卷答案统计：对所有提交的随访问卷的情况进行统计。可以根据医院要求自定义统计报表，能导出和打印。</w:t>
      </w:r>
    </w:p>
    <w:p w14:paraId="441B4AFE">
      <w:pPr>
        <w:pBdr>
          <w:top w:val="none" w:color="000000" w:sz="0" w:space="0"/>
          <w:left w:val="none" w:color="000000" w:sz="0" w:space="0"/>
          <w:bottom w:val="none" w:color="000000" w:sz="0" w:space="0"/>
          <w:right w:val="none" w:color="000000" w:sz="0" w:space="0"/>
        </w:pBdr>
        <w:spacing w:before="120" w:after="120" w:line="85" w:lineRule="atLeast"/>
        <w:ind w:firstLine="482" w:firstLineChars="200"/>
        <w:outlineLvl w:val="3"/>
        <w:rPr>
          <w:rFonts w:ascii="宋体" w:hAnsi="宋体" w:cs="宋体"/>
          <w:b/>
          <w:bCs/>
          <w:sz w:val="24"/>
          <w:szCs w:val="24"/>
        </w:rPr>
      </w:pPr>
      <w:r>
        <w:rPr>
          <w:rFonts w:hint="eastAsia" w:ascii="宋体" w:hAnsi="宋体" w:cs="宋体"/>
          <w:b/>
          <w:bCs/>
          <w:sz w:val="24"/>
          <w:szCs w:val="24"/>
        </w:rPr>
        <w:t>2.2.5. 体检随访</w:t>
      </w:r>
    </w:p>
    <w:p w14:paraId="6618D986">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2.2.5.1 体检患者管理</w:t>
      </w:r>
    </w:p>
    <w:p w14:paraId="625DCF0E">
      <w:pPr>
        <w:ind w:firstLine="420" w:firstLineChars="200"/>
        <w:outlineLvl w:val="5"/>
        <w:rPr>
          <w:rFonts w:ascii="宋体" w:hAnsi="宋体" w:cs="宋体"/>
        </w:rPr>
      </w:pPr>
      <w:r>
        <w:rPr>
          <w:rFonts w:hint="eastAsia" w:ascii="宋体" w:hAnsi="宋体" w:cs="宋体"/>
        </w:rPr>
        <w:t>2.2.5.1.1 体检数据导入：对接体检系统导入体检指标呈阳性的患者，支持在系统内查询体检信息。</w:t>
      </w:r>
    </w:p>
    <w:p w14:paraId="43DD4312">
      <w:pPr>
        <w:ind w:firstLine="420" w:firstLineChars="200"/>
        <w:outlineLvl w:val="5"/>
        <w:rPr>
          <w:rFonts w:ascii="宋体" w:hAnsi="宋体" w:cs="宋体"/>
        </w:rPr>
      </w:pPr>
      <w:r>
        <w:rPr>
          <w:rFonts w:hint="eastAsia" w:ascii="宋体" w:hAnsi="宋体" w:cs="宋体"/>
        </w:rPr>
        <w:t>2.2.5.1.2 数据关联：患者体检信息能够关联该患者在医院的就诊数据，支持查看患者基本信息、门诊住院信息及体检信息。</w:t>
      </w:r>
    </w:p>
    <w:p w14:paraId="1A62F477">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2.2.5.2 检后随访管理</w:t>
      </w:r>
    </w:p>
    <w:p w14:paraId="6149346C">
      <w:pPr>
        <w:ind w:firstLine="420" w:firstLineChars="200"/>
        <w:outlineLvl w:val="5"/>
        <w:rPr>
          <w:rFonts w:ascii="宋体" w:hAnsi="宋体" w:cs="宋体"/>
        </w:rPr>
      </w:pPr>
      <w:r>
        <w:rPr>
          <w:rFonts w:hint="eastAsia" w:ascii="宋体" w:hAnsi="宋体" w:cs="宋体"/>
        </w:rPr>
        <w:t>2.2.5.2.1 体检随访场景：支持根据体检阳性指标设置随访场景，自定义随访起始时间。</w:t>
      </w:r>
    </w:p>
    <w:p w14:paraId="506D001B">
      <w:pPr>
        <w:ind w:firstLine="420" w:firstLineChars="200"/>
        <w:outlineLvl w:val="5"/>
        <w:rPr>
          <w:rFonts w:ascii="宋体" w:hAnsi="宋体" w:cs="宋体"/>
        </w:rPr>
      </w:pPr>
      <w:r>
        <w:rPr>
          <w:rFonts w:hint="eastAsia" w:ascii="宋体" w:hAnsi="宋体" w:cs="宋体"/>
        </w:rPr>
        <w:t>2.2.5.2.2 体检随访设置：支持设置检后随访表单，根据体检中心要求配置随访计划。</w:t>
      </w:r>
    </w:p>
    <w:p w14:paraId="00A9E2BB">
      <w:pPr>
        <w:ind w:firstLine="420" w:firstLineChars="200"/>
        <w:outlineLvl w:val="5"/>
        <w:rPr>
          <w:rFonts w:ascii="宋体" w:hAnsi="宋体" w:cs="宋体"/>
        </w:rPr>
      </w:pPr>
      <w:r>
        <w:rPr>
          <w:rFonts w:hint="eastAsia" w:ascii="宋体" w:hAnsi="宋体" w:cs="宋体"/>
        </w:rPr>
        <w:t>2.2.5.2.3 检后患者筛选引擎：所有需要随访的检后阳性患者，均通过预先设置的条件，自动筛选符合条件的患者，支持按比例、数量抽取患者并生成相应的随访任务。</w:t>
      </w:r>
    </w:p>
    <w:p w14:paraId="106BC806">
      <w:pPr>
        <w:ind w:firstLine="420" w:firstLineChars="200"/>
        <w:outlineLvl w:val="5"/>
        <w:rPr>
          <w:rFonts w:ascii="宋体" w:hAnsi="宋体" w:cs="宋体"/>
        </w:rPr>
      </w:pPr>
      <w:r>
        <w:rPr>
          <w:rFonts w:hint="eastAsia" w:ascii="宋体" w:hAnsi="宋体" w:cs="宋体"/>
        </w:rPr>
        <w:t>2.2.5.2.4 随访配置：支持按体检阳性指标设置随访条件配置，随访人员、计划随访时间、抽取比例的设置。</w:t>
      </w:r>
    </w:p>
    <w:p w14:paraId="11E5487A">
      <w:pPr>
        <w:ind w:firstLine="420" w:firstLineChars="200"/>
        <w:outlineLvl w:val="5"/>
        <w:rPr>
          <w:rFonts w:ascii="宋体" w:hAnsi="宋体" w:cs="宋体"/>
        </w:rPr>
      </w:pPr>
      <w:r>
        <w:rPr>
          <w:rFonts w:hint="eastAsia" w:ascii="宋体" w:hAnsi="宋体" w:cs="宋体"/>
        </w:rPr>
        <w:t>2.2.5.2.5 微信随访：支持微信渠道开展随访，通过医院微信公众号推送检后随访任务到患者微信，患者可在手机端接收并填写。</w:t>
      </w:r>
    </w:p>
    <w:p w14:paraId="241A3B70">
      <w:pPr>
        <w:ind w:firstLine="420" w:firstLineChars="200"/>
        <w:outlineLvl w:val="5"/>
        <w:rPr>
          <w:rFonts w:ascii="宋体" w:hAnsi="宋体" w:cs="宋体"/>
        </w:rPr>
      </w:pPr>
      <w:r>
        <w:rPr>
          <w:rFonts w:hint="eastAsia" w:ascii="宋体" w:hAnsi="宋体" w:cs="宋体"/>
        </w:rPr>
        <w:t>2.2.5.2.6电话随访：支持通过电话随访方式，对检后阳性患者进行随访。（支持一键拨号，通话过程全程录音）。</w:t>
      </w:r>
    </w:p>
    <w:p w14:paraId="1D6701FB">
      <w:pPr>
        <w:pBdr>
          <w:top w:val="none" w:color="000000" w:sz="0" w:space="0"/>
          <w:left w:val="none" w:color="000000" w:sz="0" w:space="0"/>
          <w:bottom w:val="none" w:color="000000" w:sz="0" w:space="0"/>
          <w:right w:val="none" w:color="000000" w:sz="0" w:space="0"/>
        </w:pBdr>
        <w:spacing w:before="120" w:after="120" w:line="85" w:lineRule="atLeast"/>
        <w:ind w:firstLine="482" w:firstLineChars="200"/>
        <w:outlineLvl w:val="3"/>
        <w:rPr>
          <w:rFonts w:ascii="宋体" w:hAnsi="宋体" w:cs="宋体"/>
          <w:b/>
          <w:bCs/>
          <w:sz w:val="24"/>
          <w:szCs w:val="24"/>
        </w:rPr>
      </w:pPr>
      <w:r>
        <w:rPr>
          <w:rFonts w:hint="eastAsia" w:ascii="宋体" w:hAnsi="宋体" w:cs="宋体"/>
          <w:b/>
          <w:bCs/>
          <w:sz w:val="24"/>
          <w:szCs w:val="24"/>
        </w:rPr>
        <w:t>2.2.6. 通用专病随访</w:t>
      </w:r>
    </w:p>
    <w:p w14:paraId="13C3C48E">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2.2.6.1 专病随访配置：初次概览随访业务的配置信息，可修改并启动业务；支持后续可根据业务变动进行配置更改；支持按门急诊或出院科室、诊断、手术等附加筛选条件进行患者筛选，支持灵活设置随访筛选条件；所有需要随访的患者，均通过预先设置的条件，每天定时自动筛选符合条件的患者，匹配相应的随访任务。支持设置随访时间间隔，避免对短时间再入院患者随访。支持优先级维护，支持设置是否开启自动过滤选项，包括：死亡患者、不接受随访、无联系方式等。支持随访任务、宣教任务、提醒任务在同一随访路径下一并设置；支持新增随访任务设置。</w:t>
      </w:r>
    </w:p>
    <w:p w14:paraId="5858268E">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2.2.6.2 患者筛选引擎：所有需要专病随访的患者，均通过预先设置的条件，每天定时自动筛选符合条件的患者，支持按疾病、诊断情况筛选，生成相应的随访任务。</w:t>
      </w:r>
    </w:p>
    <w:p w14:paraId="48CC092A">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2.2.6.3 名单过滤管理：随访计划配置筛选患者时，可设置自动过滤死亡、无联系方式、不接受调查的患者名单。也可自定义设置其他过滤条件。</w:t>
      </w:r>
    </w:p>
    <w:p w14:paraId="56885DE2">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2.2.6.4 ▲动态随访配置：支持将不同的专病子计划，按照不同的条件设置动态随访路径方案，如设置首个子计划以及自定义添加后续子计划，可设置子计划循环次数，支持勾选任务终止参数：任务取消、患者死亡、患者失访。</w:t>
      </w:r>
      <w:r>
        <w:rPr>
          <w:rFonts w:hint="eastAsia" w:ascii="宋体" w:hAnsi="宋体" w:cs="宋体"/>
          <w:b/>
          <w:bCs/>
        </w:rPr>
        <w:t>(提供系统功能截图）</w:t>
      </w:r>
    </w:p>
    <w:p w14:paraId="488687D5">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2.2.6.5 随访计划匹配：支持医院根据专病随访需求自定义设置对应的随访规则，为不同类别的患者匹配相应的随访任务。</w:t>
      </w:r>
    </w:p>
    <w:p w14:paraId="6C15E353">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2.2.6.6 微信随访：支持微信渠道开展随访，推送随访问卷/宣教/提醒到微信公众号，患者可在手机端接收并反馈。</w:t>
      </w:r>
    </w:p>
    <w:p w14:paraId="1EBEC50A">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2.2.6.7 短信随访：支持短信渠道开展随访，推送带链接的问卷/宣教/提醒短信到患者手机端，患者在手机端接收并反馈。</w:t>
      </w:r>
    </w:p>
    <w:p w14:paraId="1799DB0A">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2.2.6.8 复诊提醒：支持医院根据病种自行配置患者的复诊计划，在计划复诊前自动通过短信/微信的方式提醒患者按时复诊。</w:t>
      </w:r>
    </w:p>
    <w:p w14:paraId="0474D046">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2.2.6.9 随访任务调整：支持电话随访过程中，根据患者情况手动更改当前随访路径，如增加、删减、修改问卷，调整随访时间。</w:t>
      </w:r>
    </w:p>
    <w:p w14:paraId="1066C568">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2.2.6.10 随访任务推送引擎：支持实时或指定时间点推送随访问卷；支持微信、短信、电话随访的多渠道设置。</w:t>
      </w:r>
    </w:p>
    <w:p w14:paraId="51AFCE31">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2.2.6.11 取消随访：支持在随访过程中选择取消随访，包括取消当前随访、取消当前随访计划、取消当前患者所有随访计划、取消当前死亡患者的所有随访计划，并记录取消原因。</w:t>
      </w:r>
    </w:p>
    <w:p w14:paraId="60861C78">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2.2.6.12 随访结果跟踪处理：可直观的展现患者的随访情况，例如是否回复，是否异常等；患者回复无异常情况，支持随访任务自动完成；支持对随访结果异常的患者进行回访沟通，明确异常情况，记录结果；支持微信随访、短信随访下，患者回复有异常情况，自动生成宣教任务并推送给患者；支持患者回复异常时，手机消息提醒给管理人员的配置。</w:t>
      </w:r>
    </w:p>
    <w:p w14:paraId="13FF0C4D">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2.2.6.13 死亡名单管理：支持自动获取院内死亡名单，对患者标记为不健在，也可手动表示死亡不健在，管理患者死亡名单；科室专病随访时，如获知患者已经死亡，可填写死亡日期和原因，并将正在随访的患者结案，取消结案该患者所有的随访任务。</w:t>
      </w:r>
    </w:p>
    <w:p w14:paraId="3A879E3F">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2.2.6.14 科室专病统计：内置随访业务统计，包含按患者科室统计、随访任务情况统计、宣教任务情况统计、复诊任务情况统计、按主治医生统计、按科室随访任务统计；支持结果打印与导出Excel。</w:t>
      </w:r>
    </w:p>
    <w:p w14:paraId="7FCE9A2B">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2.2.6.15 随访查询：系统支持将某一患者所有随访记录按时间展现，支持查询多个患者同一随访问卷的单个或多个问题答案的查询和展示。支持导出随访表单中单个问题及特定或全部答案，全部问题及答案。</w:t>
      </w:r>
    </w:p>
    <w:p w14:paraId="33FD682C">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2.2.6.16 专病随访问卷：根据医院根据疾病跟进需求，自行配置专病随访问卷，可对问卷设置分值、异常值、答案解释等内容。</w:t>
      </w:r>
    </w:p>
    <w:p w14:paraId="1B921FE7">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2.2.6.17 专病随访路径：根据医院需求提供科室通用专病随访知识包。</w:t>
      </w:r>
    </w:p>
    <w:p w14:paraId="4FDE9212">
      <w:pPr>
        <w:pBdr>
          <w:top w:val="none" w:color="000000" w:sz="0" w:space="0"/>
          <w:left w:val="none" w:color="000000" w:sz="0" w:space="0"/>
          <w:bottom w:val="none" w:color="000000" w:sz="0" w:space="0"/>
          <w:right w:val="none" w:color="000000" w:sz="0" w:space="0"/>
        </w:pBdr>
        <w:spacing w:before="120" w:after="120" w:line="85" w:lineRule="atLeast"/>
        <w:ind w:firstLine="482" w:firstLineChars="200"/>
        <w:outlineLvl w:val="3"/>
        <w:rPr>
          <w:rFonts w:ascii="宋体" w:hAnsi="宋体" w:cs="宋体"/>
          <w:b/>
          <w:bCs/>
          <w:sz w:val="24"/>
          <w:szCs w:val="24"/>
        </w:rPr>
      </w:pPr>
      <w:r>
        <w:rPr>
          <w:rFonts w:hint="eastAsia" w:ascii="宋体" w:hAnsi="宋体" w:cs="宋体"/>
          <w:b/>
          <w:bCs/>
          <w:sz w:val="24"/>
          <w:szCs w:val="24"/>
        </w:rPr>
        <w:t>2.2.7 科研课题管理</w:t>
      </w:r>
      <w:r>
        <w:rPr>
          <w:rFonts w:hint="eastAsia" w:ascii="宋体" w:hAnsi="宋体" w:cs="宋体"/>
          <w:b/>
          <w:bCs/>
          <w:sz w:val="24"/>
          <w:szCs w:val="24"/>
        </w:rPr>
        <w:tab/>
      </w:r>
    </w:p>
    <w:p w14:paraId="28969C60">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2.2.7.1 课题添加：支持自定义添加课题并维护，可设置课题名称、课题所属机构、课题提出人、助理人员、课题的所处状态，可设置课题对应的病种、数据来源、数据年限；管理课题提出时间和完成时间；支持设置课题组对应科研管理计划。</w:t>
      </w:r>
    </w:p>
    <w:p w14:paraId="34F9CE91">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2.2.7.2 ▲课题规则设置：支持设置课题组对应的数据筛查规则，数据筛查条件包括数据类型、所属机构，支持设置过滤条件包括是否导入死亡、无号码、终点期患者，可设置最大导入量；支持设置多种指标的数据范围进行筛查，指标之间可设置并且、或者关系，同时支持使用模块化语句扩展更多个性化规则。</w:t>
      </w:r>
      <w:r>
        <w:rPr>
          <w:rFonts w:hint="eastAsia" w:ascii="宋体" w:hAnsi="宋体" w:cs="宋体"/>
          <w:b/>
          <w:bCs/>
        </w:rPr>
        <w:t>(提供系统演示视频）</w:t>
      </w:r>
    </w:p>
    <w:p w14:paraId="6E765349">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2.2.7.3 课题分组管理：支持选择课题组的病例自定义设置分组管理，可按年龄段、性别、组别等类型设置分组，以便进行病例对照管理研究。</w:t>
      </w:r>
    </w:p>
    <w:p w14:paraId="4C6603B7">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2.2.7.4 病例管理：支持根据筛查规则筛查符合条件的患者加入课题组，支持查看课题内患者数据、对患者设置分组、删除、随访等操作。</w:t>
      </w:r>
    </w:p>
    <w:p w14:paraId="00A9686A">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2.2.7.5 课题随访：支持根据课题设置随访计划，所有在课题组内的患者都自动启用该随访计划。支持短信、微信、电话、AI语音等随访方式。</w:t>
      </w:r>
    </w:p>
    <w:p w14:paraId="7E175151">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2.2.7.6 标本库管理：对标本的位置、时间、所属患者等信息进行记录，并提供编辑、查询功能。</w:t>
      </w:r>
    </w:p>
    <w:p w14:paraId="5F979413">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2.2.7.7 指标走势分析：支持对一个患者的一个指标、多个患者的同一个指标、一个患者的多个指标、多个患者的多个指标进行指标走势分析。</w:t>
      </w:r>
    </w:p>
    <w:p w14:paraId="551887D3">
      <w:pPr>
        <w:pStyle w:val="17"/>
        <w:ind w:firstLine="0"/>
      </w:pPr>
    </w:p>
    <w:p w14:paraId="291F8B36">
      <w:pPr>
        <w:pBdr>
          <w:top w:val="none" w:color="000000" w:sz="0" w:space="0"/>
          <w:left w:val="none" w:color="000000" w:sz="0" w:space="0"/>
          <w:bottom w:val="none" w:color="000000" w:sz="0" w:space="0"/>
          <w:right w:val="none" w:color="000000" w:sz="0" w:space="0"/>
        </w:pBdr>
        <w:spacing w:before="120" w:after="120" w:line="85" w:lineRule="atLeast"/>
        <w:ind w:firstLine="482" w:firstLineChars="200"/>
        <w:outlineLvl w:val="3"/>
        <w:rPr>
          <w:rFonts w:ascii="宋体" w:hAnsi="宋体" w:cs="宋体"/>
          <w:b/>
          <w:bCs/>
          <w:sz w:val="24"/>
          <w:szCs w:val="24"/>
        </w:rPr>
      </w:pPr>
      <w:r>
        <w:rPr>
          <w:rFonts w:hint="eastAsia" w:ascii="宋体" w:hAnsi="宋体" w:cs="宋体"/>
          <w:b/>
          <w:bCs/>
          <w:sz w:val="24"/>
          <w:szCs w:val="24"/>
        </w:rPr>
        <w:t>2.2.8 健康宣教</w:t>
      </w:r>
    </w:p>
    <w:p w14:paraId="3A2C5D20">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2.2.8.1 内置宣教场景：内置通用的入院宣教、出院宣教场景，实现对患者出入院自动宣教。</w:t>
      </w:r>
    </w:p>
    <w:p w14:paraId="52FD6B8A">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2.2.8.2 患者筛选引擎：按患者入院和出院时间自动筛选相应患者，匹配出入院宣教内容，生成宣教任务。</w:t>
      </w:r>
    </w:p>
    <w:p w14:paraId="5F1381F2">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2.2.8.3 宣教推送：系统通过医院微信服务号向患者推送出入院宣教，患者在手机端接收并查阅宣教内容。</w:t>
      </w:r>
    </w:p>
    <w:p w14:paraId="0A6D0193">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2.2.8.4 宣教记录：系统可查看历次宣教推送记录，并查看患者是否点击宣教课程。</w:t>
      </w:r>
    </w:p>
    <w:p w14:paraId="12E22405">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2.2.8.5 宣教业务统计：内置宣教业务统计，包括：按科室/病区统计宣教数量；按宣教内容统计宣教阅读率。</w:t>
      </w:r>
    </w:p>
    <w:p w14:paraId="088C8F77">
      <w:pPr>
        <w:pBdr>
          <w:top w:val="none" w:color="000000" w:sz="0" w:space="0"/>
          <w:left w:val="none" w:color="000000" w:sz="0" w:space="0"/>
          <w:bottom w:val="none" w:color="000000" w:sz="0" w:space="0"/>
          <w:right w:val="none" w:color="000000" w:sz="0" w:space="0"/>
        </w:pBdr>
        <w:spacing w:before="120" w:after="120" w:line="85" w:lineRule="atLeast"/>
        <w:ind w:firstLine="482" w:firstLineChars="200"/>
        <w:outlineLvl w:val="3"/>
        <w:rPr>
          <w:rFonts w:ascii="宋体" w:hAnsi="宋体" w:cs="宋体"/>
          <w:b/>
          <w:bCs/>
          <w:sz w:val="24"/>
          <w:szCs w:val="24"/>
        </w:rPr>
      </w:pPr>
      <w:r>
        <w:rPr>
          <w:rFonts w:hint="eastAsia" w:ascii="宋体" w:hAnsi="宋体" w:cs="宋体"/>
          <w:b/>
          <w:bCs/>
          <w:sz w:val="24"/>
          <w:szCs w:val="24"/>
        </w:rPr>
        <w:t>2.2.9 AI语音平台</w:t>
      </w:r>
    </w:p>
    <w:p w14:paraId="13686BD3">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2.2.9.1 AI场景实施服务</w:t>
      </w:r>
    </w:p>
    <w:p w14:paraId="27FD3BD8">
      <w:pPr>
        <w:ind w:firstLine="420" w:firstLineChars="200"/>
        <w:outlineLvl w:val="5"/>
        <w:rPr>
          <w:rFonts w:ascii="宋体" w:hAnsi="宋体" w:cs="宋体"/>
        </w:rPr>
      </w:pPr>
      <w:r>
        <w:rPr>
          <w:rFonts w:hint="eastAsia" w:ascii="宋体" w:hAnsi="宋体" w:cs="宋体"/>
        </w:rPr>
        <w:t>2.2.9.1.1 AI话术场景制作：将随访问卷表单制作成AI语音随访话术场景，对语音识别与理解训练，实现对话分析、语术转换、语音录制、反馈兜底等功能。</w:t>
      </w:r>
    </w:p>
    <w:p w14:paraId="38ED9E2B">
      <w:pPr>
        <w:ind w:firstLine="420" w:firstLineChars="200"/>
        <w:outlineLvl w:val="5"/>
        <w:rPr>
          <w:rFonts w:ascii="宋体" w:hAnsi="宋体" w:cs="宋体"/>
        </w:rPr>
      </w:pPr>
      <w:r>
        <w:rPr>
          <w:rFonts w:hint="eastAsia" w:ascii="宋体" w:hAnsi="宋体" w:cs="宋体"/>
        </w:rPr>
        <w:t>2.2.9.1.2 AI随访实施：实现AI外呼与随访系统数据库对接，并将AI语音随访采集的数据记录下来。</w:t>
      </w:r>
    </w:p>
    <w:p w14:paraId="0ED9A327">
      <w:pPr>
        <w:pBdr>
          <w:top w:val="none" w:color="000000" w:sz="0" w:space="0"/>
          <w:left w:val="none" w:color="000000" w:sz="0" w:space="0"/>
          <w:bottom w:val="none" w:color="000000" w:sz="0" w:space="0"/>
          <w:right w:val="none" w:color="000000" w:sz="0" w:space="0"/>
        </w:pBdr>
        <w:spacing w:before="120" w:after="120" w:line="85" w:lineRule="atLeast"/>
        <w:ind w:firstLine="420" w:firstLineChars="200"/>
        <w:outlineLvl w:val="4"/>
        <w:rPr>
          <w:rFonts w:ascii="宋体" w:hAnsi="宋体" w:cs="宋体"/>
        </w:rPr>
      </w:pPr>
      <w:r>
        <w:rPr>
          <w:rFonts w:hint="eastAsia" w:ascii="宋体" w:hAnsi="宋体" w:cs="宋体"/>
        </w:rPr>
        <w:t>2.2.9.2 AI机器人管理</w:t>
      </w:r>
    </w:p>
    <w:p w14:paraId="4E54C63D">
      <w:pPr>
        <w:ind w:firstLine="420" w:firstLineChars="200"/>
        <w:outlineLvl w:val="5"/>
        <w:rPr>
          <w:rFonts w:ascii="宋体" w:hAnsi="宋体" w:cs="宋体"/>
        </w:rPr>
      </w:pPr>
      <w:r>
        <w:rPr>
          <w:rFonts w:hint="eastAsia" w:ascii="宋体" w:hAnsi="宋体" w:cs="宋体"/>
        </w:rPr>
        <w:t>2.2.9.2.1 满意度调查器人：实现患者满意度调查自动化，包括自动外呼（任务接收、话术模板、自动拨号、对话管理、结果回传）。</w:t>
      </w:r>
    </w:p>
    <w:p w14:paraId="2545FF68">
      <w:pPr>
        <w:ind w:firstLine="420" w:firstLineChars="200"/>
        <w:outlineLvl w:val="5"/>
        <w:rPr>
          <w:rFonts w:ascii="宋体" w:hAnsi="宋体" w:cs="宋体"/>
        </w:rPr>
      </w:pPr>
      <w:r>
        <w:rPr>
          <w:rFonts w:hint="eastAsia" w:ascii="宋体" w:hAnsi="宋体" w:cs="宋体"/>
        </w:rPr>
        <w:t>2.2.9.2.2 随访机器人：实现患者随访自动化，包括自动外呼（任务接收、话术模板、自动拨号、对话管理、结果回传）。</w:t>
      </w:r>
    </w:p>
    <w:p w14:paraId="09640C2E">
      <w:pPr>
        <w:pStyle w:val="46"/>
        <w:spacing w:before="240"/>
        <w:ind w:firstLine="0" w:firstLineChars="0"/>
        <w:outlineLvl w:val="1"/>
      </w:pPr>
      <w:bookmarkStart w:id="111" w:name="_Toc15887"/>
      <w:r>
        <w:rPr>
          <w:rFonts w:hint="eastAsia"/>
        </w:rPr>
        <w:t>三、</w:t>
      </w:r>
      <w:r>
        <w:rPr>
          <w:rFonts w:hint="eastAsia" w:ascii="宋体" w:hAnsi="宋体" w:cs="宋体"/>
        </w:rPr>
        <w:t>★</w:t>
      </w:r>
      <w:r>
        <w:rPr>
          <w:rFonts w:hint="eastAsia"/>
        </w:rPr>
        <w:t>商务要求（以下条款不接受任何一项的负偏离或不满足，否则投标无效）</w:t>
      </w:r>
      <w:bookmarkEnd w:id="111"/>
    </w:p>
    <w:p w14:paraId="5E33FA8E">
      <w:pPr>
        <w:pStyle w:val="2"/>
        <w:ind w:firstLine="480" w:firstLineChars="200"/>
        <w:rPr>
          <w:rFonts w:hAnsi="宋体"/>
        </w:rPr>
      </w:pPr>
      <w:r>
        <w:rPr>
          <w:rFonts w:hint="eastAsia" w:hAnsi="宋体"/>
        </w:rPr>
        <w:t>下列条款中甲方为：宝应县人民医院，乙方为：本项目的中标投标人</w:t>
      </w:r>
    </w:p>
    <w:p w14:paraId="0B1FFC1F">
      <w:pPr>
        <w:pStyle w:val="2"/>
        <w:ind w:firstLine="480" w:firstLineChars="200"/>
        <w:rPr>
          <w:rFonts w:hAnsi="宋体"/>
          <w:color w:val="auto"/>
        </w:rPr>
      </w:pPr>
      <w:r>
        <w:rPr>
          <w:rFonts w:hint="eastAsia" w:hAnsi="宋体"/>
          <w:color w:val="auto"/>
        </w:rPr>
        <w:t>3.1 交货期：自合同签订之日起2个月内，验收标准：符合招标文件及合同要求。</w:t>
      </w:r>
    </w:p>
    <w:p w14:paraId="6517DF44">
      <w:pPr>
        <w:pStyle w:val="2"/>
        <w:ind w:firstLine="480" w:firstLineChars="200"/>
        <w:rPr>
          <w:rFonts w:hAnsi="宋体"/>
        </w:rPr>
      </w:pPr>
      <w:r>
        <w:rPr>
          <w:rFonts w:hint="eastAsia" w:hAnsi="宋体"/>
        </w:rPr>
        <w:t>3.2 交货地点：宝应县人民医院</w:t>
      </w:r>
    </w:p>
    <w:p w14:paraId="5FDD21C5">
      <w:pPr>
        <w:pStyle w:val="2"/>
        <w:ind w:firstLine="480" w:firstLineChars="200"/>
        <w:rPr>
          <w:rFonts w:hAnsi="宋体"/>
          <w:color w:val="auto"/>
        </w:rPr>
      </w:pPr>
      <w:r>
        <w:rPr>
          <w:rFonts w:hint="eastAsia" w:hAnsi="宋体"/>
          <w:color w:val="auto"/>
        </w:rPr>
        <w:t>3.3 付款条件：</w:t>
      </w:r>
      <w:r>
        <w:rPr>
          <w:rFonts w:hint="eastAsia" w:hAnsi="宋体"/>
        </w:rPr>
        <w:t>合同签订后且乙方向甲方出具发票后，甲方10个工作日内支付合同款的30%，项目验收合格后，且甲方收到乙方开具的等额发票10个工作日内，甲方一次性支付合同款的70%</w:t>
      </w:r>
      <w:r>
        <w:rPr>
          <w:rFonts w:hint="eastAsia" w:hAnsi="宋体"/>
          <w:color w:val="auto"/>
        </w:rPr>
        <w:t>。</w:t>
      </w:r>
    </w:p>
    <w:p w14:paraId="41657C40">
      <w:pPr>
        <w:pStyle w:val="2"/>
        <w:ind w:firstLine="480" w:firstLineChars="200"/>
        <w:rPr>
          <w:rFonts w:hAnsi="宋体"/>
          <w:color w:val="auto"/>
        </w:rPr>
      </w:pPr>
      <w:r>
        <w:rPr>
          <w:rFonts w:hint="eastAsia" w:hAnsi="宋体"/>
        </w:rPr>
        <w:t>3.4 质保期：1年</w:t>
      </w:r>
    </w:p>
    <w:p w14:paraId="6D5C7C7D">
      <w:pPr>
        <w:pStyle w:val="46"/>
        <w:spacing w:before="240"/>
        <w:ind w:firstLine="0" w:firstLineChars="0"/>
        <w:outlineLvl w:val="1"/>
      </w:pPr>
      <w:bookmarkStart w:id="112" w:name="_Toc14100"/>
      <w:r>
        <w:rPr>
          <w:rFonts w:hint="eastAsia"/>
        </w:rPr>
        <w:t>四、其他说明</w:t>
      </w:r>
      <w:bookmarkEnd w:id="112"/>
    </w:p>
    <w:p w14:paraId="1020AE11">
      <w:pPr>
        <w:pStyle w:val="2"/>
        <w:ind w:firstLine="480" w:firstLineChars="200"/>
        <w:rPr>
          <w:rFonts w:hAnsi="宋体"/>
        </w:rPr>
      </w:pPr>
      <w:r>
        <w:rPr>
          <w:rFonts w:hint="eastAsia" w:hAnsi="宋体"/>
        </w:rPr>
        <w:t>4.1 上述</w:t>
      </w:r>
      <w:r>
        <w:rPr>
          <w:rFonts w:hint="eastAsia" w:hAnsi="宋体"/>
          <w:b/>
          <w:bCs/>
        </w:rPr>
        <w:t>技术要求</w:t>
      </w:r>
      <w:r>
        <w:rPr>
          <w:rFonts w:hint="eastAsia" w:hAnsi="宋体"/>
        </w:rPr>
        <w:t>中加注“★”符号的关键条款指标，不允许负偏离，否则投标无效；加注“▲”符号的为需要提供佐证资料条款；其他为一般条款指标；</w:t>
      </w:r>
    </w:p>
    <w:p w14:paraId="50C26FF5">
      <w:pPr>
        <w:pStyle w:val="2"/>
        <w:ind w:firstLine="480" w:firstLineChars="200"/>
        <w:rPr>
          <w:rFonts w:hAnsi="宋体"/>
        </w:rPr>
      </w:pPr>
      <w:r>
        <w:rPr>
          <w:rFonts w:hint="eastAsia" w:hAnsi="宋体"/>
        </w:rPr>
        <w:t>4.2 上述</w:t>
      </w:r>
      <w:r>
        <w:rPr>
          <w:rFonts w:hint="eastAsia" w:hAnsi="宋体"/>
          <w:b/>
          <w:bCs/>
        </w:rPr>
        <w:t>商务要求</w:t>
      </w:r>
      <w:r>
        <w:rPr>
          <w:rFonts w:hint="eastAsia" w:hAnsi="宋体"/>
        </w:rPr>
        <w:t>不接受任何一项的负偏离或者不满足，允许正偏离；</w:t>
      </w:r>
    </w:p>
    <w:p w14:paraId="4E4DE32B">
      <w:pPr>
        <w:pStyle w:val="2"/>
        <w:ind w:firstLine="480" w:firstLineChars="200"/>
        <w:rPr>
          <w:rFonts w:hAnsi="宋体"/>
        </w:rPr>
      </w:pPr>
      <w:r>
        <w:rPr>
          <w:rFonts w:hint="eastAsia" w:hAnsi="宋体"/>
        </w:rPr>
        <w:t>4.3 本招标文件中斜体且有下划线部分为实质性要求和条件，不允许负偏离，否则投标无效；</w:t>
      </w:r>
    </w:p>
    <w:p w14:paraId="1D10C84F">
      <w:pPr>
        <w:pStyle w:val="2"/>
        <w:ind w:firstLine="480" w:firstLineChars="200"/>
        <w:rPr>
          <w:rFonts w:hAnsi="宋体"/>
        </w:rPr>
      </w:pPr>
      <w:r>
        <w:rPr>
          <w:rFonts w:hint="eastAsia" w:hAnsi="宋体"/>
        </w:rPr>
        <w:t>4.4 关键技术指标及重要技术指标均需提供佐证材料。</w:t>
      </w:r>
    </w:p>
    <w:p w14:paraId="27E13074">
      <w:pPr>
        <w:rPr>
          <w:rFonts w:ascii="宋体" w:hAnsi="宋体" w:cs="宋体"/>
        </w:rPr>
      </w:pPr>
    </w:p>
    <w:p w14:paraId="050C9CFF">
      <w:pPr>
        <w:pStyle w:val="2"/>
        <w:rPr>
          <w:rFonts w:hAnsi="宋体"/>
        </w:rPr>
      </w:pPr>
    </w:p>
    <w:p w14:paraId="4FEFA7B8">
      <w:pPr>
        <w:rPr>
          <w:rFonts w:ascii="宋体" w:hAnsi="宋体" w:cs="宋体"/>
        </w:rPr>
      </w:pPr>
    </w:p>
    <w:bookmarkEnd w:id="58"/>
    <w:bookmarkEnd w:id="59"/>
    <w:bookmarkEnd w:id="60"/>
    <w:bookmarkEnd w:id="61"/>
    <w:bookmarkEnd w:id="62"/>
    <w:p w14:paraId="380229D1">
      <w:pPr>
        <w:rPr>
          <w:rFonts w:ascii="宋体" w:hAnsi="宋体" w:cs="宋体"/>
          <w:bCs/>
          <w:sz w:val="44"/>
        </w:rPr>
      </w:pPr>
      <w:bookmarkStart w:id="113" w:name="_Hlt16619350"/>
      <w:bookmarkStart w:id="114" w:name="_Toc20823346"/>
      <w:bookmarkStart w:id="115" w:name="_Toc16938590"/>
      <w:bookmarkStart w:id="116" w:name="_Toc120614244"/>
      <w:bookmarkStart w:id="117" w:name="_Toc479757211"/>
      <w:bookmarkStart w:id="118" w:name="_Toc462564139"/>
      <w:r>
        <w:rPr>
          <w:rFonts w:hint="eastAsia" w:ascii="宋体" w:hAnsi="宋体" w:cs="宋体"/>
          <w:bCs/>
          <w:sz w:val="44"/>
        </w:rPr>
        <w:br w:type="page"/>
      </w:r>
    </w:p>
    <w:p w14:paraId="460B06F3">
      <w:pPr>
        <w:pBdr>
          <w:top w:val="none" w:color="000000" w:sz="0" w:space="0"/>
          <w:left w:val="none" w:color="000000" w:sz="0" w:space="0"/>
          <w:bottom w:val="none" w:color="000000" w:sz="0" w:space="0"/>
          <w:right w:val="none" w:color="000000" w:sz="0" w:space="0"/>
        </w:pBdr>
        <w:rPr>
          <w:rFonts w:ascii="宋体" w:hAnsi="宋体" w:cs="宋体"/>
          <w:bCs/>
          <w:sz w:val="44"/>
        </w:rPr>
      </w:pPr>
    </w:p>
    <w:bookmarkEnd w:id="113"/>
    <w:bookmarkEnd w:id="114"/>
    <w:bookmarkEnd w:id="115"/>
    <w:bookmarkEnd w:id="116"/>
    <w:p w14:paraId="301671D1">
      <w:pPr>
        <w:pStyle w:val="52"/>
        <w:rPr>
          <w:rFonts w:ascii="宋体" w:hAnsi="宋体" w:eastAsia="宋体" w:cs="宋体"/>
          <w:bCs/>
          <w:sz w:val="44"/>
        </w:rPr>
      </w:pPr>
      <w:bookmarkStart w:id="119" w:name="_Toc29720"/>
      <w:bookmarkStart w:id="120" w:name="_Toc26554093"/>
      <w:bookmarkStart w:id="121" w:name="_Toc49090575"/>
      <w:bookmarkStart w:id="122" w:name="_Toc120614281"/>
      <w:r>
        <w:rPr>
          <w:rFonts w:hint="eastAsia" w:ascii="宋体" w:hAnsi="宋体" w:eastAsia="宋体" w:cs="宋体"/>
          <w:bCs/>
          <w:sz w:val="44"/>
        </w:rPr>
        <w:t xml:space="preserve">第五章  </w:t>
      </w:r>
      <w:r>
        <w:rPr>
          <w:rFonts w:hint="eastAsia" w:ascii="宋体" w:hAnsi="宋体" w:eastAsia="宋体" w:cs="宋体"/>
          <w:b/>
          <w:bCs/>
          <w:sz w:val="44"/>
        </w:rPr>
        <w:t>评标方法与评标标准</w:t>
      </w:r>
      <w:bookmarkEnd w:id="119"/>
    </w:p>
    <w:p w14:paraId="68193B16">
      <w:pPr>
        <w:rPr>
          <w:rFonts w:ascii="宋体" w:hAnsi="宋体" w:cs="宋体"/>
          <w:sz w:val="24"/>
          <w:szCs w:val="24"/>
        </w:rPr>
      </w:pPr>
    </w:p>
    <w:p w14:paraId="2AFCA4DE">
      <w:pPr>
        <w:adjustRightInd w:val="0"/>
        <w:ind w:firstLine="480" w:firstLineChars="200"/>
        <w:jc w:val="left"/>
        <w:textAlignment w:val="baseline"/>
        <w:rPr>
          <w:rFonts w:ascii="宋体" w:hAnsi="宋体" w:cs="宋体"/>
          <w:sz w:val="24"/>
          <w:szCs w:val="24"/>
        </w:rPr>
      </w:pPr>
      <w:r>
        <w:rPr>
          <w:rFonts w:hint="eastAsia" w:ascii="宋体" w:hAnsi="宋体" w:cs="宋体"/>
          <w:sz w:val="24"/>
          <w:szCs w:val="24"/>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评标委员会按照得分由高到低的顺序推荐1-3名中标候选人。</w:t>
      </w:r>
    </w:p>
    <w:p w14:paraId="394DA560">
      <w:pPr>
        <w:pStyle w:val="308"/>
        <w:spacing w:before="240" w:beforeLines="100" w:after="0"/>
        <w:ind w:firstLine="482" w:firstLineChars="200"/>
        <w:outlineLvl w:val="3"/>
        <w:rPr>
          <w:rFonts w:ascii="宋体" w:hAnsi="宋体" w:cs="宋体"/>
          <w:b/>
        </w:rPr>
      </w:pPr>
      <w:r>
        <w:rPr>
          <w:rFonts w:hint="eastAsia" w:ascii="宋体" w:hAnsi="宋体" w:cs="宋体"/>
          <w:b/>
        </w:rPr>
        <w:t>政府采购政策功能落实：本项目专门面向中小企业</w:t>
      </w:r>
    </w:p>
    <w:p w14:paraId="72CE2DB6">
      <w:pPr>
        <w:pStyle w:val="308"/>
        <w:spacing w:before="240" w:beforeLines="100" w:after="0"/>
        <w:ind w:firstLine="482" w:firstLineChars="200"/>
        <w:outlineLvl w:val="3"/>
        <w:rPr>
          <w:rFonts w:ascii="宋体" w:hAnsi="宋体" w:cs="宋体"/>
          <w:b/>
        </w:rPr>
      </w:pPr>
      <w:r>
        <w:rPr>
          <w:rFonts w:hint="eastAsia" w:ascii="宋体" w:hAnsi="宋体" w:cs="宋体"/>
          <w:b/>
        </w:rPr>
        <w:t>采购本国产品的支持政策</w:t>
      </w:r>
    </w:p>
    <w:p w14:paraId="6ABC9726">
      <w:pPr>
        <w:pStyle w:val="308"/>
        <w:spacing w:before="0" w:after="0" w:line="240" w:lineRule="auto"/>
        <w:ind w:firstLineChars="200"/>
        <w:rPr>
          <w:rFonts w:ascii="宋体" w:hAnsi="宋体" w:cs="宋体"/>
        </w:rPr>
      </w:pPr>
      <w:r>
        <w:rPr>
          <w:rFonts w:hint="eastAsia" w:ascii="宋体" w:hAnsi="宋体" w:cs="宋体"/>
        </w:rPr>
        <w:t>1 本项目政府采购活动中既有本国产品又有非本国产品参与竞争的，依法对本国产品给予价格评审优惠，对本国产品的报价给予20%的价格扣除，用扣除后的价格参与评审。</w:t>
      </w:r>
    </w:p>
    <w:p w14:paraId="5FFF8CB5">
      <w:pPr>
        <w:pStyle w:val="308"/>
        <w:spacing w:before="0" w:after="0" w:line="240" w:lineRule="auto"/>
        <w:ind w:firstLineChars="200"/>
        <w:rPr>
          <w:rFonts w:ascii="宋体" w:hAnsi="宋体" w:cs="宋体"/>
        </w:rPr>
      </w:pPr>
      <w:r>
        <w:rPr>
          <w:rFonts w:hint="eastAsia" w:ascii="宋体" w:hAnsi="宋体" w:cs="宋体"/>
        </w:rPr>
        <w:t>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9C5D7EA">
      <w:pPr>
        <w:pStyle w:val="308"/>
        <w:spacing w:before="0" w:after="0" w:line="240" w:lineRule="auto"/>
        <w:ind w:firstLineChars="200"/>
        <w:rPr>
          <w:rFonts w:ascii="宋体" w:hAnsi="宋体" w:cs="宋体"/>
        </w:rPr>
      </w:pPr>
      <w:r>
        <w:rPr>
          <w:rFonts w:hint="eastAsia" w:ascii="宋体" w:hAnsi="宋体" w:cs="宋体"/>
        </w:rPr>
        <w:t>3 供应商需按照招标文件的要求提供《关于符合本国产品标准的声明函》（以下简称《声明函》），如不提供将不享受本国产品价格评审优惠。</w:t>
      </w:r>
    </w:p>
    <w:p w14:paraId="65F915E1">
      <w:pPr>
        <w:pStyle w:val="308"/>
        <w:spacing w:before="0" w:after="0" w:line="240" w:lineRule="auto"/>
        <w:ind w:firstLineChars="200"/>
        <w:rPr>
          <w:rFonts w:ascii="宋体" w:hAnsi="宋体" w:cs="宋体"/>
        </w:rPr>
      </w:pPr>
      <w:r>
        <w:rPr>
          <w:rFonts w:hint="eastAsia" w:ascii="宋体" w:hAnsi="宋体" w:cs="宋体"/>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FC94BD5">
      <w:pPr>
        <w:pStyle w:val="308"/>
        <w:spacing w:before="0" w:after="0" w:line="240" w:lineRule="auto"/>
        <w:ind w:firstLineChars="200"/>
        <w:rPr>
          <w:rFonts w:ascii="宋体" w:hAnsi="宋体" w:cs="宋体"/>
        </w:rPr>
      </w:pPr>
      <w:r>
        <w:rPr>
          <w:rFonts w:hint="eastAsia" w:ascii="宋体" w:hAnsi="宋体" w:cs="宋体"/>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86EDDDC">
      <w:pPr>
        <w:pStyle w:val="308"/>
        <w:spacing w:before="240" w:beforeLines="100" w:after="0"/>
        <w:ind w:firstLine="482" w:firstLineChars="200"/>
        <w:outlineLvl w:val="3"/>
        <w:rPr>
          <w:rFonts w:ascii="宋体" w:hAnsi="宋体" w:cs="宋体"/>
          <w:b/>
        </w:rPr>
      </w:pPr>
      <w:r>
        <w:rPr>
          <w:rFonts w:hint="eastAsia" w:ascii="宋体" w:hAnsi="宋体" w:cs="宋体"/>
          <w:b/>
        </w:rPr>
        <w:t>强化政府采购异常低价审查</w:t>
      </w:r>
    </w:p>
    <w:p w14:paraId="2041EC3C">
      <w:pPr>
        <w:pStyle w:val="308"/>
        <w:spacing w:before="0" w:after="0" w:line="240" w:lineRule="auto"/>
        <w:ind w:firstLineChars="200"/>
        <w:rPr>
          <w:rFonts w:ascii="宋体" w:hAnsi="宋体" w:cs="宋体"/>
        </w:rPr>
      </w:pPr>
      <w:r>
        <w:rPr>
          <w:rFonts w:hint="eastAsia" w:ascii="宋体" w:hAnsi="宋体" w:cs="宋体"/>
        </w:rPr>
        <w:t>（一）评审过程中出现下列情形之一的，评审委员会应当启动异常低价投标（响应）审查程序：</w:t>
      </w:r>
    </w:p>
    <w:p w14:paraId="1C106CD3">
      <w:pPr>
        <w:pStyle w:val="308"/>
        <w:spacing w:before="0" w:after="0" w:line="240" w:lineRule="auto"/>
        <w:ind w:firstLineChars="200"/>
        <w:rPr>
          <w:rFonts w:ascii="宋体" w:hAnsi="宋体" w:cs="宋体"/>
        </w:rPr>
      </w:pPr>
      <w:r>
        <w:rPr>
          <w:rFonts w:hint="eastAsia" w:ascii="宋体" w:hAnsi="宋体" w:cs="宋体"/>
        </w:rPr>
        <w:t>1.投标（响应）报价低于全部通过符合性审查供应商投标（响应）报价平均值50%的，即投标（响应）报价&lt;全部通过符合性审查供应商投标（响应）报价平均值×50%；</w:t>
      </w:r>
    </w:p>
    <w:p w14:paraId="3D2BA8E1">
      <w:pPr>
        <w:pStyle w:val="308"/>
        <w:spacing w:before="0" w:after="0" w:line="240" w:lineRule="auto"/>
        <w:ind w:firstLineChars="200"/>
        <w:rPr>
          <w:rFonts w:ascii="宋体" w:hAnsi="宋体" w:cs="宋体"/>
        </w:rPr>
      </w:pPr>
      <w:r>
        <w:rPr>
          <w:rFonts w:hint="eastAsia" w:ascii="宋体" w:hAnsi="宋体" w:cs="宋体"/>
        </w:rPr>
        <w:t>2.投标（响应）报价低于通过符合性审查的次低报价供应商投标（响应）报价50%的，即投标（响应）报价&lt;通过符合性审查的次低报价供应商投标（响应）报价×50%；</w:t>
      </w:r>
    </w:p>
    <w:p w14:paraId="4EFA8B7D">
      <w:pPr>
        <w:pStyle w:val="308"/>
        <w:spacing w:before="0" w:after="0" w:line="240" w:lineRule="auto"/>
        <w:ind w:firstLineChars="200"/>
        <w:rPr>
          <w:rFonts w:ascii="宋体" w:hAnsi="宋体" w:cs="宋体"/>
        </w:rPr>
      </w:pPr>
      <w:r>
        <w:rPr>
          <w:rFonts w:hint="eastAsia" w:ascii="宋体" w:hAnsi="宋体" w:cs="宋体"/>
        </w:rPr>
        <w:t>3.投标（响应）报价低于采购项目最高限价45%的，即投标（响应）报价&lt;采购项目最高限价×45%；</w:t>
      </w:r>
    </w:p>
    <w:p w14:paraId="7CC62CBF">
      <w:pPr>
        <w:pStyle w:val="308"/>
        <w:spacing w:before="0" w:after="0" w:line="240" w:lineRule="auto"/>
        <w:ind w:firstLineChars="200"/>
        <w:rPr>
          <w:rFonts w:ascii="宋体" w:hAnsi="宋体" w:cs="宋体"/>
        </w:rPr>
      </w:pPr>
      <w:r>
        <w:rPr>
          <w:rFonts w:hint="eastAsia" w:ascii="宋体" w:hAnsi="宋体" w:cs="宋体"/>
        </w:rPr>
        <w:t>4.评审委员会基于专业判断，认为供应商报价过低，有可能影响产品质量或者不能诚信履约的其他情形。</w:t>
      </w:r>
    </w:p>
    <w:p w14:paraId="59AFA2A2">
      <w:pPr>
        <w:pStyle w:val="308"/>
        <w:spacing w:before="0" w:after="0" w:line="240" w:lineRule="auto"/>
        <w:ind w:firstLineChars="200"/>
        <w:rPr>
          <w:rFonts w:ascii="宋体" w:hAnsi="宋体" w:cs="宋体"/>
        </w:rPr>
      </w:pPr>
      <w:r>
        <w:rPr>
          <w:rFonts w:hint="eastAsia" w:ascii="宋体" w:hAnsi="宋体" w:cs="宋体"/>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FEF572">
      <w:pPr>
        <w:pStyle w:val="308"/>
        <w:spacing w:before="0" w:after="0" w:line="240" w:lineRule="auto"/>
        <w:ind w:firstLineChars="200"/>
        <w:rPr>
          <w:rFonts w:ascii="宋体" w:hAnsi="宋体" w:cs="宋体"/>
        </w:rPr>
      </w:pPr>
      <w:r>
        <w:rPr>
          <w:rFonts w:hint="eastAsia" w:ascii="宋体" w:hAnsi="宋体" w:cs="宋体"/>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D1AF306">
      <w:pPr>
        <w:pStyle w:val="308"/>
        <w:spacing w:before="0" w:after="0" w:line="240" w:lineRule="auto"/>
        <w:ind w:firstLineChars="200"/>
        <w:rPr>
          <w:rFonts w:ascii="宋体" w:hAnsi="宋体" w:cs="宋体"/>
        </w:rPr>
      </w:pPr>
      <w:r>
        <w:rPr>
          <w:rFonts w:hint="eastAsia" w:ascii="宋体" w:hAnsi="宋体" w:cs="宋体"/>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DEA1A80">
      <w:pPr>
        <w:pStyle w:val="308"/>
        <w:spacing w:before="0" w:after="0" w:line="240" w:lineRule="auto"/>
        <w:ind w:firstLineChars="200"/>
        <w:rPr>
          <w:rFonts w:ascii="宋体" w:hAnsi="宋体" w:cs="宋体"/>
        </w:rPr>
      </w:pPr>
      <w:r>
        <w:rPr>
          <w:rFonts w:hint="eastAsia" w:ascii="宋体" w:hAnsi="宋体" w:cs="宋体"/>
        </w:rPr>
        <w:t>异常低价投标（响应）审查的启动原因、审查意见和审查结果应当在评审报告中记录，并随供应商提供的相关书面说明及证明材料，以及评审委员会有关互联网浏览、查询历史一并归档。</w:t>
      </w:r>
    </w:p>
    <w:p w14:paraId="59077AF0">
      <w:pPr>
        <w:pStyle w:val="46"/>
        <w:spacing w:before="240"/>
        <w:ind w:firstLine="0" w:firstLineChars="0"/>
        <w:jc w:val="left"/>
        <w:outlineLvl w:val="1"/>
      </w:pPr>
      <w:bookmarkStart w:id="123" w:name="_Toc14016"/>
      <w:r>
        <w:rPr>
          <w:rFonts w:hint="eastAsia"/>
        </w:rPr>
        <w:t>（一）投标人资格审查要求</w:t>
      </w:r>
      <w:bookmarkEnd w:id="123"/>
    </w:p>
    <w:p w14:paraId="0F042C3F">
      <w:pPr>
        <w:ind w:firstLine="480" w:firstLineChars="200"/>
        <w:rPr>
          <w:rFonts w:ascii="宋体" w:hAnsi="宋体" w:cs="宋体"/>
          <w:kern w:val="2"/>
          <w:sz w:val="24"/>
          <w:szCs w:val="24"/>
        </w:rPr>
      </w:pPr>
      <w:r>
        <w:rPr>
          <w:rFonts w:hint="eastAsia" w:ascii="宋体" w:hAnsi="宋体" w:cs="宋体"/>
          <w:kern w:val="2"/>
          <w:sz w:val="24"/>
          <w:szCs w:val="24"/>
        </w:rPr>
        <w:t>按照招标文件《第一章 投标邀请》申请人的资格要求进行资格审查。</w:t>
      </w:r>
    </w:p>
    <w:p w14:paraId="2E22254F">
      <w:pPr>
        <w:pStyle w:val="46"/>
        <w:numPr>
          <w:ilvl w:val="0"/>
          <w:numId w:val="6"/>
        </w:numPr>
        <w:spacing w:before="240"/>
        <w:ind w:firstLine="0" w:firstLineChars="0"/>
        <w:jc w:val="left"/>
        <w:outlineLvl w:val="1"/>
      </w:pPr>
      <w:bookmarkStart w:id="124" w:name="_Toc27611"/>
      <w:r>
        <w:rPr>
          <w:rFonts w:hint="eastAsia"/>
        </w:rPr>
        <w:t>投标文件符合性审查要求</w:t>
      </w:r>
      <w:bookmarkEnd w:id="124"/>
    </w:p>
    <w:p w14:paraId="6EFE18EB">
      <w:pPr>
        <w:numPr>
          <w:ilvl w:val="0"/>
          <w:numId w:val="7"/>
        </w:numPr>
        <w:ind w:firstLine="482" w:firstLineChars="200"/>
        <w:jc w:val="left"/>
        <w:rPr>
          <w:rFonts w:ascii="宋体" w:hAnsi="宋体"/>
          <w:color w:val="000000"/>
          <w:sz w:val="24"/>
        </w:rPr>
      </w:pPr>
      <w:r>
        <w:rPr>
          <w:rFonts w:hint="eastAsia" w:ascii="宋体" w:hAnsi="宋体"/>
          <w:b/>
          <w:bCs/>
          <w:color w:val="000000"/>
          <w:sz w:val="24"/>
        </w:rPr>
        <w:t>报价要求：</w:t>
      </w:r>
      <w:r>
        <w:rPr>
          <w:rFonts w:hint="eastAsia" w:ascii="宋体" w:hAnsi="宋体" w:cs="宋体"/>
          <w:iCs/>
          <w:sz w:val="24"/>
        </w:rPr>
        <w:t>投标报价表中的货物名称、数量、单位必须与招标文件采购需求一致，</w:t>
      </w:r>
      <w:r>
        <w:rPr>
          <w:rFonts w:hint="eastAsia" w:ascii="宋体" w:hAnsi="宋体" w:cs="宋体"/>
          <w:iCs/>
          <w:color w:val="0070C0"/>
          <w:sz w:val="24"/>
        </w:rPr>
        <w:t>报价不超过最高限价</w:t>
      </w:r>
      <w:r>
        <w:rPr>
          <w:rFonts w:hint="eastAsia" w:ascii="宋体" w:hAnsi="宋体" w:cs="宋体"/>
          <w:iCs/>
          <w:sz w:val="24"/>
        </w:rPr>
        <w:t>。</w:t>
      </w:r>
    </w:p>
    <w:p w14:paraId="250EEBAE">
      <w:pPr>
        <w:ind w:left="420" w:leftChars="200"/>
        <w:jc w:val="left"/>
        <w:rPr>
          <w:rFonts w:ascii="宋体" w:hAnsi="宋体"/>
          <w:color w:val="000000"/>
          <w:sz w:val="24"/>
        </w:rPr>
      </w:pPr>
    </w:p>
    <w:p w14:paraId="487432E0">
      <w:pPr>
        <w:numPr>
          <w:ilvl w:val="0"/>
          <w:numId w:val="7"/>
        </w:numPr>
        <w:ind w:firstLine="482" w:firstLineChars="200"/>
        <w:jc w:val="left"/>
        <w:rPr>
          <w:rFonts w:ascii="宋体" w:hAnsi="宋体"/>
          <w:b/>
          <w:bCs/>
          <w:color w:val="000000"/>
          <w:sz w:val="24"/>
        </w:rPr>
      </w:pPr>
      <w:r>
        <w:rPr>
          <w:rFonts w:hint="eastAsia" w:ascii="宋体" w:hAnsi="宋体"/>
          <w:b/>
          <w:bCs/>
          <w:color w:val="000000"/>
          <w:sz w:val="24"/>
        </w:rPr>
        <w:t>商务要求：</w:t>
      </w:r>
    </w:p>
    <w:p w14:paraId="2CD08BD9">
      <w:pPr>
        <w:ind w:firstLine="480" w:firstLineChars="200"/>
        <w:jc w:val="left"/>
        <w:rPr>
          <w:rFonts w:ascii="宋体" w:hAnsi="宋体"/>
          <w:color w:val="000000"/>
          <w:sz w:val="24"/>
        </w:rPr>
      </w:pPr>
      <w:r>
        <w:rPr>
          <w:rFonts w:hint="eastAsia" w:ascii="宋体" w:hAnsi="宋体"/>
          <w:color w:val="000000"/>
          <w:sz w:val="24"/>
        </w:rPr>
        <w:t>2.1 采购需求中必须满足的实质性要求，否则投标无效</w:t>
      </w:r>
    </w:p>
    <w:tbl>
      <w:tblPr>
        <w:tblStyle w:val="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40"/>
      </w:tblGrid>
      <w:tr w14:paraId="6247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0" w:hRule="atLeast"/>
        </w:trPr>
        <w:tc>
          <w:tcPr>
            <w:tcW w:w="8740" w:type="dxa"/>
          </w:tcPr>
          <w:p w14:paraId="5791E0D1">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ascii="宋体" w:hAnsi="宋体" w:cs="仿宋"/>
                <w:b/>
                <w:bCs/>
                <w:sz w:val="32"/>
                <w:szCs w:val="32"/>
              </w:rPr>
            </w:pPr>
            <w:r>
              <w:rPr>
                <w:rFonts w:hint="eastAsia" w:ascii="宋体" w:hAnsi="宋体" w:cs="仿宋"/>
                <w:b/>
                <w:bCs/>
                <w:sz w:val="32"/>
                <w:szCs w:val="32"/>
              </w:rPr>
              <w:t>商务实质性要求响应表</w:t>
            </w:r>
          </w:p>
          <w:tbl>
            <w:tblPr>
              <w:tblStyle w:val="38"/>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44"/>
              <w:gridCol w:w="3192"/>
              <w:gridCol w:w="2416"/>
              <w:gridCol w:w="1066"/>
              <w:gridCol w:w="959"/>
            </w:tblGrid>
            <w:tr w14:paraId="28F0F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644" w:type="dxa"/>
                  <w:vAlign w:val="center"/>
                </w:tcPr>
                <w:p w14:paraId="126A9BBA">
                  <w:pPr>
                    <w:jc w:val="center"/>
                    <w:rPr>
                      <w:rFonts w:ascii="宋体" w:hAnsi="宋体"/>
                      <w:color w:val="000000"/>
                      <w:sz w:val="24"/>
                    </w:rPr>
                  </w:pPr>
                  <w:r>
                    <w:rPr>
                      <w:rFonts w:hint="eastAsia" w:ascii="宋体" w:hAnsi="宋体"/>
                      <w:color w:val="000000"/>
                      <w:sz w:val="24"/>
                    </w:rPr>
                    <w:t>序号</w:t>
                  </w:r>
                </w:p>
              </w:tc>
              <w:tc>
                <w:tcPr>
                  <w:tcW w:w="3192" w:type="dxa"/>
                  <w:vAlign w:val="center"/>
                </w:tcPr>
                <w:p w14:paraId="1EE4F455">
                  <w:pPr>
                    <w:jc w:val="center"/>
                    <w:rPr>
                      <w:rFonts w:ascii="宋体" w:hAnsi="宋体"/>
                      <w:color w:val="000000"/>
                      <w:sz w:val="24"/>
                    </w:rPr>
                  </w:pPr>
                  <w:r>
                    <w:rPr>
                      <w:rFonts w:hint="eastAsia" w:ascii="宋体" w:hAnsi="宋体"/>
                      <w:color w:val="000000"/>
                      <w:sz w:val="24"/>
                    </w:rPr>
                    <w:t>★商务实质性采购要求内容</w:t>
                  </w:r>
                </w:p>
              </w:tc>
              <w:tc>
                <w:tcPr>
                  <w:tcW w:w="2416" w:type="dxa"/>
                  <w:vAlign w:val="center"/>
                </w:tcPr>
                <w:p w14:paraId="507E187A">
                  <w:pPr>
                    <w:jc w:val="center"/>
                    <w:rPr>
                      <w:rFonts w:ascii="宋体" w:hAnsi="宋体"/>
                      <w:color w:val="000000"/>
                      <w:sz w:val="24"/>
                    </w:rPr>
                  </w:pPr>
                  <w:r>
                    <w:rPr>
                      <w:rFonts w:hint="eastAsia" w:ascii="宋体" w:hAnsi="宋体"/>
                      <w:color w:val="000000"/>
                      <w:sz w:val="24"/>
                    </w:rPr>
                    <w:t>投标人响应详细内容</w:t>
                  </w:r>
                </w:p>
              </w:tc>
              <w:tc>
                <w:tcPr>
                  <w:tcW w:w="1066" w:type="dxa"/>
                  <w:vAlign w:val="center"/>
                </w:tcPr>
                <w:p w14:paraId="107DD19F">
                  <w:pPr>
                    <w:jc w:val="center"/>
                    <w:rPr>
                      <w:rFonts w:ascii="宋体" w:hAnsi="宋体"/>
                      <w:color w:val="000000"/>
                      <w:sz w:val="24"/>
                    </w:rPr>
                  </w:pPr>
                  <w:r>
                    <w:rPr>
                      <w:rFonts w:hint="eastAsia" w:ascii="宋体" w:hAnsi="宋体"/>
                      <w:color w:val="000000"/>
                      <w:sz w:val="24"/>
                    </w:rPr>
                    <w:t>正/负/无偏离</w:t>
                  </w:r>
                </w:p>
              </w:tc>
              <w:tc>
                <w:tcPr>
                  <w:tcW w:w="959" w:type="dxa"/>
                  <w:vAlign w:val="center"/>
                </w:tcPr>
                <w:p w14:paraId="45DF774F">
                  <w:pPr>
                    <w:jc w:val="center"/>
                    <w:rPr>
                      <w:rFonts w:ascii="宋体" w:hAnsi="宋体"/>
                      <w:color w:val="000000"/>
                      <w:sz w:val="24"/>
                    </w:rPr>
                  </w:pPr>
                  <w:r>
                    <w:rPr>
                      <w:rFonts w:hint="eastAsia" w:ascii="宋体" w:hAnsi="宋体"/>
                      <w:color w:val="000000"/>
                      <w:sz w:val="24"/>
                    </w:rPr>
                    <w:t>偏离说明</w:t>
                  </w:r>
                </w:p>
              </w:tc>
            </w:tr>
            <w:tr w14:paraId="73264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644" w:type="dxa"/>
                  <w:vAlign w:val="center"/>
                </w:tcPr>
                <w:p w14:paraId="3EE1CF49">
                  <w:pPr>
                    <w:jc w:val="center"/>
                    <w:rPr>
                      <w:rFonts w:ascii="宋体" w:hAnsi="宋体"/>
                      <w:color w:val="000000"/>
                      <w:sz w:val="24"/>
                    </w:rPr>
                  </w:pPr>
                  <w:r>
                    <w:rPr>
                      <w:rFonts w:hint="eastAsia" w:ascii="宋体" w:hAnsi="宋体"/>
                      <w:color w:val="000000"/>
                      <w:sz w:val="24"/>
                    </w:rPr>
                    <w:t>1</w:t>
                  </w:r>
                </w:p>
              </w:tc>
              <w:tc>
                <w:tcPr>
                  <w:tcW w:w="3192" w:type="dxa"/>
                  <w:vAlign w:val="center"/>
                </w:tcPr>
                <w:p w14:paraId="77DA011A">
                  <w:pPr>
                    <w:pStyle w:val="2"/>
                    <w:jc w:val="both"/>
                    <w:rPr>
                      <w:rFonts w:hAnsi="宋体"/>
                    </w:rPr>
                  </w:pPr>
                  <w:r>
                    <w:rPr>
                      <w:rFonts w:hint="eastAsia" w:hAnsi="宋体"/>
                      <w:color w:val="auto"/>
                      <w:sz w:val="21"/>
                      <w:szCs w:val="21"/>
                    </w:rPr>
                    <w:t>3.1 交货期：自合同签订之日起2个月内，验收标准：符合招标文件及合同要求。</w:t>
                  </w:r>
                </w:p>
              </w:tc>
              <w:tc>
                <w:tcPr>
                  <w:tcW w:w="2416" w:type="dxa"/>
                  <w:vAlign w:val="center"/>
                </w:tcPr>
                <w:p w14:paraId="01693DA2">
                  <w:pPr>
                    <w:jc w:val="center"/>
                    <w:rPr>
                      <w:rFonts w:ascii="宋体" w:hAnsi="宋体"/>
                      <w:color w:val="000000"/>
                      <w:sz w:val="24"/>
                    </w:rPr>
                  </w:pPr>
                </w:p>
              </w:tc>
              <w:tc>
                <w:tcPr>
                  <w:tcW w:w="1066" w:type="dxa"/>
                  <w:vAlign w:val="center"/>
                </w:tcPr>
                <w:p w14:paraId="3D6E14A4">
                  <w:pPr>
                    <w:jc w:val="center"/>
                    <w:rPr>
                      <w:rFonts w:ascii="宋体" w:hAnsi="宋体"/>
                      <w:color w:val="000000"/>
                      <w:sz w:val="24"/>
                    </w:rPr>
                  </w:pPr>
                </w:p>
              </w:tc>
              <w:tc>
                <w:tcPr>
                  <w:tcW w:w="959" w:type="dxa"/>
                  <w:vAlign w:val="center"/>
                </w:tcPr>
                <w:p w14:paraId="431AB889">
                  <w:pPr>
                    <w:jc w:val="center"/>
                    <w:rPr>
                      <w:rFonts w:ascii="宋体" w:hAnsi="宋体"/>
                      <w:color w:val="000000"/>
                      <w:sz w:val="24"/>
                    </w:rPr>
                  </w:pPr>
                </w:p>
              </w:tc>
            </w:tr>
            <w:tr w14:paraId="613C7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644" w:type="dxa"/>
                  <w:vAlign w:val="center"/>
                </w:tcPr>
                <w:p w14:paraId="1E73F0B7">
                  <w:pPr>
                    <w:jc w:val="center"/>
                    <w:rPr>
                      <w:rFonts w:ascii="宋体" w:hAnsi="宋体"/>
                      <w:color w:val="000000"/>
                      <w:sz w:val="24"/>
                    </w:rPr>
                  </w:pPr>
                  <w:r>
                    <w:rPr>
                      <w:rFonts w:hint="eastAsia" w:ascii="宋体" w:hAnsi="宋体"/>
                      <w:color w:val="000000"/>
                      <w:sz w:val="24"/>
                    </w:rPr>
                    <w:t>2</w:t>
                  </w:r>
                </w:p>
              </w:tc>
              <w:tc>
                <w:tcPr>
                  <w:tcW w:w="3192" w:type="dxa"/>
                  <w:vAlign w:val="center"/>
                </w:tcPr>
                <w:p w14:paraId="60E6574C">
                  <w:pPr>
                    <w:pStyle w:val="2"/>
                    <w:jc w:val="both"/>
                    <w:rPr>
                      <w:rFonts w:hAnsi="宋体"/>
                      <w:sz w:val="21"/>
                      <w:szCs w:val="21"/>
                    </w:rPr>
                  </w:pPr>
                  <w:r>
                    <w:rPr>
                      <w:rFonts w:hint="eastAsia" w:hAnsi="宋体"/>
                      <w:sz w:val="21"/>
                      <w:szCs w:val="21"/>
                    </w:rPr>
                    <w:t>3.2 交货地点：宝应县人民医院</w:t>
                  </w:r>
                </w:p>
              </w:tc>
              <w:tc>
                <w:tcPr>
                  <w:tcW w:w="2416" w:type="dxa"/>
                  <w:vAlign w:val="center"/>
                </w:tcPr>
                <w:p w14:paraId="7FAFEF00">
                  <w:pPr>
                    <w:jc w:val="center"/>
                    <w:rPr>
                      <w:rFonts w:ascii="宋体" w:hAnsi="宋体"/>
                      <w:color w:val="000000"/>
                      <w:sz w:val="24"/>
                    </w:rPr>
                  </w:pPr>
                </w:p>
              </w:tc>
              <w:tc>
                <w:tcPr>
                  <w:tcW w:w="1066" w:type="dxa"/>
                  <w:vAlign w:val="center"/>
                </w:tcPr>
                <w:p w14:paraId="1B70BE86">
                  <w:pPr>
                    <w:jc w:val="center"/>
                    <w:rPr>
                      <w:rFonts w:ascii="宋体" w:hAnsi="宋体"/>
                      <w:color w:val="000000"/>
                      <w:sz w:val="24"/>
                    </w:rPr>
                  </w:pPr>
                </w:p>
              </w:tc>
              <w:tc>
                <w:tcPr>
                  <w:tcW w:w="959" w:type="dxa"/>
                  <w:vAlign w:val="center"/>
                </w:tcPr>
                <w:p w14:paraId="4F49E755">
                  <w:pPr>
                    <w:jc w:val="center"/>
                    <w:rPr>
                      <w:rFonts w:ascii="宋体" w:hAnsi="宋体"/>
                      <w:color w:val="000000"/>
                      <w:sz w:val="24"/>
                    </w:rPr>
                  </w:pPr>
                </w:p>
              </w:tc>
            </w:tr>
            <w:tr w14:paraId="222F6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644" w:type="dxa"/>
                  <w:vAlign w:val="center"/>
                </w:tcPr>
                <w:p w14:paraId="683DED8A">
                  <w:pPr>
                    <w:jc w:val="center"/>
                    <w:rPr>
                      <w:rFonts w:ascii="宋体" w:hAnsi="宋体"/>
                      <w:color w:val="000000"/>
                      <w:sz w:val="24"/>
                    </w:rPr>
                  </w:pPr>
                  <w:r>
                    <w:rPr>
                      <w:rFonts w:hint="eastAsia" w:ascii="宋体" w:hAnsi="宋体"/>
                      <w:color w:val="000000"/>
                      <w:sz w:val="24"/>
                    </w:rPr>
                    <w:t>3</w:t>
                  </w:r>
                </w:p>
              </w:tc>
              <w:tc>
                <w:tcPr>
                  <w:tcW w:w="3192" w:type="dxa"/>
                  <w:vAlign w:val="center"/>
                </w:tcPr>
                <w:p w14:paraId="2ACEC683">
                  <w:pPr>
                    <w:pStyle w:val="2"/>
                    <w:jc w:val="both"/>
                    <w:rPr>
                      <w:rFonts w:hAnsi="宋体"/>
                      <w:sz w:val="21"/>
                      <w:szCs w:val="21"/>
                    </w:rPr>
                  </w:pPr>
                  <w:r>
                    <w:rPr>
                      <w:rFonts w:hint="eastAsia" w:hAnsi="宋体"/>
                      <w:color w:val="auto"/>
                      <w:sz w:val="21"/>
                      <w:szCs w:val="21"/>
                    </w:rPr>
                    <w:t>3.3 付款条件：</w:t>
                  </w:r>
                  <w:r>
                    <w:rPr>
                      <w:rFonts w:hint="eastAsia" w:hAnsi="宋体"/>
                      <w:sz w:val="21"/>
                      <w:szCs w:val="21"/>
                    </w:rPr>
                    <w:t>合同签订后且乙方向甲方出具发票后，甲方10个工作日内支付合同款的30%，项目验收合格后，且甲方收到乙方开具的等额发票10个工作日内，甲方一次性支付合同款的70%</w:t>
                  </w:r>
                  <w:r>
                    <w:rPr>
                      <w:rFonts w:hint="eastAsia" w:hAnsi="宋体"/>
                      <w:color w:val="auto"/>
                      <w:sz w:val="21"/>
                      <w:szCs w:val="21"/>
                    </w:rPr>
                    <w:t>。</w:t>
                  </w:r>
                </w:p>
              </w:tc>
              <w:tc>
                <w:tcPr>
                  <w:tcW w:w="2416" w:type="dxa"/>
                  <w:vAlign w:val="center"/>
                </w:tcPr>
                <w:p w14:paraId="59A26156">
                  <w:pPr>
                    <w:jc w:val="center"/>
                    <w:rPr>
                      <w:rFonts w:ascii="宋体" w:hAnsi="宋体"/>
                      <w:color w:val="000000"/>
                      <w:sz w:val="24"/>
                    </w:rPr>
                  </w:pPr>
                </w:p>
              </w:tc>
              <w:tc>
                <w:tcPr>
                  <w:tcW w:w="1066" w:type="dxa"/>
                  <w:vAlign w:val="center"/>
                </w:tcPr>
                <w:p w14:paraId="457D009A">
                  <w:pPr>
                    <w:jc w:val="center"/>
                    <w:rPr>
                      <w:rFonts w:ascii="宋体" w:hAnsi="宋体"/>
                      <w:color w:val="000000"/>
                      <w:sz w:val="24"/>
                    </w:rPr>
                  </w:pPr>
                </w:p>
              </w:tc>
              <w:tc>
                <w:tcPr>
                  <w:tcW w:w="959" w:type="dxa"/>
                  <w:vAlign w:val="center"/>
                </w:tcPr>
                <w:p w14:paraId="678CDE0C">
                  <w:pPr>
                    <w:jc w:val="center"/>
                    <w:rPr>
                      <w:rFonts w:ascii="宋体" w:hAnsi="宋体"/>
                      <w:color w:val="000000"/>
                      <w:sz w:val="24"/>
                    </w:rPr>
                  </w:pPr>
                </w:p>
              </w:tc>
            </w:tr>
            <w:tr w14:paraId="5884D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644" w:type="dxa"/>
                  <w:vAlign w:val="center"/>
                </w:tcPr>
                <w:p w14:paraId="0F3CC7A7">
                  <w:pPr>
                    <w:jc w:val="center"/>
                    <w:rPr>
                      <w:rFonts w:ascii="宋体" w:hAnsi="宋体"/>
                      <w:color w:val="000000"/>
                      <w:sz w:val="24"/>
                    </w:rPr>
                  </w:pPr>
                  <w:r>
                    <w:rPr>
                      <w:rFonts w:hint="eastAsia" w:ascii="宋体" w:hAnsi="宋体"/>
                      <w:color w:val="000000"/>
                      <w:sz w:val="24"/>
                    </w:rPr>
                    <w:t>4</w:t>
                  </w:r>
                </w:p>
              </w:tc>
              <w:tc>
                <w:tcPr>
                  <w:tcW w:w="3192" w:type="dxa"/>
                  <w:vAlign w:val="center"/>
                </w:tcPr>
                <w:p w14:paraId="29C41DF2">
                  <w:pPr>
                    <w:pStyle w:val="2"/>
                    <w:jc w:val="both"/>
                    <w:rPr>
                      <w:rFonts w:hAnsi="宋体"/>
                      <w:sz w:val="21"/>
                      <w:szCs w:val="21"/>
                    </w:rPr>
                  </w:pPr>
                  <w:r>
                    <w:rPr>
                      <w:rFonts w:hint="eastAsia" w:hAnsi="宋体"/>
                      <w:sz w:val="21"/>
                      <w:szCs w:val="21"/>
                    </w:rPr>
                    <w:t>3.4 质保期：1年</w:t>
                  </w:r>
                </w:p>
              </w:tc>
              <w:tc>
                <w:tcPr>
                  <w:tcW w:w="2416" w:type="dxa"/>
                  <w:vAlign w:val="center"/>
                </w:tcPr>
                <w:p w14:paraId="63BDA34E">
                  <w:pPr>
                    <w:jc w:val="center"/>
                    <w:rPr>
                      <w:rFonts w:ascii="宋体" w:hAnsi="宋体"/>
                      <w:color w:val="000000"/>
                      <w:sz w:val="24"/>
                    </w:rPr>
                  </w:pPr>
                </w:p>
              </w:tc>
              <w:tc>
                <w:tcPr>
                  <w:tcW w:w="1066" w:type="dxa"/>
                  <w:vAlign w:val="center"/>
                </w:tcPr>
                <w:p w14:paraId="7D2ED1BB">
                  <w:pPr>
                    <w:jc w:val="center"/>
                    <w:rPr>
                      <w:rFonts w:ascii="宋体" w:hAnsi="宋体"/>
                      <w:color w:val="000000"/>
                      <w:sz w:val="24"/>
                    </w:rPr>
                  </w:pPr>
                </w:p>
              </w:tc>
              <w:tc>
                <w:tcPr>
                  <w:tcW w:w="959" w:type="dxa"/>
                  <w:vAlign w:val="center"/>
                </w:tcPr>
                <w:p w14:paraId="0830F071">
                  <w:pPr>
                    <w:jc w:val="center"/>
                    <w:rPr>
                      <w:rFonts w:ascii="宋体" w:hAnsi="宋体"/>
                      <w:color w:val="000000"/>
                      <w:sz w:val="24"/>
                    </w:rPr>
                  </w:pPr>
                </w:p>
              </w:tc>
            </w:tr>
          </w:tbl>
          <w:p w14:paraId="7BFD4628">
            <w:pPr>
              <w:spacing w:line="360" w:lineRule="auto"/>
              <w:ind w:firstLine="422" w:firstLineChars="200"/>
              <w:rPr>
                <w:rFonts w:ascii="宋体" w:hAnsi="宋体" w:cs="宋体"/>
                <w:b/>
                <w:bCs/>
                <w:highlight w:val="yellow"/>
              </w:rPr>
            </w:pPr>
            <w:r>
              <w:rPr>
                <w:rFonts w:hint="eastAsia" w:ascii="宋体" w:hAnsi="宋体" w:cs="宋体"/>
                <w:b/>
                <w:bCs/>
                <w:highlight w:val="yellow"/>
              </w:rPr>
              <w:t>投标人必须对招标文件采购需求中有关“</w:t>
            </w:r>
            <w:r>
              <w:rPr>
                <w:rFonts w:hint="eastAsia" w:ascii="宋体" w:hAnsi="宋体"/>
                <w:color w:val="000000"/>
                <w:highlight w:val="yellow"/>
              </w:rPr>
              <w:t>★</w:t>
            </w:r>
            <w:r>
              <w:rPr>
                <w:rFonts w:hint="eastAsia" w:ascii="宋体" w:hAnsi="宋体" w:cs="宋体"/>
                <w:b/>
                <w:bCs/>
                <w:highlight w:val="yellow"/>
              </w:rPr>
              <w:t>”指标条款的实质性要求进行响应，响应详细内容填写此表。</w:t>
            </w:r>
          </w:p>
          <w:p w14:paraId="3E7975E0">
            <w:pPr>
              <w:spacing w:line="360" w:lineRule="auto"/>
              <w:ind w:firstLine="422" w:firstLineChars="200"/>
              <w:rPr>
                <w:rFonts w:ascii="宋体" w:hAnsi="宋体" w:cs="宋体"/>
                <w:b/>
                <w:bCs/>
                <w:highlight w:val="yellow"/>
              </w:rPr>
            </w:pPr>
            <w:r>
              <w:rPr>
                <w:rFonts w:hint="eastAsia" w:ascii="宋体" w:hAnsi="宋体" w:cs="宋体"/>
                <w:b/>
                <w:bCs/>
                <w:highlight w:val="yellow"/>
              </w:rPr>
              <w:t>备注：1.采购文件采购需求中标有“</w:t>
            </w:r>
            <w:r>
              <w:rPr>
                <w:rFonts w:hint="eastAsia" w:ascii="宋体" w:hAnsi="宋体"/>
                <w:color w:val="000000"/>
                <w:highlight w:val="yellow"/>
              </w:rPr>
              <w:t>★</w:t>
            </w:r>
            <w:r>
              <w:rPr>
                <w:rFonts w:hint="eastAsia" w:ascii="宋体" w:hAnsi="宋体" w:cs="宋体"/>
                <w:b/>
                <w:bCs/>
                <w:highlight w:val="yellow"/>
              </w:rPr>
              <w:t>”的指标均被视为实质性响应指标，供应商如有一项带“</w:t>
            </w:r>
            <w:r>
              <w:rPr>
                <w:rFonts w:hint="eastAsia" w:ascii="宋体" w:hAnsi="宋体"/>
                <w:color w:val="000000"/>
                <w:highlight w:val="yellow"/>
              </w:rPr>
              <w:t>★</w:t>
            </w:r>
            <w:r>
              <w:rPr>
                <w:rFonts w:hint="eastAsia" w:ascii="宋体" w:hAnsi="宋体" w:cs="宋体"/>
                <w:b/>
                <w:bCs/>
                <w:highlight w:val="yellow"/>
              </w:rPr>
              <w:t>”的指标未响应或不满足，将按无效响应处理。</w:t>
            </w:r>
          </w:p>
          <w:p w14:paraId="54ABEA44">
            <w:pPr>
              <w:ind w:firstLine="422" w:firstLineChars="200"/>
              <w:jc w:val="left"/>
              <w:rPr>
                <w:rFonts w:ascii="宋体" w:hAnsi="宋体"/>
                <w:color w:val="000000"/>
                <w:sz w:val="24"/>
              </w:rPr>
            </w:pPr>
            <w:r>
              <w:rPr>
                <w:rFonts w:hint="eastAsia" w:ascii="宋体" w:hAnsi="宋体" w:cs="宋体"/>
                <w:b/>
                <w:bCs/>
                <w:highlight w:val="yellow"/>
              </w:rPr>
              <w:t>2.如采购文件采购需求上无标有“</w:t>
            </w:r>
            <w:r>
              <w:rPr>
                <w:rFonts w:hint="eastAsia" w:ascii="宋体" w:hAnsi="宋体"/>
                <w:color w:val="000000"/>
                <w:highlight w:val="yellow"/>
              </w:rPr>
              <w:t>★</w:t>
            </w:r>
            <w:r>
              <w:rPr>
                <w:rFonts w:hint="eastAsia" w:ascii="宋体" w:hAnsi="宋体" w:cs="宋体"/>
                <w:b/>
                <w:bCs/>
                <w:highlight w:val="yellow"/>
              </w:rPr>
              <w:t>”实质性响应指标的，无需填写该表格。</w:t>
            </w:r>
          </w:p>
        </w:tc>
      </w:tr>
    </w:tbl>
    <w:p w14:paraId="5B17DDE6">
      <w:pPr>
        <w:ind w:firstLine="480" w:firstLineChars="200"/>
        <w:jc w:val="left"/>
        <w:rPr>
          <w:rFonts w:ascii="宋体" w:hAnsi="宋体"/>
          <w:color w:val="000000"/>
          <w:sz w:val="24"/>
        </w:rPr>
      </w:pPr>
      <w:r>
        <w:rPr>
          <w:rFonts w:hint="eastAsia" w:ascii="宋体" w:hAnsi="宋体"/>
          <w:color w:val="000000"/>
          <w:sz w:val="24"/>
        </w:rPr>
        <w:t xml:space="preserve">2.2 </w:t>
      </w:r>
      <w:r>
        <w:rPr>
          <w:rFonts w:hint="eastAsia"/>
          <w:iCs/>
          <w:sz w:val="24"/>
          <w:lang w:bidi="ar"/>
        </w:rPr>
        <w:t>投标文件没有重大负偏离，所谓重大负偏离是指投标人所投标的</w:t>
      </w:r>
      <w:r>
        <w:rPr>
          <w:rFonts w:hint="eastAsia"/>
          <w:iCs/>
          <w:sz w:val="24"/>
          <w:u w:val="single"/>
          <w:lang w:bidi="ar"/>
        </w:rPr>
        <w:t>范围、质量、数量、付款方式、质保期和交货期限</w:t>
      </w:r>
      <w:r>
        <w:rPr>
          <w:rFonts w:hint="eastAsia"/>
          <w:iCs/>
          <w:sz w:val="24"/>
          <w:lang w:bidi="ar"/>
        </w:rPr>
        <w:t>等明显不能满足招标文件的要求。重大负偏离的认定须经评标委员会三分之二以上同意</w:t>
      </w:r>
      <w:r>
        <w:rPr>
          <w:rFonts w:hint="eastAsia" w:ascii="宋体" w:hAnsi="宋体"/>
          <w:color w:val="000000"/>
          <w:sz w:val="24"/>
        </w:rPr>
        <w:t>；</w:t>
      </w:r>
    </w:p>
    <w:p w14:paraId="3DA8AB67">
      <w:pPr>
        <w:ind w:firstLine="480" w:firstLineChars="200"/>
        <w:jc w:val="left"/>
        <w:rPr>
          <w:rFonts w:ascii="宋体" w:hAnsi="宋体"/>
          <w:color w:val="000000"/>
          <w:sz w:val="24"/>
        </w:rPr>
      </w:pPr>
      <w:r>
        <w:rPr>
          <w:rFonts w:hint="eastAsia" w:ascii="宋体" w:hAnsi="宋体"/>
          <w:color w:val="000000"/>
          <w:sz w:val="24"/>
        </w:rPr>
        <w:t>2.3 《第六章投标文件构成》中“投标文件构成”没有缺漏；</w:t>
      </w:r>
    </w:p>
    <w:p w14:paraId="0AC46903">
      <w:pPr>
        <w:ind w:firstLine="480" w:firstLineChars="200"/>
        <w:jc w:val="left"/>
        <w:rPr>
          <w:rFonts w:ascii="宋体" w:hAnsi="宋体"/>
          <w:color w:val="000000"/>
          <w:sz w:val="24"/>
        </w:rPr>
      </w:pPr>
      <w:r>
        <w:rPr>
          <w:rFonts w:hint="eastAsia" w:ascii="宋体" w:hAnsi="宋体"/>
          <w:color w:val="000000"/>
          <w:sz w:val="24"/>
        </w:rPr>
        <w:t xml:space="preserve">2.4 </w:t>
      </w:r>
      <w:r>
        <w:rPr>
          <w:rFonts w:hint="eastAsia" w:ascii="宋体" w:hAnsi="宋体"/>
          <w:color w:val="0000FF"/>
          <w:sz w:val="24"/>
        </w:rPr>
        <w:t>投标有效期符合招标文件要求</w:t>
      </w:r>
      <w:r>
        <w:rPr>
          <w:rFonts w:hint="eastAsia" w:ascii="宋体" w:hAnsi="宋体"/>
          <w:color w:val="000000"/>
          <w:sz w:val="24"/>
        </w:rPr>
        <w:t>；</w:t>
      </w:r>
    </w:p>
    <w:p w14:paraId="2BFD3C5B">
      <w:pPr>
        <w:ind w:firstLine="480" w:firstLineChars="200"/>
        <w:jc w:val="left"/>
        <w:rPr>
          <w:rFonts w:ascii="宋体" w:hAnsi="宋体"/>
          <w:color w:val="000000"/>
          <w:sz w:val="24"/>
        </w:rPr>
      </w:pPr>
      <w:r>
        <w:rPr>
          <w:rFonts w:hint="eastAsia" w:ascii="宋体" w:hAnsi="宋体"/>
          <w:color w:val="000000"/>
          <w:sz w:val="24"/>
        </w:rPr>
        <w:t>2.5 本项目不接受联合体投标</w:t>
      </w:r>
    </w:p>
    <w:p w14:paraId="2D01459A">
      <w:pPr>
        <w:ind w:firstLine="480" w:firstLineChars="200"/>
        <w:jc w:val="left"/>
        <w:rPr>
          <w:rFonts w:ascii="宋体" w:hAnsi="宋体"/>
          <w:color w:val="000000"/>
          <w:sz w:val="24"/>
        </w:rPr>
      </w:pPr>
      <w:r>
        <w:rPr>
          <w:rFonts w:hint="eastAsia" w:ascii="宋体" w:hAnsi="宋体"/>
          <w:color w:val="000000"/>
          <w:sz w:val="24"/>
        </w:rPr>
        <w:t>2.6 本项目不接受备选投标方案</w:t>
      </w:r>
    </w:p>
    <w:p w14:paraId="24D7F6EB">
      <w:pPr>
        <w:ind w:firstLine="480" w:firstLineChars="200"/>
        <w:jc w:val="left"/>
        <w:rPr>
          <w:rFonts w:ascii="宋体" w:hAnsi="宋体"/>
          <w:color w:val="000000"/>
          <w:sz w:val="24"/>
        </w:rPr>
      </w:pPr>
      <w:r>
        <w:rPr>
          <w:rFonts w:hint="eastAsia" w:ascii="宋体" w:hAnsi="宋体"/>
          <w:color w:val="000000"/>
          <w:sz w:val="24"/>
        </w:rPr>
        <w:t>2.7 投标文件没有采购人不能接受的附加条件</w:t>
      </w:r>
    </w:p>
    <w:p w14:paraId="0C286446">
      <w:pPr>
        <w:ind w:firstLine="480" w:firstLineChars="200"/>
        <w:jc w:val="left"/>
        <w:rPr>
          <w:rFonts w:ascii="宋体" w:hAnsi="宋体"/>
          <w:color w:val="000000"/>
          <w:sz w:val="24"/>
        </w:rPr>
      </w:pPr>
      <w:r>
        <w:rPr>
          <w:rFonts w:hint="eastAsia" w:ascii="宋体" w:hAnsi="宋体"/>
          <w:color w:val="000000"/>
          <w:sz w:val="24"/>
        </w:rPr>
        <w:t>2.8 投标文件没有法律、法规和招标文件规定的其他无效情形</w:t>
      </w:r>
    </w:p>
    <w:p w14:paraId="049B8F2D">
      <w:pPr>
        <w:ind w:firstLine="480" w:firstLineChars="200"/>
        <w:jc w:val="left"/>
        <w:rPr>
          <w:rFonts w:ascii="宋体" w:hAnsi="宋体"/>
          <w:color w:val="000000"/>
          <w:sz w:val="24"/>
        </w:rPr>
      </w:pPr>
    </w:p>
    <w:p w14:paraId="5ED0583C">
      <w:pPr>
        <w:numPr>
          <w:ilvl w:val="0"/>
          <w:numId w:val="7"/>
        </w:numPr>
        <w:ind w:firstLine="482" w:firstLineChars="200"/>
        <w:jc w:val="left"/>
        <w:rPr>
          <w:rFonts w:ascii="宋体" w:hAnsi="宋体"/>
          <w:b/>
          <w:bCs/>
          <w:color w:val="000000"/>
          <w:sz w:val="24"/>
        </w:rPr>
      </w:pPr>
      <w:r>
        <w:rPr>
          <w:rFonts w:hint="eastAsia" w:ascii="宋体" w:hAnsi="宋体"/>
          <w:b/>
          <w:bCs/>
          <w:color w:val="000000"/>
          <w:sz w:val="24"/>
        </w:rPr>
        <w:t>技术要求：</w:t>
      </w:r>
    </w:p>
    <w:p w14:paraId="79D5DA0C">
      <w:pPr>
        <w:ind w:firstLine="480" w:firstLineChars="200"/>
        <w:jc w:val="left"/>
        <w:rPr>
          <w:rFonts w:ascii="宋体" w:hAnsi="宋体"/>
          <w:color w:val="000000"/>
          <w:sz w:val="24"/>
        </w:rPr>
      </w:pPr>
      <w:r>
        <w:rPr>
          <w:rFonts w:hint="eastAsia" w:ascii="宋体" w:hAnsi="宋体"/>
          <w:color w:val="000000"/>
          <w:sz w:val="24"/>
        </w:rPr>
        <w:t>3.1技术要求中，加注“★”参数不允许负偏离，否则投标无效；</w:t>
      </w:r>
    </w:p>
    <w:tbl>
      <w:tblPr>
        <w:tblStyle w:val="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4"/>
      </w:tblGrid>
      <w:tr w14:paraId="3D636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0" w:hRule="atLeast"/>
        </w:trPr>
        <w:tc>
          <w:tcPr>
            <w:tcW w:w="8714" w:type="dxa"/>
          </w:tcPr>
          <w:p w14:paraId="1C1AFFEA">
            <w:pPr>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ascii="宋体" w:hAnsi="宋体" w:cs="仿宋"/>
                <w:b/>
                <w:bCs/>
                <w:sz w:val="32"/>
                <w:szCs w:val="32"/>
              </w:rPr>
            </w:pPr>
            <w:r>
              <w:rPr>
                <w:rFonts w:hint="eastAsia" w:ascii="宋体" w:hAnsi="宋体" w:cs="仿宋"/>
                <w:b/>
                <w:bCs/>
                <w:sz w:val="32"/>
                <w:szCs w:val="32"/>
              </w:rPr>
              <w:t>技术实质性要求响应表</w:t>
            </w:r>
          </w:p>
          <w:tbl>
            <w:tblPr>
              <w:tblStyle w:val="38"/>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7"/>
              <w:gridCol w:w="4141"/>
              <w:gridCol w:w="2014"/>
              <w:gridCol w:w="1645"/>
            </w:tblGrid>
            <w:tr w14:paraId="03658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77" w:type="dxa"/>
                  <w:vAlign w:val="center"/>
                </w:tcPr>
                <w:p w14:paraId="52D869BB">
                  <w:pPr>
                    <w:jc w:val="center"/>
                    <w:rPr>
                      <w:rFonts w:ascii="宋体" w:hAnsi="宋体"/>
                      <w:color w:val="000000"/>
                      <w:sz w:val="24"/>
                    </w:rPr>
                  </w:pPr>
                  <w:r>
                    <w:rPr>
                      <w:rFonts w:hint="eastAsia" w:ascii="宋体" w:hAnsi="宋体"/>
                      <w:color w:val="000000"/>
                      <w:sz w:val="24"/>
                    </w:rPr>
                    <w:t>序号</w:t>
                  </w:r>
                </w:p>
              </w:tc>
              <w:tc>
                <w:tcPr>
                  <w:tcW w:w="4141" w:type="dxa"/>
                  <w:vAlign w:val="center"/>
                </w:tcPr>
                <w:p w14:paraId="535D0DD7">
                  <w:pPr>
                    <w:jc w:val="center"/>
                    <w:rPr>
                      <w:rFonts w:ascii="宋体" w:hAnsi="宋体"/>
                      <w:color w:val="000000"/>
                      <w:sz w:val="24"/>
                    </w:rPr>
                  </w:pPr>
                  <w:r>
                    <w:rPr>
                      <w:rFonts w:hint="eastAsia" w:ascii="宋体" w:hAnsi="宋体"/>
                      <w:color w:val="000000"/>
                      <w:sz w:val="24"/>
                    </w:rPr>
                    <w:t>★技术实质性采购要求内容</w:t>
                  </w:r>
                </w:p>
              </w:tc>
              <w:tc>
                <w:tcPr>
                  <w:tcW w:w="3659" w:type="dxa"/>
                  <w:gridSpan w:val="2"/>
                  <w:vAlign w:val="center"/>
                </w:tcPr>
                <w:p w14:paraId="33E8C1F4">
                  <w:pPr>
                    <w:jc w:val="center"/>
                    <w:rPr>
                      <w:rFonts w:ascii="宋体" w:hAnsi="宋体"/>
                      <w:color w:val="000000"/>
                      <w:sz w:val="24"/>
                    </w:rPr>
                  </w:pPr>
                  <w:r>
                    <w:rPr>
                      <w:rFonts w:hint="eastAsia" w:ascii="宋体" w:hAnsi="宋体"/>
                      <w:color w:val="000000"/>
                      <w:sz w:val="24"/>
                    </w:rPr>
                    <w:t>投标人响应</w:t>
                  </w:r>
                </w:p>
              </w:tc>
            </w:tr>
            <w:tr w14:paraId="78736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477" w:type="dxa"/>
                  <w:vAlign w:val="center"/>
                </w:tcPr>
                <w:p w14:paraId="68FCEC00">
                  <w:pPr>
                    <w:jc w:val="center"/>
                    <w:rPr>
                      <w:rFonts w:ascii="宋体" w:hAnsi="宋体"/>
                      <w:color w:val="000000"/>
                      <w:sz w:val="24"/>
                    </w:rPr>
                  </w:pPr>
                  <w:r>
                    <w:rPr>
                      <w:rFonts w:hint="eastAsia" w:ascii="宋体" w:hAnsi="宋体"/>
                      <w:color w:val="000000"/>
                      <w:sz w:val="24"/>
                    </w:rPr>
                    <w:t>1</w:t>
                  </w:r>
                </w:p>
              </w:tc>
              <w:tc>
                <w:tcPr>
                  <w:tcW w:w="4141" w:type="dxa"/>
                  <w:vAlign w:val="center"/>
                </w:tcPr>
                <w:p w14:paraId="49F6A9FF">
                  <w:pPr>
                    <w:pBdr>
                      <w:top w:val="none" w:color="000000" w:sz="0" w:space="0"/>
                      <w:left w:val="none" w:color="000000" w:sz="0" w:space="0"/>
                      <w:bottom w:val="none" w:color="000000" w:sz="0" w:space="0"/>
                      <w:right w:val="none" w:color="000000" w:sz="0" w:space="0"/>
                    </w:pBdr>
                    <w:jc w:val="center"/>
                    <w:outlineLvl w:val="2"/>
                    <w:rPr>
                      <w:rFonts w:ascii="宋体" w:hAnsi="宋体"/>
                      <w:color w:val="000000"/>
                      <w:sz w:val="24"/>
                    </w:rPr>
                  </w:pPr>
                  <w:bookmarkStart w:id="125" w:name="_Toc22213"/>
                  <w:r>
                    <w:rPr>
                      <w:rFonts w:hint="eastAsia" w:ascii="宋体" w:hAnsi="宋体" w:cs="宋体"/>
                      <w:b/>
                      <w:i/>
                      <w:iCs/>
                      <w:color w:val="000000"/>
                      <w:u w:val="single"/>
                    </w:rPr>
                    <w:t xml:space="preserve">2.1 </w:t>
                  </w:r>
                  <w:r>
                    <w:rPr>
                      <w:rFonts w:hint="eastAsia" w:asciiTheme="minorEastAsia" w:hAnsiTheme="minorEastAsia" w:eastAsiaTheme="minorEastAsia"/>
                      <w:bCs/>
                      <w:i/>
                      <w:iCs/>
                      <w:color w:val="000000" w:themeColor="text1"/>
                      <w:u w:val="single"/>
                      <w14:textFill>
                        <w14:solidFill>
                          <w14:schemeClr w14:val="tx1"/>
                        </w14:solidFill>
                      </w14:textFill>
                    </w:rPr>
                    <w:t>★</w:t>
                  </w:r>
                  <w:r>
                    <w:rPr>
                      <w:rFonts w:hint="eastAsia" w:ascii="宋体" w:hAnsi="宋体" w:cs="宋体"/>
                      <w:b/>
                      <w:i/>
                      <w:iCs/>
                      <w:color w:val="000000"/>
                      <w:u w:val="single"/>
                    </w:rPr>
                    <w:t>系统建设清单及范围</w:t>
                  </w:r>
                  <w:bookmarkEnd w:id="125"/>
                </w:p>
              </w:tc>
              <w:tc>
                <w:tcPr>
                  <w:tcW w:w="2014" w:type="dxa"/>
                  <w:vAlign w:val="center"/>
                </w:tcPr>
                <w:p w14:paraId="16E467FE">
                  <w:pPr>
                    <w:jc w:val="center"/>
                    <w:rPr>
                      <w:rFonts w:ascii="宋体" w:hAnsi="宋体"/>
                      <w:color w:val="000000"/>
                      <w:sz w:val="24"/>
                    </w:rPr>
                  </w:pPr>
                  <w:r>
                    <w:rPr>
                      <w:rFonts w:hint="eastAsia" w:ascii="宋体" w:hAnsi="宋体"/>
                      <w:color w:val="000000"/>
                      <w:sz w:val="24"/>
                    </w:rPr>
                    <w:sym w:font="Wingdings 2" w:char="00A3"/>
                  </w:r>
                  <w:r>
                    <w:rPr>
                      <w:rFonts w:hint="eastAsia" w:ascii="宋体" w:hAnsi="宋体"/>
                      <w:color w:val="000000"/>
                      <w:sz w:val="24"/>
                    </w:rPr>
                    <w:t>全部满足</w:t>
                  </w:r>
                </w:p>
              </w:tc>
              <w:tc>
                <w:tcPr>
                  <w:tcW w:w="1645" w:type="dxa"/>
                  <w:vAlign w:val="center"/>
                </w:tcPr>
                <w:p w14:paraId="53763245">
                  <w:pPr>
                    <w:jc w:val="center"/>
                    <w:rPr>
                      <w:rFonts w:ascii="宋体" w:hAnsi="宋体"/>
                      <w:color w:val="000000"/>
                      <w:sz w:val="24"/>
                    </w:rPr>
                  </w:pPr>
                  <w:r>
                    <w:rPr>
                      <w:rFonts w:hint="eastAsia" w:ascii="宋体" w:hAnsi="宋体"/>
                      <w:color w:val="000000"/>
                      <w:sz w:val="24"/>
                    </w:rPr>
                    <w:sym w:font="Wingdings 2" w:char="00A3"/>
                  </w:r>
                  <w:r>
                    <w:rPr>
                      <w:rFonts w:hint="eastAsia" w:ascii="宋体" w:hAnsi="宋体"/>
                      <w:color w:val="000000"/>
                      <w:sz w:val="24"/>
                    </w:rPr>
                    <w:t>不满足</w:t>
                  </w:r>
                </w:p>
              </w:tc>
            </w:tr>
          </w:tbl>
          <w:p w14:paraId="7E50727B">
            <w:pPr>
              <w:spacing w:line="360" w:lineRule="auto"/>
              <w:ind w:firstLine="422" w:firstLineChars="200"/>
              <w:rPr>
                <w:rFonts w:ascii="宋体" w:hAnsi="宋体" w:cs="宋体"/>
                <w:b/>
                <w:bCs/>
                <w:highlight w:val="yellow"/>
              </w:rPr>
            </w:pPr>
            <w:r>
              <w:rPr>
                <w:rFonts w:hint="eastAsia" w:ascii="宋体" w:hAnsi="宋体" w:cs="宋体"/>
                <w:b/>
                <w:bCs/>
                <w:highlight w:val="yellow"/>
              </w:rPr>
              <w:t>投标人必须对招标文件采购需求中有关“</w:t>
            </w:r>
            <w:r>
              <w:rPr>
                <w:rFonts w:hint="eastAsia" w:ascii="宋体" w:hAnsi="宋体"/>
                <w:color w:val="000000"/>
                <w:highlight w:val="yellow"/>
              </w:rPr>
              <w:t>★</w:t>
            </w:r>
            <w:r>
              <w:rPr>
                <w:rFonts w:hint="eastAsia" w:ascii="宋体" w:hAnsi="宋体" w:cs="宋体"/>
                <w:b/>
                <w:bCs/>
                <w:highlight w:val="yellow"/>
              </w:rPr>
              <w:t>”指标条款的实质性要求进行响应，响应详细内容填写此表。</w:t>
            </w:r>
          </w:p>
          <w:p w14:paraId="6F44DEE1">
            <w:pPr>
              <w:spacing w:line="360" w:lineRule="auto"/>
              <w:ind w:firstLine="422" w:firstLineChars="200"/>
              <w:rPr>
                <w:rFonts w:ascii="宋体" w:hAnsi="宋体" w:cs="宋体"/>
                <w:b/>
                <w:bCs/>
                <w:highlight w:val="yellow"/>
              </w:rPr>
            </w:pPr>
            <w:r>
              <w:rPr>
                <w:rFonts w:hint="eastAsia" w:ascii="宋体" w:hAnsi="宋体" w:cs="宋体"/>
                <w:b/>
                <w:bCs/>
                <w:highlight w:val="yellow"/>
              </w:rPr>
              <w:t>备注：1.采购文件采购需求中标有“</w:t>
            </w:r>
            <w:r>
              <w:rPr>
                <w:rFonts w:hint="eastAsia" w:ascii="宋体" w:hAnsi="宋体"/>
                <w:color w:val="000000"/>
                <w:highlight w:val="yellow"/>
              </w:rPr>
              <w:t>★</w:t>
            </w:r>
            <w:r>
              <w:rPr>
                <w:rFonts w:hint="eastAsia" w:ascii="宋体" w:hAnsi="宋体" w:cs="宋体"/>
                <w:b/>
                <w:bCs/>
                <w:highlight w:val="yellow"/>
              </w:rPr>
              <w:t>”的指标均被视为实质性响应指标，供应商如有一项带“</w:t>
            </w:r>
            <w:r>
              <w:rPr>
                <w:rFonts w:hint="eastAsia" w:ascii="宋体" w:hAnsi="宋体"/>
                <w:color w:val="000000"/>
                <w:highlight w:val="yellow"/>
              </w:rPr>
              <w:t>★</w:t>
            </w:r>
            <w:r>
              <w:rPr>
                <w:rFonts w:hint="eastAsia" w:ascii="宋体" w:hAnsi="宋体" w:cs="宋体"/>
                <w:b/>
                <w:bCs/>
                <w:highlight w:val="yellow"/>
              </w:rPr>
              <w:t>”的指标未响应或不满足，将按无效响应处理。</w:t>
            </w:r>
          </w:p>
          <w:p w14:paraId="402743DE">
            <w:pPr>
              <w:ind w:firstLine="422" w:firstLineChars="200"/>
              <w:jc w:val="left"/>
              <w:rPr>
                <w:rFonts w:ascii="宋体" w:hAnsi="宋体"/>
                <w:color w:val="000000"/>
                <w:sz w:val="24"/>
              </w:rPr>
            </w:pPr>
            <w:r>
              <w:rPr>
                <w:rFonts w:hint="eastAsia" w:ascii="宋体" w:hAnsi="宋体" w:cs="宋体"/>
                <w:b/>
                <w:bCs/>
                <w:highlight w:val="green"/>
              </w:rPr>
              <w:t>2.是否满足以投标文件的“投标分项报价表”填写为准</w:t>
            </w:r>
          </w:p>
        </w:tc>
      </w:tr>
    </w:tbl>
    <w:p w14:paraId="29322A05">
      <w:pPr>
        <w:pStyle w:val="17"/>
      </w:pPr>
    </w:p>
    <w:p w14:paraId="0482BCA4">
      <w:pPr>
        <w:ind w:firstLine="480" w:firstLineChars="200"/>
        <w:jc w:val="left"/>
        <w:rPr>
          <w:rFonts w:ascii="宋体" w:hAnsi="宋体"/>
          <w:color w:val="000000"/>
          <w:sz w:val="24"/>
        </w:rPr>
      </w:pPr>
      <w:r>
        <w:rPr>
          <w:rFonts w:hint="eastAsia" w:ascii="宋体" w:hAnsi="宋体"/>
          <w:color w:val="000000"/>
          <w:sz w:val="24"/>
        </w:rPr>
        <w:t>3.2投标文件中的《技术要求响应及偏离表》按照表格要求编制</w:t>
      </w:r>
    </w:p>
    <w:p w14:paraId="268B833F">
      <w:pPr>
        <w:pStyle w:val="46"/>
        <w:spacing w:before="240"/>
        <w:ind w:firstLine="0" w:firstLineChars="0"/>
        <w:jc w:val="left"/>
        <w:outlineLvl w:val="1"/>
      </w:pPr>
      <w:bookmarkStart w:id="126" w:name="_Toc13062"/>
      <w:r>
        <w:rPr>
          <w:rFonts w:hint="eastAsia"/>
        </w:rPr>
        <w:t>（三）评标方法与评标标准</w:t>
      </w:r>
      <w:bookmarkEnd w:id="126"/>
    </w:p>
    <w:tbl>
      <w:tblPr>
        <w:tblStyle w:val="38"/>
        <w:tblW w:w="4850"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5"/>
        <w:gridCol w:w="6245"/>
        <w:gridCol w:w="958"/>
      </w:tblGrid>
      <w:tr w14:paraId="02A0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2" w:type="dxa"/>
            <w:vAlign w:val="center"/>
          </w:tcPr>
          <w:p w14:paraId="5136CD0B">
            <w:pPr>
              <w:pStyle w:val="340"/>
              <w:jc w:val="center"/>
              <w:rPr>
                <w:rFonts w:cs="宋体"/>
                <w:sz w:val="21"/>
                <w:szCs w:val="21"/>
                <w:lang w:val="en-US"/>
              </w:rPr>
            </w:pPr>
            <w:r>
              <w:rPr>
                <w:rFonts w:hint="eastAsia" w:cs="宋体"/>
                <w:sz w:val="21"/>
                <w:szCs w:val="21"/>
              </w:rPr>
              <w:t>评分</w:t>
            </w:r>
            <w:r>
              <w:rPr>
                <w:rFonts w:hint="eastAsia" w:cs="宋体"/>
                <w:sz w:val="21"/>
                <w:szCs w:val="21"/>
                <w:lang w:val="en-US"/>
              </w:rPr>
              <w:t>因素</w:t>
            </w:r>
          </w:p>
        </w:tc>
        <w:tc>
          <w:tcPr>
            <w:tcW w:w="6253" w:type="dxa"/>
            <w:vAlign w:val="center"/>
          </w:tcPr>
          <w:p w14:paraId="3E6511F0">
            <w:pPr>
              <w:pStyle w:val="340"/>
              <w:rPr>
                <w:rFonts w:cs="宋体"/>
                <w:sz w:val="21"/>
                <w:szCs w:val="21"/>
              </w:rPr>
            </w:pPr>
            <w:r>
              <w:rPr>
                <w:rFonts w:hint="eastAsia" w:cs="宋体"/>
                <w:sz w:val="21"/>
                <w:szCs w:val="21"/>
              </w:rPr>
              <w:t>评分说明</w:t>
            </w:r>
          </w:p>
        </w:tc>
        <w:tc>
          <w:tcPr>
            <w:tcW w:w="954" w:type="dxa"/>
            <w:vAlign w:val="center"/>
          </w:tcPr>
          <w:p w14:paraId="466DF017">
            <w:pPr>
              <w:pStyle w:val="340"/>
              <w:jc w:val="center"/>
              <w:rPr>
                <w:rFonts w:cs="宋体"/>
                <w:sz w:val="21"/>
                <w:szCs w:val="21"/>
              </w:rPr>
            </w:pPr>
            <w:r>
              <w:rPr>
                <w:rFonts w:hint="eastAsia" w:cs="宋体"/>
                <w:sz w:val="21"/>
                <w:szCs w:val="21"/>
              </w:rPr>
              <w:t>分值</w:t>
            </w:r>
          </w:p>
        </w:tc>
      </w:tr>
      <w:tr w14:paraId="49F6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2" w:type="dxa"/>
            <w:vAlign w:val="center"/>
          </w:tcPr>
          <w:p w14:paraId="61CC3BB4">
            <w:pPr>
              <w:pStyle w:val="340"/>
              <w:jc w:val="center"/>
              <w:rPr>
                <w:rFonts w:cs="宋体"/>
                <w:sz w:val="21"/>
                <w:szCs w:val="21"/>
              </w:rPr>
            </w:pPr>
            <w:r>
              <w:rPr>
                <w:rFonts w:hint="eastAsia" w:cs="宋体"/>
                <w:sz w:val="21"/>
                <w:szCs w:val="21"/>
              </w:rPr>
              <w:t>报价部分</w:t>
            </w:r>
          </w:p>
          <w:p w14:paraId="731B6406">
            <w:pPr>
              <w:pStyle w:val="340"/>
              <w:jc w:val="center"/>
              <w:rPr>
                <w:rFonts w:cs="宋体"/>
                <w:sz w:val="21"/>
                <w:szCs w:val="21"/>
              </w:rPr>
            </w:pPr>
            <w:r>
              <w:rPr>
                <w:rFonts w:hint="eastAsia" w:cs="宋体"/>
                <w:sz w:val="21"/>
                <w:szCs w:val="21"/>
              </w:rPr>
              <w:t>（</w:t>
            </w:r>
            <w:r>
              <w:rPr>
                <w:rFonts w:hint="eastAsia" w:cs="宋体"/>
                <w:sz w:val="21"/>
                <w:szCs w:val="21"/>
                <w:lang w:val="en-US"/>
              </w:rPr>
              <w:t>30分</w:t>
            </w:r>
            <w:r>
              <w:rPr>
                <w:rFonts w:hint="eastAsia" w:cs="宋体"/>
                <w:sz w:val="21"/>
                <w:szCs w:val="21"/>
              </w:rPr>
              <w:t>）</w:t>
            </w:r>
          </w:p>
        </w:tc>
        <w:tc>
          <w:tcPr>
            <w:tcW w:w="6253" w:type="dxa"/>
            <w:vAlign w:val="center"/>
          </w:tcPr>
          <w:p w14:paraId="7CD91FC7">
            <w:pPr>
              <w:pStyle w:val="340"/>
              <w:rPr>
                <w:rFonts w:cs="宋体"/>
                <w:sz w:val="21"/>
                <w:szCs w:val="21"/>
              </w:rPr>
            </w:pPr>
            <w:r>
              <w:rPr>
                <w:rFonts w:hint="eastAsia" w:cs="宋体"/>
                <w:sz w:val="21"/>
                <w:szCs w:val="21"/>
              </w:rPr>
              <w:t>评标委员会只对资格和符合性审查合格的响应文件进行价格评价，报价分采用低价优先法计算，即满足招标文件要求且投标价格最低的投标报价（因落实政府采购政策进行价格调整的，以调整后的价格计算评标基准价和投标报价）为评标基准价，其价格分为满分。其他供应商的价格分按照下列公报价式计算：投标报价得分=（评标基准价／投标报价）×价格分。</w:t>
            </w:r>
          </w:p>
        </w:tc>
        <w:tc>
          <w:tcPr>
            <w:tcW w:w="954" w:type="dxa"/>
            <w:vAlign w:val="center"/>
          </w:tcPr>
          <w:p w14:paraId="30A5212F">
            <w:pPr>
              <w:pStyle w:val="340"/>
              <w:jc w:val="center"/>
              <w:rPr>
                <w:rFonts w:cs="宋体"/>
                <w:sz w:val="21"/>
                <w:szCs w:val="21"/>
              </w:rPr>
            </w:pPr>
            <w:r>
              <w:rPr>
                <w:rFonts w:hint="eastAsia" w:cs="宋体"/>
                <w:sz w:val="21"/>
                <w:szCs w:val="21"/>
              </w:rPr>
              <w:t>30</w:t>
            </w:r>
          </w:p>
        </w:tc>
      </w:tr>
      <w:tr w14:paraId="183F4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2" w:type="dxa"/>
            <w:vMerge w:val="restart"/>
            <w:vAlign w:val="center"/>
          </w:tcPr>
          <w:p w14:paraId="1FFD9768">
            <w:pPr>
              <w:pStyle w:val="340"/>
              <w:jc w:val="center"/>
              <w:rPr>
                <w:rFonts w:cs="宋体"/>
                <w:sz w:val="21"/>
                <w:szCs w:val="21"/>
                <w:lang w:val="en-US"/>
              </w:rPr>
            </w:pPr>
            <w:r>
              <w:rPr>
                <w:rFonts w:hint="eastAsia" w:cs="宋体"/>
                <w:sz w:val="21"/>
                <w:szCs w:val="21"/>
                <w:lang w:val="en-US"/>
              </w:rPr>
              <w:t>技术部分</w:t>
            </w:r>
          </w:p>
          <w:p w14:paraId="5EA6289A">
            <w:pPr>
              <w:pStyle w:val="340"/>
              <w:jc w:val="center"/>
              <w:rPr>
                <w:rFonts w:cs="宋体"/>
                <w:sz w:val="21"/>
                <w:szCs w:val="21"/>
                <w:lang w:val="en-US"/>
              </w:rPr>
            </w:pPr>
            <w:r>
              <w:rPr>
                <w:rFonts w:hint="eastAsia" w:cs="宋体"/>
                <w:sz w:val="21"/>
                <w:szCs w:val="21"/>
                <w:lang w:val="en-US"/>
              </w:rPr>
              <w:t>（54分）</w:t>
            </w:r>
          </w:p>
        </w:tc>
        <w:tc>
          <w:tcPr>
            <w:tcW w:w="6253" w:type="dxa"/>
            <w:vAlign w:val="center"/>
          </w:tcPr>
          <w:p w14:paraId="27708226">
            <w:pPr>
              <w:jc w:val="left"/>
              <w:rPr>
                <w:rFonts w:ascii="宋体" w:hAnsi="宋体" w:cs="宋体"/>
                <w:iCs/>
                <w:kern w:val="2"/>
                <w:shd w:val="clear" w:color="auto" w:fill="FFFFFF" w:themeFill="background1"/>
                <w:lang w:val="zh-CN"/>
              </w:rPr>
            </w:pPr>
            <w:r>
              <w:rPr>
                <w:rFonts w:hint="eastAsia" w:ascii="宋体" w:hAnsi="宋体" w:cs="宋体"/>
                <w:iCs/>
                <w:kern w:val="2"/>
                <w:shd w:val="clear" w:color="auto" w:fill="FFFFFF" w:themeFill="background1"/>
              </w:rPr>
              <w:t>1.软著证书：投标人或所投产品厂商需</w:t>
            </w:r>
            <w:r>
              <w:rPr>
                <w:rFonts w:hint="eastAsia" w:ascii="宋体" w:hAnsi="宋体" w:cs="宋体"/>
                <w:iCs/>
                <w:kern w:val="2"/>
                <w:shd w:val="clear" w:color="auto" w:fill="FFFFFF" w:themeFill="background1"/>
                <w:lang w:val="zh-CN"/>
              </w:rPr>
              <w:t>具备</w:t>
            </w:r>
            <w:r>
              <w:rPr>
                <w:rFonts w:hint="eastAsia" w:ascii="宋体" w:hAnsi="宋体" w:cs="宋体"/>
                <w:iCs/>
                <w:kern w:val="2"/>
                <w:shd w:val="clear" w:color="auto" w:fill="FFFFFF" w:themeFill="background1"/>
              </w:rPr>
              <w:t>①患者</w:t>
            </w:r>
            <w:r>
              <w:rPr>
                <w:rFonts w:hint="eastAsia" w:ascii="宋体" w:hAnsi="宋体" w:cs="宋体"/>
                <w:iCs/>
                <w:kern w:val="2"/>
                <w:shd w:val="clear" w:color="auto" w:fill="FFFFFF" w:themeFill="background1"/>
                <w:lang w:val="zh-CN"/>
              </w:rPr>
              <w:t>随访</w:t>
            </w:r>
            <w:r>
              <w:rPr>
                <w:rFonts w:hint="eastAsia" w:ascii="宋体" w:hAnsi="宋体" w:cs="宋体"/>
                <w:iCs/>
                <w:kern w:val="2"/>
                <w:shd w:val="clear" w:color="auto" w:fill="FFFFFF" w:themeFill="background1"/>
              </w:rPr>
              <w:t>系统、②诊后知识图谱系统、③医院满意度调查、④医德医风管理、⑤科研病例管理</w:t>
            </w:r>
            <w:r>
              <w:rPr>
                <w:rFonts w:hint="eastAsia" w:ascii="宋体" w:hAnsi="宋体" w:cs="宋体"/>
                <w:iCs/>
                <w:kern w:val="2"/>
                <w:shd w:val="clear" w:color="auto" w:fill="FFFFFF" w:themeFill="background1"/>
                <w:lang w:val="zh-CN"/>
              </w:rPr>
              <w:t>相关的软件著作权，</w:t>
            </w:r>
            <w:r>
              <w:rPr>
                <w:rFonts w:hint="eastAsia" w:ascii="宋体" w:hAnsi="宋体" w:cs="宋体"/>
                <w:iCs/>
                <w:kern w:val="2"/>
                <w:shd w:val="clear" w:color="auto" w:fill="FFFFFF" w:themeFill="background1"/>
              </w:rPr>
              <w:t>每</w:t>
            </w:r>
            <w:r>
              <w:rPr>
                <w:rFonts w:hint="eastAsia" w:ascii="宋体" w:hAnsi="宋体" w:cs="宋体"/>
                <w:iCs/>
                <w:kern w:val="2"/>
                <w:shd w:val="clear" w:color="auto" w:fill="FFFFFF" w:themeFill="background1"/>
                <w:lang w:val="zh-CN"/>
              </w:rPr>
              <w:t>提供</w:t>
            </w:r>
            <w:r>
              <w:rPr>
                <w:rFonts w:hint="eastAsia" w:ascii="宋体" w:hAnsi="宋体" w:cs="宋体"/>
                <w:iCs/>
                <w:kern w:val="2"/>
                <w:shd w:val="clear" w:color="auto" w:fill="FFFFFF" w:themeFill="background1"/>
              </w:rPr>
              <w:t>1个得2分，</w:t>
            </w:r>
            <w:r>
              <w:rPr>
                <w:rFonts w:hint="eastAsia" w:ascii="宋体" w:hAnsi="宋体" w:cs="宋体"/>
                <w:iCs/>
                <w:kern w:val="2"/>
                <w:shd w:val="clear" w:color="auto" w:fill="FFFFFF" w:themeFill="background1"/>
                <w:lang w:val="zh-CN"/>
              </w:rPr>
              <w:t>未提供不得分。</w:t>
            </w:r>
          </w:p>
          <w:p w14:paraId="223DBC5B">
            <w:pPr>
              <w:pStyle w:val="340"/>
              <w:rPr>
                <w:rFonts w:cs="宋体"/>
                <w:sz w:val="21"/>
                <w:szCs w:val="21"/>
                <w:lang w:val="en-US"/>
              </w:rPr>
            </w:pPr>
            <w:r>
              <w:rPr>
                <w:rFonts w:hint="eastAsia" w:cs="宋体"/>
                <w:sz w:val="21"/>
                <w:szCs w:val="21"/>
                <w:lang w:val="en-US"/>
              </w:rPr>
              <w:t>（注：软著证书中软件名称不以个别文字差异否定证书，具体由评委会现场统一认定。）</w:t>
            </w:r>
          </w:p>
        </w:tc>
        <w:tc>
          <w:tcPr>
            <w:tcW w:w="954" w:type="dxa"/>
            <w:vAlign w:val="center"/>
          </w:tcPr>
          <w:p w14:paraId="356FACA7">
            <w:pPr>
              <w:pStyle w:val="340"/>
              <w:jc w:val="center"/>
              <w:rPr>
                <w:rFonts w:cs="宋体"/>
                <w:sz w:val="21"/>
                <w:szCs w:val="21"/>
                <w:lang w:val="en-US"/>
              </w:rPr>
            </w:pPr>
            <w:r>
              <w:rPr>
                <w:rFonts w:hint="eastAsia" w:cs="宋体"/>
                <w:sz w:val="21"/>
                <w:szCs w:val="21"/>
                <w:lang w:val="en-US"/>
              </w:rPr>
              <w:t>10</w:t>
            </w:r>
          </w:p>
        </w:tc>
      </w:tr>
      <w:tr w14:paraId="7A04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2" w:type="dxa"/>
            <w:vMerge w:val="continue"/>
            <w:vAlign w:val="center"/>
          </w:tcPr>
          <w:p w14:paraId="4DD326AE">
            <w:pPr>
              <w:pStyle w:val="340"/>
              <w:jc w:val="center"/>
              <w:rPr>
                <w:rFonts w:cs="宋体"/>
                <w:sz w:val="21"/>
                <w:szCs w:val="21"/>
              </w:rPr>
            </w:pPr>
          </w:p>
        </w:tc>
        <w:tc>
          <w:tcPr>
            <w:tcW w:w="6253" w:type="dxa"/>
            <w:vAlign w:val="center"/>
          </w:tcPr>
          <w:p w14:paraId="387FBBA6">
            <w:pPr>
              <w:numPr>
                <w:ilvl w:val="0"/>
                <w:numId w:val="8"/>
              </w:numPr>
              <w:rPr>
                <w:rFonts w:asciiTheme="minorEastAsia" w:hAnsiTheme="minorEastAsia" w:eastAsiaTheme="minorEastAsia"/>
                <w:color w:val="000000" w:themeColor="text1"/>
                <w14:textFill>
                  <w14:solidFill>
                    <w14:schemeClr w14:val="tx1"/>
                  </w14:solidFill>
                </w14:textFill>
              </w:rPr>
            </w:pPr>
            <w:r>
              <w:rPr>
                <w:rFonts w:hint="eastAsia" w:ascii="宋体" w:hAnsi="宋体" w:cs="宋体"/>
                <w:iCs/>
                <w:kern w:val="2"/>
                <w:shd w:val="clear" w:color="auto" w:fill="FFFFFF" w:themeFill="background1"/>
              </w:rPr>
              <w:t>技术响应：</w:t>
            </w:r>
            <w:r>
              <w:rPr>
                <w:rFonts w:hint="eastAsia" w:asciiTheme="minorEastAsia" w:hAnsiTheme="minorEastAsia" w:eastAsiaTheme="minorEastAsia"/>
                <w:color w:val="000000" w:themeColor="text1"/>
                <w14:textFill>
                  <w14:solidFill>
                    <w14:schemeClr w14:val="tx1"/>
                  </w14:solidFill>
                </w14:textFill>
              </w:rPr>
              <w:t>评委根据采购文件第四章《采购需求》的技术要求内容，结合投标文件提供的佐证材料等进行评审：</w:t>
            </w:r>
          </w:p>
          <w:p w14:paraId="174EB25D">
            <w:pP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（1）能够完全满足招标文件中加注“▲”符号技术要求的，得</w:t>
            </w:r>
            <w:r>
              <w:rPr>
                <w:rFonts w:hint="eastAsia" w:ascii="宋体" w:hAnsi="宋体" w:cs="宋体"/>
                <w:iCs/>
                <w:kern w:val="2"/>
                <w:highlight w:val="yellow"/>
                <w:shd w:val="clear" w:color="auto" w:fill="FFFFFF" w:themeFill="background1"/>
              </w:rPr>
              <w:t>36分</w:t>
            </w:r>
            <w:r>
              <w:rPr>
                <w:rFonts w:hint="eastAsia" w:ascii="宋体" w:hAnsi="宋体" w:cs="宋体"/>
                <w:iCs/>
                <w:kern w:val="2"/>
                <w:shd w:val="clear" w:color="auto" w:fill="FFFFFF" w:themeFill="background1"/>
              </w:rPr>
              <w:t>，有一项负偏离扣</w:t>
            </w:r>
            <w:r>
              <w:rPr>
                <w:rFonts w:hint="eastAsia" w:ascii="宋体" w:hAnsi="宋体" w:cs="宋体"/>
                <w:iCs/>
                <w:color w:val="0000FF"/>
                <w:kern w:val="2"/>
                <w:shd w:val="clear" w:color="auto" w:fill="FFFFFF" w:themeFill="background1"/>
              </w:rPr>
              <w:t>2.4分</w:t>
            </w:r>
            <w:r>
              <w:rPr>
                <w:rFonts w:hint="eastAsia" w:ascii="宋体" w:hAnsi="宋体" w:cs="宋体"/>
                <w:iCs/>
                <w:kern w:val="2"/>
                <w:shd w:val="clear" w:color="auto" w:fill="FFFFFF" w:themeFill="background1"/>
              </w:rPr>
              <w:t>，扣完为止。（共计15个“▲”符号）</w:t>
            </w:r>
          </w:p>
          <w:p w14:paraId="411D5235">
            <w:pP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注：加注“▲”符号的技术要求需按要求提供相应的证明材料（系统演示视频或系统功能截图），</w:t>
            </w:r>
            <w:r>
              <w:rPr>
                <w:rFonts w:hint="eastAsia" w:ascii="宋体" w:hAnsi="宋体" w:cs="宋体"/>
                <w:color w:val="0000FF"/>
              </w:rPr>
              <w:t>未提供相关证明材料视为负偏离</w:t>
            </w:r>
            <w:r>
              <w:rPr>
                <w:rFonts w:hint="eastAsia" w:ascii="宋体" w:hAnsi="宋体" w:cs="宋体"/>
              </w:rPr>
              <w:t>，</w:t>
            </w:r>
            <w:r>
              <w:rPr>
                <w:rFonts w:hint="eastAsia" w:ascii="宋体" w:hAnsi="宋体" w:cs="宋体"/>
                <w:color w:val="0000FF"/>
              </w:rPr>
              <w:t>页面或相关材料不清晰或页码标注问题影响评审，评标委员会有权视为负偏离。</w:t>
            </w:r>
          </w:p>
        </w:tc>
        <w:tc>
          <w:tcPr>
            <w:tcW w:w="954" w:type="dxa"/>
            <w:vAlign w:val="center"/>
          </w:tcPr>
          <w:p w14:paraId="1CE78C7B">
            <w:pPr>
              <w:pStyle w:val="340"/>
              <w:jc w:val="center"/>
              <w:rPr>
                <w:rFonts w:cs="宋体"/>
                <w:sz w:val="21"/>
                <w:szCs w:val="21"/>
                <w:lang w:val="en-US"/>
              </w:rPr>
            </w:pPr>
            <w:r>
              <w:rPr>
                <w:rFonts w:hint="eastAsia" w:cs="宋体"/>
                <w:sz w:val="21"/>
                <w:szCs w:val="21"/>
                <w:highlight w:val="yellow"/>
                <w:lang w:val="en-US"/>
              </w:rPr>
              <w:t>36</w:t>
            </w:r>
          </w:p>
        </w:tc>
      </w:tr>
      <w:tr w14:paraId="762B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2" w:type="dxa"/>
            <w:vMerge w:val="continue"/>
            <w:vAlign w:val="center"/>
          </w:tcPr>
          <w:p w14:paraId="2C01C34B">
            <w:pPr>
              <w:pStyle w:val="340"/>
              <w:jc w:val="center"/>
              <w:rPr>
                <w:rFonts w:cs="宋体"/>
                <w:sz w:val="21"/>
                <w:szCs w:val="21"/>
              </w:rPr>
            </w:pPr>
          </w:p>
        </w:tc>
        <w:tc>
          <w:tcPr>
            <w:tcW w:w="6253" w:type="dxa"/>
            <w:vAlign w:val="center"/>
          </w:tcPr>
          <w:p w14:paraId="5AADDDE6">
            <w:pPr>
              <w:numPr>
                <w:ilvl w:val="0"/>
                <w:numId w:val="8"/>
              </w:numPr>
              <w:jc w:val="left"/>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业绩：</w:t>
            </w:r>
            <w:r>
              <w:rPr>
                <w:rFonts w:hint="eastAsia" w:asciiTheme="minorEastAsia" w:hAnsiTheme="minorEastAsia"/>
                <w:color w:val="000000" w:themeColor="text1"/>
                <w14:textFill>
                  <w14:solidFill>
                    <w14:schemeClr w14:val="tx1"/>
                  </w14:solidFill>
                </w14:textFill>
              </w:rPr>
              <w:t>自</w:t>
            </w:r>
            <w:r>
              <w:rPr>
                <w:rFonts w:hint="eastAsia" w:asciiTheme="minorEastAsia" w:hAnsiTheme="minorEastAsia" w:eastAsiaTheme="minorEastAsia"/>
                <w:color w:val="000000" w:themeColor="text1"/>
                <w:lang w:bidi="en-US"/>
                <w14:textFill>
                  <w14:solidFill>
                    <w14:schemeClr w14:val="tx1"/>
                  </w14:solidFill>
                </w14:textFill>
              </w:rPr>
              <w:t>2022年1月1日（合同签订时间）至今，与本项目类似的销售业绩证明文件，每提供一份得1分，最多得8分（</w:t>
            </w:r>
            <w:r>
              <w:rPr>
                <w:rFonts w:hint="eastAsia" w:ascii="宋体" w:hAnsi="宋体" w:cs="宋体"/>
                <w:iCs/>
                <w:kern w:val="2"/>
                <w:shd w:val="clear" w:color="auto" w:fill="FFFFFF" w:themeFill="background1"/>
              </w:rPr>
              <w:t>以合同签订时间为准，需提供合同复印件。</w:t>
            </w:r>
            <w:r>
              <w:rPr>
                <w:rFonts w:hint="eastAsia" w:asciiTheme="minorEastAsia" w:hAnsiTheme="minorEastAsia" w:eastAsiaTheme="minorEastAsia"/>
                <w:color w:val="000000" w:themeColor="text1"/>
                <w:lang w:bidi="en-US"/>
                <w14:textFill>
                  <w14:solidFill>
                    <w14:schemeClr w14:val="tx1"/>
                  </w14:solidFill>
                </w14:textFill>
              </w:rPr>
              <w:t>）</w:t>
            </w:r>
          </w:p>
        </w:tc>
        <w:tc>
          <w:tcPr>
            <w:tcW w:w="954" w:type="dxa"/>
            <w:vAlign w:val="center"/>
          </w:tcPr>
          <w:p w14:paraId="5B26AF99">
            <w:pPr>
              <w:pStyle w:val="340"/>
              <w:jc w:val="center"/>
              <w:rPr>
                <w:rFonts w:cs="宋体"/>
                <w:strike/>
                <w:sz w:val="21"/>
                <w:szCs w:val="21"/>
                <w:lang w:val="en-US"/>
              </w:rPr>
            </w:pPr>
            <w:r>
              <w:rPr>
                <w:rFonts w:hint="eastAsia" w:cs="宋体"/>
                <w:sz w:val="21"/>
                <w:szCs w:val="21"/>
                <w:lang w:val="en-US"/>
              </w:rPr>
              <w:t>8</w:t>
            </w:r>
          </w:p>
        </w:tc>
      </w:tr>
      <w:tr w14:paraId="731B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2" w:type="dxa"/>
            <w:vMerge w:val="restart"/>
            <w:vAlign w:val="center"/>
          </w:tcPr>
          <w:p w14:paraId="7952663B">
            <w:pPr>
              <w:widowControl/>
              <w:jc w:val="center"/>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商务部分</w:t>
            </w:r>
          </w:p>
          <w:p w14:paraId="6928D0F4">
            <w:pPr>
              <w:pStyle w:val="17"/>
              <w:ind w:firstLine="0"/>
              <w:jc w:val="center"/>
              <w:rPr>
                <w:sz w:val="21"/>
                <w:szCs w:val="21"/>
              </w:rPr>
            </w:pPr>
            <w:r>
              <w:rPr>
                <w:rFonts w:hint="eastAsia" w:hAnsi="宋体" w:cs="宋体"/>
                <w:iCs/>
                <w:kern w:val="2"/>
                <w:sz w:val="21"/>
                <w:szCs w:val="21"/>
                <w:shd w:val="clear" w:color="auto" w:fill="FFFFFF" w:themeFill="background1"/>
              </w:rPr>
              <w:t>（16分）</w:t>
            </w:r>
          </w:p>
        </w:tc>
        <w:tc>
          <w:tcPr>
            <w:tcW w:w="6253" w:type="dxa"/>
            <w:vAlign w:val="center"/>
          </w:tcPr>
          <w:p w14:paraId="5DE513A7">
            <w:pPr>
              <w:widowControl/>
              <w:numPr>
                <w:ilvl w:val="0"/>
                <w:numId w:val="9"/>
              </w:numPr>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实施方案：</w:t>
            </w:r>
          </w:p>
          <w:p w14:paraId="382FE6E7">
            <w:pPr>
              <w:widowControl/>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根据投标人提供针对本项目的</w:t>
            </w:r>
            <w:r>
              <w:rPr>
                <w:rFonts w:hint="eastAsia" w:ascii="宋体" w:hAnsi="宋体" w:cs="宋体"/>
                <w:iCs/>
                <w:kern w:val="2"/>
                <w:u w:val="single"/>
                <w:shd w:val="clear" w:color="auto" w:fill="FFFFFF" w:themeFill="background1"/>
              </w:rPr>
              <w:t>实施方案</w:t>
            </w:r>
            <w:r>
              <w:rPr>
                <w:rFonts w:hint="eastAsia" w:ascii="宋体" w:hAnsi="宋体" w:cs="宋体"/>
                <w:iCs/>
                <w:kern w:val="2"/>
                <w:shd w:val="clear" w:color="auto" w:fill="FFFFFF" w:themeFill="background1"/>
              </w:rPr>
              <w:t>进行打分，内容需包括但不限于：</w:t>
            </w:r>
            <w:r>
              <w:rPr>
                <w:rFonts w:hint="eastAsia" w:ascii="宋体" w:hAnsi="宋体" w:cs="宋体"/>
                <w:b/>
                <w:bCs/>
                <w:iCs/>
                <w:kern w:val="2"/>
                <w:u w:val="single"/>
                <w:shd w:val="clear" w:color="auto" w:fill="FFFFFF" w:themeFill="background1"/>
              </w:rPr>
              <w:t>实施进度安排、项目团队成员、项目验收方案、项目管理、应急方案</w:t>
            </w:r>
            <w:r>
              <w:rPr>
                <w:rFonts w:hint="eastAsia" w:ascii="宋体" w:hAnsi="宋体" w:cs="宋体"/>
                <w:iCs/>
                <w:kern w:val="2"/>
                <w:shd w:val="clear" w:color="auto" w:fill="FFFFFF" w:themeFill="background1"/>
              </w:rPr>
              <w:t>等方面进行综合评分。</w:t>
            </w:r>
          </w:p>
          <w:p w14:paraId="20BA01B7">
            <w:pPr>
              <w:widowControl/>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以上相关内容每有一项内容完整详细，条理清晰且符合采购实际需求的得</w:t>
            </w:r>
            <w:r>
              <w:rPr>
                <w:rFonts w:hint="eastAsia" w:ascii="宋体" w:hAnsi="宋体" w:cs="宋体"/>
                <w:b/>
                <w:bCs/>
                <w:iCs/>
                <w:kern w:val="2"/>
                <w:shd w:val="clear" w:color="auto" w:fill="FFFFFF" w:themeFill="background1"/>
              </w:rPr>
              <w:t>1分，满分5分</w:t>
            </w:r>
            <w:r>
              <w:rPr>
                <w:rFonts w:hint="eastAsia" w:ascii="宋体" w:hAnsi="宋体" w:cs="宋体"/>
                <w:iCs/>
                <w:kern w:val="2"/>
                <w:shd w:val="clear" w:color="auto" w:fill="FFFFFF" w:themeFill="background1"/>
              </w:rPr>
              <w:t>。</w:t>
            </w:r>
          </w:p>
          <w:p w14:paraId="1AE07C22">
            <w:pPr>
              <w:widowControl/>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每一项内容出现一处存在缺陷的扣</w:t>
            </w:r>
            <w:r>
              <w:rPr>
                <w:rFonts w:ascii="宋体" w:hAnsi="宋体" w:cs="宋体"/>
                <w:b/>
                <w:bCs/>
                <w:iCs/>
                <w:kern w:val="2"/>
                <w:shd w:val="clear" w:color="auto" w:fill="FFFFFF" w:themeFill="background1"/>
              </w:rPr>
              <w:t>0.5</w:t>
            </w:r>
            <w:r>
              <w:rPr>
                <w:rFonts w:hint="eastAsia" w:ascii="宋体" w:hAnsi="宋体" w:cs="宋体"/>
                <w:iCs/>
                <w:kern w:val="2"/>
                <w:shd w:val="clear" w:color="auto" w:fill="FFFFFF" w:themeFill="background1"/>
              </w:rPr>
              <w:t>分，缺项不得分。(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c>
          <w:tcPr>
            <w:tcW w:w="954" w:type="dxa"/>
            <w:vAlign w:val="center"/>
          </w:tcPr>
          <w:p w14:paraId="3106F619">
            <w:pPr>
              <w:pStyle w:val="340"/>
              <w:jc w:val="center"/>
              <w:rPr>
                <w:rFonts w:cs="宋体"/>
                <w:sz w:val="21"/>
                <w:szCs w:val="21"/>
                <w:lang w:val="en-US"/>
              </w:rPr>
            </w:pPr>
            <w:r>
              <w:rPr>
                <w:rFonts w:hint="eastAsia" w:cs="宋体"/>
                <w:sz w:val="21"/>
                <w:szCs w:val="21"/>
                <w:lang w:val="en-US"/>
              </w:rPr>
              <w:t>5</w:t>
            </w:r>
          </w:p>
        </w:tc>
      </w:tr>
      <w:tr w14:paraId="792E0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2" w:type="dxa"/>
            <w:vMerge w:val="continue"/>
            <w:vAlign w:val="center"/>
          </w:tcPr>
          <w:p w14:paraId="13D6A228">
            <w:pPr>
              <w:widowControl/>
              <w:jc w:val="center"/>
              <w:textAlignment w:val="center"/>
              <w:rPr>
                <w:rFonts w:ascii="宋体" w:hAnsi="宋体" w:cs="宋体"/>
                <w:iCs/>
                <w:kern w:val="2"/>
                <w:shd w:val="clear" w:color="auto" w:fill="FFFFFF" w:themeFill="background1"/>
                <w:lang w:val="zh-CN"/>
              </w:rPr>
            </w:pPr>
          </w:p>
        </w:tc>
        <w:tc>
          <w:tcPr>
            <w:tcW w:w="6253" w:type="dxa"/>
            <w:vAlign w:val="center"/>
          </w:tcPr>
          <w:p w14:paraId="2C17A4BC">
            <w:pPr>
              <w:widowControl/>
              <w:numPr>
                <w:ilvl w:val="0"/>
                <w:numId w:val="9"/>
              </w:numPr>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售后服务：</w:t>
            </w:r>
          </w:p>
          <w:p w14:paraId="22178FB9">
            <w:pPr>
              <w:widowControl/>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根据投标人提供针对本项目的</w:t>
            </w:r>
            <w:r>
              <w:rPr>
                <w:rFonts w:hint="eastAsia" w:ascii="宋体" w:hAnsi="宋体" w:cs="宋体"/>
                <w:iCs/>
                <w:kern w:val="2"/>
                <w:u w:val="single"/>
                <w:shd w:val="clear" w:color="auto" w:fill="FFFFFF" w:themeFill="background1"/>
              </w:rPr>
              <w:t>售后服务</w:t>
            </w:r>
            <w:r>
              <w:rPr>
                <w:rFonts w:hint="eastAsia" w:ascii="宋体" w:hAnsi="宋体" w:cs="宋体"/>
                <w:iCs/>
                <w:kern w:val="2"/>
                <w:shd w:val="clear" w:color="auto" w:fill="FFFFFF" w:themeFill="background1"/>
              </w:rPr>
              <w:t>进行打分，内容需包括但不限于：</w:t>
            </w:r>
            <w:r>
              <w:rPr>
                <w:rFonts w:hint="eastAsia" w:ascii="宋体" w:hAnsi="宋体" w:cs="宋体"/>
                <w:b/>
                <w:bCs/>
                <w:iCs/>
                <w:kern w:val="2"/>
                <w:u w:val="single"/>
                <w:shd w:val="clear" w:color="auto" w:fill="FFFFFF" w:themeFill="background1"/>
              </w:rPr>
              <w:t>售后服务体系、售后服务人员、售后服务承诺、售后服务应答及处理时间，质保期内的售后服务范围、质保期满后的售后服务范围</w:t>
            </w:r>
            <w:r>
              <w:rPr>
                <w:rFonts w:hint="eastAsia" w:ascii="宋体" w:hAnsi="宋体" w:cs="宋体"/>
                <w:iCs/>
                <w:kern w:val="2"/>
                <w:shd w:val="clear" w:color="auto" w:fill="FFFFFF" w:themeFill="background1"/>
              </w:rPr>
              <w:t>等方面进行综合评分。</w:t>
            </w:r>
          </w:p>
          <w:p w14:paraId="7CF1745C">
            <w:pPr>
              <w:widowControl/>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以上相关内容每有一项内容完整详细，条理清晰且符合采购实际需求的得</w:t>
            </w:r>
            <w:r>
              <w:rPr>
                <w:rFonts w:hint="eastAsia" w:ascii="宋体" w:hAnsi="宋体" w:cs="宋体"/>
                <w:b/>
                <w:bCs/>
                <w:iCs/>
                <w:kern w:val="2"/>
                <w:shd w:val="clear" w:color="auto" w:fill="FFFFFF" w:themeFill="background1"/>
              </w:rPr>
              <w:t>1分，满分6分</w:t>
            </w:r>
            <w:r>
              <w:rPr>
                <w:rFonts w:hint="eastAsia" w:ascii="宋体" w:hAnsi="宋体" w:cs="宋体"/>
                <w:iCs/>
                <w:kern w:val="2"/>
                <w:shd w:val="clear" w:color="auto" w:fill="FFFFFF" w:themeFill="background1"/>
              </w:rPr>
              <w:t>。</w:t>
            </w:r>
          </w:p>
          <w:p w14:paraId="5609EA8D">
            <w:pPr>
              <w:widowControl/>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每一项内容出现一处存在缺陷的扣</w:t>
            </w:r>
            <w:r>
              <w:rPr>
                <w:rFonts w:ascii="宋体" w:hAnsi="宋体" w:cs="宋体"/>
                <w:b/>
                <w:bCs/>
                <w:iCs/>
                <w:kern w:val="2"/>
                <w:shd w:val="clear" w:color="auto" w:fill="FFFFFF" w:themeFill="background1"/>
              </w:rPr>
              <w:t>0.5</w:t>
            </w:r>
            <w:r>
              <w:rPr>
                <w:rFonts w:hint="eastAsia" w:ascii="宋体" w:hAnsi="宋体" w:cs="宋体"/>
                <w:iCs/>
                <w:kern w:val="2"/>
                <w:shd w:val="clear" w:color="auto" w:fill="FFFFFF" w:themeFill="background1"/>
              </w:rPr>
              <w:t>分，缺项不得分。(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c>
          <w:tcPr>
            <w:tcW w:w="954" w:type="dxa"/>
            <w:vAlign w:val="center"/>
          </w:tcPr>
          <w:p w14:paraId="55780A40">
            <w:pPr>
              <w:pStyle w:val="340"/>
              <w:jc w:val="center"/>
              <w:rPr>
                <w:rFonts w:cs="宋体"/>
                <w:sz w:val="21"/>
                <w:szCs w:val="21"/>
                <w:lang w:val="en-US"/>
              </w:rPr>
            </w:pPr>
            <w:r>
              <w:rPr>
                <w:rFonts w:hint="eastAsia" w:cs="宋体"/>
                <w:sz w:val="21"/>
                <w:szCs w:val="21"/>
                <w:lang w:val="en-US"/>
              </w:rPr>
              <w:t>6</w:t>
            </w:r>
          </w:p>
        </w:tc>
      </w:tr>
      <w:tr w14:paraId="657B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72" w:type="dxa"/>
            <w:vMerge w:val="continue"/>
            <w:vAlign w:val="center"/>
          </w:tcPr>
          <w:p w14:paraId="7637DB31">
            <w:pPr>
              <w:widowControl/>
              <w:jc w:val="center"/>
              <w:textAlignment w:val="center"/>
              <w:rPr>
                <w:rFonts w:ascii="宋体" w:hAnsi="宋体" w:cs="宋体"/>
                <w:iCs/>
                <w:kern w:val="2"/>
                <w:shd w:val="clear" w:color="auto" w:fill="FFFFFF" w:themeFill="background1"/>
                <w:lang w:val="zh-CN"/>
              </w:rPr>
            </w:pPr>
          </w:p>
        </w:tc>
        <w:tc>
          <w:tcPr>
            <w:tcW w:w="6253" w:type="dxa"/>
            <w:vAlign w:val="center"/>
          </w:tcPr>
          <w:p w14:paraId="57E0D0AC">
            <w:pPr>
              <w:widowControl/>
              <w:numPr>
                <w:ilvl w:val="0"/>
                <w:numId w:val="9"/>
              </w:numPr>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培训方案：</w:t>
            </w:r>
          </w:p>
          <w:p w14:paraId="66B249A6">
            <w:pPr>
              <w:widowControl/>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根据投标人提供针对本项目的</w:t>
            </w:r>
            <w:r>
              <w:rPr>
                <w:rFonts w:hint="eastAsia" w:ascii="宋体" w:hAnsi="宋体" w:cs="宋体"/>
                <w:iCs/>
                <w:kern w:val="2"/>
                <w:u w:val="single"/>
                <w:shd w:val="clear" w:color="auto" w:fill="FFFFFF" w:themeFill="background1"/>
              </w:rPr>
              <w:t>售后服务</w:t>
            </w:r>
            <w:r>
              <w:rPr>
                <w:rFonts w:hint="eastAsia" w:ascii="宋体" w:hAnsi="宋体" w:cs="宋体"/>
                <w:iCs/>
                <w:kern w:val="2"/>
                <w:shd w:val="clear" w:color="auto" w:fill="FFFFFF" w:themeFill="background1"/>
              </w:rPr>
              <w:t>进行打分，内容需包括但不限于：</w:t>
            </w:r>
            <w:r>
              <w:rPr>
                <w:rFonts w:hint="eastAsia" w:ascii="宋体" w:hAnsi="宋体" w:cs="宋体"/>
                <w:b/>
                <w:bCs/>
                <w:iCs/>
                <w:kern w:val="2"/>
                <w:u w:val="single"/>
                <w:shd w:val="clear" w:color="auto" w:fill="FFFFFF" w:themeFill="background1"/>
              </w:rPr>
              <w:t>培训计划安排、培训内容、培训方法、培训预期效果、针对性培训措施</w:t>
            </w:r>
            <w:r>
              <w:rPr>
                <w:rFonts w:hint="eastAsia" w:ascii="宋体" w:hAnsi="宋体" w:cs="宋体"/>
                <w:iCs/>
                <w:kern w:val="2"/>
                <w:shd w:val="clear" w:color="auto" w:fill="FFFFFF" w:themeFill="background1"/>
              </w:rPr>
              <w:t>等方面进行综合评分。</w:t>
            </w:r>
          </w:p>
          <w:p w14:paraId="60C0461C">
            <w:pPr>
              <w:widowControl/>
              <w:textAlignment w:val="center"/>
              <w:rPr>
                <w:rFonts w:ascii="宋体" w:hAnsi="宋体" w:cs="宋体"/>
                <w:iCs/>
                <w:kern w:val="2"/>
                <w:shd w:val="clear" w:color="auto" w:fill="FFFFFF" w:themeFill="background1"/>
              </w:rPr>
            </w:pPr>
            <w:r>
              <w:rPr>
                <w:rFonts w:hint="eastAsia" w:ascii="宋体" w:hAnsi="宋体" w:cs="宋体"/>
                <w:iCs/>
                <w:kern w:val="2"/>
                <w:shd w:val="clear" w:color="auto" w:fill="FFFFFF" w:themeFill="background1"/>
              </w:rPr>
              <w:t>以上相关内容每有一项内容完整详细，条理清晰且符合采购实际需求的得</w:t>
            </w:r>
            <w:r>
              <w:rPr>
                <w:rFonts w:hint="eastAsia" w:ascii="宋体" w:hAnsi="宋体" w:cs="宋体"/>
                <w:b/>
                <w:bCs/>
                <w:iCs/>
                <w:kern w:val="2"/>
                <w:shd w:val="clear" w:color="auto" w:fill="FFFFFF" w:themeFill="background1"/>
              </w:rPr>
              <w:t>1分，满分5分</w:t>
            </w:r>
            <w:r>
              <w:rPr>
                <w:rFonts w:hint="eastAsia" w:ascii="宋体" w:hAnsi="宋体" w:cs="宋体"/>
                <w:iCs/>
                <w:kern w:val="2"/>
                <w:shd w:val="clear" w:color="auto" w:fill="FFFFFF" w:themeFill="background1"/>
              </w:rPr>
              <w:t>。</w:t>
            </w:r>
          </w:p>
          <w:p w14:paraId="4B4E9416">
            <w:pPr>
              <w:pStyle w:val="2"/>
            </w:pPr>
            <w:r>
              <w:rPr>
                <w:rFonts w:hint="eastAsia" w:hAnsi="宋体"/>
                <w:iCs/>
                <w:kern w:val="2"/>
                <w:shd w:val="clear" w:color="auto" w:fill="FFFFFF" w:themeFill="background1"/>
              </w:rPr>
              <w:t>每一项内容出现一处存在缺陷的扣</w:t>
            </w:r>
            <w:r>
              <w:rPr>
                <w:rFonts w:hAnsi="宋体"/>
                <w:b/>
                <w:bCs/>
                <w:iCs/>
                <w:kern w:val="2"/>
                <w:shd w:val="clear" w:color="auto" w:fill="FFFFFF" w:themeFill="background1"/>
              </w:rPr>
              <w:t>0.5</w:t>
            </w:r>
            <w:r>
              <w:rPr>
                <w:rFonts w:hint="eastAsia" w:hAnsi="宋体"/>
                <w:iCs/>
                <w:kern w:val="2"/>
                <w:shd w:val="clear" w:color="auto" w:fill="FFFFFF" w:themeFill="background1"/>
              </w:rPr>
              <w:t>分，缺项不得分。(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c>
          <w:tcPr>
            <w:tcW w:w="954" w:type="dxa"/>
            <w:vAlign w:val="center"/>
          </w:tcPr>
          <w:p w14:paraId="2093E9C2">
            <w:pPr>
              <w:pStyle w:val="340"/>
              <w:jc w:val="center"/>
              <w:rPr>
                <w:rFonts w:cs="宋体"/>
                <w:sz w:val="21"/>
                <w:szCs w:val="21"/>
                <w:lang w:val="en-US"/>
              </w:rPr>
            </w:pPr>
            <w:r>
              <w:rPr>
                <w:rFonts w:hint="eastAsia" w:cs="宋体"/>
                <w:sz w:val="21"/>
                <w:szCs w:val="21"/>
                <w:lang w:val="en-US"/>
              </w:rPr>
              <w:t>5</w:t>
            </w:r>
          </w:p>
        </w:tc>
      </w:tr>
    </w:tbl>
    <w:p w14:paraId="4E3DFC39">
      <w:pPr>
        <w:pStyle w:val="13"/>
        <w:rPr>
          <w:rFonts w:ascii="宋体" w:hAnsi="宋体" w:cs="宋体"/>
        </w:rPr>
      </w:pPr>
    </w:p>
    <w:p w14:paraId="3B01E48F">
      <w:pPr>
        <w:pStyle w:val="13"/>
        <w:rPr>
          <w:rFonts w:ascii="宋体" w:hAnsi="宋体" w:cs="宋体"/>
        </w:rPr>
      </w:pPr>
    </w:p>
    <w:p w14:paraId="52AA1139">
      <w:pPr>
        <w:rPr>
          <w:rFonts w:ascii="宋体" w:hAnsi="宋体" w:cs="宋体"/>
        </w:rPr>
      </w:pPr>
    </w:p>
    <w:p w14:paraId="6163984A">
      <w:pPr>
        <w:pStyle w:val="308"/>
        <w:spacing w:line="400" w:lineRule="exact"/>
        <w:rPr>
          <w:rFonts w:ascii="宋体" w:hAnsi="宋体" w:cs="宋体"/>
        </w:rPr>
        <w:sectPr>
          <w:headerReference r:id="rId3" w:type="default"/>
          <w:footerReference r:id="rId4" w:type="default"/>
          <w:pgSz w:w="11906" w:h="16838"/>
          <w:pgMar w:top="1134" w:right="1588" w:bottom="567" w:left="1587" w:header="851" w:footer="907" w:gutter="0"/>
          <w:cols w:space="0" w:num="1"/>
          <w:titlePg/>
          <w:docGrid w:linePitch="360" w:charSpace="0"/>
        </w:sectPr>
      </w:pPr>
    </w:p>
    <w:p w14:paraId="44D62DE4">
      <w:pPr>
        <w:rPr>
          <w:rFonts w:ascii="宋体" w:hAnsi="宋体" w:cs="宋体"/>
        </w:rPr>
      </w:pPr>
    </w:p>
    <w:p w14:paraId="67AB69F4">
      <w:pPr>
        <w:pStyle w:val="52"/>
        <w:rPr>
          <w:rFonts w:ascii="宋体" w:hAnsi="宋体" w:eastAsia="宋体" w:cs="宋体"/>
          <w:bCs/>
          <w:sz w:val="44"/>
        </w:rPr>
      </w:pPr>
      <w:bookmarkStart w:id="127" w:name="_Toc21560"/>
      <w:r>
        <w:rPr>
          <w:rFonts w:hint="eastAsia" w:ascii="宋体" w:hAnsi="宋体" w:eastAsia="宋体" w:cs="宋体"/>
          <w:bCs/>
          <w:sz w:val="44"/>
        </w:rPr>
        <w:t>第六章  投标</w:t>
      </w:r>
      <w:bookmarkEnd w:id="120"/>
      <w:bookmarkEnd w:id="121"/>
      <w:bookmarkEnd w:id="122"/>
      <w:r>
        <w:rPr>
          <w:rFonts w:hint="eastAsia" w:ascii="宋体" w:hAnsi="宋体" w:eastAsia="宋体" w:cs="宋体"/>
          <w:bCs/>
          <w:sz w:val="44"/>
        </w:rPr>
        <w:t>文件格式</w:t>
      </w:r>
      <w:bookmarkEnd w:id="127"/>
      <w:r>
        <w:rPr>
          <w:rFonts w:hint="eastAsia" w:ascii="宋体" w:hAnsi="宋体" w:eastAsia="宋体" w:cs="宋体"/>
          <w:bCs/>
          <w:sz w:val="44"/>
        </w:rPr>
        <w:t xml:space="preserve"> </w:t>
      </w:r>
    </w:p>
    <w:p w14:paraId="360CA596">
      <w:pPr>
        <w:jc w:val="center"/>
        <w:rPr>
          <w:rFonts w:ascii="宋体" w:hAnsi="宋体" w:cs="宋体"/>
          <w:b/>
          <w:sz w:val="72"/>
        </w:rPr>
      </w:pPr>
      <w:bookmarkStart w:id="128" w:name="_Hlt26955039"/>
      <w:bookmarkEnd w:id="128"/>
      <w:bookmarkStart w:id="129" w:name="_Hlt26671244"/>
      <w:bookmarkEnd w:id="129"/>
      <w:bookmarkStart w:id="130" w:name="_Toc120614282"/>
      <w:bookmarkStart w:id="131" w:name="_Toc26554094"/>
      <w:bookmarkStart w:id="132" w:name="_Toc49090576"/>
    </w:p>
    <w:p w14:paraId="1E392D35">
      <w:pPr>
        <w:jc w:val="center"/>
        <w:rPr>
          <w:rFonts w:ascii="宋体" w:hAnsi="宋体" w:cs="宋体"/>
          <w:b/>
          <w:sz w:val="72"/>
        </w:rPr>
      </w:pPr>
      <w:r>
        <w:rPr>
          <w:rFonts w:hint="eastAsia" w:ascii="宋体" w:hAnsi="宋体" w:cs="宋体"/>
          <w:b/>
          <w:sz w:val="72"/>
        </w:rPr>
        <w:t>投  标  文  件</w:t>
      </w:r>
    </w:p>
    <w:p w14:paraId="12880932">
      <w:pPr>
        <w:jc w:val="center"/>
        <w:rPr>
          <w:rFonts w:ascii="宋体" w:hAnsi="宋体" w:cs="宋体"/>
          <w:b/>
          <w:sz w:val="72"/>
        </w:rPr>
      </w:pPr>
    </w:p>
    <w:p w14:paraId="07D58CD3">
      <w:pPr>
        <w:jc w:val="center"/>
        <w:rPr>
          <w:rFonts w:ascii="宋体" w:hAnsi="宋体" w:cs="宋体"/>
          <w:b/>
          <w:sz w:val="72"/>
        </w:rPr>
      </w:pPr>
    </w:p>
    <w:p w14:paraId="26881CF9">
      <w:pPr>
        <w:jc w:val="center"/>
        <w:rPr>
          <w:rFonts w:ascii="宋体" w:hAnsi="宋体" w:cs="宋体"/>
          <w:b/>
          <w:sz w:val="36"/>
        </w:rPr>
      </w:pPr>
    </w:p>
    <w:p w14:paraId="4ECC3746">
      <w:pPr>
        <w:jc w:val="center"/>
        <w:rPr>
          <w:rFonts w:ascii="宋体" w:hAnsi="宋体" w:cs="宋体"/>
          <w:b/>
          <w:sz w:val="36"/>
        </w:rPr>
      </w:pPr>
    </w:p>
    <w:p w14:paraId="0B7168D3">
      <w:pPr>
        <w:jc w:val="center"/>
        <w:rPr>
          <w:rFonts w:ascii="宋体" w:hAnsi="宋体" w:cs="宋体"/>
          <w:b/>
          <w:sz w:val="36"/>
        </w:rPr>
      </w:pPr>
    </w:p>
    <w:p w14:paraId="18CF2BD0">
      <w:pPr>
        <w:ind w:firstLine="1084"/>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5ED09723">
      <w:pPr>
        <w:ind w:firstLine="1084"/>
        <w:rPr>
          <w:rFonts w:ascii="宋体" w:hAnsi="宋体" w:cs="宋体"/>
          <w:b/>
          <w:sz w:val="36"/>
        </w:rPr>
      </w:pPr>
    </w:p>
    <w:p w14:paraId="03430BFC">
      <w:pPr>
        <w:ind w:firstLine="1084"/>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3E2F7619">
      <w:pPr>
        <w:rPr>
          <w:rFonts w:ascii="宋体" w:hAnsi="宋体" w:cs="宋体"/>
          <w:b/>
          <w:sz w:val="36"/>
        </w:rPr>
      </w:pPr>
    </w:p>
    <w:p w14:paraId="3DD275BA">
      <w:pPr>
        <w:ind w:firstLine="1084"/>
        <w:rPr>
          <w:rFonts w:ascii="宋体" w:hAnsi="宋体" w:cs="宋体"/>
          <w:b/>
          <w:sz w:val="36"/>
        </w:rPr>
      </w:pPr>
      <w:r>
        <w:rPr>
          <w:rFonts w:hint="eastAsia" w:ascii="宋体" w:hAnsi="宋体" w:cs="宋体"/>
          <w:b/>
          <w:sz w:val="36"/>
        </w:rPr>
        <w:t>投标人名称 ：</w:t>
      </w:r>
      <w:r>
        <w:rPr>
          <w:rFonts w:hint="eastAsia" w:ascii="宋体" w:hAnsi="宋体" w:cs="宋体"/>
          <w:b/>
          <w:sz w:val="36"/>
          <w:u w:val="single"/>
        </w:rPr>
        <w:t>（加盖CA电子公章）</w:t>
      </w:r>
    </w:p>
    <w:p w14:paraId="4DFB267A">
      <w:pPr>
        <w:ind w:firstLine="1084"/>
        <w:rPr>
          <w:rFonts w:ascii="宋体" w:hAnsi="宋体" w:cs="宋体"/>
          <w:b/>
          <w:sz w:val="36"/>
        </w:rPr>
      </w:pPr>
    </w:p>
    <w:p w14:paraId="37000238">
      <w:pPr>
        <w:ind w:firstLine="1084"/>
        <w:rPr>
          <w:rFonts w:ascii="宋体" w:hAnsi="宋体" w:cs="宋体"/>
          <w:b/>
          <w:sz w:val="36"/>
        </w:rPr>
      </w:pPr>
      <w:r>
        <w:rPr>
          <w:rFonts w:hint="eastAsia" w:ascii="宋体" w:hAnsi="宋体" w:cs="宋体"/>
          <w:b/>
          <w:sz w:val="36"/>
        </w:rPr>
        <w:t>日      期 ：</w:t>
      </w:r>
      <w:r>
        <w:rPr>
          <w:rFonts w:hint="eastAsia" w:ascii="宋体" w:hAnsi="宋体" w:cs="宋体"/>
          <w:b/>
          <w:sz w:val="36"/>
          <w:u w:val="single"/>
        </w:rPr>
        <w:t xml:space="preserve">               </w:t>
      </w:r>
    </w:p>
    <w:p w14:paraId="1661E767">
      <w:pPr>
        <w:ind w:firstLine="1084"/>
        <w:rPr>
          <w:rFonts w:ascii="宋体" w:hAnsi="宋体" w:cs="宋体"/>
          <w:b/>
          <w:sz w:val="36"/>
        </w:rPr>
      </w:pPr>
    </w:p>
    <w:p w14:paraId="44F711B7">
      <w:pPr>
        <w:pStyle w:val="2"/>
        <w:rPr>
          <w:rFonts w:hAnsi="宋体"/>
          <w:color w:val="auto"/>
        </w:rPr>
      </w:pPr>
    </w:p>
    <w:p w14:paraId="556F7544">
      <w:pPr>
        <w:rPr>
          <w:rFonts w:ascii="宋体" w:hAnsi="宋体" w:cs="宋体"/>
        </w:rPr>
      </w:pPr>
      <w:r>
        <w:rPr>
          <w:rFonts w:hint="eastAsia" w:ascii="宋体" w:hAnsi="宋体" w:cs="宋体"/>
        </w:rPr>
        <w:br w:type="page"/>
      </w:r>
    </w:p>
    <w:p w14:paraId="2FF29F1A">
      <w:pPr>
        <w:rPr>
          <w:rFonts w:ascii="宋体" w:hAnsi="宋体" w:cs="宋体"/>
        </w:rPr>
      </w:pPr>
    </w:p>
    <w:p w14:paraId="09CE636B">
      <w:pPr>
        <w:spacing w:line="360" w:lineRule="auto"/>
        <w:jc w:val="center"/>
        <w:outlineLvl w:val="1"/>
        <w:rPr>
          <w:rFonts w:ascii="宋体" w:hAnsi="宋体" w:cs="宋体"/>
          <w:b/>
          <w:bCs/>
          <w:sz w:val="32"/>
          <w:szCs w:val="32"/>
        </w:rPr>
      </w:pPr>
      <w:bookmarkStart w:id="133" w:name="_Toc26613"/>
      <w:r>
        <w:rPr>
          <w:rFonts w:hint="eastAsia" w:ascii="宋体" w:hAnsi="宋体" w:cs="宋体"/>
          <w:b/>
          <w:bCs/>
          <w:sz w:val="32"/>
          <w:szCs w:val="32"/>
        </w:rPr>
        <w:t>投标文件目录</w:t>
      </w:r>
      <w:bookmarkEnd w:id="133"/>
    </w:p>
    <w:p w14:paraId="4DC8B179">
      <w:pPr>
        <w:spacing w:line="360" w:lineRule="auto"/>
        <w:jc w:val="center"/>
        <w:rPr>
          <w:rFonts w:ascii="宋体" w:hAnsi="宋体" w:cs="宋体"/>
          <w:b/>
          <w:bCs/>
          <w:sz w:val="32"/>
          <w:szCs w:val="32"/>
        </w:rPr>
      </w:pPr>
    </w:p>
    <w:p w14:paraId="274D523D">
      <w:pPr>
        <w:spacing w:line="360" w:lineRule="auto"/>
        <w:ind w:firstLine="480"/>
        <w:rPr>
          <w:rFonts w:ascii="宋体" w:hAnsi="宋体" w:cs="宋体"/>
          <w:i/>
          <w:sz w:val="24"/>
          <w:u w:val="single"/>
        </w:rPr>
      </w:pPr>
      <w:r>
        <w:rPr>
          <w:rFonts w:hint="eastAsia" w:ascii="宋体" w:hAnsi="宋体" w:cs="宋体"/>
          <w:i/>
          <w:sz w:val="24"/>
          <w:u w:val="single"/>
        </w:rPr>
        <w:t>一、投标函</w:t>
      </w:r>
    </w:p>
    <w:p w14:paraId="5C58BB7C">
      <w:pPr>
        <w:spacing w:line="360" w:lineRule="auto"/>
        <w:ind w:firstLine="480"/>
        <w:rPr>
          <w:rFonts w:ascii="宋体" w:hAnsi="宋体" w:cs="宋体"/>
          <w:i/>
          <w:sz w:val="24"/>
          <w:u w:val="single"/>
        </w:rPr>
      </w:pPr>
      <w:r>
        <w:rPr>
          <w:rFonts w:hint="eastAsia" w:ascii="宋体" w:hAnsi="宋体" w:cs="宋体"/>
          <w:i/>
          <w:sz w:val="24"/>
          <w:u w:val="single"/>
        </w:rPr>
        <w:t>二、开标一览表</w:t>
      </w:r>
    </w:p>
    <w:p w14:paraId="531D6F45">
      <w:pPr>
        <w:spacing w:line="360" w:lineRule="auto"/>
        <w:ind w:firstLine="480"/>
        <w:rPr>
          <w:rFonts w:ascii="宋体" w:hAnsi="宋体" w:cs="宋体"/>
          <w:i/>
          <w:sz w:val="24"/>
          <w:u w:val="single"/>
        </w:rPr>
      </w:pPr>
      <w:r>
        <w:rPr>
          <w:rFonts w:hint="eastAsia" w:ascii="宋体" w:hAnsi="宋体" w:cs="宋体"/>
          <w:i/>
          <w:sz w:val="24"/>
          <w:u w:val="single"/>
        </w:rPr>
        <w:t>三、投标分项报价表</w:t>
      </w:r>
    </w:p>
    <w:p w14:paraId="2B428122">
      <w:pPr>
        <w:spacing w:line="360" w:lineRule="auto"/>
        <w:ind w:firstLine="480"/>
        <w:rPr>
          <w:rFonts w:ascii="宋体" w:hAnsi="宋体" w:cs="宋体"/>
          <w:i/>
          <w:sz w:val="24"/>
          <w:u w:val="single"/>
        </w:rPr>
      </w:pPr>
      <w:r>
        <w:rPr>
          <w:rFonts w:hint="eastAsia" w:ascii="宋体" w:hAnsi="宋体" w:cs="宋体"/>
          <w:i/>
          <w:sz w:val="24"/>
          <w:u w:val="single"/>
        </w:rPr>
        <w:t>四、技术要求响应及偏离表</w:t>
      </w:r>
    </w:p>
    <w:p w14:paraId="3160D1BD">
      <w:pPr>
        <w:spacing w:line="360" w:lineRule="auto"/>
        <w:ind w:firstLine="480"/>
        <w:rPr>
          <w:rFonts w:ascii="宋体" w:hAnsi="宋体" w:cs="宋体"/>
          <w:i/>
          <w:sz w:val="24"/>
          <w:u w:val="single"/>
        </w:rPr>
      </w:pPr>
      <w:r>
        <w:rPr>
          <w:rFonts w:hint="eastAsia" w:ascii="宋体" w:hAnsi="宋体" w:cs="宋体"/>
          <w:i/>
          <w:sz w:val="24"/>
          <w:u w:val="single"/>
        </w:rPr>
        <w:t>五、资格要求的证明文件</w:t>
      </w:r>
    </w:p>
    <w:p w14:paraId="6A5B1813">
      <w:pPr>
        <w:spacing w:line="360" w:lineRule="auto"/>
        <w:ind w:firstLine="480"/>
        <w:rPr>
          <w:rFonts w:ascii="宋体" w:hAnsi="宋体" w:cs="宋体"/>
          <w:i/>
          <w:sz w:val="24"/>
          <w:u w:val="single"/>
        </w:rPr>
      </w:pPr>
      <w:r>
        <w:rPr>
          <w:rFonts w:hint="eastAsia" w:ascii="宋体" w:hAnsi="宋体" w:cs="宋体"/>
          <w:i/>
          <w:sz w:val="24"/>
          <w:u w:val="single"/>
        </w:rPr>
        <w:t>六、供应商信用承诺函</w:t>
      </w:r>
    </w:p>
    <w:p w14:paraId="43B777A1">
      <w:pPr>
        <w:spacing w:line="360" w:lineRule="auto"/>
        <w:ind w:firstLine="480"/>
        <w:rPr>
          <w:rFonts w:ascii="宋体" w:hAnsi="宋体" w:cs="宋体"/>
          <w:i/>
          <w:sz w:val="24"/>
          <w:u w:val="single"/>
        </w:rPr>
      </w:pPr>
      <w:r>
        <w:rPr>
          <w:rFonts w:hint="eastAsia" w:ascii="宋体" w:hAnsi="宋体" w:cs="宋体"/>
          <w:i/>
          <w:sz w:val="24"/>
          <w:u w:val="single"/>
        </w:rPr>
        <w:t>七、法人授权书</w:t>
      </w:r>
    </w:p>
    <w:p w14:paraId="70753673">
      <w:pPr>
        <w:spacing w:line="360" w:lineRule="auto"/>
        <w:ind w:firstLine="480"/>
        <w:rPr>
          <w:rFonts w:ascii="宋体" w:hAnsi="宋体" w:cs="宋体"/>
          <w:iCs/>
          <w:sz w:val="24"/>
          <w:u w:val="single"/>
        </w:rPr>
      </w:pPr>
      <w:r>
        <w:rPr>
          <w:rFonts w:hint="eastAsia" w:ascii="宋体" w:hAnsi="宋体" w:cs="宋体"/>
          <w:iCs/>
          <w:sz w:val="24"/>
          <w:u w:val="single"/>
        </w:rPr>
        <w:t>八、拟参与本项目服务人员（如有）</w:t>
      </w:r>
    </w:p>
    <w:p w14:paraId="5BB6C73F">
      <w:pPr>
        <w:spacing w:line="360" w:lineRule="auto"/>
        <w:ind w:firstLine="480"/>
        <w:rPr>
          <w:rFonts w:ascii="宋体" w:hAnsi="宋体" w:cs="宋体"/>
          <w:iCs/>
          <w:sz w:val="24"/>
          <w:u w:val="single"/>
        </w:rPr>
      </w:pPr>
      <w:r>
        <w:rPr>
          <w:rFonts w:hint="eastAsia" w:ascii="宋体" w:hAnsi="宋体" w:cs="宋体"/>
          <w:iCs/>
          <w:sz w:val="24"/>
          <w:u w:val="single"/>
        </w:rPr>
        <w:t>九、业绩情况表（如有）</w:t>
      </w:r>
    </w:p>
    <w:p w14:paraId="0E06A444">
      <w:pPr>
        <w:spacing w:line="360" w:lineRule="auto"/>
        <w:ind w:firstLine="480"/>
        <w:rPr>
          <w:rFonts w:ascii="宋体" w:hAnsi="宋体" w:cs="宋体"/>
          <w:iCs/>
          <w:sz w:val="24"/>
          <w:u w:val="single"/>
        </w:rPr>
      </w:pPr>
      <w:r>
        <w:rPr>
          <w:rFonts w:hint="eastAsia" w:ascii="宋体" w:hAnsi="宋体" w:cs="宋体"/>
          <w:iCs/>
          <w:sz w:val="24"/>
          <w:u w:val="single"/>
        </w:rPr>
        <w:t>十、服务方案（如有）</w:t>
      </w:r>
    </w:p>
    <w:p w14:paraId="2FD87927">
      <w:pPr>
        <w:spacing w:line="360" w:lineRule="auto"/>
        <w:ind w:firstLine="480"/>
        <w:rPr>
          <w:rFonts w:ascii="宋体" w:hAnsi="宋体" w:cs="宋体"/>
          <w:iCs/>
          <w:sz w:val="24"/>
          <w:u w:val="single"/>
        </w:rPr>
      </w:pPr>
      <w:r>
        <w:rPr>
          <w:rFonts w:hint="eastAsia" w:ascii="宋体" w:hAnsi="宋体" w:cs="宋体"/>
          <w:iCs/>
          <w:sz w:val="24"/>
          <w:u w:val="single"/>
        </w:rPr>
        <w:t>十一、</w:t>
      </w:r>
      <w:r>
        <w:rPr>
          <w:rFonts w:hint="eastAsia" w:ascii="宋体" w:hAnsi="宋体" w:cs="宋体"/>
          <w:iCs/>
          <w:sz w:val="24"/>
          <w:highlight w:val="yellow"/>
          <w:u w:val="single"/>
        </w:rPr>
        <w:t>价格扣除证明文件（如有）</w:t>
      </w:r>
    </w:p>
    <w:p w14:paraId="1EACACB4">
      <w:pPr>
        <w:spacing w:line="360" w:lineRule="auto"/>
        <w:ind w:firstLine="480"/>
        <w:rPr>
          <w:rFonts w:ascii="宋体" w:hAnsi="宋体" w:cs="宋体"/>
          <w:iCs/>
          <w:sz w:val="24"/>
          <w:u w:val="single"/>
        </w:rPr>
      </w:pPr>
      <w:r>
        <w:rPr>
          <w:rFonts w:hint="eastAsia" w:ascii="宋体" w:hAnsi="宋体" w:cs="宋体"/>
          <w:iCs/>
          <w:sz w:val="24"/>
          <w:u w:val="single"/>
        </w:rPr>
        <w:t>十二、招标文件要求提供或者投标人认为需要提供的其他资料（如有）</w:t>
      </w:r>
    </w:p>
    <w:p w14:paraId="616A3F91">
      <w:pPr>
        <w:spacing w:line="360" w:lineRule="auto"/>
        <w:ind w:firstLine="480"/>
        <w:rPr>
          <w:rFonts w:ascii="宋体" w:hAnsi="宋体" w:cs="宋体"/>
          <w:iCs/>
          <w:sz w:val="24"/>
          <w:u w:val="single"/>
        </w:rPr>
      </w:pPr>
      <w:r>
        <w:rPr>
          <w:rFonts w:hint="eastAsia" w:ascii="宋体" w:hAnsi="宋体" w:cs="宋体"/>
          <w:iCs/>
          <w:sz w:val="24"/>
          <w:u w:val="single"/>
        </w:rPr>
        <w:t>十三、联合体协议（本项目不适用）</w:t>
      </w:r>
    </w:p>
    <w:p w14:paraId="44159722">
      <w:pPr>
        <w:spacing w:line="440" w:lineRule="exact"/>
        <w:ind w:firstLine="480"/>
        <w:rPr>
          <w:rFonts w:ascii="宋体" w:hAnsi="宋体" w:cs="宋体"/>
          <w:sz w:val="24"/>
        </w:rPr>
      </w:pPr>
    </w:p>
    <w:p w14:paraId="0B53DE0E">
      <w:pPr>
        <w:spacing w:line="440" w:lineRule="exact"/>
        <w:ind w:firstLine="480"/>
        <w:rPr>
          <w:rFonts w:ascii="宋体" w:hAnsi="宋体" w:cs="宋体"/>
          <w:sz w:val="24"/>
        </w:rPr>
      </w:pPr>
    </w:p>
    <w:p w14:paraId="2B7A6560">
      <w:pPr>
        <w:spacing w:line="440" w:lineRule="exact"/>
        <w:ind w:firstLine="480"/>
        <w:rPr>
          <w:rFonts w:ascii="宋体" w:hAnsi="宋体" w:cs="宋体"/>
          <w:sz w:val="24"/>
        </w:rPr>
      </w:pPr>
    </w:p>
    <w:p w14:paraId="118FE6C0">
      <w:pPr>
        <w:spacing w:line="440" w:lineRule="exact"/>
        <w:ind w:firstLine="480"/>
        <w:rPr>
          <w:rFonts w:ascii="宋体" w:hAnsi="宋体" w:cs="宋体"/>
          <w:sz w:val="24"/>
        </w:rPr>
      </w:pPr>
    </w:p>
    <w:p w14:paraId="5894032E">
      <w:pPr>
        <w:spacing w:line="440" w:lineRule="exact"/>
        <w:ind w:firstLine="480"/>
        <w:rPr>
          <w:rFonts w:ascii="宋体" w:hAnsi="宋体" w:cs="宋体"/>
          <w:sz w:val="24"/>
        </w:rPr>
      </w:pPr>
    </w:p>
    <w:p w14:paraId="414AD4BA">
      <w:pPr>
        <w:spacing w:line="440" w:lineRule="exact"/>
        <w:ind w:firstLine="480"/>
        <w:rPr>
          <w:rFonts w:ascii="宋体" w:hAnsi="宋体" w:cs="宋体"/>
          <w:sz w:val="24"/>
        </w:rPr>
      </w:pPr>
    </w:p>
    <w:p w14:paraId="6ECFB551">
      <w:pPr>
        <w:spacing w:line="440" w:lineRule="exact"/>
        <w:ind w:firstLine="480"/>
        <w:rPr>
          <w:rFonts w:ascii="宋体" w:hAnsi="宋体" w:cs="宋体"/>
          <w:sz w:val="24"/>
        </w:rPr>
      </w:pPr>
    </w:p>
    <w:bookmarkEnd w:id="117"/>
    <w:bookmarkEnd w:id="118"/>
    <w:bookmarkEnd w:id="130"/>
    <w:bookmarkEnd w:id="131"/>
    <w:bookmarkEnd w:id="132"/>
    <w:p w14:paraId="316BC4C9">
      <w:pPr>
        <w:rPr>
          <w:rFonts w:ascii="宋体" w:hAnsi="宋体" w:cs="宋体"/>
          <w:b/>
          <w:bCs/>
          <w:iCs/>
          <w:kern w:val="2"/>
          <w:sz w:val="32"/>
          <w:szCs w:val="32"/>
        </w:rPr>
      </w:pPr>
      <w:r>
        <w:rPr>
          <w:rFonts w:hint="eastAsia" w:ascii="宋体" w:hAnsi="宋体" w:cs="宋体"/>
          <w:b/>
          <w:bCs/>
          <w:iCs/>
          <w:kern w:val="2"/>
          <w:sz w:val="32"/>
          <w:szCs w:val="32"/>
        </w:rPr>
        <w:br w:type="page"/>
      </w:r>
    </w:p>
    <w:p w14:paraId="0E691D47">
      <w:pPr>
        <w:keepNext/>
        <w:keepLines/>
        <w:spacing w:before="260" w:line="415" w:lineRule="auto"/>
        <w:jc w:val="center"/>
        <w:outlineLvl w:val="1"/>
        <w:rPr>
          <w:rFonts w:ascii="宋体" w:hAnsi="宋体" w:cs="宋体"/>
          <w:b/>
          <w:bCs/>
          <w:iCs/>
          <w:kern w:val="2"/>
          <w:sz w:val="32"/>
          <w:szCs w:val="32"/>
        </w:rPr>
      </w:pPr>
      <w:bookmarkStart w:id="134" w:name="_Toc15157"/>
      <w:r>
        <w:rPr>
          <w:rFonts w:hint="eastAsia" w:ascii="宋体" w:hAnsi="宋体" w:cs="宋体"/>
          <w:b/>
          <w:bCs/>
          <w:iCs/>
          <w:kern w:val="2"/>
          <w:sz w:val="32"/>
          <w:szCs w:val="32"/>
        </w:rPr>
        <w:t>一、投标函</w:t>
      </w:r>
      <w:bookmarkEnd w:id="134"/>
    </w:p>
    <w:p w14:paraId="7194E07E">
      <w:pPr>
        <w:adjustRightInd w:val="0"/>
        <w:spacing w:line="420" w:lineRule="exact"/>
        <w:jc w:val="left"/>
        <w:textAlignment w:val="baseline"/>
        <w:rPr>
          <w:rFonts w:ascii="宋体" w:hAnsi="宋体" w:cs="宋体"/>
          <w:kern w:val="2"/>
          <w:sz w:val="24"/>
        </w:rPr>
      </w:pPr>
      <w:r>
        <w:rPr>
          <w:rFonts w:hint="eastAsia" w:ascii="宋体" w:hAnsi="宋体" w:cs="宋体"/>
          <w:kern w:val="2"/>
          <w:sz w:val="24"/>
        </w:rPr>
        <w:t>致：江苏苏豪创新科技集团高科有限公司</w:t>
      </w:r>
    </w:p>
    <w:p w14:paraId="77752859">
      <w:pPr>
        <w:wordWrap w:val="0"/>
        <w:adjustRightInd w:val="0"/>
        <w:spacing w:line="420" w:lineRule="exact"/>
        <w:ind w:firstLine="480" w:firstLineChars="200"/>
        <w:jc w:val="left"/>
        <w:textAlignment w:val="baseline"/>
        <w:rPr>
          <w:rFonts w:ascii="宋体" w:hAnsi="宋体" w:cs="宋体"/>
          <w:kern w:val="2"/>
          <w:sz w:val="24"/>
        </w:rPr>
      </w:pPr>
      <w:r>
        <w:rPr>
          <w:rFonts w:hint="eastAsia" w:ascii="宋体" w:hAnsi="宋体" w:cs="宋体"/>
          <w:kern w:val="2"/>
          <w:sz w:val="24"/>
        </w:rPr>
        <w:t>根据贵方的项目编号为</w:t>
      </w:r>
      <w:r>
        <w:rPr>
          <w:rFonts w:hint="eastAsia" w:ascii="宋体" w:hAnsi="宋体" w:cs="宋体"/>
          <w:b/>
          <w:bCs/>
          <w:kern w:val="2"/>
          <w:sz w:val="24"/>
        </w:rPr>
        <w:t>JSZC-321023-SHGK-G2026-0022（代理机构编号：1214-264102034WDX）</w:t>
      </w:r>
      <w:r>
        <w:rPr>
          <w:rFonts w:hint="eastAsia" w:ascii="宋体" w:hAnsi="宋体" w:cs="宋体"/>
          <w:kern w:val="2"/>
          <w:sz w:val="24"/>
        </w:rPr>
        <w:t>的招标文件，正式授权下述签字人_________________（姓名）代表我方______________（投标人的名称），全权处理本次项目投标的有关事宜。</w:t>
      </w:r>
    </w:p>
    <w:p w14:paraId="6499D1CB">
      <w:pPr>
        <w:adjustRightInd w:val="0"/>
        <w:spacing w:line="420" w:lineRule="exact"/>
        <w:ind w:firstLine="480" w:firstLineChars="200"/>
        <w:jc w:val="left"/>
        <w:textAlignment w:val="baseline"/>
        <w:rPr>
          <w:rFonts w:ascii="宋体" w:hAnsi="宋体" w:cs="宋体"/>
          <w:kern w:val="2"/>
          <w:sz w:val="24"/>
        </w:rPr>
      </w:pPr>
      <w:r>
        <w:rPr>
          <w:rFonts w:hint="eastAsia" w:ascii="宋体" w:hAnsi="宋体" w:cs="宋体"/>
          <w:kern w:val="2"/>
          <w:sz w:val="24"/>
        </w:rPr>
        <w:t>据此函，__________签字人兹宣布同意如下：</w:t>
      </w:r>
    </w:p>
    <w:p w14:paraId="7C125580">
      <w:pPr>
        <w:adjustRightInd w:val="0"/>
        <w:spacing w:line="420" w:lineRule="exact"/>
        <w:ind w:firstLine="480"/>
        <w:jc w:val="left"/>
        <w:textAlignment w:val="baseline"/>
        <w:rPr>
          <w:rFonts w:ascii="宋体" w:hAnsi="宋体" w:cs="宋体"/>
          <w:kern w:val="2"/>
          <w:sz w:val="24"/>
        </w:rPr>
      </w:pPr>
      <w:r>
        <w:rPr>
          <w:rFonts w:hint="eastAsia" w:ascii="宋体" w:hAnsi="宋体" w:cs="宋体"/>
          <w:kern w:val="2"/>
          <w:sz w:val="24"/>
        </w:rPr>
        <w:t>1.按招标文件规定的各项要求，向买方提供所需货物（包含与货物相关的服务）。</w:t>
      </w:r>
    </w:p>
    <w:p w14:paraId="6666F9E5">
      <w:pPr>
        <w:adjustRightInd w:val="0"/>
        <w:spacing w:line="420" w:lineRule="exact"/>
        <w:ind w:firstLine="480" w:firstLineChars="200"/>
        <w:jc w:val="left"/>
        <w:textAlignment w:val="baseline"/>
        <w:rPr>
          <w:rFonts w:ascii="宋体" w:hAnsi="宋体" w:cs="宋体"/>
          <w:kern w:val="2"/>
          <w:sz w:val="24"/>
        </w:rPr>
      </w:pPr>
      <w:r>
        <w:rPr>
          <w:rFonts w:hint="eastAsia" w:ascii="宋体" w:hAnsi="宋体" w:cs="宋体"/>
          <w:kern w:val="2"/>
          <w:sz w:val="24"/>
        </w:rPr>
        <w:t>2.我们完全理解贵方不一定将合同授予最低报价的投标人。</w:t>
      </w:r>
    </w:p>
    <w:p w14:paraId="178DC3B3">
      <w:pPr>
        <w:adjustRightInd w:val="0"/>
        <w:spacing w:line="420" w:lineRule="exact"/>
        <w:ind w:firstLine="480" w:firstLineChars="200"/>
        <w:jc w:val="left"/>
        <w:textAlignment w:val="baseline"/>
        <w:rPr>
          <w:rFonts w:ascii="宋体" w:hAnsi="宋体" w:cs="宋体"/>
          <w:kern w:val="2"/>
          <w:sz w:val="24"/>
        </w:rPr>
      </w:pPr>
      <w:r>
        <w:rPr>
          <w:rFonts w:hint="eastAsia" w:ascii="宋体" w:hAnsi="宋体" w:cs="宋体"/>
          <w:kern w:val="2"/>
          <w:sz w:val="24"/>
        </w:rPr>
        <w:t>3.我们已详细审核全部招标文件及其有效补充文件，我们知道必须放弃提出含糊不清或误解问题的权利。</w:t>
      </w:r>
    </w:p>
    <w:p w14:paraId="34996705">
      <w:pPr>
        <w:adjustRightInd w:val="0"/>
        <w:spacing w:line="420" w:lineRule="exact"/>
        <w:ind w:firstLine="480"/>
        <w:jc w:val="left"/>
        <w:textAlignment w:val="baseline"/>
        <w:rPr>
          <w:rFonts w:ascii="宋体" w:hAnsi="宋体" w:cs="宋体"/>
          <w:kern w:val="2"/>
          <w:sz w:val="24"/>
        </w:rPr>
      </w:pPr>
      <w:r>
        <w:rPr>
          <w:rFonts w:hint="eastAsia" w:ascii="宋体" w:hAnsi="宋体" w:cs="宋体"/>
          <w:kern w:val="2"/>
          <w:sz w:val="24"/>
        </w:rPr>
        <w:t>4.我们同意从规定的开标日期起遵循本投标文件，并在规定的投标有效期期满之前均具有约束力。</w:t>
      </w:r>
    </w:p>
    <w:p w14:paraId="7C11FF1B">
      <w:pPr>
        <w:adjustRightInd w:val="0"/>
        <w:spacing w:line="420" w:lineRule="exact"/>
        <w:ind w:firstLine="480"/>
        <w:jc w:val="left"/>
        <w:textAlignment w:val="baseline"/>
        <w:rPr>
          <w:rFonts w:ascii="宋体" w:hAnsi="宋体" w:cs="宋体"/>
          <w:kern w:val="2"/>
          <w:sz w:val="24"/>
        </w:rPr>
      </w:pPr>
      <w:r>
        <w:rPr>
          <w:rFonts w:hint="eastAsia" w:ascii="宋体" w:hAnsi="宋体" w:cs="宋体"/>
          <w:kern w:val="2"/>
          <w:sz w:val="24"/>
        </w:rPr>
        <w:t>5.同意向贵方提供贵方可能另外要求的与投标有关的任何证据或资料，并保证我方已提供和将要提供的文件是真实的、准确的。</w:t>
      </w:r>
    </w:p>
    <w:p w14:paraId="5974BC46">
      <w:pPr>
        <w:adjustRightInd w:val="0"/>
        <w:spacing w:line="420" w:lineRule="exact"/>
        <w:ind w:firstLine="480"/>
        <w:jc w:val="left"/>
        <w:textAlignment w:val="baseline"/>
        <w:rPr>
          <w:rFonts w:ascii="宋体" w:hAnsi="宋体" w:cs="宋体"/>
          <w:kern w:val="2"/>
          <w:sz w:val="24"/>
        </w:rPr>
      </w:pPr>
      <w:r>
        <w:rPr>
          <w:rFonts w:hint="eastAsia" w:ascii="宋体" w:hAnsi="宋体" w:cs="宋体"/>
          <w:kern w:val="2"/>
          <w:sz w:val="24"/>
        </w:rPr>
        <w:t>6.一旦我方中标，我方将根据招标文件的规定，严格履行合同的责任和义务，并保证在招标文件规定的时间完成项目，交付买方验收、使用。</w:t>
      </w:r>
    </w:p>
    <w:p w14:paraId="6E67A0DE">
      <w:pPr>
        <w:adjustRightInd w:val="0"/>
        <w:spacing w:line="420" w:lineRule="exact"/>
        <w:ind w:left="425"/>
        <w:jc w:val="left"/>
        <w:textAlignment w:val="baseline"/>
        <w:rPr>
          <w:rFonts w:ascii="宋体" w:hAnsi="宋体" w:cs="宋体"/>
          <w:kern w:val="2"/>
          <w:sz w:val="24"/>
        </w:rPr>
      </w:pPr>
      <w:r>
        <w:rPr>
          <w:rFonts w:hint="eastAsia" w:ascii="宋体" w:hAnsi="宋体" w:cs="宋体"/>
          <w:kern w:val="2"/>
          <w:sz w:val="24"/>
        </w:rPr>
        <w:t>7.与本投标有关的正式通讯地址为：</w:t>
      </w:r>
    </w:p>
    <w:p w14:paraId="189363E1">
      <w:pPr>
        <w:adjustRightInd w:val="0"/>
        <w:spacing w:line="420" w:lineRule="exact"/>
        <w:ind w:left="420" w:leftChars="200" w:firstLine="218" w:firstLineChars="91"/>
        <w:jc w:val="left"/>
        <w:textAlignment w:val="baseline"/>
        <w:rPr>
          <w:rFonts w:ascii="宋体" w:hAnsi="宋体" w:cs="宋体"/>
          <w:kern w:val="2"/>
          <w:sz w:val="24"/>
        </w:rPr>
      </w:pPr>
      <w:r>
        <w:rPr>
          <w:rFonts w:hint="eastAsia" w:ascii="宋体" w:hAnsi="宋体" w:cs="宋体"/>
          <w:kern w:val="2"/>
          <w:sz w:val="24"/>
        </w:rPr>
        <w:t>地        址：</w:t>
      </w:r>
    </w:p>
    <w:p w14:paraId="696B72B2">
      <w:pPr>
        <w:adjustRightInd w:val="0"/>
        <w:spacing w:line="420" w:lineRule="exact"/>
        <w:ind w:left="420" w:leftChars="200" w:firstLine="218" w:firstLineChars="91"/>
        <w:jc w:val="left"/>
        <w:textAlignment w:val="baseline"/>
        <w:rPr>
          <w:rFonts w:ascii="宋体" w:hAnsi="宋体" w:cs="宋体"/>
          <w:kern w:val="2"/>
          <w:sz w:val="24"/>
        </w:rPr>
      </w:pPr>
      <w:r>
        <w:rPr>
          <w:rFonts w:hint="eastAsia" w:ascii="宋体" w:hAnsi="宋体" w:cs="宋体"/>
          <w:kern w:val="2"/>
          <w:sz w:val="24"/>
        </w:rPr>
        <w:t>邮        编：</w:t>
      </w:r>
    </w:p>
    <w:p w14:paraId="5A1C0D33">
      <w:pPr>
        <w:adjustRightInd w:val="0"/>
        <w:spacing w:line="420" w:lineRule="exact"/>
        <w:ind w:left="420" w:leftChars="200" w:firstLine="218" w:firstLineChars="91"/>
        <w:jc w:val="left"/>
        <w:textAlignment w:val="baseline"/>
        <w:rPr>
          <w:rFonts w:ascii="宋体" w:hAnsi="宋体" w:cs="宋体"/>
          <w:kern w:val="2"/>
          <w:sz w:val="24"/>
        </w:rPr>
      </w:pPr>
      <w:r>
        <w:rPr>
          <w:rFonts w:hint="eastAsia" w:ascii="宋体" w:hAnsi="宋体" w:cs="宋体"/>
          <w:kern w:val="2"/>
          <w:sz w:val="24"/>
        </w:rPr>
        <w:t>电        话：</w:t>
      </w:r>
    </w:p>
    <w:p w14:paraId="01334502">
      <w:pPr>
        <w:adjustRightInd w:val="0"/>
        <w:spacing w:line="420" w:lineRule="exact"/>
        <w:ind w:left="420" w:leftChars="200" w:firstLine="218" w:firstLineChars="91"/>
        <w:jc w:val="left"/>
        <w:textAlignment w:val="baseline"/>
        <w:rPr>
          <w:rFonts w:ascii="宋体" w:hAnsi="宋体" w:cs="宋体"/>
          <w:kern w:val="2"/>
          <w:sz w:val="24"/>
        </w:rPr>
      </w:pPr>
      <w:r>
        <w:rPr>
          <w:rFonts w:hint="eastAsia" w:ascii="宋体" w:hAnsi="宋体" w:cs="宋体"/>
          <w:kern w:val="2"/>
          <w:sz w:val="24"/>
        </w:rPr>
        <w:t>传        真：</w:t>
      </w:r>
    </w:p>
    <w:p w14:paraId="26EB0B49">
      <w:pPr>
        <w:adjustRightInd w:val="0"/>
        <w:spacing w:line="420" w:lineRule="exact"/>
        <w:ind w:left="420" w:leftChars="200" w:firstLine="218" w:firstLineChars="91"/>
        <w:jc w:val="left"/>
        <w:textAlignment w:val="baseline"/>
        <w:rPr>
          <w:rFonts w:ascii="宋体" w:hAnsi="宋体" w:cs="宋体"/>
          <w:kern w:val="2"/>
          <w:sz w:val="24"/>
        </w:rPr>
      </w:pPr>
      <w:r>
        <w:rPr>
          <w:rFonts w:hint="eastAsia" w:ascii="宋体" w:hAnsi="宋体" w:cs="宋体"/>
          <w:kern w:val="2"/>
          <w:sz w:val="24"/>
        </w:rPr>
        <w:t>投标人开户行：</w:t>
      </w:r>
    </w:p>
    <w:p w14:paraId="221CB3C8">
      <w:pPr>
        <w:adjustRightInd w:val="0"/>
        <w:spacing w:line="420" w:lineRule="exact"/>
        <w:ind w:left="420" w:leftChars="200" w:firstLine="218" w:firstLineChars="91"/>
        <w:jc w:val="left"/>
        <w:textAlignment w:val="baseline"/>
        <w:rPr>
          <w:rFonts w:ascii="宋体" w:hAnsi="宋体" w:cs="宋体"/>
          <w:kern w:val="2"/>
          <w:sz w:val="24"/>
        </w:rPr>
      </w:pPr>
      <w:r>
        <w:rPr>
          <w:rFonts w:hint="eastAsia" w:ascii="宋体" w:hAnsi="宋体" w:cs="宋体"/>
          <w:kern w:val="2"/>
          <w:sz w:val="24"/>
        </w:rPr>
        <w:t xml:space="preserve">账        号： </w:t>
      </w:r>
    </w:p>
    <w:p w14:paraId="4229D0D7">
      <w:pPr>
        <w:adjustRightInd w:val="0"/>
        <w:spacing w:line="420" w:lineRule="exact"/>
        <w:ind w:left="420" w:leftChars="200" w:firstLine="218" w:firstLineChars="91"/>
        <w:jc w:val="left"/>
        <w:textAlignment w:val="baseline"/>
        <w:rPr>
          <w:rFonts w:ascii="宋体" w:hAnsi="宋体" w:cs="宋体"/>
          <w:kern w:val="2"/>
          <w:sz w:val="24"/>
        </w:rPr>
      </w:pPr>
      <w:r>
        <w:rPr>
          <w:rFonts w:hint="eastAsia" w:ascii="宋体" w:hAnsi="宋体" w:cs="宋体"/>
          <w:kern w:val="2"/>
          <w:sz w:val="24"/>
        </w:rPr>
        <w:t>日        期：</w:t>
      </w:r>
      <w:r>
        <w:rPr>
          <w:rFonts w:hint="eastAsia" w:ascii="宋体" w:hAnsi="宋体" w:cs="宋体"/>
          <w:kern w:val="2"/>
          <w:sz w:val="24"/>
          <w:u w:val="single"/>
        </w:rPr>
        <w:t>2026</w:t>
      </w:r>
      <w:r>
        <w:rPr>
          <w:rFonts w:hint="eastAsia" w:ascii="宋体" w:hAnsi="宋体" w:cs="宋体"/>
          <w:kern w:val="2"/>
          <w:sz w:val="24"/>
        </w:rPr>
        <w:t>年____月____日</w:t>
      </w:r>
    </w:p>
    <w:p w14:paraId="593DADBF">
      <w:pPr>
        <w:adjustRightInd w:val="0"/>
        <w:spacing w:line="420" w:lineRule="exact"/>
        <w:ind w:left="420" w:leftChars="200" w:firstLine="480" w:firstLineChars="200"/>
        <w:jc w:val="left"/>
        <w:textAlignment w:val="baseline"/>
        <w:rPr>
          <w:rFonts w:ascii="宋体" w:hAnsi="宋体" w:cs="宋体"/>
          <w:kern w:val="2"/>
          <w:sz w:val="24"/>
        </w:rPr>
      </w:pPr>
    </w:p>
    <w:p w14:paraId="2E3F4E42">
      <w:pPr>
        <w:rPr>
          <w:rFonts w:ascii="宋体" w:hAnsi="宋体" w:cs="宋体"/>
          <w:kern w:val="2"/>
          <w:sz w:val="24"/>
        </w:rPr>
      </w:pPr>
      <w:r>
        <w:rPr>
          <w:rFonts w:hint="eastAsia" w:ascii="宋体" w:hAnsi="宋体" w:cs="宋体"/>
          <w:kern w:val="2"/>
          <w:sz w:val="24"/>
        </w:rPr>
        <w:br w:type="page"/>
      </w:r>
    </w:p>
    <w:p w14:paraId="4DA9F399">
      <w:pPr>
        <w:keepNext/>
        <w:keepLines/>
        <w:spacing w:before="260" w:line="415" w:lineRule="auto"/>
        <w:jc w:val="center"/>
        <w:outlineLvl w:val="1"/>
        <w:rPr>
          <w:rFonts w:ascii="宋体" w:hAnsi="宋体" w:cs="宋体"/>
          <w:b/>
          <w:bCs/>
          <w:iCs/>
          <w:kern w:val="2"/>
          <w:sz w:val="32"/>
          <w:szCs w:val="32"/>
        </w:rPr>
      </w:pPr>
      <w:bookmarkStart w:id="135" w:name="_Toc30906"/>
      <w:r>
        <w:rPr>
          <w:rFonts w:hint="eastAsia" w:ascii="宋体" w:hAnsi="宋体" w:cs="宋体"/>
          <w:b/>
          <w:bCs/>
          <w:iCs/>
          <w:kern w:val="2"/>
          <w:sz w:val="32"/>
          <w:szCs w:val="32"/>
        </w:rPr>
        <w:t>二、开标一览表</w:t>
      </w:r>
      <w:bookmarkEnd w:id="135"/>
    </w:p>
    <w:p w14:paraId="0BF30236">
      <w:pPr>
        <w:ind w:firstLine="480"/>
        <w:rPr>
          <w:rFonts w:ascii="宋体" w:hAnsi="宋体" w:cs="宋体"/>
          <w:kern w:val="2"/>
          <w:sz w:val="24"/>
          <w:szCs w:val="24"/>
        </w:rPr>
      </w:pPr>
      <w:r>
        <w:rPr>
          <w:rFonts w:hint="eastAsia" w:ascii="宋体" w:hAnsi="宋体" w:cs="宋体"/>
          <w:kern w:val="2"/>
          <w:sz w:val="24"/>
          <w:szCs w:val="24"/>
        </w:rPr>
        <w:t>投标人全称（加盖CA电子签章）：</w:t>
      </w:r>
    </w:p>
    <w:p w14:paraId="04A88BFE">
      <w:pPr>
        <w:ind w:firstLine="480"/>
        <w:rPr>
          <w:rFonts w:ascii="宋体" w:hAnsi="宋体" w:cs="宋体"/>
          <w:kern w:val="2"/>
          <w:sz w:val="24"/>
          <w:szCs w:val="24"/>
        </w:rPr>
      </w:pPr>
      <w:r>
        <w:rPr>
          <w:rFonts w:hint="eastAsia" w:ascii="宋体" w:hAnsi="宋体" w:cs="宋体"/>
          <w:kern w:val="2"/>
          <w:sz w:val="24"/>
          <w:szCs w:val="24"/>
        </w:rPr>
        <w:t>项目名称：</w:t>
      </w:r>
    </w:p>
    <w:p w14:paraId="510F2F7E">
      <w:pPr>
        <w:ind w:firstLine="480"/>
        <w:rPr>
          <w:rFonts w:ascii="宋体" w:hAnsi="宋体" w:cs="宋体"/>
          <w:kern w:val="2"/>
          <w:sz w:val="24"/>
          <w:szCs w:val="24"/>
        </w:rPr>
      </w:pPr>
      <w:r>
        <w:rPr>
          <w:rFonts w:hint="eastAsia" w:ascii="宋体" w:hAnsi="宋体" w:cs="宋体"/>
          <w:kern w:val="2"/>
          <w:sz w:val="24"/>
          <w:szCs w:val="24"/>
        </w:rPr>
        <w:t xml:space="preserve">招标编号：                                   </w:t>
      </w:r>
    </w:p>
    <w:tbl>
      <w:tblPr>
        <w:tblStyle w:val="38"/>
        <w:tblW w:w="87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3"/>
      </w:tblGrid>
      <w:tr w14:paraId="17A76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trPr>
        <w:tc>
          <w:tcPr>
            <w:tcW w:w="8723" w:type="dxa"/>
            <w:vAlign w:val="center"/>
          </w:tcPr>
          <w:p w14:paraId="4E9DD2A8">
            <w:pPr>
              <w:jc w:val="center"/>
              <w:rPr>
                <w:rFonts w:ascii="宋体" w:hAnsi="宋体" w:cs="宋体"/>
                <w:kern w:val="2"/>
                <w:sz w:val="24"/>
                <w:szCs w:val="24"/>
              </w:rPr>
            </w:pPr>
            <w:r>
              <w:rPr>
                <w:rFonts w:hint="eastAsia" w:ascii="宋体" w:hAnsi="宋体" w:cs="宋体"/>
                <w:kern w:val="2"/>
                <w:sz w:val="24"/>
                <w:szCs w:val="24"/>
              </w:rPr>
              <w:t>投标总报价</w:t>
            </w:r>
          </w:p>
        </w:tc>
      </w:tr>
      <w:tr w14:paraId="022CD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723" w:type="dxa"/>
            <w:vAlign w:val="center"/>
          </w:tcPr>
          <w:p w14:paraId="0C43053E">
            <w:pPr>
              <w:adjustRightInd w:val="0"/>
              <w:spacing w:line="500" w:lineRule="exact"/>
              <w:jc w:val="left"/>
              <w:textAlignment w:val="baseline"/>
              <w:rPr>
                <w:rFonts w:ascii="宋体" w:hAnsi="宋体" w:cs="宋体"/>
                <w:kern w:val="2"/>
                <w:sz w:val="24"/>
              </w:rPr>
            </w:pPr>
            <w:r>
              <w:rPr>
                <w:rFonts w:hint="eastAsia" w:ascii="宋体" w:hAnsi="宋体" w:cs="宋体"/>
                <w:sz w:val="24"/>
                <w:szCs w:val="24"/>
              </w:rPr>
              <w:t>小写：                             （人民币：元）</w:t>
            </w:r>
          </w:p>
        </w:tc>
      </w:tr>
    </w:tbl>
    <w:p w14:paraId="0D5895CE">
      <w:pPr>
        <w:rPr>
          <w:rFonts w:ascii="宋体" w:hAnsi="宋体" w:cs="宋体"/>
          <w:kern w:val="2"/>
          <w:sz w:val="24"/>
          <w:szCs w:val="24"/>
        </w:rPr>
      </w:pPr>
    </w:p>
    <w:p w14:paraId="1A77A54E">
      <w:pPr>
        <w:ind w:firstLine="480"/>
        <w:rPr>
          <w:rFonts w:ascii="宋体" w:hAnsi="宋体" w:cs="宋体"/>
          <w:kern w:val="2"/>
          <w:sz w:val="24"/>
          <w:szCs w:val="24"/>
        </w:rPr>
      </w:pPr>
      <w:r>
        <w:rPr>
          <w:rFonts w:hint="eastAsia" w:ascii="宋体" w:hAnsi="宋体" w:cs="宋体"/>
          <w:kern w:val="2"/>
          <w:sz w:val="24"/>
          <w:szCs w:val="24"/>
        </w:rPr>
        <w:t xml:space="preserve">                                        日期：  </w:t>
      </w:r>
      <w:r>
        <w:rPr>
          <w:rFonts w:hint="eastAsia" w:ascii="宋体" w:hAnsi="宋体" w:cs="宋体"/>
          <w:kern w:val="2"/>
          <w:sz w:val="24"/>
          <w:szCs w:val="24"/>
          <w:u w:val="single"/>
        </w:rPr>
        <w:t>2026</w:t>
      </w:r>
      <w:r>
        <w:rPr>
          <w:rFonts w:hint="eastAsia" w:ascii="宋体" w:hAnsi="宋体" w:cs="宋体"/>
          <w:kern w:val="2"/>
          <w:sz w:val="24"/>
          <w:szCs w:val="24"/>
        </w:rPr>
        <w:t>年</w:t>
      </w:r>
      <w:r>
        <w:rPr>
          <w:rFonts w:hint="eastAsia" w:ascii="宋体" w:hAnsi="宋体" w:cs="宋体"/>
          <w:kern w:val="2"/>
          <w:sz w:val="24"/>
          <w:szCs w:val="24"/>
          <w:u w:val="single"/>
        </w:rPr>
        <w:t xml:space="preserve">   </w:t>
      </w:r>
      <w:r>
        <w:rPr>
          <w:rFonts w:hint="eastAsia" w:ascii="宋体" w:hAnsi="宋体" w:cs="宋体"/>
          <w:kern w:val="2"/>
          <w:sz w:val="24"/>
          <w:szCs w:val="24"/>
        </w:rPr>
        <w:t>月</w:t>
      </w:r>
      <w:r>
        <w:rPr>
          <w:rFonts w:hint="eastAsia" w:ascii="宋体" w:hAnsi="宋体" w:cs="宋体"/>
          <w:kern w:val="2"/>
          <w:sz w:val="24"/>
          <w:szCs w:val="24"/>
          <w:u w:val="single"/>
        </w:rPr>
        <w:t xml:space="preserve">   </w:t>
      </w:r>
      <w:r>
        <w:rPr>
          <w:rFonts w:hint="eastAsia" w:ascii="宋体" w:hAnsi="宋体" w:cs="宋体"/>
          <w:kern w:val="2"/>
          <w:sz w:val="24"/>
          <w:szCs w:val="24"/>
        </w:rPr>
        <w:t>日</w:t>
      </w:r>
    </w:p>
    <w:p w14:paraId="7B0D64EB">
      <w:pPr>
        <w:pStyle w:val="17"/>
        <w:rPr>
          <w:rFonts w:hAnsi="宋体" w:cs="宋体"/>
          <w:kern w:val="2"/>
          <w:sz w:val="24"/>
          <w:szCs w:val="24"/>
        </w:rPr>
      </w:pPr>
    </w:p>
    <w:p w14:paraId="4BE5856E">
      <w:pPr>
        <w:pStyle w:val="17"/>
        <w:rPr>
          <w:rFonts w:hAnsi="宋体" w:cs="宋体"/>
          <w:kern w:val="2"/>
          <w:sz w:val="24"/>
          <w:szCs w:val="24"/>
        </w:rPr>
      </w:pPr>
    </w:p>
    <w:p w14:paraId="3F3CA2C1">
      <w:pPr>
        <w:keepNext/>
        <w:keepLines/>
        <w:spacing w:before="260" w:line="415" w:lineRule="auto"/>
        <w:jc w:val="center"/>
        <w:outlineLvl w:val="1"/>
        <w:rPr>
          <w:rFonts w:ascii="宋体" w:hAnsi="宋体" w:cs="宋体"/>
          <w:b/>
          <w:bCs/>
          <w:iCs/>
          <w:kern w:val="2"/>
          <w:sz w:val="32"/>
          <w:szCs w:val="32"/>
        </w:rPr>
      </w:pPr>
      <w:bookmarkStart w:id="136" w:name="_Toc12876"/>
      <w:r>
        <w:rPr>
          <w:rFonts w:hint="eastAsia" w:ascii="宋体" w:hAnsi="宋体" w:cs="宋体"/>
          <w:b/>
          <w:bCs/>
          <w:iCs/>
          <w:kern w:val="2"/>
          <w:sz w:val="32"/>
          <w:szCs w:val="32"/>
        </w:rPr>
        <w:t>三、投标分项报价表</w:t>
      </w:r>
      <w:bookmarkEnd w:id="136"/>
    </w:p>
    <w:p w14:paraId="143C9F22">
      <w:pPr>
        <w:pBdr>
          <w:top w:val="none" w:color="000000" w:sz="0" w:space="0"/>
          <w:left w:val="none" w:color="000000" w:sz="0" w:space="0"/>
          <w:bottom w:val="none" w:color="000000" w:sz="0" w:space="0"/>
          <w:right w:val="none" w:color="000000" w:sz="0" w:space="0"/>
        </w:pBdr>
        <w:jc w:val="left"/>
        <w:rPr>
          <w:rFonts w:hint="eastAsia" w:ascii="宋体" w:hAnsi="宋体" w:eastAsia="宋体" w:cs="宋体"/>
          <w:kern w:val="2"/>
          <w:sz w:val="24"/>
          <w:szCs w:val="24"/>
          <w:lang w:eastAsia="zh-CN"/>
        </w:rPr>
      </w:pPr>
      <w:r>
        <w:rPr>
          <w:rFonts w:hint="eastAsia" w:ascii="宋体" w:hAnsi="宋体" w:cs="宋体"/>
          <w:kern w:val="2"/>
          <w:sz w:val="24"/>
          <w:szCs w:val="24"/>
        </w:rPr>
        <w:t>项目名称：</w:t>
      </w:r>
      <w:r>
        <w:rPr>
          <w:rFonts w:hint="eastAsia" w:ascii="宋体" w:hAnsi="宋体" w:cs="宋体"/>
          <w:kern w:val="2"/>
          <w:sz w:val="24"/>
          <w:szCs w:val="24"/>
          <w:lang w:eastAsia="zh-CN"/>
        </w:rPr>
        <w:t>宝应县人民医院健康管理随访中心信息化平台采购项目（二次）</w:t>
      </w:r>
    </w:p>
    <w:p w14:paraId="74B186BB">
      <w:pPr>
        <w:pBdr>
          <w:top w:val="none" w:color="000000" w:sz="0" w:space="0"/>
          <w:left w:val="none" w:color="000000" w:sz="0" w:space="0"/>
          <w:bottom w:val="none" w:color="000000" w:sz="0" w:space="0"/>
          <w:right w:val="none" w:color="000000" w:sz="0" w:space="0"/>
        </w:pBdr>
        <w:jc w:val="left"/>
        <w:rPr>
          <w:rFonts w:ascii="宋体" w:hAnsi="宋体" w:cs="宋体"/>
          <w:kern w:val="2"/>
          <w:sz w:val="24"/>
          <w:szCs w:val="24"/>
        </w:rPr>
      </w:pPr>
      <w:r>
        <w:rPr>
          <w:rFonts w:hint="eastAsia" w:ascii="宋体" w:hAnsi="宋体" w:cs="宋体"/>
          <w:kern w:val="2"/>
          <w:sz w:val="24"/>
          <w:szCs w:val="24"/>
        </w:rPr>
        <w:t>项目编号：JSZC-321023-SHGK-G2026-0022</w:t>
      </w:r>
    </w:p>
    <w:p w14:paraId="598ABAA7">
      <w:pPr>
        <w:pBdr>
          <w:top w:val="none" w:color="000000" w:sz="0" w:space="0"/>
          <w:left w:val="none" w:color="000000" w:sz="0" w:space="0"/>
          <w:bottom w:val="none" w:color="000000" w:sz="0" w:space="0"/>
          <w:right w:val="none" w:color="000000" w:sz="0" w:space="0"/>
        </w:pBdr>
        <w:jc w:val="left"/>
        <w:rPr>
          <w:rFonts w:ascii="宋体" w:hAnsi="宋体" w:cs="宋体"/>
          <w:kern w:val="2"/>
          <w:sz w:val="24"/>
          <w:szCs w:val="24"/>
        </w:rPr>
      </w:pPr>
      <w:bookmarkStart w:id="137" w:name="OLE_LINK5"/>
      <w:r>
        <w:rPr>
          <w:rFonts w:hint="eastAsia" w:ascii="宋体" w:hAnsi="宋体" w:cs="宋体"/>
          <w:kern w:val="2"/>
          <w:sz w:val="24"/>
          <w:szCs w:val="24"/>
        </w:rPr>
        <w:t>代理机构编号：1214-264102034WDX</w:t>
      </w:r>
    </w:p>
    <w:bookmarkEnd w:id="137"/>
    <w:tbl>
      <w:tblPr>
        <w:tblStyle w:val="38"/>
        <w:tblW w:w="8655" w:type="dxa"/>
        <w:jc w:val="center"/>
        <w:tblLayout w:type="fixed"/>
        <w:tblCellMar>
          <w:top w:w="0" w:type="dxa"/>
          <w:left w:w="0" w:type="dxa"/>
          <w:bottom w:w="0" w:type="dxa"/>
          <w:right w:w="0" w:type="dxa"/>
        </w:tblCellMar>
      </w:tblPr>
      <w:tblGrid>
        <w:gridCol w:w="569"/>
        <w:gridCol w:w="891"/>
        <w:gridCol w:w="1065"/>
        <w:gridCol w:w="568"/>
        <w:gridCol w:w="780"/>
        <w:gridCol w:w="767"/>
        <w:gridCol w:w="722"/>
        <w:gridCol w:w="787"/>
        <w:gridCol w:w="976"/>
        <w:gridCol w:w="750"/>
        <w:gridCol w:w="780"/>
      </w:tblGrid>
      <w:tr w14:paraId="175F1A2D">
        <w:tblPrEx>
          <w:tblCellMar>
            <w:top w:w="0" w:type="dxa"/>
            <w:left w:w="0" w:type="dxa"/>
            <w:bottom w:w="0" w:type="dxa"/>
            <w:right w:w="0" w:type="dxa"/>
          </w:tblCellMar>
        </w:tblPrEx>
        <w:trPr>
          <w:cantSplit/>
          <w:trHeight w:val="850" w:hRule="atLeast"/>
          <w:jc w:val="center"/>
        </w:trPr>
        <w:tc>
          <w:tcPr>
            <w:tcW w:w="569"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A278949">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序号</w:t>
            </w:r>
          </w:p>
        </w:tc>
        <w:tc>
          <w:tcPr>
            <w:tcW w:w="89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9CA8F96">
            <w:pPr>
              <w:jc w:val="center"/>
              <w:rPr>
                <w:color w:val="000000" w:themeColor="text1"/>
                <w:sz w:val="24"/>
                <w:szCs w:val="24"/>
                <w:u w:color="FF0000"/>
                <w14:textFill>
                  <w14:solidFill>
                    <w14:schemeClr w14:val="tx1"/>
                  </w14:solidFill>
                </w14:textFill>
              </w:rPr>
            </w:pPr>
            <w:r>
              <w:rPr>
                <w:rFonts w:hint="eastAsia"/>
                <w:color w:val="000000" w:themeColor="text1"/>
                <w:sz w:val="24"/>
                <w:szCs w:val="24"/>
                <w14:textFill>
                  <w14:solidFill>
                    <w14:schemeClr w14:val="tx1"/>
                  </w14:solidFill>
                </w14:textFill>
              </w:rPr>
              <w:t>货物名称</w:t>
            </w:r>
          </w:p>
        </w:tc>
        <w:tc>
          <w:tcPr>
            <w:tcW w:w="106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AF32DB6">
            <w:pPr>
              <w:jc w:val="center"/>
              <w:rPr>
                <w:color w:val="000000" w:themeColor="text1"/>
                <w:sz w:val="24"/>
                <w:szCs w:val="24"/>
                <w14:textFill>
                  <w14:solidFill>
                    <w14:schemeClr w14:val="tx1"/>
                  </w14:solidFill>
                </w14:textFill>
              </w:rPr>
            </w:pPr>
            <w:r>
              <w:rPr>
                <w:rFonts w:hint="eastAsia"/>
                <w:color w:val="000000" w:themeColor="text1"/>
                <w:sz w:val="24"/>
                <w:szCs w:val="24"/>
                <w:u w:color="FF0000"/>
                <w14:textFill>
                  <w14:solidFill>
                    <w14:schemeClr w14:val="tx1"/>
                  </w14:solidFill>
                </w14:textFill>
              </w:rPr>
              <w:t>规格及型号</w:t>
            </w:r>
          </w:p>
        </w:tc>
        <w:tc>
          <w:tcPr>
            <w:tcW w:w="56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2D45C8">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数量</w:t>
            </w:r>
          </w:p>
        </w:tc>
        <w:tc>
          <w:tcPr>
            <w:tcW w:w="780" w:type="dxa"/>
            <w:tcBorders>
              <w:top w:val="single" w:color="auto" w:sz="4" w:space="0"/>
              <w:left w:val="nil"/>
              <w:bottom w:val="single" w:color="auto" w:sz="4" w:space="0"/>
              <w:right w:val="single" w:color="auto" w:sz="4" w:space="0"/>
            </w:tcBorders>
            <w:vAlign w:val="center"/>
          </w:tcPr>
          <w:p w14:paraId="19DAD902">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单价（元）</w:t>
            </w:r>
          </w:p>
        </w:tc>
        <w:tc>
          <w:tcPr>
            <w:tcW w:w="767" w:type="dxa"/>
            <w:tcBorders>
              <w:top w:val="single" w:color="auto" w:sz="4" w:space="0"/>
              <w:left w:val="nil"/>
              <w:bottom w:val="single" w:color="auto" w:sz="4" w:space="0"/>
              <w:right w:val="single" w:color="auto" w:sz="4" w:space="0"/>
            </w:tcBorders>
            <w:vAlign w:val="center"/>
          </w:tcPr>
          <w:p w14:paraId="7BC3E2E9">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总价</w:t>
            </w:r>
          </w:p>
        </w:tc>
        <w:tc>
          <w:tcPr>
            <w:tcW w:w="722"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4E505E6">
            <w:pPr>
              <w:jc w:val="center"/>
              <w:rPr>
                <w:color w:val="000000" w:themeColor="text1"/>
                <w:sz w:val="24"/>
                <w:szCs w:val="24"/>
                <w14:textFill>
                  <w14:solidFill>
                    <w14:schemeClr w14:val="tx1"/>
                  </w14:solidFill>
                </w14:textFill>
              </w:rPr>
            </w:pPr>
            <w:r>
              <w:rPr>
                <w:rFonts w:hint="eastAsia"/>
                <w:color w:val="000000" w:themeColor="text1"/>
                <w:sz w:val="24"/>
                <w:szCs w:val="24"/>
                <w:u w:color="FF0000"/>
                <w14:textFill>
                  <w14:solidFill>
                    <w14:schemeClr w14:val="tx1"/>
                  </w14:solidFill>
                </w14:textFill>
              </w:rPr>
              <w:t>品牌</w:t>
            </w:r>
          </w:p>
        </w:tc>
        <w:tc>
          <w:tcPr>
            <w:tcW w:w="787" w:type="dxa"/>
            <w:tcBorders>
              <w:top w:val="single" w:color="auto" w:sz="4" w:space="0"/>
              <w:left w:val="nil"/>
              <w:bottom w:val="single" w:color="auto" w:sz="4" w:space="0"/>
              <w:right w:val="single" w:color="auto" w:sz="4" w:space="0"/>
            </w:tcBorders>
            <w:vAlign w:val="center"/>
          </w:tcPr>
          <w:p w14:paraId="012008C6">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产地</w:t>
            </w:r>
          </w:p>
        </w:tc>
        <w:tc>
          <w:tcPr>
            <w:tcW w:w="976" w:type="dxa"/>
            <w:tcBorders>
              <w:top w:val="single" w:color="auto" w:sz="4" w:space="0"/>
              <w:left w:val="nil"/>
              <w:bottom w:val="single" w:color="auto" w:sz="4" w:space="0"/>
              <w:right w:val="single" w:color="auto" w:sz="4" w:space="0"/>
            </w:tcBorders>
            <w:vAlign w:val="center"/>
          </w:tcPr>
          <w:p w14:paraId="44FD3A98">
            <w:pPr>
              <w:jc w:val="center"/>
              <w:rPr>
                <w:rFonts w:eastAsiaTheme="minor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制造商</w:t>
            </w:r>
          </w:p>
        </w:tc>
        <w:tc>
          <w:tcPr>
            <w:tcW w:w="750" w:type="dxa"/>
            <w:tcBorders>
              <w:top w:val="single" w:color="auto" w:sz="4" w:space="0"/>
              <w:left w:val="nil"/>
              <w:bottom w:val="single" w:color="auto" w:sz="4" w:space="0"/>
              <w:right w:val="single" w:color="auto" w:sz="4" w:space="0"/>
            </w:tcBorders>
            <w:vAlign w:val="center"/>
          </w:tcPr>
          <w:p w14:paraId="41BDA892">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质保期</w:t>
            </w:r>
          </w:p>
        </w:tc>
        <w:tc>
          <w:tcPr>
            <w:tcW w:w="780" w:type="dxa"/>
            <w:tcBorders>
              <w:top w:val="single" w:color="auto" w:sz="4" w:space="0"/>
              <w:left w:val="nil"/>
              <w:bottom w:val="single" w:color="auto" w:sz="4" w:space="0"/>
              <w:right w:val="single" w:color="auto" w:sz="4" w:space="0"/>
            </w:tcBorders>
            <w:vAlign w:val="center"/>
          </w:tcPr>
          <w:p w14:paraId="23F8B5B1">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交货期</w:t>
            </w:r>
          </w:p>
        </w:tc>
      </w:tr>
      <w:tr w14:paraId="31B45947">
        <w:tblPrEx>
          <w:tblCellMar>
            <w:top w:w="0" w:type="dxa"/>
            <w:left w:w="0" w:type="dxa"/>
            <w:bottom w:w="0" w:type="dxa"/>
            <w:right w:w="0" w:type="dxa"/>
          </w:tblCellMar>
        </w:tblPrEx>
        <w:trPr>
          <w:cantSplit/>
          <w:trHeight w:val="850" w:hRule="atLeast"/>
          <w:jc w:val="center"/>
        </w:trPr>
        <w:tc>
          <w:tcPr>
            <w:tcW w:w="569"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67BDFC7">
            <w:pPr>
              <w:pStyle w:val="27"/>
              <w:tabs>
                <w:tab w:val="clear" w:pos="7143"/>
                <w:tab w:val="clear" w:pos="14287"/>
              </w:tabs>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89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944AE4F">
            <w:pPr>
              <w:pStyle w:val="27"/>
              <w:tabs>
                <w:tab w:val="clear" w:pos="7143"/>
                <w:tab w:val="clear" w:pos="14287"/>
              </w:tabs>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患者随访系统</w:t>
            </w:r>
          </w:p>
        </w:tc>
        <w:tc>
          <w:tcPr>
            <w:tcW w:w="106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DFDE72">
            <w:pPr>
              <w:pStyle w:val="27"/>
              <w:tabs>
                <w:tab w:val="clear" w:pos="7143"/>
                <w:tab w:val="clear" w:pos="14287"/>
              </w:tabs>
              <w:jc w:val="center"/>
              <w:rPr>
                <w:rFonts w:ascii="宋体" w:hAnsi="宋体"/>
                <w:color w:val="000000" w:themeColor="text1"/>
                <w:sz w:val="24"/>
                <w:szCs w:val="24"/>
                <w14:textFill>
                  <w14:solidFill>
                    <w14:schemeClr w14:val="tx1"/>
                  </w14:solidFill>
                </w14:textFill>
              </w:rPr>
            </w:pPr>
          </w:p>
        </w:tc>
        <w:tc>
          <w:tcPr>
            <w:tcW w:w="568"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29659BC6">
            <w:pPr>
              <w:jc w:val="center"/>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1套</w:t>
            </w:r>
          </w:p>
        </w:tc>
        <w:tc>
          <w:tcPr>
            <w:tcW w:w="780" w:type="dxa"/>
            <w:tcBorders>
              <w:top w:val="nil"/>
              <w:left w:val="nil"/>
              <w:bottom w:val="single" w:color="auto" w:sz="4" w:space="0"/>
              <w:right w:val="single" w:color="auto" w:sz="4" w:space="0"/>
            </w:tcBorders>
            <w:vAlign w:val="center"/>
          </w:tcPr>
          <w:p w14:paraId="3A15C52F">
            <w:pPr>
              <w:jc w:val="center"/>
              <w:rPr>
                <w:rFonts w:ascii="宋体"/>
                <w:bCs/>
                <w:color w:val="000000" w:themeColor="text1"/>
                <w:sz w:val="24"/>
                <w:szCs w:val="24"/>
                <w14:textFill>
                  <w14:solidFill>
                    <w14:schemeClr w14:val="tx1"/>
                  </w14:solidFill>
                </w14:textFill>
              </w:rPr>
            </w:pPr>
          </w:p>
        </w:tc>
        <w:tc>
          <w:tcPr>
            <w:tcW w:w="767" w:type="dxa"/>
            <w:tcBorders>
              <w:top w:val="nil"/>
              <w:left w:val="nil"/>
              <w:bottom w:val="single" w:color="auto" w:sz="4" w:space="0"/>
              <w:right w:val="single" w:color="auto" w:sz="4" w:space="0"/>
            </w:tcBorders>
            <w:vAlign w:val="center"/>
          </w:tcPr>
          <w:p w14:paraId="703A7623">
            <w:pPr>
              <w:jc w:val="center"/>
              <w:rPr>
                <w:rFonts w:ascii="宋体"/>
                <w:bCs/>
                <w:color w:val="000000" w:themeColor="text1"/>
                <w:sz w:val="24"/>
                <w:szCs w:val="24"/>
                <w14:textFill>
                  <w14:solidFill>
                    <w14:schemeClr w14:val="tx1"/>
                  </w14:solidFill>
                </w14:textFill>
              </w:rPr>
            </w:pPr>
          </w:p>
        </w:tc>
        <w:tc>
          <w:tcPr>
            <w:tcW w:w="722"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0DD3034C">
            <w:pPr>
              <w:jc w:val="center"/>
              <w:rPr>
                <w:rFonts w:ascii="黑体" w:hAnsi="宋体" w:eastAsia="黑体"/>
                <w:b/>
                <w:bCs/>
                <w:color w:val="000000" w:themeColor="text1"/>
                <w:sz w:val="24"/>
                <w:szCs w:val="24"/>
                <w14:textFill>
                  <w14:solidFill>
                    <w14:schemeClr w14:val="tx1"/>
                  </w14:solidFill>
                </w14:textFill>
              </w:rPr>
            </w:pPr>
          </w:p>
          <w:p w14:paraId="73322158">
            <w:pPr>
              <w:jc w:val="center"/>
              <w:rPr>
                <w:rFonts w:ascii="黑体" w:hAnsi="宋体" w:eastAsia="黑体"/>
                <w:b/>
                <w:bCs/>
                <w:color w:val="000000" w:themeColor="text1"/>
                <w:sz w:val="24"/>
                <w:szCs w:val="24"/>
                <w14:textFill>
                  <w14:solidFill>
                    <w14:schemeClr w14:val="tx1"/>
                  </w14:solidFill>
                </w14:textFill>
              </w:rPr>
            </w:pPr>
          </w:p>
        </w:tc>
        <w:tc>
          <w:tcPr>
            <w:tcW w:w="787" w:type="dxa"/>
            <w:tcBorders>
              <w:top w:val="nil"/>
              <w:left w:val="nil"/>
              <w:bottom w:val="single" w:color="auto" w:sz="4" w:space="0"/>
              <w:right w:val="single" w:color="auto" w:sz="4" w:space="0"/>
            </w:tcBorders>
            <w:vAlign w:val="center"/>
          </w:tcPr>
          <w:p w14:paraId="653629A6">
            <w:pPr>
              <w:jc w:val="center"/>
              <w:rPr>
                <w:rFonts w:ascii="黑体" w:hAnsi="宋体" w:eastAsia="黑体"/>
                <w:b/>
                <w:bCs/>
                <w:color w:val="000000" w:themeColor="text1"/>
                <w:sz w:val="24"/>
                <w:szCs w:val="24"/>
                <w14:textFill>
                  <w14:solidFill>
                    <w14:schemeClr w14:val="tx1"/>
                  </w14:solidFill>
                </w14:textFill>
              </w:rPr>
            </w:pPr>
          </w:p>
        </w:tc>
        <w:tc>
          <w:tcPr>
            <w:tcW w:w="976" w:type="dxa"/>
            <w:tcBorders>
              <w:top w:val="nil"/>
              <w:left w:val="nil"/>
              <w:bottom w:val="single" w:color="auto" w:sz="4" w:space="0"/>
              <w:right w:val="single" w:color="auto" w:sz="4" w:space="0"/>
            </w:tcBorders>
            <w:vAlign w:val="center"/>
          </w:tcPr>
          <w:p w14:paraId="69E8A8BB">
            <w:pPr>
              <w:jc w:val="center"/>
              <w:rPr>
                <w:rFonts w:ascii="黑体" w:hAnsi="宋体" w:eastAsia="黑体"/>
                <w:b/>
                <w:bCs/>
                <w:color w:val="000000" w:themeColor="text1"/>
                <w:sz w:val="24"/>
                <w:szCs w:val="24"/>
                <w14:textFill>
                  <w14:solidFill>
                    <w14:schemeClr w14:val="tx1"/>
                  </w14:solidFill>
                </w14:textFill>
              </w:rPr>
            </w:pPr>
          </w:p>
        </w:tc>
        <w:tc>
          <w:tcPr>
            <w:tcW w:w="750" w:type="dxa"/>
            <w:tcBorders>
              <w:top w:val="nil"/>
              <w:left w:val="nil"/>
              <w:bottom w:val="single" w:color="auto" w:sz="4" w:space="0"/>
              <w:right w:val="single" w:color="auto" w:sz="4" w:space="0"/>
            </w:tcBorders>
            <w:vAlign w:val="center"/>
          </w:tcPr>
          <w:p w14:paraId="1D9E0F90">
            <w:pPr>
              <w:jc w:val="center"/>
              <w:rPr>
                <w:rFonts w:ascii="黑体" w:hAnsi="宋体" w:eastAsia="黑体"/>
                <w:b/>
                <w:bCs/>
                <w:color w:val="000000" w:themeColor="text1"/>
                <w:sz w:val="24"/>
                <w:szCs w:val="24"/>
                <w14:textFill>
                  <w14:solidFill>
                    <w14:schemeClr w14:val="tx1"/>
                  </w14:solidFill>
                </w14:textFill>
              </w:rPr>
            </w:pPr>
          </w:p>
        </w:tc>
        <w:tc>
          <w:tcPr>
            <w:tcW w:w="780" w:type="dxa"/>
            <w:tcBorders>
              <w:top w:val="nil"/>
              <w:left w:val="nil"/>
              <w:bottom w:val="single" w:color="auto" w:sz="4" w:space="0"/>
              <w:right w:val="single" w:color="auto" w:sz="4" w:space="0"/>
            </w:tcBorders>
            <w:vAlign w:val="center"/>
          </w:tcPr>
          <w:p w14:paraId="53C7C3EE">
            <w:pPr>
              <w:jc w:val="center"/>
              <w:rPr>
                <w:rFonts w:ascii="黑体" w:hAnsi="宋体" w:eastAsia="黑体"/>
                <w:b/>
                <w:bCs/>
                <w:color w:val="000000" w:themeColor="text1"/>
                <w:sz w:val="24"/>
                <w:szCs w:val="24"/>
                <w14:textFill>
                  <w14:solidFill>
                    <w14:schemeClr w14:val="tx1"/>
                  </w14:solidFill>
                </w14:textFill>
              </w:rPr>
            </w:pPr>
          </w:p>
        </w:tc>
      </w:tr>
      <w:tr w14:paraId="04CC645B">
        <w:tblPrEx>
          <w:tblCellMar>
            <w:top w:w="0" w:type="dxa"/>
            <w:left w:w="0" w:type="dxa"/>
            <w:bottom w:w="0" w:type="dxa"/>
            <w:right w:w="0" w:type="dxa"/>
          </w:tblCellMar>
        </w:tblPrEx>
        <w:trPr>
          <w:cantSplit/>
          <w:trHeight w:val="850" w:hRule="atLeast"/>
          <w:jc w:val="center"/>
        </w:trPr>
        <w:tc>
          <w:tcPr>
            <w:tcW w:w="569"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ED1CE22">
            <w:pPr>
              <w:pStyle w:val="27"/>
              <w:tabs>
                <w:tab w:val="clear" w:pos="7143"/>
                <w:tab w:val="clear" w:pos="14287"/>
              </w:tabs>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p>
        </w:tc>
        <w:tc>
          <w:tcPr>
            <w:tcW w:w="89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1DDEA49">
            <w:pPr>
              <w:pStyle w:val="27"/>
              <w:tabs>
                <w:tab w:val="clear" w:pos="7143"/>
                <w:tab w:val="clear" w:pos="14287"/>
              </w:tabs>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p>
        </w:tc>
        <w:tc>
          <w:tcPr>
            <w:tcW w:w="106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71B6C8">
            <w:pPr>
              <w:pStyle w:val="27"/>
              <w:tabs>
                <w:tab w:val="clear" w:pos="7143"/>
                <w:tab w:val="clear" w:pos="14287"/>
              </w:tabs>
              <w:jc w:val="center"/>
              <w:rPr>
                <w:rFonts w:ascii="宋体" w:hAnsi="宋体"/>
                <w:color w:val="000000" w:themeColor="text1"/>
                <w:sz w:val="24"/>
                <w:szCs w:val="24"/>
                <w14:textFill>
                  <w14:solidFill>
                    <w14:schemeClr w14:val="tx1"/>
                  </w14:solidFill>
                </w14:textFill>
              </w:rPr>
            </w:pPr>
          </w:p>
        </w:tc>
        <w:tc>
          <w:tcPr>
            <w:tcW w:w="568"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5A7DDC57">
            <w:pPr>
              <w:jc w:val="center"/>
              <w:rPr>
                <w:rFonts w:ascii="宋体"/>
                <w:bCs/>
                <w:color w:val="000000" w:themeColor="text1"/>
                <w:sz w:val="24"/>
                <w:szCs w:val="24"/>
                <w14:textFill>
                  <w14:solidFill>
                    <w14:schemeClr w14:val="tx1"/>
                  </w14:solidFill>
                </w14:textFill>
              </w:rPr>
            </w:pPr>
          </w:p>
        </w:tc>
        <w:tc>
          <w:tcPr>
            <w:tcW w:w="780" w:type="dxa"/>
            <w:tcBorders>
              <w:top w:val="nil"/>
              <w:left w:val="nil"/>
              <w:bottom w:val="single" w:color="auto" w:sz="4" w:space="0"/>
              <w:right w:val="single" w:color="auto" w:sz="4" w:space="0"/>
            </w:tcBorders>
            <w:vAlign w:val="center"/>
          </w:tcPr>
          <w:p w14:paraId="297AE39A">
            <w:pPr>
              <w:jc w:val="center"/>
              <w:rPr>
                <w:rFonts w:ascii="宋体"/>
                <w:bCs/>
                <w:color w:val="000000" w:themeColor="text1"/>
                <w:sz w:val="24"/>
                <w:szCs w:val="24"/>
                <w14:textFill>
                  <w14:solidFill>
                    <w14:schemeClr w14:val="tx1"/>
                  </w14:solidFill>
                </w14:textFill>
              </w:rPr>
            </w:pPr>
          </w:p>
        </w:tc>
        <w:tc>
          <w:tcPr>
            <w:tcW w:w="767" w:type="dxa"/>
            <w:tcBorders>
              <w:top w:val="nil"/>
              <w:left w:val="nil"/>
              <w:bottom w:val="single" w:color="auto" w:sz="4" w:space="0"/>
              <w:right w:val="single" w:color="auto" w:sz="4" w:space="0"/>
            </w:tcBorders>
            <w:vAlign w:val="center"/>
          </w:tcPr>
          <w:p w14:paraId="6A7A574C">
            <w:pPr>
              <w:jc w:val="center"/>
              <w:rPr>
                <w:rFonts w:ascii="宋体"/>
                <w:bCs/>
                <w:color w:val="000000" w:themeColor="text1"/>
                <w:sz w:val="24"/>
                <w:szCs w:val="24"/>
                <w14:textFill>
                  <w14:solidFill>
                    <w14:schemeClr w14:val="tx1"/>
                  </w14:solidFill>
                </w14:textFill>
              </w:rPr>
            </w:pPr>
          </w:p>
        </w:tc>
        <w:tc>
          <w:tcPr>
            <w:tcW w:w="722"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7273DBF8">
            <w:pPr>
              <w:jc w:val="center"/>
              <w:rPr>
                <w:rFonts w:ascii="黑体" w:hAnsi="宋体" w:eastAsia="黑体"/>
                <w:b/>
                <w:bCs/>
                <w:color w:val="000000" w:themeColor="text1"/>
                <w:sz w:val="24"/>
                <w:szCs w:val="24"/>
                <w14:textFill>
                  <w14:solidFill>
                    <w14:schemeClr w14:val="tx1"/>
                  </w14:solidFill>
                </w14:textFill>
              </w:rPr>
            </w:pPr>
          </w:p>
        </w:tc>
        <w:tc>
          <w:tcPr>
            <w:tcW w:w="787" w:type="dxa"/>
            <w:tcBorders>
              <w:top w:val="nil"/>
              <w:left w:val="nil"/>
              <w:bottom w:val="single" w:color="auto" w:sz="4" w:space="0"/>
              <w:right w:val="single" w:color="auto" w:sz="4" w:space="0"/>
            </w:tcBorders>
            <w:vAlign w:val="center"/>
          </w:tcPr>
          <w:p w14:paraId="61CA9F5E">
            <w:pPr>
              <w:jc w:val="center"/>
              <w:rPr>
                <w:rFonts w:ascii="黑体" w:hAnsi="宋体" w:eastAsia="黑体"/>
                <w:b/>
                <w:bCs/>
                <w:color w:val="000000" w:themeColor="text1"/>
                <w:sz w:val="24"/>
                <w:szCs w:val="24"/>
                <w14:textFill>
                  <w14:solidFill>
                    <w14:schemeClr w14:val="tx1"/>
                  </w14:solidFill>
                </w14:textFill>
              </w:rPr>
            </w:pPr>
          </w:p>
        </w:tc>
        <w:tc>
          <w:tcPr>
            <w:tcW w:w="976" w:type="dxa"/>
            <w:tcBorders>
              <w:top w:val="nil"/>
              <w:left w:val="nil"/>
              <w:bottom w:val="single" w:color="auto" w:sz="4" w:space="0"/>
              <w:right w:val="single" w:color="auto" w:sz="4" w:space="0"/>
            </w:tcBorders>
            <w:vAlign w:val="center"/>
          </w:tcPr>
          <w:p w14:paraId="3550D71B">
            <w:pPr>
              <w:jc w:val="center"/>
              <w:rPr>
                <w:rFonts w:ascii="黑体" w:hAnsi="宋体" w:eastAsia="黑体"/>
                <w:b/>
                <w:bCs/>
                <w:color w:val="000000" w:themeColor="text1"/>
                <w:sz w:val="24"/>
                <w:szCs w:val="24"/>
                <w14:textFill>
                  <w14:solidFill>
                    <w14:schemeClr w14:val="tx1"/>
                  </w14:solidFill>
                </w14:textFill>
              </w:rPr>
            </w:pPr>
          </w:p>
        </w:tc>
        <w:tc>
          <w:tcPr>
            <w:tcW w:w="750" w:type="dxa"/>
            <w:tcBorders>
              <w:top w:val="nil"/>
              <w:left w:val="nil"/>
              <w:bottom w:val="single" w:color="auto" w:sz="4" w:space="0"/>
              <w:right w:val="single" w:color="auto" w:sz="4" w:space="0"/>
            </w:tcBorders>
            <w:vAlign w:val="center"/>
          </w:tcPr>
          <w:p w14:paraId="7958E73E">
            <w:pPr>
              <w:jc w:val="center"/>
              <w:rPr>
                <w:rFonts w:ascii="黑体" w:hAnsi="宋体" w:eastAsia="黑体"/>
                <w:b/>
                <w:bCs/>
                <w:color w:val="000000" w:themeColor="text1"/>
                <w:sz w:val="24"/>
                <w:szCs w:val="24"/>
                <w14:textFill>
                  <w14:solidFill>
                    <w14:schemeClr w14:val="tx1"/>
                  </w14:solidFill>
                </w14:textFill>
              </w:rPr>
            </w:pPr>
          </w:p>
        </w:tc>
        <w:tc>
          <w:tcPr>
            <w:tcW w:w="780" w:type="dxa"/>
            <w:tcBorders>
              <w:top w:val="nil"/>
              <w:left w:val="nil"/>
              <w:bottom w:val="single" w:color="auto" w:sz="4" w:space="0"/>
              <w:right w:val="single" w:color="auto" w:sz="4" w:space="0"/>
            </w:tcBorders>
            <w:vAlign w:val="center"/>
          </w:tcPr>
          <w:p w14:paraId="62AC3DD1">
            <w:pPr>
              <w:jc w:val="center"/>
              <w:rPr>
                <w:rFonts w:ascii="黑体" w:hAnsi="宋体" w:eastAsia="黑体"/>
                <w:b/>
                <w:bCs/>
                <w:color w:val="000000" w:themeColor="text1"/>
                <w:sz w:val="24"/>
                <w:szCs w:val="24"/>
                <w14:textFill>
                  <w14:solidFill>
                    <w14:schemeClr w14:val="tx1"/>
                  </w14:solidFill>
                </w14:textFill>
              </w:rPr>
            </w:pPr>
          </w:p>
        </w:tc>
      </w:tr>
      <w:tr w14:paraId="7E6F5B76">
        <w:tblPrEx>
          <w:tblCellMar>
            <w:top w:w="0" w:type="dxa"/>
            <w:left w:w="0" w:type="dxa"/>
            <w:bottom w:w="0" w:type="dxa"/>
            <w:right w:w="0" w:type="dxa"/>
          </w:tblCellMar>
        </w:tblPrEx>
        <w:trPr>
          <w:cantSplit/>
          <w:trHeight w:val="850" w:hRule="atLeast"/>
          <w:jc w:val="center"/>
        </w:trPr>
        <w:tc>
          <w:tcPr>
            <w:tcW w:w="3093" w:type="dxa"/>
            <w:gridSpan w:val="4"/>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03299FA">
            <w:pPr>
              <w:jc w:val="center"/>
              <w:rPr>
                <w:rFonts w:ascii="宋体"/>
                <w:b/>
                <w:bCs/>
                <w:color w:val="000000" w:themeColor="text1"/>
                <w:sz w:val="24"/>
                <w:szCs w:val="24"/>
                <w14:textFill>
                  <w14:solidFill>
                    <w14:schemeClr w14:val="tx1"/>
                  </w14:solidFill>
                </w14:textFill>
              </w:rPr>
            </w:pPr>
            <w:r>
              <w:rPr>
                <w:rFonts w:hint="eastAsia" w:ascii="宋体"/>
                <w:b/>
                <w:bCs/>
                <w:color w:val="000000" w:themeColor="text1"/>
                <w:sz w:val="24"/>
                <w:szCs w:val="24"/>
                <w14:textFill>
                  <w14:solidFill>
                    <w14:schemeClr w14:val="tx1"/>
                  </w14:solidFill>
                </w14:textFill>
              </w:rPr>
              <w:t>总价合计（小写）</w:t>
            </w:r>
          </w:p>
        </w:tc>
        <w:tc>
          <w:tcPr>
            <w:tcW w:w="780" w:type="dxa"/>
            <w:tcBorders>
              <w:top w:val="single" w:color="auto" w:sz="4" w:space="0"/>
              <w:left w:val="single" w:color="auto" w:sz="4" w:space="0"/>
              <w:bottom w:val="single" w:color="auto" w:sz="4" w:space="0"/>
              <w:right w:val="single" w:color="auto" w:sz="4" w:space="0"/>
            </w:tcBorders>
            <w:vAlign w:val="center"/>
          </w:tcPr>
          <w:p w14:paraId="2049D806">
            <w:pPr>
              <w:jc w:val="center"/>
              <w:rPr>
                <w:rFonts w:ascii="宋体"/>
                <w:b/>
                <w:bCs/>
                <w:color w:val="000000" w:themeColor="text1"/>
                <w:sz w:val="24"/>
                <w:szCs w:val="24"/>
                <w14:textFill>
                  <w14:solidFill>
                    <w14:schemeClr w14:val="tx1"/>
                  </w14:solidFill>
                </w14:textFill>
              </w:rPr>
            </w:pPr>
          </w:p>
        </w:tc>
        <w:tc>
          <w:tcPr>
            <w:tcW w:w="4782" w:type="dxa"/>
            <w:gridSpan w:val="6"/>
            <w:tcBorders>
              <w:top w:val="single" w:color="auto" w:sz="4" w:space="0"/>
              <w:left w:val="single" w:color="auto" w:sz="4" w:space="0"/>
              <w:bottom w:val="single" w:color="auto" w:sz="4" w:space="0"/>
              <w:right w:val="single" w:color="auto" w:sz="4" w:space="0"/>
            </w:tcBorders>
            <w:vAlign w:val="center"/>
          </w:tcPr>
          <w:p w14:paraId="4BF12D9A">
            <w:pPr>
              <w:jc w:val="center"/>
              <w:rPr>
                <w:rFonts w:ascii="宋体"/>
                <w:b/>
                <w:bCs/>
                <w:color w:val="000000" w:themeColor="text1"/>
                <w:sz w:val="24"/>
                <w:szCs w:val="24"/>
                <w14:textFill>
                  <w14:solidFill>
                    <w14:schemeClr w14:val="tx1"/>
                  </w14:solidFill>
                </w14:textFill>
              </w:rPr>
            </w:pPr>
          </w:p>
        </w:tc>
      </w:tr>
    </w:tbl>
    <w:p w14:paraId="1114BB00">
      <w:pPr>
        <w:rPr>
          <w:rFonts w:ascii="宋体" w:hAnsi="宋体" w:cs="宋体"/>
          <w:kern w:val="2"/>
          <w:sz w:val="24"/>
          <w:szCs w:val="24"/>
        </w:rPr>
      </w:pPr>
      <w:r>
        <w:rPr>
          <w:rFonts w:hint="eastAsia" w:ascii="宋体" w:hAnsi="宋体" w:cs="宋体"/>
          <w:kern w:val="2"/>
          <w:sz w:val="24"/>
          <w:szCs w:val="24"/>
        </w:rPr>
        <w:t>注：</w:t>
      </w:r>
    </w:p>
    <w:p w14:paraId="6356AFA9">
      <w:pPr>
        <w:rPr>
          <w:rFonts w:ascii="宋体" w:hAnsi="宋体" w:cs="宋体"/>
          <w:kern w:val="2"/>
          <w:sz w:val="24"/>
          <w:szCs w:val="24"/>
        </w:rPr>
      </w:pPr>
      <w:r>
        <w:rPr>
          <w:rFonts w:hint="eastAsia" w:ascii="宋体" w:hAnsi="宋体" w:cs="宋体"/>
          <w:kern w:val="2"/>
          <w:sz w:val="24"/>
          <w:szCs w:val="24"/>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0F9DDD3C">
      <w:pPr>
        <w:rPr>
          <w:rFonts w:ascii="宋体" w:hAnsi="宋体" w:cs="宋体"/>
          <w:kern w:val="2"/>
          <w:sz w:val="24"/>
          <w:szCs w:val="24"/>
        </w:rPr>
      </w:pPr>
      <w:r>
        <w:rPr>
          <w:rFonts w:hint="eastAsia" w:ascii="宋体" w:hAnsi="宋体" w:cs="宋体"/>
          <w:kern w:val="2"/>
          <w:sz w:val="24"/>
          <w:szCs w:val="24"/>
        </w:rPr>
        <w:t>2.“投标分项报价表”中“投标总报价”数额应当与“开标一览表”中“投标总报价”数额一致。</w:t>
      </w:r>
    </w:p>
    <w:p w14:paraId="363CFD6C">
      <w:pPr>
        <w:rPr>
          <w:rFonts w:ascii="宋体" w:hAnsi="宋体" w:cs="宋体"/>
          <w:kern w:val="2"/>
          <w:sz w:val="24"/>
          <w:szCs w:val="24"/>
        </w:rPr>
      </w:pPr>
      <w:r>
        <w:rPr>
          <w:rFonts w:hint="eastAsia" w:ascii="宋体" w:hAnsi="宋体" w:cs="宋体"/>
          <w:kern w:val="2"/>
          <w:sz w:val="24"/>
          <w:szCs w:val="24"/>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CD2DBAB">
      <w:pPr>
        <w:rPr>
          <w:rFonts w:ascii="宋体" w:hAnsi="宋体" w:cs="宋体"/>
          <w:kern w:val="2"/>
          <w:sz w:val="24"/>
          <w:szCs w:val="24"/>
        </w:rPr>
      </w:pPr>
      <w:r>
        <w:rPr>
          <w:rFonts w:hint="eastAsia" w:ascii="宋体" w:hAnsi="宋体" w:cs="宋体"/>
          <w:kern w:val="2"/>
          <w:sz w:val="24"/>
          <w:szCs w:val="24"/>
        </w:rPr>
        <w:t>4.投标人需认真填写本报价表，尤其注意规格型号的准确填写。</w:t>
      </w:r>
    </w:p>
    <w:p w14:paraId="20421B3F">
      <w:pPr>
        <w:pStyle w:val="17"/>
      </w:pPr>
    </w:p>
    <w:p w14:paraId="231BF77C">
      <w:pPr>
        <w:pStyle w:val="17"/>
      </w:pPr>
    </w:p>
    <w:p w14:paraId="02F22159">
      <w:pPr>
        <w:keepNext/>
        <w:keepLines/>
        <w:spacing w:before="260" w:line="415" w:lineRule="auto"/>
        <w:jc w:val="center"/>
        <w:outlineLvl w:val="1"/>
        <w:rPr>
          <w:rFonts w:ascii="宋体" w:hAnsi="宋体" w:cs="宋体"/>
          <w:b/>
          <w:bCs/>
          <w:iCs/>
          <w:kern w:val="2"/>
          <w:sz w:val="32"/>
          <w:szCs w:val="32"/>
        </w:rPr>
      </w:pPr>
      <w:bookmarkStart w:id="138" w:name="_Toc10084"/>
      <w:r>
        <w:rPr>
          <w:rFonts w:hint="eastAsia" w:ascii="宋体" w:hAnsi="宋体" w:cs="宋体"/>
          <w:b/>
          <w:bCs/>
          <w:iCs/>
          <w:kern w:val="2"/>
          <w:sz w:val="32"/>
          <w:szCs w:val="32"/>
        </w:rPr>
        <w:t>四、技术要求响应及偏离表</w:t>
      </w:r>
      <w:bookmarkEnd w:id="138"/>
    </w:p>
    <w:p w14:paraId="1DF609E2">
      <w:pPr>
        <w:pBdr>
          <w:top w:val="none" w:color="000000" w:sz="0" w:space="0"/>
          <w:left w:val="none" w:color="000000" w:sz="0" w:space="0"/>
          <w:bottom w:val="none" w:color="000000" w:sz="0" w:space="0"/>
          <w:right w:val="none" w:color="000000" w:sz="0" w:space="0"/>
        </w:pBdr>
        <w:jc w:val="left"/>
        <w:rPr>
          <w:rFonts w:ascii="宋体" w:hAnsi="宋体" w:cs="宋体"/>
          <w:kern w:val="2"/>
          <w:sz w:val="24"/>
          <w:szCs w:val="24"/>
        </w:rPr>
      </w:pPr>
    </w:p>
    <w:p w14:paraId="02E5DF93">
      <w:pPr>
        <w:pBdr>
          <w:top w:val="none" w:color="000000" w:sz="0" w:space="0"/>
          <w:left w:val="none" w:color="000000" w:sz="0" w:space="0"/>
          <w:bottom w:val="none" w:color="000000" w:sz="0" w:space="0"/>
          <w:right w:val="none" w:color="000000" w:sz="0" w:space="0"/>
        </w:pBdr>
        <w:jc w:val="left"/>
        <w:rPr>
          <w:rFonts w:hint="eastAsia" w:ascii="宋体" w:hAnsi="宋体" w:eastAsia="宋体" w:cs="宋体"/>
          <w:kern w:val="2"/>
          <w:sz w:val="24"/>
          <w:szCs w:val="24"/>
          <w:lang w:eastAsia="zh-CN"/>
        </w:rPr>
      </w:pPr>
      <w:r>
        <w:rPr>
          <w:rFonts w:hint="eastAsia" w:ascii="宋体" w:hAnsi="宋体" w:cs="宋体"/>
          <w:kern w:val="2"/>
          <w:sz w:val="24"/>
          <w:szCs w:val="24"/>
        </w:rPr>
        <w:t>项目名称：</w:t>
      </w:r>
      <w:r>
        <w:rPr>
          <w:rFonts w:hint="eastAsia" w:ascii="宋体" w:hAnsi="宋体" w:cs="宋体"/>
          <w:kern w:val="2"/>
          <w:sz w:val="24"/>
          <w:szCs w:val="24"/>
          <w:lang w:eastAsia="zh-CN"/>
        </w:rPr>
        <w:t>宝应县人民医院健康管理随访中心信息化平台采购项目（二次）</w:t>
      </w:r>
    </w:p>
    <w:p w14:paraId="47BEC4EC">
      <w:pPr>
        <w:pBdr>
          <w:top w:val="none" w:color="000000" w:sz="0" w:space="0"/>
          <w:left w:val="none" w:color="000000" w:sz="0" w:space="0"/>
          <w:bottom w:val="none" w:color="000000" w:sz="0" w:space="0"/>
          <w:right w:val="none" w:color="000000" w:sz="0" w:space="0"/>
        </w:pBdr>
        <w:jc w:val="left"/>
        <w:rPr>
          <w:rFonts w:ascii="宋体" w:hAnsi="宋体" w:cs="宋体"/>
          <w:kern w:val="2"/>
          <w:sz w:val="24"/>
          <w:szCs w:val="24"/>
        </w:rPr>
      </w:pPr>
      <w:r>
        <w:rPr>
          <w:rFonts w:hint="eastAsia" w:ascii="宋体" w:hAnsi="宋体" w:cs="宋体"/>
          <w:kern w:val="2"/>
          <w:sz w:val="24"/>
          <w:szCs w:val="24"/>
        </w:rPr>
        <w:t xml:space="preserve">项目编号：JSZC-321023-SHGK-G2026-0022 </w:t>
      </w:r>
    </w:p>
    <w:tbl>
      <w:tblPr>
        <w:tblStyle w:val="38"/>
        <w:tblW w:w="0" w:type="auto"/>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007"/>
        <w:gridCol w:w="2852"/>
        <w:gridCol w:w="1308"/>
        <w:gridCol w:w="863"/>
      </w:tblGrid>
      <w:tr w14:paraId="0253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5" w:type="dxa"/>
            <w:vAlign w:val="center"/>
          </w:tcPr>
          <w:p w14:paraId="7C956641">
            <w:pPr>
              <w:jc w:val="center"/>
              <w:rPr>
                <w:rFonts w:ascii="宋体" w:hAnsi="宋体" w:cs="宋体"/>
                <w:kern w:val="2"/>
                <w:sz w:val="24"/>
                <w:szCs w:val="24"/>
              </w:rPr>
            </w:pPr>
            <w:r>
              <w:rPr>
                <w:rFonts w:hint="eastAsia" w:ascii="宋体" w:hAnsi="宋体" w:cs="宋体"/>
                <w:kern w:val="2"/>
                <w:sz w:val="24"/>
                <w:szCs w:val="24"/>
              </w:rPr>
              <w:t>序号</w:t>
            </w:r>
          </w:p>
        </w:tc>
        <w:tc>
          <w:tcPr>
            <w:tcW w:w="3007" w:type="dxa"/>
            <w:vAlign w:val="center"/>
          </w:tcPr>
          <w:p w14:paraId="0A80B843">
            <w:pPr>
              <w:jc w:val="center"/>
              <w:rPr>
                <w:rFonts w:ascii="宋体" w:hAnsi="宋体" w:cs="宋体"/>
                <w:kern w:val="2"/>
                <w:sz w:val="24"/>
                <w:szCs w:val="24"/>
              </w:rPr>
            </w:pPr>
            <w:r>
              <w:rPr>
                <w:rFonts w:hint="eastAsia" w:ascii="宋体" w:hAnsi="宋体" w:cs="宋体"/>
                <w:kern w:val="2"/>
                <w:sz w:val="24"/>
                <w:szCs w:val="24"/>
              </w:rPr>
              <w:t>招标文件中加注“</w:t>
            </w:r>
            <w:r>
              <w:rPr>
                <w:rFonts w:hint="eastAsia"/>
              </w:rPr>
              <w:t>▲</w:t>
            </w:r>
            <w:r>
              <w:rPr>
                <w:rFonts w:hint="eastAsia" w:ascii="宋体" w:hAnsi="宋体" w:cs="宋体"/>
                <w:kern w:val="2"/>
                <w:sz w:val="24"/>
                <w:szCs w:val="24"/>
              </w:rPr>
              <w:t>”的技术要求</w:t>
            </w:r>
          </w:p>
        </w:tc>
        <w:tc>
          <w:tcPr>
            <w:tcW w:w="2852" w:type="dxa"/>
            <w:vAlign w:val="center"/>
          </w:tcPr>
          <w:p w14:paraId="0729A481">
            <w:pPr>
              <w:jc w:val="center"/>
              <w:rPr>
                <w:rFonts w:ascii="宋体" w:hAnsi="宋体" w:cs="宋体"/>
                <w:kern w:val="2"/>
                <w:sz w:val="24"/>
                <w:szCs w:val="24"/>
              </w:rPr>
            </w:pPr>
            <w:r>
              <w:rPr>
                <w:rFonts w:hint="eastAsia" w:ascii="宋体" w:hAnsi="宋体" w:cs="宋体"/>
                <w:kern w:val="2"/>
                <w:sz w:val="24"/>
                <w:szCs w:val="24"/>
              </w:rPr>
              <w:t>投标响应情况</w:t>
            </w:r>
          </w:p>
        </w:tc>
        <w:tc>
          <w:tcPr>
            <w:tcW w:w="1308" w:type="dxa"/>
            <w:vAlign w:val="center"/>
          </w:tcPr>
          <w:p w14:paraId="6398AB3F">
            <w:pPr>
              <w:jc w:val="center"/>
              <w:rPr>
                <w:rFonts w:ascii="宋体" w:hAnsi="宋体" w:cs="宋体"/>
                <w:kern w:val="2"/>
                <w:sz w:val="24"/>
                <w:szCs w:val="24"/>
              </w:rPr>
            </w:pPr>
            <w:r>
              <w:rPr>
                <w:rFonts w:hint="eastAsia" w:ascii="宋体" w:hAnsi="宋体" w:cs="宋体"/>
                <w:kern w:val="2"/>
                <w:sz w:val="24"/>
                <w:szCs w:val="24"/>
              </w:rPr>
              <w:t>超出、符合或偏离</w:t>
            </w:r>
          </w:p>
        </w:tc>
        <w:tc>
          <w:tcPr>
            <w:tcW w:w="863" w:type="dxa"/>
            <w:vAlign w:val="center"/>
          </w:tcPr>
          <w:p w14:paraId="72EE8D8A">
            <w:pPr>
              <w:jc w:val="center"/>
              <w:rPr>
                <w:rFonts w:ascii="宋体" w:hAnsi="宋体" w:cs="宋体"/>
                <w:kern w:val="2"/>
                <w:sz w:val="24"/>
                <w:szCs w:val="24"/>
              </w:rPr>
            </w:pPr>
            <w:r>
              <w:rPr>
                <w:rFonts w:hint="eastAsia" w:ascii="宋体" w:hAnsi="宋体" w:cs="宋体"/>
                <w:kern w:val="2"/>
                <w:sz w:val="24"/>
                <w:szCs w:val="24"/>
              </w:rPr>
              <w:t>证明</w:t>
            </w:r>
          </w:p>
          <w:p w14:paraId="44B8D86D">
            <w:pPr>
              <w:jc w:val="center"/>
              <w:rPr>
                <w:rFonts w:ascii="宋体" w:hAnsi="宋体" w:cs="宋体"/>
                <w:kern w:val="2"/>
                <w:sz w:val="24"/>
                <w:szCs w:val="24"/>
              </w:rPr>
            </w:pPr>
            <w:r>
              <w:rPr>
                <w:rFonts w:hint="eastAsia" w:ascii="宋体" w:hAnsi="宋体" w:cs="宋体"/>
                <w:kern w:val="2"/>
                <w:sz w:val="24"/>
                <w:szCs w:val="24"/>
              </w:rPr>
              <w:t>材料</w:t>
            </w:r>
          </w:p>
        </w:tc>
      </w:tr>
      <w:tr w14:paraId="18D37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5C3A5D27">
            <w:pPr>
              <w:jc w:val="center"/>
              <w:rPr>
                <w:rFonts w:ascii="宋体" w:hAnsi="宋体" w:cs="宋体"/>
                <w:kern w:val="2"/>
                <w:sz w:val="24"/>
                <w:szCs w:val="24"/>
              </w:rPr>
            </w:pPr>
            <w:r>
              <w:rPr>
                <w:rFonts w:hint="eastAsia" w:ascii="宋体" w:hAnsi="宋体" w:cs="宋体"/>
                <w:kern w:val="2"/>
                <w:sz w:val="24"/>
                <w:szCs w:val="24"/>
              </w:rPr>
              <w:t>1</w:t>
            </w:r>
          </w:p>
        </w:tc>
        <w:tc>
          <w:tcPr>
            <w:tcW w:w="3007" w:type="dxa"/>
            <w:vAlign w:val="center"/>
          </w:tcPr>
          <w:p w14:paraId="461497EE">
            <w:pPr>
              <w:rPr>
                <w:rFonts w:ascii="宋体" w:hAnsi="宋体" w:cs="宋体"/>
                <w:kern w:val="2"/>
                <w:sz w:val="24"/>
                <w:szCs w:val="24"/>
              </w:rPr>
            </w:pPr>
            <w:r>
              <w:rPr>
                <w:rFonts w:hint="eastAsia"/>
              </w:rPr>
              <w:t>▲患者标记：支持自定义设置标记，并可以自定义标记的颜色及分组，如医患组可设置纠纷、友好、黑名单等标记，管理组可设置长期、待观察、高危等标记，病种组可设置高血压、糖尿病、肿瘤等标记。可对患者选择一个或多个标记，标记可作为查询条件进行查询。(提供系统演示视频）</w:t>
            </w:r>
          </w:p>
        </w:tc>
        <w:tc>
          <w:tcPr>
            <w:tcW w:w="2852" w:type="dxa"/>
          </w:tcPr>
          <w:p w14:paraId="1F15727C">
            <w:pPr>
              <w:jc w:val="center"/>
              <w:rPr>
                <w:rFonts w:ascii="宋体" w:hAnsi="宋体" w:cs="宋体"/>
                <w:kern w:val="2"/>
                <w:sz w:val="24"/>
                <w:szCs w:val="24"/>
              </w:rPr>
            </w:pPr>
          </w:p>
        </w:tc>
        <w:tc>
          <w:tcPr>
            <w:tcW w:w="1308" w:type="dxa"/>
          </w:tcPr>
          <w:p w14:paraId="14D5BD8A">
            <w:pPr>
              <w:jc w:val="center"/>
              <w:rPr>
                <w:rFonts w:ascii="宋体" w:hAnsi="宋体" w:cs="宋体"/>
                <w:kern w:val="2"/>
                <w:sz w:val="24"/>
                <w:szCs w:val="24"/>
              </w:rPr>
            </w:pPr>
          </w:p>
        </w:tc>
        <w:tc>
          <w:tcPr>
            <w:tcW w:w="863" w:type="dxa"/>
          </w:tcPr>
          <w:p w14:paraId="66D51D57">
            <w:pPr>
              <w:jc w:val="center"/>
              <w:rPr>
                <w:rFonts w:ascii="宋体" w:hAnsi="宋体" w:cs="宋体"/>
                <w:kern w:val="2"/>
                <w:sz w:val="24"/>
                <w:szCs w:val="24"/>
              </w:rPr>
            </w:pPr>
          </w:p>
        </w:tc>
      </w:tr>
      <w:tr w14:paraId="5D700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03167607">
            <w:pPr>
              <w:jc w:val="center"/>
              <w:rPr>
                <w:rFonts w:ascii="宋体" w:hAnsi="宋体" w:cs="宋体"/>
                <w:kern w:val="2"/>
                <w:sz w:val="24"/>
                <w:szCs w:val="24"/>
              </w:rPr>
            </w:pPr>
            <w:r>
              <w:rPr>
                <w:rFonts w:hint="eastAsia" w:ascii="宋体" w:hAnsi="宋体" w:cs="宋体"/>
                <w:kern w:val="2"/>
                <w:sz w:val="24"/>
                <w:szCs w:val="24"/>
              </w:rPr>
              <w:t>2</w:t>
            </w:r>
          </w:p>
        </w:tc>
        <w:tc>
          <w:tcPr>
            <w:tcW w:w="3007" w:type="dxa"/>
            <w:vAlign w:val="center"/>
          </w:tcPr>
          <w:p w14:paraId="0FBAA358">
            <w:pPr>
              <w:rPr>
                <w:rFonts w:ascii="宋体" w:hAnsi="宋体" w:cs="宋体"/>
                <w:kern w:val="2"/>
                <w:sz w:val="24"/>
                <w:szCs w:val="24"/>
              </w:rPr>
            </w:pPr>
            <w:r>
              <w:rPr>
                <w:rFonts w:hint="eastAsia"/>
              </w:rPr>
              <w:t>▲档案字段增加：可以对患者信息页面进行微调，以非代码方式自定义增加患者档案信息字段，对患者档案进行本地化个性化调整，字段位置可灵活定位，字段属性可以是文本输入、选项、数字或日期、可设置可空或必填。(提供系统演示视频）</w:t>
            </w:r>
          </w:p>
        </w:tc>
        <w:tc>
          <w:tcPr>
            <w:tcW w:w="2852" w:type="dxa"/>
          </w:tcPr>
          <w:p w14:paraId="06190E50">
            <w:pPr>
              <w:jc w:val="center"/>
              <w:rPr>
                <w:rFonts w:ascii="宋体" w:hAnsi="宋体" w:cs="宋体"/>
                <w:kern w:val="2"/>
                <w:sz w:val="24"/>
                <w:szCs w:val="24"/>
              </w:rPr>
            </w:pPr>
          </w:p>
        </w:tc>
        <w:tc>
          <w:tcPr>
            <w:tcW w:w="1308" w:type="dxa"/>
          </w:tcPr>
          <w:p w14:paraId="0A46C50B">
            <w:pPr>
              <w:jc w:val="center"/>
              <w:rPr>
                <w:rFonts w:ascii="宋体" w:hAnsi="宋体" w:cs="宋体"/>
                <w:kern w:val="2"/>
                <w:sz w:val="24"/>
                <w:szCs w:val="24"/>
              </w:rPr>
            </w:pPr>
          </w:p>
        </w:tc>
        <w:tc>
          <w:tcPr>
            <w:tcW w:w="863" w:type="dxa"/>
          </w:tcPr>
          <w:p w14:paraId="5801F064">
            <w:pPr>
              <w:jc w:val="center"/>
              <w:rPr>
                <w:rFonts w:ascii="宋体" w:hAnsi="宋体" w:cs="宋体"/>
                <w:kern w:val="2"/>
                <w:sz w:val="24"/>
                <w:szCs w:val="24"/>
              </w:rPr>
            </w:pPr>
          </w:p>
        </w:tc>
      </w:tr>
      <w:tr w14:paraId="4D56F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2E72A83E">
            <w:pPr>
              <w:jc w:val="center"/>
              <w:rPr>
                <w:rFonts w:ascii="宋体" w:hAnsi="宋体" w:cs="宋体"/>
                <w:kern w:val="2"/>
                <w:sz w:val="24"/>
                <w:szCs w:val="24"/>
              </w:rPr>
            </w:pPr>
            <w:r>
              <w:rPr>
                <w:rFonts w:hint="eastAsia" w:ascii="宋体" w:hAnsi="宋体" w:cs="宋体"/>
                <w:kern w:val="2"/>
                <w:sz w:val="24"/>
                <w:szCs w:val="24"/>
              </w:rPr>
              <w:t>3</w:t>
            </w:r>
          </w:p>
        </w:tc>
        <w:tc>
          <w:tcPr>
            <w:tcW w:w="3007" w:type="dxa"/>
            <w:vAlign w:val="center"/>
          </w:tcPr>
          <w:p w14:paraId="7FAD17FA">
            <w:pPr>
              <w:rPr>
                <w:rFonts w:ascii="宋体" w:hAnsi="宋体" w:cs="宋体"/>
                <w:kern w:val="2"/>
                <w:sz w:val="24"/>
                <w:szCs w:val="24"/>
              </w:rPr>
            </w:pPr>
            <w:r>
              <w:rPr>
                <w:rFonts w:hint="eastAsia"/>
              </w:rPr>
              <w:t>▲快捷查询：支持将常用的查询条件设置成自定义快捷查询按钮，在列表页显示，可自定义名称及颜色。(提供系统演示视频）</w:t>
            </w:r>
          </w:p>
        </w:tc>
        <w:tc>
          <w:tcPr>
            <w:tcW w:w="2852" w:type="dxa"/>
          </w:tcPr>
          <w:p w14:paraId="2E7DE0A3">
            <w:pPr>
              <w:jc w:val="center"/>
              <w:rPr>
                <w:rFonts w:ascii="宋体" w:hAnsi="宋体" w:cs="宋体"/>
                <w:kern w:val="2"/>
                <w:sz w:val="24"/>
                <w:szCs w:val="24"/>
              </w:rPr>
            </w:pPr>
          </w:p>
        </w:tc>
        <w:tc>
          <w:tcPr>
            <w:tcW w:w="1308" w:type="dxa"/>
          </w:tcPr>
          <w:p w14:paraId="2E1F88C9">
            <w:pPr>
              <w:jc w:val="center"/>
              <w:rPr>
                <w:rFonts w:ascii="宋体" w:hAnsi="宋体" w:cs="宋体"/>
                <w:kern w:val="2"/>
                <w:sz w:val="24"/>
                <w:szCs w:val="24"/>
              </w:rPr>
            </w:pPr>
          </w:p>
        </w:tc>
        <w:tc>
          <w:tcPr>
            <w:tcW w:w="863" w:type="dxa"/>
          </w:tcPr>
          <w:p w14:paraId="0ACF4A02">
            <w:pPr>
              <w:jc w:val="center"/>
              <w:rPr>
                <w:rFonts w:ascii="宋体" w:hAnsi="宋体" w:cs="宋体"/>
                <w:kern w:val="2"/>
                <w:sz w:val="24"/>
                <w:szCs w:val="24"/>
              </w:rPr>
            </w:pPr>
          </w:p>
        </w:tc>
      </w:tr>
      <w:tr w14:paraId="7829F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1B69DCF5">
            <w:pPr>
              <w:jc w:val="center"/>
              <w:rPr>
                <w:rFonts w:ascii="宋体" w:hAnsi="宋体" w:cs="宋体"/>
                <w:kern w:val="2"/>
                <w:sz w:val="24"/>
                <w:szCs w:val="24"/>
              </w:rPr>
            </w:pPr>
            <w:r>
              <w:rPr>
                <w:rFonts w:hint="eastAsia" w:ascii="宋体" w:hAnsi="宋体" w:cs="宋体"/>
                <w:kern w:val="2"/>
                <w:sz w:val="24"/>
                <w:szCs w:val="24"/>
              </w:rPr>
              <w:t>4</w:t>
            </w:r>
          </w:p>
        </w:tc>
        <w:tc>
          <w:tcPr>
            <w:tcW w:w="3007" w:type="dxa"/>
            <w:vAlign w:val="center"/>
          </w:tcPr>
          <w:p w14:paraId="474E720E">
            <w:pPr>
              <w:rPr>
                <w:rFonts w:ascii="宋体" w:hAnsi="宋体" w:cs="宋体"/>
                <w:kern w:val="2"/>
                <w:sz w:val="24"/>
                <w:szCs w:val="24"/>
              </w:rPr>
            </w:pPr>
            <w:r>
              <w:rPr>
                <w:rFonts w:hint="eastAsia"/>
              </w:rPr>
              <w:t>▲全局高级查询：在任意患者信息列表页的搜索功能中，支持全局跨页面多条件组合查询，如在患者基本信息页面，可以自定义关联检验、检查、住院、随访等页面的字段作为查询条件。请提供至少３种不同信息页不少于５个字段组合的查询方案。(提供系统演示视频）</w:t>
            </w:r>
          </w:p>
        </w:tc>
        <w:tc>
          <w:tcPr>
            <w:tcW w:w="2852" w:type="dxa"/>
          </w:tcPr>
          <w:p w14:paraId="277A4EC4">
            <w:pPr>
              <w:jc w:val="center"/>
              <w:rPr>
                <w:rFonts w:ascii="宋体" w:hAnsi="宋体" w:cs="宋体"/>
                <w:kern w:val="2"/>
                <w:sz w:val="24"/>
                <w:szCs w:val="24"/>
              </w:rPr>
            </w:pPr>
          </w:p>
        </w:tc>
        <w:tc>
          <w:tcPr>
            <w:tcW w:w="1308" w:type="dxa"/>
          </w:tcPr>
          <w:p w14:paraId="1A2C7A37">
            <w:pPr>
              <w:jc w:val="center"/>
              <w:rPr>
                <w:rFonts w:ascii="宋体" w:hAnsi="宋体" w:cs="宋体"/>
                <w:kern w:val="2"/>
                <w:sz w:val="24"/>
                <w:szCs w:val="24"/>
              </w:rPr>
            </w:pPr>
          </w:p>
        </w:tc>
        <w:tc>
          <w:tcPr>
            <w:tcW w:w="863" w:type="dxa"/>
          </w:tcPr>
          <w:p w14:paraId="37594E9F">
            <w:pPr>
              <w:jc w:val="center"/>
              <w:rPr>
                <w:rFonts w:ascii="宋体" w:hAnsi="宋体" w:cs="宋体"/>
                <w:kern w:val="2"/>
                <w:sz w:val="24"/>
                <w:szCs w:val="24"/>
              </w:rPr>
            </w:pPr>
          </w:p>
        </w:tc>
      </w:tr>
      <w:tr w14:paraId="2841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7DFE8671">
            <w:pPr>
              <w:jc w:val="center"/>
              <w:rPr>
                <w:rFonts w:ascii="宋体" w:hAnsi="宋体" w:cs="宋体"/>
                <w:kern w:val="2"/>
                <w:sz w:val="24"/>
                <w:szCs w:val="24"/>
              </w:rPr>
            </w:pPr>
            <w:r>
              <w:rPr>
                <w:rFonts w:hint="eastAsia" w:ascii="宋体" w:hAnsi="宋体" w:cs="宋体"/>
                <w:kern w:val="2"/>
                <w:sz w:val="24"/>
                <w:szCs w:val="24"/>
              </w:rPr>
              <w:t>5</w:t>
            </w:r>
          </w:p>
        </w:tc>
        <w:tc>
          <w:tcPr>
            <w:tcW w:w="3007" w:type="dxa"/>
            <w:vAlign w:val="center"/>
          </w:tcPr>
          <w:p w14:paraId="2878A340">
            <w:pPr>
              <w:rPr>
                <w:rFonts w:ascii="宋体" w:hAnsi="宋体" w:cs="宋体"/>
                <w:kern w:val="2"/>
                <w:sz w:val="24"/>
                <w:szCs w:val="24"/>
              </w:rPr>
            </w:pPr>
            <w:r>
              <w:rPr>
                <w:rFonts w:hint="eastAsia"/>
              </w:rPr>
              <w:t>▲问卷异常项设置：支持随访异常设置，可自定义配置某问题的异常判断条件，判定方式不少于5种。(提供系统演示视频）</w:t>
            </w:r>
          </w:p>
        </w:tc>
        <w:tc>
          <w:tcPr>
            <w:tcW w:w="2852" w:type="dxa"/>
          </w:tcPr>
          <w:p w14:paraId="371B8E04">
            <w:pPr>
              <w:jc w:val="center"/>
              <w:rPr>
                <w:rFonts w:ascii="宋体" w:hAnsi="宋体" w:cs="宋体"/>
                <w:kern w:val="2"/>
                <w:sz w:val="24"/>
                <w:szCs w:val="24"/>
              </w:rPr>
            </w:pPr>
          </w:p>
        </w:tc>
        <w:tc>
          <w:tcPr>
            <w:tcW w:w="1308" w:type="dxa"/>
          </w:tcPr>
          <w:p w14:paraId="3723F909">
            <w:pPr>
              <w:jc w:val="center"/>
              <w:rPr>
                <w:rFonts w:ascii="宋体" w:hAnsi="宋体" w:cs="宋体"/>
                <w:kern w:val="2"/>
                <w:sz w:val="24"/>
                <w:szCs w:val="24"/>
              </w:rPr>
            </w:pPr>
          </w:p>
        </w:tc>
        <w:tc>
          <w:tcPr>
            <w:tcW w:w="863" w:type="dxa"/>
          </w:tcPr>
          <w:p w14:paraId="7A158FFA">
            <w:pPr>
              <w:jc w:val="center"/>
              <w:rPr>
                <w:rFonts w:ascii="宋体" w:hAnsi="宋体" w:cs="宋体"/>
                <w:kern w:val="2"/>
                <w:sz w:val="24"/>
                <w:szCs w:val="24"/>
              </w:rPr>
            </w:pPr>
          </w:p>
        </w:tc>
      </w:tr>
      <w:tr w14:paraId="3378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72450610">
            <w:pPr>
              <w:jc w:val="center"/>
              <w:rPr>
                <w:rFonts w:ascii="宋体" w:hAnsi="宋体" w:cs="宋体"/>
                <w:kern w:val="2"/>
                <w:sz w:val="24"/>
                <w:szCs w:val="24"/>
              </w:rPr>
            </w:pPr>
            <w:r>
              <w:rPr>
                <w:rFonts w:hint="eastAsia" w:ascii="宋体" w:hAnsi="宋体" w:cs="宋体"/>
                <w:kern w:val="2"/>
                <w:sz w:val="24"/>
                <w:szCs w:val="24"/>
              </w:rPr>
              <w:t>6</w:t>
            </w:r>
          </w:p>
        </w:tc>
        <w:tc>
          <w:tcPr>
            <w:tcW w:w="3007" w:type="dxa"/>
            <w:vAlign w:val="center"/>
          </w:tcPr>
          <w:p w14:paraId="5D0682DB">
            <w:pPr>
              <w:rPr>
                <w:rFonts w:ascii="宋体" w:hAnsi="宋体" w:cs="宋体"/>
                <w:kern w:val="2"/>
                <w:sz w:val="24"/>
                <w:szCs w:val="24"/>
              </w:rPr>
            </w:pPr>
            <w:r>
              <w:rPr>
                <w:rFonts w:hint="eastAsia"/>
              </w:rPr>
              <w:t>▲分发参数设置：支持设置随访表单中的答案值作为系统执行条件，自动启动数据处理目标，处理目标项包括患者信息填入、创建任务、取消任务、关联反馈等任务，提交问卷符合执行条件，则自动启动任务。(提供系统功能截图）</w:t>
            </w:r>
          </w:p>
        </w:tc>
        <w:tc>
          <w:tcPr>
            <w:tcW w:w="2852" w:type="dxa"/>
          </w:tcPr>
          <w:p w14:paraId="5DD6ECE4">
            <w:pPr>
              <w:jc w:val="center"/>
              <w:rPr>
                <w:rFonts w:ascii="宋体" w:hAnsi="宋体" w:cs="宋体"/>
                <w:kern w:val="2"/>
                <w:sz w:val="24"/>
                <w:szCs w:val="24"/>
              </w:rPr>
            </w:pPr>
          </w:p>
        </w:tc>
        <w:tc>
          <w:tcPr>
            <w:tcW w:w="1308" w:type="dxa"/>
          </w:tcPr>
          <w:p w14:paraId="194ABECC">
            <w:pPr>
              <w:jc w:val="center"/>
              <w:rPr>
                <w:rFonts w:ascii="宋体" w:hAnsi="宋体" w:cs="宋体"/>
                <w:kern w:val="2"/>
                <w:sz w:val="24"/>
                <w:szCs w:val="24"/>
              </w:rPr>
            </w:pPr>
          </w:p>
        </w:tc>
        <w:tc>
          <w:tcPr>
            <w:tcW w:w="863" w:type="dxa"/>
          </w:tcPr>
          <w:p w14:paraId="63865506">
            <w:pPr>
              <w:jc w:val="center"/>
              <w:rPr>
                <w:rFonts w:ascii="宋体" w:hAnsi="宋体" w:cs="宋体"/>
                <w:kern w:val="2"/>
                <w:sz w:val="24"/>
                <w:szCs w:val="24"/>
              </w:rPr>
            </w:pPr>
          </w:p>
        </w:tc>
      </w:tr>
      <w:tr w14:paraId="37FEC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39A5C1DF">
            <w:pPr>
              <w:jc w:val="center"/>
              <w:rPr>
                <w:rFonts w:ascii="宋体" w:hAnsi="宋体" w:cs="宋体"/>
                <w:kern w:val="2"/>
                <w:sz w:val="24"/>
                <w:szCs w:val="24"/>
              </w:rPr>
            </w:pPr>
            <w:r>
              <w:rPr>
                <w:rFonts w:hint="eastAsia" w:ascii="宋体" w:hAnsi="宋体" w:cs="宋体"/>
                <w:kern w:val="2"/>
                <w:sz w:val="24"/>
                <w:szCs w:val="24"/>
              </w:rPr>
              <w:t>7</w:t>
            </w:r>
          </w:p>
        </w:tc>
        <w:tc>
          <w:tcPr>
            <w:tcW w:w="3007" w:type="dxa"/>
            <w:vAlign w:val="center"/>
          </w:tcPr>
          <w:p w14:paraId="270B5F15">
            <w:pPr>
              <w:rPr>
                <w:rFonts w:ascii="宋体" w:hAnsi="宋体" w:cs="宋体"/>
                <w:kern w:val="2"/>
                <w:sz w:val="24"/>
                <w:szCs w:val="24"/>
              </w:rPr>
            </w:pPr>
            <w:r>
              <w:rPr>
                <w:rFonts w:hint="eastAsia"/>
              </w:rPr>
              <w:t>▲可设置随访接收对象为本人、家属或全部。随访路径可设置计划起始日期，包括创建日期、最近门诊、最近出院、手术日期、最近入院日期、指定起始日期等。路径中的各个随访节点可设置在起始日期、上次日期之前或之后多少日、周、月、年。(提供系统演示视频）</w:t>
            </w:r>
          </w:p>
        </w:tc>
        <w:tc>
          <w:tcPr>
            <w:tcW w:w="2852" w:type="dxa"/>
          </w:tcPr>
          <w:p w14:paraId="7A4B5EA6">
            <w:pPr>
              <w:jc w:val="center"/>
              <w:rPr>
                <w:rFonts w:ascii="宋体" w:hAnsi="宋体" w:cs="宋体"/>
                <w:kern w:val="2"/>
                <w:sz w:val="24"/>
                <w:szCs w:val="24"/>
              </w:rPr>
            </w:pPr>
          </w:p>
        </w:tc>
        <w:tc>
          <w:tcPr>
            <w:tcW w:w="1308" w:type="dxa"/>
          </w:tcPr>
          <w:p w14:paraId="387B0516">
            <w:pPr>
              <w:jc w:val="center"/>
              <w:rPr>
                <w:rFonts w:ascii="宋体" w:hAnsi="宋体" w:cs="宋体"/>
                <w:kern w:val="2"/>
                <w:sz w:val="24"/>
                <w:szCs w:val="24"/>
              </w:rPr>
            </w:pPr>
          </w:p>
        </w:tc>
        <w:tc>
          <w:tcPr>
            <w:tcW w:w="863" w:type="dxa"/>
          </w:tcPr>
          <w:p w14:paraId="627EDD5B">
            <w:pPr>
              <w:jc w:val="center"/>
              <w:rPr>
                <w:rFonts w:ascii="宋体" w:hAnsi="宋体" w:cs="宋体"/>
                <w:kern w:val="2"/>
                <w:sz w:val="24"/>
                <w:szCs w:val="24"/>
              </w:rPr>
            </w:pPr>
          </w:p>
        </w:tc>
      </w:tr>
      <w:tr w14:paraId="617AE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4425F849">
            <w:pPr>
              <w:jc w:val="center"/>
              <w:rPr>
                <w:rFonts w:ascii="宋体" w:hAnsi="宋体" w:cs="宋体"/>
                <w:kern w:val="2"/>
                <w:sz w:val="24"/>
                <w:szCs w:val="24"/>
              </w:rPr>
            </w:pPr>
            <w:r>
              <w:rPr>
                <w:rFonts w:hint="eastAsia" w:ascii="宋体" w:hAnsi="宋体" w:cs="宋体"/>
                <w:kern w:val="2"/>
                <w:sz w:val="24"/>
                <w:szCs w:val="24"/>
              </w:rPr>
              <w:t>8</w:t>
            </w:r>
          </w:p>
        </w:tc>
        <w:tc>
          <w:tcPr>
            <w:tcW w:w="3007" w:type="dxa"/>
            <w:vAlign w:val="center"/>
          </w:tcPr>
          <w:p w14:paraId="7FB2F0D1">
            <w:pPr>
              <w:rPr>
                <w:rFonts w:ascii="宋体" w:hAnsi="宋体" w:cs="宋体"/>
                <w:kern w:val="2"/>
                <w:sz w:val="24"/>
                <w:szCs w:val="24"/>
              </w:rPr>
            </w:pPr>
            <w:r>
              <w:rPr>
                <w:rFonts w:hint="eastAsia"/>
              </w:rPr>
              <w:t>▲随访规则管理：系统支持设置随访规则，自动筛选符合条件的患者，匹配相应的随访任务。支持设置随访时间间隔，避免对短时间再入院患者随访。支持设置优先级，支持设置是否开启自动过滤选项，包括：死亡患者、不接受随访、无联系方式等。(提供系统演示视频）</w:t>
            </w:r>
          </w:p>
        </w:tc>
        <w:tc>
          <w:tcPr>
            <w:tcW w:w="2852" w:type="dxa"/>
          </w:tcPr>
          <w:p w14:paraId="0ECD7C23">
            <w:pPr>
              <w:jc w:val="center"/>
              <w:rPr>
                <w:rFonts w:ascii="宋体" w:hAnsi="宋体" w:cs="宋体"/>
                <w:kern w:val="2"/>
                <w:sz w:val="24"/>
                <w:szCs w:val="24"/>
              </w:rPr>
            </w:pPr>
          </w:p>
        </w:tc>
        <w:tc>
          <w:tcPr>
            <w:tcW w:w="1308" w:type="dxa"/>
          </w:tcPr>
          <w:p w14:paraId="7C200814">
            <w:pPr>
              <w:jc w:val="center"/>
              <w:rPr>
                <w:rFonts w:ascii="宋体" w:hAnsi="宋体" w:cs="宋体"/>
                <w:kern w:val="2"/>
                <w:sz w:val="24"/>
                <w:szCs w:val="24"/>
              </w:rPr>
            </w:pPr>
          </w:p>
        </w:tc>
        <w:tc>
          <w:tcPr>
            <w:tcW w:w="863" w:type="dxa"/>
          </w:tcPr>
          <w:p w14:paraId="73E2DE66">
            <w:pPr>
              <w:jc w:val="center"/>
              <w:rPr>
                <w:rFonts w:ascii="宋体" w:hAnsi="宋体" w:cs="宋体"/>
                <w:kern w:val="2"/>
                <w:sz w:val="24"/>
                <w:szCs w:val="24"/>
              </w:rPr>
            </w:pPr>
          </w:p>
        </w:tc>
      </w:tr>
      <w:tr w14:paraId="1922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43259524">
            <w:pPr>
              <w:jc w:val="center"/>
              <w:rPr>
                <w:rFonts w:ascii="宋体" w:hAnsi="宋体" w:cs="宋体"/>
                <w:kern w:val="2"/>
                <w:sz w:val="24"/>
                <w:szCs w:val="24"/>
              </w:rPr>
            </w:pPr>
            <w:r>
              <w:rPr>
                <w:rFonts w:hint="eastAsia" w:ascii="宋体" w:hAnsi="宋体" w:cs="宋体"/>
                <w:kern w:val="2"/>
                <w:sz w:val="24"/>
                <w:szCs w:val="24"/>
              </w:rPr>
              <w:t>9</w:t>
            </w:r>
          </w:p>
        </w:tc>
        <w:tc>
          <w:tcPr>
            <w:tcW w:w="3007" w:type="dxa"/>
            <w:vAlign w:val="center"/>
          </w:tcPr>
          <w:p w14:paraId="13D74C10">
            <w:pPr>
              <w:rPr>
                <w:rFonts w:ascii="宋体" w:hAnsi="宋体" w:cs="宋体"/>
                <w:kern w:val="2"/>
                <w:sz w:val="24"/>
                <w:szCs w:val="24"/>
              </w:rPr>
            </w:pPr>
            <w:r>
              <w:rPr>
                <w:rFonts w:hint="eastAsia"/>
              </w:rPr>
              <w:t>▲随访执行：具备多功能综合随访工作台，支持在执行随访时，无需跳转其他页面即可查看和修改患者基本信息、历次门诊住院信息、查看历次随访记录、历次通讯记录、查看当前随访问卷。支持在随访时，无需跳转其他页面就可以执行一键拨打电话、发送短信和微信，填写随访问卷、记录患者表扬投诉等反馈内容；支持支持在随访时，无需跳转其他页面，即可添加随访备注、联系人、患者标记，通过关键词查询知识库。支持在随访时，无需跳转其他页面就可以设置随访状态，取消随访、调整当前随访计划。(提供系统演示视频）</w:t>
            </w:r>
          </w:p>
        </w:tc>
        <w:tc>
          <w:tcPr>
            <w:tcW w:w="2852" w:type="dxa"/>
          </w:tcPr>
          <w:p w14:paraId="458DCE50">
            <w:pPr>
              <w:jc w:val="center"/>
              <w:rPr>
                <w:rFonts w:ascii="宋体" w:hAnsi="宋体" w:cs="宋体"/>
                <w:kern w:val="2"/>
                <w:sz w:val="24"/>
                <w:szCs w:val="24"/>
              </w:rPr>
            </w:pPr>
          </w:p>
        </w:tc>
        <w:tc>
          <w:tcPr>
            <w:tcW w:w="1308" w:type="dxa"/>
          </w:tcPr>
          <w:p w14:paraId="6C30BE5C">
            <w:pPr>
              <w:jc w:val="center"/>
              <w:rPr>
                <w:rFonts w:ascii="宋体" w:hAnsi="宋体" w:cs="宋体"/>
                <w:kern w:val="2"/>
                <w:sz w:val="24"/>
                <w:szCs w:val="24"/>
              </w:rPr>
            </w:pPr>
          </w:p>
        </w:tc>
        <w:tc>
          <w:tcPr>
            <w:tcW w:w="863" w:type="dxa"/>
          </w:tcPr>
          <w:p w14:paraId="2503AD75">
            <w:pPr>
              <w:jc w:val="center"/>
              <w:rPr>
                <w:rFonts w:ascii="宋体" w:hAnsi="宋体" w:cs="宋体"/>
                <w:kern w:val="2"/>
                <w:sz w:val="24"/>
                <w:szCs w:val="24"/>
              </w:rPr>
            </w:pPr>
          </w:p>
        </w:tc>
      </w:tr>
      <w:tr w14:paraId="477B5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5111F33A">
            <w:pPr>
              <w:jc w:val="center"/>
              <w:rPr>
                <w:rFonts w:ascii="宋体" w:hAnsi="宋体" w:cs="宋体"/>
                <w:kern w:val="2"/>
                <w:sz w:val="24"/>
                <w:szCs w:val="24"/>
              </w:rPr>
            </w:pPr>
            <w:r>
              <w:rPr>
                <w:rFonts w:hint="eastAsia" w:ascii="宋体" w:hAnsi="宋体" w:cs="宋体"/>
                <w:kern w:val="2"/>
                <w:sz w:val="24"/>
                <w:szCs w:val="24"/>
              </w:rPr>
              <w:t>10</w:t>
            </w:r>
          </w:p>
        </w:tc>
        <w:tc>
          <w:tcPr>
            <w:tcW w:w="3007" w:type="dxa"/>
            <w:vAlign w:val="center"/>
          </w:tcPr>
          <w:p w14:paraId="38ACD728">
            <w:pPr>
              <w:rPr>
                <w:rFonts w:ascii="宋体" w:hAnsi="宋体" w:cs="宋体"/>
                <w:kern w:val="2"/>
                <w:sz w:val="24"/>
                <w:szCs w:val="24"/>
              </w:rPr>
            </w:pPr>
            <w:r>
              <w:rPr>
                <w:rFonts w:hint="eastAsia"/>
              </w:rPr>
              <w:t>▲角色规划管理：支持同时选择多个角色对照展示各角色权限范围内的功能列表，并支持对各角色所属功能菜单进行重命名、上移、下移、取消授权、添加授权等操作。(提供系统功能截图）</w:t>
            </w:r>
          </w:p>
        </w:tc>
        <w:tc>
          <w:tcPr>
            <w:tcW w:w="2852" w:type="dxa"/>
          </w:tcPr>
          <w:p w14:paraId="59C6E043">
            <w:pPr>
              <w:jc w:val="center"/>
              <w:rPr>
                <w:rFonts w:ascii="宋体" w:hAnsi="宋体" w:cs="宋体"/>
                <w:kern w:val="2"/>
                <w:sz w:val="24"/>
                <w:szCs w:val="24"/>
              </w:rPr>
            </w:pPr>
          </w:p>
        </w:tc>
        <w:tc>
          <w:tcPr>
            <w:tcW w:w="1308" w:type="dxa"/>
          </w:tcPr>
          <w:p w14:paraId="3D96562A">
            <w:pPr>
              <w:jc w:val="center"/>
              <w:rPr>
                <w:rFonts w:ascii="宋体" w:hAnsi="宋体" w:cs="宋体"/>
                <w:kern w:val="2"/>
                <w:sz w:val="24"/>
                <w:szCs w:val="24"/>
              </w:rPr>
            </w:pPr>
          </w:p>
        </w:tc>
        <w:tc>
          <w:tcPr>
            <w:tcW w:w="863" w:type="dxa"/>
          </w:tcPr>
          <w:p w14:paraId="4B744B58">
            <w:pPr>
              <w:jc w:val="center"/>
              <w:rPr>
                <w:rFonts w:ascii="宋体" w:hAnsi="宋体" w:cs="宋体"/>
                <w:kern w:val="2"/>
                <w:sz w:val="24"/>
                <w:szCs w:val="24"/>
              </w:rPr>
            </w:pPr>
          </w:p>
        </w:tc>
      </w:tr>
      <w:tr w14:paraId="11E12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trPr>
        <w:tc>
          <w:tcPr>
            <w:tcW w:w="705" w:type="dxa"/>
            <w:vAlign w:val="center"/>
          </w:tcPr>
          <w:p w14:paraId="60D5B129">
            <w:pPr>
              <w:jc w:val="center"/>
              <w:rPr>
                <w:rFonts w:ascii="宋体" w:hAnsi="宋体" w:cs="宋体"/>
                <w:kern w:val="2"/>
                <w:sz w:val="24"/>
                <w:szCs w:val="24"/>
              </w:rPr>
            </w:pPr>
            <w:r>
              <w:rPr>
                <w:rFonts w:hint="eastAsia" w:ascii="宋体" w:hAnsi="宋体" w:cs="宋体"/>
                <w:kern w:val="2"/>
                <w:sz w:val="24"/>
                <w:szCs w:val="24"/>
              </w:rPr>
              <w:t>11</w:t>
            </w:r>
          </w:p>
        </w:tc>
        <w:tc>
          <w:tcPr>
            <w:tcW w:w="3007" w:type="dxa"/>
            <w:vAlign w:val="center"/>
          </w:tcPr>
          <w:p w14:paraId="00FA62D1">
            <w:pPr>
              <w:rPr>
                <w:rFonts w:ascii="宋体" w:hAnsi="宋体" w:cs="宋体"/>
                <w:kern w:val="2"/>
                <w:sz w:val="24"/>
                <w:szCs w:val="24"/>
              </w:rPr>
            </w:pPr>
            <w:r>
              <w:rPr>
                <w:rFonts w:hint="eastAsia"/>
              </w:rPr>
              <w:t>▲系统菜单管理：支持对系统所有菜单进行管理，包括自定义修改菜单名称、调整上下级关系，调整菜单排序等功能。支持将菜单分配给指定的系统角色，赋予改角色使用菜单的权限。(提供系统演示视频）</w:t>
            </w:r>
          </w:p>
        </w:tc>
        <w:tc>
          <w:tcPr>
            <w:tcW w:w="2852" w:type="dxa"/>
          </w:tcPr>
          <w:p w14:paraId="20AD9523">
            <w:pPr>
              <w:jc w:val="center"/>
              <w:rPr>
                <w:rFonts w:ascii="宋体" w:hAnsi="宋体" w:cs="宋体"/>
                <w:kern w:val="2"/>
                <w:sz w:val="24"/>
                <w:szCs w:val="24"/>
              </w:rPr>
            </w:pPr>
          </w:p>
        </w:tc>
        <w:tc>
          <w:tcPr>
            <w:tcW w:w="1308" w:type="dxa"/>
          </w:tcPr>
          <w:p w14:paraId="3E3F35CF">
            <w:pPr>
              <w:jc w:val="center"/>
              <w:rPr>
                <w:rFonts w:ascii="宋体" w:hAnsi="宋体" w:cs="宋体"/>
                <w:kern w:val="2"/>
                <w:sz w:val="24"/>
                <w:szCs w:val="24"/>
              </w:rPr>
            </w:pPr>
          </w:p>
        </w:tc>
        <w:tc>
          <w:tcPr>
            <w:tcW w:w="863" w:type="dxa"/>
          </w:tcPr>
          <w:p w14:paraId="1A00203A">
            <w:pPr>
              <w:jc w:val="center"/>
              <w:rPr>
                <w:rFonts w:ascii="宋体" w:hAnsi="宋体" w:cs="宋体"/>
                <w:kern w:val="2"/>
                <w:sz w:val="24"/>
                <w:szCs w:val="24"/>
              </w:rPr>
            </w:pPr>
          </w:p>
        </w:tc>
      </w:tr>
      <w:tr w14:paraId="62F2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04B9AF85">
            <w:pPr>
              <w:jc w:val="center"/>
              <w:rPr>
                <w:rFonts w:ascii="宋体" w:hAnsi="宋体" w:cs="宋体"/>
                <w:kern w:val="2"/>
                <w:sz w:val="24"/>
                <w:szCs w:val="24"/>
              </w:rPr>
            </w:pPr>
            <w:r>
              <w:rPr>
                <w:rFonts w:hint="eastAsia" w:ascii="宋体" w:hAnsi="宋体" w:cs="宋体"/>
                <w:kern w:val="2"/>
                <w:sz w:val="24"/>
                <w:szCs w:val="24"/>
              </w:rPr>
              <w:t>12</w:t>
            </w:r>
          </w:p>
        </w:tc>
        <w:tc>
          <w:tcPr>
            <w:tcW w:w="3007" w:type="dxa"/>
            <w:vAlign w:val="center"/>
          </w:tcPr>
          <w:p w14:paraId="628F3F5B">
            <w:pPr>
              <w:rPr>
                <w:rFonts w:ascii="宋体" w:hAnsi="宋体" w:cs="宋体"/>
                <w:kern w:val="2"/>
                <w:sz w:val="24"/>
                <w:szCs w:val="24"/>
              </w:rPr>
            </w:pPr>
            <w:r>
              <w:rPr>
                <w:rFonts w:hint="eastAsia"/>
              </w:rPr>
              <w:t>▲系统自动质检：支持系统自动质检运行情况，自动生成质检记录，自动发送给系统相关技术管理人员。并且支持手动临时系统质检，生成质检评估记录，支持导出。(提供系统功能截图）</w:t>
            </w:r>
          </w:p>
        </w:tc>
        <w:tc>
          <w:tcPr>
            <w:tcW w:w="2852" w:type="dxa"/>
          </w:tcPr>
          <w:p w14:paraId="2C7E6F2F">
            <w:pPr>
              <w:jc w:val="center"/>
              <w:rPr>
                <w:rFonts w:ascii="宋体" w:hAnsi="宋体" w:cs="宋体"/>
                <w:kern w:val="2"/>
                <w:sz w:val="24"/>
                <w:szCs w:val="24"/>
              </w:rPr>
            </w:pPr>
          </w:p>
        </w:tc>
        <w:tc>
          <w:tcPr>
            <w:tcW w:w="1308" w:type="dxa"/>
          </w:tcPr>
          <w:p w14:paraId="097C31D9">
            <w:pPr>
              <w:jc w:val="center"/>
              <w:rPr>
                <w:rFonts w:ascii="宋体" w:hAnsi="宋体" w:cs="宋体"/>
                <w:kern w:val="2"/>
                <w:sz w:val="24"/>
                <w:szCs w:val="24"/>
              </w:rPr>
            </w:pPr>
          </w:p>
        </w:tc>
        <w:tc>
          <w:tcPr>
            <w:tcW w:w="863" w:type="dxa"/>
          </w:tcPr>
          <w:p w14:paraId="7C910827">
            <w:pPr>
              <w:jc w:val="center"/>
              <w:rPr>
                <w:rFonts w:ascii="宋体" w:hAnsi="宋体" w:cs="宋体"/>
                <w:kern w:val="2"/>
                <w:sz w:val="24"/>
                <w:szCs w:val="24"/>
              </w:rPr>
            </w:pPr>
          </w:p>
        </w:tc>
      </w:tr>
      <w:tr w14:paraId="454CA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1401C2C0">
            <w:pPr>
              <w:jc w:val="center"/>
              <w:rPr>
                <w:rFonts w:ascii="宋体" w:hAnsi="宋体" w:cs="宋体"/>
                <w:kern w:val="2"/>
                <w:sz w:val="24"/>
                <w:szCs w:val="24"/>
              </w:rPr>
            </w:pPr>
            <w:r>
              <w:rPr>
                <w:rFonts w:hint="eastAsia" w:ascii="宋体" w:hAnsi="宋体" w:cs="宋体"/>
                <w:kern w:val="2"/>
                <w:sz w:val="24"/>
                <w:szCs w:val="24"/>
              </w:rPr>
              <w:t>13</w:t>
            </w:r>
          </w:p>
        </w:tc>
        <w:tc>
          <w:tcPr>
            <w:tcW w:w="3007" w:type="dxa"/>
            <w:vAlign w:val="center"/>
          </w:tcPr>
          <w:p w14:paraId="2298F5DA">
            <w:pPr>
              <w:rPr>
                <w:rFonts w:ascii="宋体" w:hAnsi="宋体" w:cs="宋体"/>
                <w:kern w:val="2"/>
                <w:sz w:val="24"/>
                <w:szCs w:val="24"/>
              </w:rPr>
            </w:pPr>
            <w:r>
              <w:rPr>
                <w:rFonts w:hint="eastAsia"/>
              </w:rPr>
              <w:t>▲医德考评细则：分为基础分、本题上限分数、下限分数，题目排序。可以根据类别选择考核对象，比如医生、护士、全院职工。里面的细项支持加分、减分、每细项加分次数、减分次数。(提供系统功能截图）</w:t>
            </w:r>
          </w:p>
        </w:tc>
        <w:tc>
          <w:tcPr>
            <w:tcW w:w="2852" w:type="dxa"/>
          </w:tcPr>
          <w:p w14:paraId="611C6537">
            <w:pPr>
              <w:jc w:val="center"/>
              <w:rPr>
                <w:rFonts w:ascii="宋体" w:hAnsi="宋体" w:cs="宋体"/>
                <w:kern w:val="2"/>
                <w:sz w:val="24"/>
                <w:szCs w:val="24"/>
              </w:rPr>
            </w:pPr>
          </w:p>
        </w:tc>
        <w:tc>
          <w:tcPr>
            <w:tcW w:w="1308" w:type="dxa"/>
          </w:tcPr>
          <w:p w14:paraId="1963D197">
            <w:pPr>
              <w:jc w:val="center"/>
              <w:rPr>
                <w:rFonts w:ascii="宋体" w:hAnsi="宋体" w:cs="宋体"/>
                <w:kern w:val="2"/>
                <w:sz w:val="24"/>
                <w:szCs w:val="24"/>
              </w:rPr>
            </w:pPr>
          </w:p>
        </w:tc>
        <w:tc>
          <w:tcPr>
            <w:tcW w:w="863" w:type="dxa"/>
          </w:tcPr>
          <w:p w14:paraId="256C42D5">
            <w:pPr>
              <w:jc w:val="center"/>
              <w:rPr>
                <w:rFonts w:ascii="宋体" w:hAnsi="宋体" w:cs="宋体"/>
                <w:kern w:val="2"/>
                <w:sz w:val="24"/>
                <w:szCs w:val="24"/>
              </w:rPr>
            </w:pPr>
          </w:p>
        </w:tc>
      </w:tr>
      <w:tr w14:paraId="78B44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28FADF6D">
            <w:pPr>
              <w:jc w:val="center"/>
              <w:rPr>
                <w:rFonts w:ascii="宋体" w:hAnsi="宋体" w:cs="宋体"/>
                <w:kern w:val="2"/>
                <w:sz w:val="24"/>
                <w:szCs w:val="24"/>
              </w:rPr>
            </w:pPr>
            <w:r>
              <w:rPr>
                <w:rFonts w:hint="eastAsia" w:ascii="宋体" w:hAnsi="宋体" w:cs="宋体"/>
                <w:kern w:val="2"/>
                <w:sz w:val="24"/>
                <w:szCs w:val="24"/>
              </w:rPr>
              <w:t>14</w:t>
            </w:r>
          </w:p>
        </w:tc>
        <w:tc>
          <w:tcPr>
            <w:tcW w:w="3007" w:type="dxa"/>
            <w:vAlign w:val="center"/>
          </w:tcPr>
          <w:p w14:paraId="3B5A2E51">
            <w:pPr>
              <w:rPr>
                <w:rFonts w:ascii="宋体" w:hAnsi="宋体" w:cs="宋体"/>
                <w:kern w:val="2"/>
                <w:sz w:val="24"/>
                <w:szCs w:val="24"/>
              </w:rPr>
            </w:pPr>
            <w:r>
              <w:rPr>
                <w:rFonts w:hint="eastAsia"/>
              </w:rPr>
              <w:t>▲动态随访配置：支持将不同的专病子计划，按照不同的条件设置动态随访路径方案，如设置首个子计划以及自定义添加后续子计划，可设置子计划循环次数，支持勾选任务终止参数：任务取消、患者死亡、患者失访。(提供系统功能截图）</w:t>
            </w:r>
          </w:p>
        </w:tc>
        <w:tc>
          <w:tcPr>
            <w:tcW w:w="2852" w:type="dxa"/>
          </w:tcPr>
          <w:p w14:paraId="0DAFAB7A">
            <w:pPr>
              <w:jc w:val="center"/>
              <w:rPr>
                <w:rFonts w:ascii="宋体" w:hAnsi="宋体" w:cs="宋体"/>
                <w:kern w:val="2"/>
                <w:sz w:val="24"/>
                <w:szCs w:val="24"/>
              </w:rPr>
            </w:pPr>
          </w:p>
        </w:tc>
        <w:tc>
          <w:tcPr>
            <w:tcW w:w="1308" w:type="dxa"/>
          </w:tcPr>
          <w:p w14:paraId="275216D4">
            <w:pPr>
              <w:jc w:val="center"/>
              <w:rPr>
                <w:rFonts w:ascii="宋体" w:hAnsi="宋体" w:cs="宋体"/>
                <w:kern w:val="2"/>
                <w:sz w:val="24"/>
                <w:szCs w:val="24"/>
              </w:rPr>
            </w:pPr>
          </w:p>
        </w:tc>
        <w:tc>
          <w:tcPr>
            <w:tcW w:w="863" w:type="dxa"/>
          </w:tcPr>
          <w:p w14:paraId="13427CA3">
            <w:pPr>
              <w:jc w:val="center"/>
              <w:rPr>
                <w:rFonts w:ascii="宋体" w:hAnsi="宋体" w:cs="宋体"/>
                <w:kern w:val="2"/>
                <w:sz w:val="24"/>
                <w:szCs w:val="24"/>
              </w:rPr>
            </w:pPr>
          </w:p>
        </w:tc>
      </w:tr>
      <w:tr w14:paraId="6F9B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05" w:type="dxa"/>
            <w:vAlign w:val="center"/>
          </w:tcPr>
          <w:p w14:paraId="370E86D7">
            <w:pPr>
              <w:jc w:val="center"/>
              <w:rPr>
                <w:rFonts w:ascii="宋体" w:hAnsi="宋体" w:cs="宋体"/>
                <w:kern w:val="2"/>
                <w:sz w:val="24"/>
                <w:szCs w:val="24"/>
              </w:rPr>
            </w:pPr>
            <w:r>
              <w:rPr>
                <w:rFonts w:hint="eastAsia" w:ascii="宋体" w:hAnsi="宋体" w:cs="宋体"/>
                <w:kern w:val="2"/>
                <w:sz w:val="24"/>
                <w:szCs w:val="24"/>
              </w:rPr>
              <w:t>15</w:t>
            </w:r>
          </w:p>
        </w:tc>
        <w:tc>
          <w:tcPr>
            <w:tcW w:w="3007" w:type="dxa"/>
            <w:vAlign w:val="center"/>
          </w:tcPr>
          <w:p w14:paraId="4357ACC3">
            <w:pPr>
              <w:rPr>
                <w:rFonts w:ascii="宋体" w:hAnsi="宋体" w:cs="宋体"/>
                <w:kern w:val="2"/>
                <w:sz w:val="24"/>
                <w:szCs w:val="24"/>
              </w:rPr>
            </w:pPr>
            <w:r>
              <w:rPr>
                <w:rFonts w:hint="eastAsia"/>
              </w:rPr>
              <w:t>▲课题规则设置：支持设置课题组对应的数据筛查规则，数据筛查条件包括数据类型、所属机构，支持设置过滤条件包括是否导入死亡、无号码、终点期患者，可设置最大导入量；支持设置多种指标的数据范围进行筛查，指标之间可设置并且、或者关系，同时支持使用模块化语句扩展更多个性化规则。(提供系统演示视频）</w:t>
            </w:r>
          </w:p>
        </w:tc>
        <w:tc>
          <w:tcPr>
            <w:tcW w:w="2852" w:type="dxa"/>
          </w:tcPr>
          <w:p w14:paraId="158B99B2">
            <w:pPr>
              <w:jc w:val="center"/>
              <w:rPr>
                <w:rFonts w:ascii="宋体" w:hAnsi="宋体" w:cs="宋体"/>
                <w:kern w:val="2"/>
                <w:sz w:val="24"/>
                <w:szCs w:val="24"/>
              </w:rPr>
            </w:pPr>
          </w:p>
        </w:tc>
        <w:tc>
          <w:tcPr>
            <w:tcW w:w="1308" w:type="dxa"/>
          </w:tcPr>
          <w:p w14:paraId="279407E0">
            <w:pPr>
              <w:jc w:val="center"/>
              <w:rPr>
                <w:rFonts w:ascii="宋体" w:hAnsi="宋体" w:cs="宋体"/>
                <w:kern w:val="2"/>
                <w:sz w:val="24"/>
                <w:szCs w:val="24"/>
              </w:rPr>
            </w:pPr>
          </w:p>
        </w:tc>
        <w:tc>
          <w:tcPr>
            <w:tcW w:w="863" w:type="dxa"/>
          </w:tcPr>
          <w:p w14:paraId="74FED76A">
            <w:pPr>
              <w:jc w:val="center"/>
              <w:rPr>
                <w:rFonts w:ascii="宋体" w:hAnsi="宋体" w:cs="宋体"/>
                <w:kern w:val="2"/>
                <w:sz w:val="24"/>
                <w:szCs w:val="24"/>
              </w:rPr>
            </w:pPr>
          </w:p>
        </w:tc>
      </w:tr>
    </w:tbl>
    <w:p w14:paraId="28C77812">
      <w:pPr>
        <w:rPr>
          <w:rFonts w:ascii="宋体" w:hAnsi="宋体" w:cs="宋体"/>
          <w:kern w:val="2"/>
          <w:sz w:val="24"/>
          <w:szCs w:val="24"/>
        </w:rPr>
      </w:pPr>
      <w:r>
        <w:rPr>
          <w:rFonts w:hint="eastAsia" w:ascii="宋体" w:hAnsi="宋体" w:cs="宋体"/>
          <w:kern w:val="2"/>
          <w:sz w:val="24"/>
          <w:szCs w:val="24"/>
        </w:rPr>
        <w:t xml:space="preserve">注： </w:t>
      </w:r>
    </w:p>
    <w:p w14:paraId="07561F49">
      <w:pPr>
        <w:rPr>
          <w:rFonts w:ascii="宋体" w:hAnsi="宋体" w:cs="宋体"/>
          <w:kern w:val="2"/>
          <w:sz w:val="24"/>
          <w:szCs w:val="24"/>
        </w:rPr>
      </w:pPr>
      <w:r>
        <w:rPr>
          <w:rFonts w:hint="eastAsia" w:ascii="宋体" w:hAnsi="宋体" w:cs="宋体"/>
          <w:kern w:val="2"/>
          <w:sz w:val="24"/>
          <w:szCs w:val="24"/>
        </w:rPr>
        <w:t>1.本表格须按照</w:t>
      </w:r>
      <w:r>
        <w:rPr>
          <w:rFonts w:hint="eastAsia" w:ascii="宋体" w:hAnsi="宋体" w:cs="宋体"/>
          <w:b/>
          <w:kern w:val="2"/>
          <w:sz w:val="24"/>
          <w:szCs w:val="24"/>
          <w:u w:val="single"/>
        </w:rPr>
        <w:t>上述技术要求</w:t>
      </w:r>
      <w:r>
        <w:rPr>
          <w:rFonts w:hint="eastAsia" w:ascii="宋体" w:hAnsi="宋体" w:cs="宋体"/>
          <w:kern w:val="2"/>
          <w:sz w:val="24"/>
          <w:szCs w:val="24"/>
        </w:rPr>
        <w:t>全部内容逐项响应，按照投标情况填写超出、符合或偏离；</w:t>
      </w:r>
    </w:p>
    <w:p w14:paraId="0DFAF7B5">
      <w:pPr>
        <w:pStyle w:val="2"/>
      </w:pPr>
      <w:r>
        <w:rPr>
          <w:rFonts w:hint="eastAsia" w:hAnsi="宋体"/>
        </w:rPr>
        <w:t>2.</w:t>
      </w:r>
      <w:r>
        <w:rPr>
          <w:rFonts w:hint="eastAsia" w:hAnsi="宋体"/>
          <w:b/>
          <w:color w:val="auto"/>
          <w:kern w:val="2"/>
          <w:u w:val="single"/>
        </w:rPr>
        <w:t>上述技术要求</w:t>
      </w:r>
      <w:r>
        <w:rPr>
          <w:rFonts w:hint="eastAsia" w:hAnsi="宋体"/>
          <w:bCs/>
          <w:color w:val="auto"/>
          <w:kern w:val="2"/>
        </w:rPr>
        <w:t>请按招标要求</w:t>
      </w:r>
      <w:r>
        <w:rPr>
          <w:rFonts w:hint="eastAsia" w:hAnsi="宋体"/>
          <w:color w:val="000000" w:themeColor="text1"/>
          <w14:textFill>
            <w14:solidFill>
              <w14:schemeClr w14:val="tx1"/>
            </w14:solidFill>
          </w14:textFill>
        </w:rPr>
        <w:t>需提供相关证明材料（系统演示视频/系统功能截图），</w:t>
      </w:r>
      <w:r>
        <w:rPr>
          <w:rFonts w:hint="eastAsia" w:hAnsi="宋体"/>
          <w:color w:val="0000FF"/>
        </w:rPr>
        <w:t>未提供相关证明材料视为负偏离</w:t>
      </w:r>
      <w:r>
        <w:rPr>
          <w:rFonts w:hint="eastAsia" w:hAnsi="宋体"/>
        </w:rPr>
        <w:t>，</w:t>
      </w:r>
      <w:r>
        <w:rPr>
          <w:rFonts w:hint="eastAsia" w:hAnsi="宋体"/>
          <w:color w:val="0000FF"/>
        </w:rPr>
        <w:t>页面或相关材料不清晰或页码标注问题影响评审，评标委员会有权视为负偏离。</w:t>
      </w:r>
    </w:p>
    <w:p w14:paraId="6FFD9977">
      <w:pPr>
        <w:rPr>
          <w:rFonts w:ascii="宋体" w:hAnsi="宋体" w:cs="宋体"/>
          <w:kern w:val="2"/>
          <w:sz w:val="24"/>
          <w:szCs w:val="24"/>
        </w:rPr>
      </w:pPr>
      <w:r>
        <w:rPr>
          <w:rFonts w:hint="eastAsia" w:ascii="宋体" w:hAnsi="宋体" w:cs="宋体"/>
          <w:kern w:val="2"/>
          <w:sz w:val="24"/>
          <w:szCs w:val="24"/>
        </w:rPr>
        <w:t>4.</w:t>
      </w:r>
      <w:r>
        <w:rPr>
          <w:rFonts w:hint="eastAsia" w:ascii="宋体" w:hAnsi="宋体" w:cs="宋体"/>
          <w:kern w:val="2"/>
          <w:sz w:val="24"/>
          <w:szCs w:val="24"/>
          <w:highlight w:val="green"/>
        </w:rPr>
        <w:t xml:space="preserve"> 招标文件要求提供证明材料，投标人需将证明材料列于该表之下。</w:t>
      </w:r>
    </w:p>
    <w:p w14:paraId="6EF56BB4">
      <w:pPr>
        <w:rPr>
          <w:rFonts w:ascii="宋体" w:hAnsi="宋体" w:cs="宋体"/>
          <w:kern w:val="2"/>
          <w:sz w:val="24"/>
          <w:szCs w:val="24"/>
        </w:rPr>
      </w:pPr>
    </w:p>
    <w:p w14:paraId="5831D3CC">
      <w:pPr>
        <w:pStyle w:val="2"/>
      </w:pPr>
    </w:p>
    <w:p w14:paraId="0A97193F">
      <w:pPr>
        <w:keepNext/>
        <w:keepLines/>
        <w:spacing w:before="260" w:line="415" w:lineRule="auto"/>
        <w:jc w:val="center"/>
        <w:outlineLvl w:val="1"/>
        <w:rPr>
          <w:rFonts w:ascii="宋体" w:hAnsi="宋体" w:cs="宋体"/>
          <w:b/>
          <w:bCs/>
          <w:iCs/>
          <w:kern w:val="2"/>
          <w:sz w:val="32"/>
          <w:szCs w:val="32"/>
        </w:rPr>
      </w:pPr>
      <w:bookmarkStart w:id="139" w:name="_Toc14880"/>
      <w:r>
        <w:rPr>
          <w:rFonts w:hint="eastAsia" w:ascii="宋体" w:hAnsi="宋体" w:cs="宋体"/>
          <w:b/>
          <w:bCs/>
          <w:iCs/>
          <w:kern w:val="2"/>
          <w:sz w:val="32"/>
          <w:szCs w:val="32"/>
        </w:rPr>
        <w:t>五、资格要求的证明文件</w:t>
      </w:r>
      <w:bookmarkEnd w:id="139"/>
    </w:p>
    <w:p w14:paraId="61B03B16">
      <w:pPr>
        <w:keepNext/>
        <w:keepLines/>
        <w:spacing w:line="360" w:lineRule="auto"/>
        <w:jc w:val="left"/>
        <w:outlineLvl w:val="2"/>
        <w:rPr>
          <w:rFonts w:ascii="宋体" w:hAnsi="宋体" w:cs="宋体"/>
          <w:i/>
          <w:kern w:val="2"/>
          <w:sz w:val="24"/>
          <w:szCs w:val="24"/>
          <w:u w:val="single"/>
        </w:rPr>
      </w:pPr>
      <w:bookmarkStart w:id="140" w:name="_Toc26003"/>
      <w:r>
        <w:rPr>
          <w:rFonts w:hint="eastAsia" w:ascii="宋体" w:hAnsi="宋体" w:cs="宋体"/>
          <w:i/>
          <w:kern w:val="2"/>
          <w:sz w:val="24"/>
          <w:szCs w:val="24"/>
          <w:u w:val="single"/>
        </w:rPr>
        <w:t>5.1、法人或者其他组织的营业执照等证明文件，自然人的身份证明</w:t>
      </w:r>
      <w:bookmarkEnd w:id="140"/>
    </w:p>
    <w:p w14:paraId="40D7937C"/>
    <w:p w14:paraId="2941C361">
      <w:pPr>
        <w:keepNext/>
        <w:keepLines/>
        <w:spacing w:line="360" w:lineRule="auto"/>
        <w:jc w:val="left"/>
        <w:outlineLvl w:val="2"/>
        <w:rPr>
          <w:rFonts w:ascii="宋体" w:hAnsi="宋体" w:cs="宋体"/>
          <w:i/>
          <w:kern w:val="2"/>
          <w:sz w:val="24"/>
          <w:szCs w:val="24"/>
          <w:u w:val="single"/>
        </w:rPr>
      </w:pPr>
      <w:bookmarkStart w:id="141" w:name="_Toc19251"/>
      <w:r>
        <w:rPr>
          <w:rFonts w:hint="eastAsia" w:ascii="宋体" w:hAnsi="宋体" w:cs="宋体"/>
          <w:i/>
          <w:kern w:val="2"/>
          <w:sz w:val="24"/>
          <w:szCs w:val="24"/>
          <w:u w:val="single"/>
        </w:rPr>
        <w:t>5.2、上一年度的财务状况报告</w:t>
      </w:r>
      <w:bookmarkEnd w:id="141"/>
    </w:p>
    <w:p w14:paraId="5AF13714">
      <w:pPr>
        <w:ind w:firstLine="482"/>
        <w:rPr>
          <w:rFonts w:ascii="宋体" w:hAnsi="宋体" w:cs="宋体"/>
          <w:bCs/>
          <w:sz w:val="24"/>
        </w:rPr>
      </w:pPr>
      <w:r>
        <w:rPr>
          <w:rFonts w:hint="eastAsia"/>
          <w:color w:val="000000" w:themeColor="text1"/>
          <w14:textFill>
            <w14:solidFill>
              <w14:schemeClr w14:val="tx1"/>
            </w14:solidFill>
          </w14:textFill>
        </w:rPr>
        <w:t>（提供2025年度的财务报表或投标截止时间前六个月内银行出具的资信证明，成立不满一年无需提供）</w:t>
      </w:r>
    </w:p>
    <w:p w14:paraId="72DAE81C"/>
    <w:p w14:paraId="53075EF3">
      <w:pPr>
        <w:keepNext/>
        <w:keepLines/>
        <w:spacing w:line="360" w:lineRule="auto"/>
        <w:jc w:val="left"/>
        <w:outlineLvl w:val="2"/>
        <w:rPr>
          <w:rFonts w:ascii="宋体" w:hAnsi="宋体" w:cs="宋体"/>
          <w:i/>
          <w:kern w:val="2"/>
          <w:sz w:val="24"/>
          <w:szCs w:val="24"/>
          <w:u w:val="single"/>
        </w:rPr>
      </w:pPr>
      <w:bookmarkStart w:id="142" w:name="_Toc27035"/>
      <w:r>
        <w:rPr>
          <w:rFonts w:hint="eastAsia" w:ascii="宋体" w:hAnsi="宋体" w:cs="宋体"/>
          <w:i/>
          <w:kern w:val="2"/>
          <w:sz w:val="24"/>
          <w:szCs w:val="24"/>
          <w:u w:val="single"/>
        </w:rPr>
        <w:t>5.3、依法缴纳税收和社会保障资金的相关材料</w:t>
      </w:r>
      <w:bookmarkEnd w:id="142"/>
    </w:p>
    <w:p w14:paraId="5CD275F4">
      <w:pPr>
        <w:ind w:firstLine="420" w:firstLineChars="200"/>
        <w:rPr>
          <w:rFonts w:ascii="宋体" w:hAnsi="宋体" w:cs="宋体"/>
          <w:bCs/>
          <w:sz w:val="24"/>
        </w:rPr>
      </w:pPr>
      <w:r>
        <w:rPr>
          <w:rFonts w:hint="eastAsia"/>
          <w:color w:val="000000" w:themeColor="text1"/>
          <w14:textFill>
            <w14:solidFill>
              <w14:schemeClr w14:val="tx1"/>
            </w14:solidFill>
          </w14:textFill>
        </w:rPr>
        <w:t>（提供开标截止时间前六个月内任一月份</w:t>
      </w:r>
      <w:r>
        <w:rPr>
          <w:rFonts w:hint="eastAsia"/>
          <w:b/>
          <w:bCs/>
          <w:color w:val="000000" w:themeColor="text1"/>
          <w:u w:val="single"/>
          <w14:textFill>
            <w14:solidFill>
              <w14:schemeClr w14:val="tx1"/>
            </w14:solidFill>
          </w14:textFill>
        </w:rPr>
        <w:t>依法缴纳税收和社会保障资金的凭据</w:t>
      </w:r>
      <w:r>
        <w:rPr>
          <w:rFonts w:hint="eastAsia"/>
          <w:color w:val="000000" w:themeColor="text1"/>
          <w14:textFill>
            <w14:solidFill>
              <w14:schemeClr w14:val="tx1"/>
            </w14:solidFill>
          </w14:textFill>
        </w:rPr>
        <w:t>，复印件加盖公章）（提供相关主管部门证明或银行代扣证明的复印件，根据国家相关政策免缴或迟缴的需提供相关证明材料）</w:t>
      </w:r>
    </w:p>
    <w:p w14:paraId="1103FE24"/>
    <w:p w14:paraId="61395F27">
      <w:pPr>
        <w:keepNext/>
        <w:keepLines/>
        <w:spacing w:line="360" w:lineRule="auto"/>
        <w:jc w:val="left"/>
        <w:outlineLvl w:val="2"/>
        <w:rPr>
          <w:rFonts w:ascii="宋体" w:hAnsi="宋体" w:cs="宋体"/>
          <w:i/>
          <w:kern w:val="2"/>
          <w:sz w:val="24"/>
          <w:szCs w:val="24"/>
          <w:u w:val="single"/>
        </w:rPr>
      </w:pPr>
      <w:bookmarkStart w:id="143" w:name="_Toc19196"/>
      <w:r>
        <w:rPr>
          <w:rFonts w:hint="eastAsia" w:ascii="宋体" w:hAnsi="宋体" w:cs="宋体"/>
          <w:i/>
          <w:kern w:val="2"/>
          <w:sz w:val="24"/>
          <w:szCs w:val="24"/>
          <w:u w:val="single"/>
        </w:rPr>
        <w:t>5.4、具备履行合同所必需的设备和专业技术能力的书面声明</w:t>
      </w:r>
      <w:bookmarkEnd w:id="143"/>
    </w:p>
    <w:p w14:paraId="71043E38">
      <w:pPr>
        <w:spacing w:line="460" w:lineRule="exact"/>
        <w:jc w:val="center"/>
        <w:rPr>
          <w:rFonts w:ascii="宋体" w:hAnsi="宋体" w:cs="宋体"/>
          <w:bCs/>
          <w:kern w:val="2"/>
          <w:sz w:val="24"/>
        </w:rPr>
      </w:pPr>
      <w:r>
        <w:rPr>
          <w:rFonts w:hint="eastAsia" w:ascii="宋体" w:hAnsi="宋体" w:cs="宋体"/>
          <w:bCs/>
          <w:kern w:val="2"/>
          <w:sz w:val="30"/>
          <w:szCs w:val="30"/>
        </w:rPr>
        <w:t>声明</w:t>
      </w:r>
    </w:p>
    <w:p w14:paraId="4AD3EF7E">
      <w:pPr>
        <w:spacing w:line="460" w:lineRule="exact"/>
        <w:ind w:firstLine="492"/>
        <w:rPr>
          <w:rFonts w:ascii="宋体" w:hAnsi="宋体" w:cs="宋体"/>
          <w:bCs/>
          <w:kern w:val="2"/>
          <w:sz w:val="24"/>
        </w:rPr>
      </w:pPr>
      <w:r>
        <w:rPr>
          <w:rFonts w:hint="eastAsia" w:ascii="宋体" w:hAnsi="宋体" w:cs="宋体"/>
          <w:bCs/>
          <w:kern w:val="2"/>
          <w:sz w:val="24"/>
        </w:rPr>
        <w:t>致：宝应县人民医院</w:t>
      </w:r>
    </w:p>
    <w:p w14:paraId="3F978612">
      <w:pPr>
        <w:spacing w:line="460" w:lineRule="exact"/>
        <w:ind w:firstLine="492"/>
        <w:rPr>
          <w:rFonts w:ascii="宋体" w:hAnsi="宋体" w:cs="宋体"/>
          <w:bCs/>
          <w:kern w:val="2"/>
          <w:sz w:val="24"/>
        </w:rPr>
      </w:pPr>
      <w:r>
        <w:rPr>
          <w:rFonts w:hint="eastAsia" w:ascii="宋体" w:hAnsi="宋体" w:cs="宋体"/>
          <w:bCs/>
          <w:kern w:val="2"/>
          <w:sz w:val="24"/>
        </w:rPr>
        <w:t>我单位郑重声明：我单位具备履行本项采购合同所必需的设备和专业技术能力，为履行本项采购合同我公司具备如下主要设备和主要专业技术能力：</w:t>
      </w:r>
    </w:p>
    <w:p w14:paraId="32FF3D74">
      <w:pPr>
        <w:spacing w:line="460" w:lineRule="exact"/>
        <w:ind w:firstLine="492"/>
        <w:rPr>
          <w:rFonts w:ascii="宋体" w:hAnsi="宋体" w:cs="宋体"/>
          <w:bCs/>
          <w:kern w:val="2"/>
          <w:sz w:val="24"/>
        </w:rPr>
      </w:pPr>
      <w:r>
        <w:rPr>
          <w:rFonts w:hint="eastAsia" w:ascii="宋体" w:hAnsi="宋体" w:cs="宋体"/>
          <w:bCs/>
          <w:kern w:val="2"/>
          <w:sz w:val="24"/>
        </w:rPr>
        <w:t>主要设备有：  。</w:t>
      </w:r>
    </w:p>
    <w:p w14:paraId="04E5479D">
      <w:pPr>
        <w:spacing w:line="460" w:lineRule="exact"/>
        <w:ind w:firstLine="492"/>
        <w:rPr>
          <w:rFonts w:ascii="宋体" w:hAnsi="宋体" w:cs="宋体"/>
          <w:bCs/>
          <w:kern w:val="2"/>
          <w:sz w:val="24"/>
        </w:rPr>
      </w:pPr>
      <w:r>
        <w:rPr>
          <w:rFonts w:hint="eastAsia" w:ascii="宋体" w:hAnsi="宋体" w:cs="宋体"/>
          <w:bCs/>
          <w:kern w:val="2"/>
          <w:sz w:val="24"/>
        </w:rPr>
        <w:t>主要专业技术能力有：   。</w:t>
      </w:r>
    </w:p>
    <w:p w14:paraId="6AF8F58D">
      <w:pPr>
        <w:spacing w:line="460" w:lineRule="exact"/>
        <w:ind w:firstLine="492"/>
        <w:rPr>
          <w:rFonts w:ascii="宋体" w:hAnsi="宋体" w:cs="宋体"/>
          <w:bCs/>
          <w:kern w:val="2"/>
          <w:sz w:val="24"/>
        </w:rPr>
      </w:pPr>
      <w:r>
        <w:rPr>
          <w:rFonts w:hint="eastAsia" w:ascii="宋体" w:hAnsi="宋体" w:cs="宋体"/>
          <w:bCs/>
          <w:kern w:val="2"/>
          <w:sz w:val="24"/>
        </w:rPr>
        <w:t>特此声明！</w:t>
      </w:r>
    </w:p>
    <w:p w14:paraId="6BF0FFCE">
      <w:pPr>
        <w:spacing w:line="460" w:lineRule="exact"/>
        <w:ind w:firstLine="492"/>
        <w:rPr>
          <w:rFonts w:ascii="宋体" w:hAnsi="宋体" w:cs="宋体"/>
          <w:bCs/>
          <w:kern w:val="2"/>
          <w:sz w:val="24"/>
        </w:rPr>
      </w:pPr>
    </w:p>
    <w:p w14:paraId="17927D19">
      <w:pPr>
        <w:spacing w:line="460" w:lineRule="exact"/>
        <w:ind w:firstLine="492"/>
        <w:rPr>
          <w:rFonts w:ascii="宋体" w:hAnsi="宋体" w:cs="宋体"/>
          <w:bCs/>
          <w:kern w:val="2"/>
          <w:sz w:val="24"/>
        </w:rPr>
      </w:pPr>
      <w:r>
        <w:rPr>
          <w:rFonts w:hint="eastAsia" w:ascii="宋体" w:hAnsi="宋体" w:cs="宋体"/>
          <w:bCs/>
          <w:kern w:val="2"/>
          <w:sz w:val="24"/>
        </w:rPr>
        <w:t>投标人名称：（加盖CA电子公章）</w:t>
      </w:r>
    </w:p>
    <w:p w14:paraId="69D5D3EA">
      <w:pPr>
        <w:spacing w:line="460" w:lineRule="exact"/>
        <w:ind w:firstLine="492"/>
        <w:rPr>
          <w:rFonts w:ascii="宋体" w:hAnsi="宋体" w:cs="宋体"/>
          <w:bCs/>
          <w:kern w:val="2"/>
          <w:sz w:val="24"/>
        </w:rPr>
      </w:pPr>
      <w:r>
        <w:rPr>
          <w:rFonts w:hint="eastAsia" w:ascii="宋体" w:hAnsi="宋体" w:cs="宋体"/>
          <w:bCs/>
          <w:kern w:val="2"/>
          <w:sz w:val="24"/>
        </w:rPr>
        <w:t>日期：2026年XX月XX日</w:t>
      </w:r>
    </w:p>
    <w:p w14:paraId="4B2F9BD0">
      <w:pPr>
        <w:rPr>
          <w:rFonts w:ascii="宋体" w:hAnsi="宋体" w:cs="宋体"/>
          <w:kern w:val="2"/>
        </w:rPr>
      </w:pPr>
    </w:p>
    <w:p w14:paraId="7C79524D">
      <w:pPr>
        <w:keepNext/>
        <w:keepLines/>
        <w:spacing w:line="360" w:lineRule="auto"/>
        <w:jc w:val="left"/>
        <w:outlineLvl w:val="2"/>
        <w:rPr>
          <w:rFonts w:ascii="宋体" w:hAnsi="宋体" w:cs="宋体"/>
          <w:i/>
          <w:kern w:val="2"/>
          <w:sz w:val="24"/>
          <w:szCs w:val="24"/>
          <w:u w:val="single"/>
        </w:rPr>
      </w:pPr>
      <w:bookmarkStart w:id="144" w:name="_Toc12734"/>
      <w:r>
        <w:rPr>
          <w:rFonts w:hint="eastAsia" w:ascii="宋体" w:hAnsi="宋体" w:cs="宋体"/>
          <w:i/>
          <w:kern w:val="2"/>
          <w:sz w:val="24"/>
          <w:szCs w:val="24"/>
          <w:u w:val="single"/>
        </w:rPr>
        <w:t>5.5、参加政府采购活动前 3 年内在经营活动中没有重大违法记录的书面声明</w:t>
      </w:r>
      <w:bookmarkEnd w:id="144"/>
    </w:p>
    <w:p w14:paraId="555748B6">
      <w:pPr>
        <w:spacing w:line="460" w:lineRule="exact"/>
        <w:jc w:val="center"/>
        <w:rPr>
          <w:rFonts w:ascii="宋体" w:hAnsi="宋体" w:cs="宋体"/>
          <w:b/>
          <w:bCs/>
          <w:kern w:val="2"/>
          <w:sz w:val="44"/>
          <w:szCs w:val="44"/>
        </w:rPr>
      </w:pPr>
      <w:r>
        <w:rPr>
          <w:rFonts w:hint="eastAsia" w:ascii="宋体" w:hAnsi="宋体" w:cs="宋体"/>
          <w:bCs/>
          <w:kern w:val="2"/>
          <w:sz w:val="30"/>
          <w:szCs w:val="30"/>
        </w:rPr>
        <w:t>声明</w:t>
      </w:r>
    </w:p>
    <w:p w14:paraId="108D47F6">
      <w:pPr>
        <w:spacing w:line="460" w:lineRule="exact"/>
        <w:ind w:firstLine="492"/>
        <w:rPr>
          <w:rFonts w:ascii="宋体" w:hAnsi="宋体" w:cs="宋体"/>
          <w:bCs/>
          <w:kern w:val="2"/>
          <w:sz w:val="24"/>
        </w:rPr>
      </w:pPr>
      <w:r>
        <w:rPr>
          <w:rFonts w:hint="eastAsia" w:ascii="宋体" w:hAnsi="宋体" w:cs="宋体"/>
          <w:bCs/>
          <w:kern w:val="2"/>
          <w:sz w:val="24"/>
        </w:rPr>
        <w:t>致：宝应县人民医院</w:t>
      </w:r>
    </w:p>
    <w:p w14:paraId="170E53AE">
      <w:pPr>
        <w:spacing w:line="460" w:lineRule="exact"/>
        <w:ind w:firstLine="492"/>
        <w:rPr>
          <w:rFonts w:ascii="宋体" w:hAnsi="宋体" w:cs="宋体"/>
          <w:bCs/>
          <w:kern w:val="2"/>
          <w:sz w:val="24"/>
        </w:rPr>
      </w:pPr>
      <w:r>
        <w:rPr>
          <w:rFonts w:hint="eastAsia" w:ascii="宋体" w:hAnsi="宋体" w:cs="宋体"/>
          <w:bCs/>
          <w:kern w:val="2"/>
          <w:sz w:val="24"/>
        </w:rPr>
        <w:t>我单位郑重声明：参加本次政府采购活动前3年内，我单位在经营活动中没有因违法经营受到刑事处罚或者责令停产停业、吊销许可证或者执照、较大数额罚款等行政处罚。</w:t>
      </w:r>
    </w:p>
    <w:p w14:paraId="1BACED3D">
      <w:pPr>
        <w:spacing w:line="460" w:lineRule="exact"/>
        <w:ind w:firstLine="492"/>
        <w:rPr>
          <w:rFonts w:ascii="宋体" w:hAnsi="宋体" w:cs="宋体"/>
          <w:bCs/>
          <w:kern w:val="2"/>
          <w:sz w:val="24"/>
        </w:rPr>
      </w:pPr>
      <w:r>
        <w:rPr>
          <w:rFonts w:hint="eastAsia" w:ascii="宋体" w:hAnsi="宋体" w:cs="宋体"/>
          <w:bCs/>
          <w:kern w:val="2"/>
          <w:sz w:val="24"/>
        </w:rPr>
        <w:t>特此声明！</w:t>
      </w:r>
    </w:p>
    <w:p w14:paraId="54160B62">
      <w:pPr>
        <w:spacing w:line="460" w:lineRule="exact"/>
        <w:ind w:firstLine="492"/>
        <w:rPr>
          <w:rFonts w:ascii="宋体" w:hAnsi="宋体" w:cs="宋体"/>
          <w:bCs/>
          <w:kern w:val="2"/>
          <w:sz w:val="24"/>
        </w:rPr>
      </w:pPr>
    </w:p>
    <w:p w14:paraId="6CBFA0B7">
      <w:pPr>
        <w:spacing w:line="460" w:lineRule="exact"/>
        <w:ind w:firstLine="492"/>
        <w:rPr>
          <w:rFonts w:ascii="宋体" w:hAnsi="宋体" w:cs="宋体"/>
          <w:bCs/>
          <w:kern w:val="2"/>
          <w:sz w:val="24"/>
        </w:rPr>
      </w:pPr>
      <w:r>
        <w:rPr>
          <w:rFonts w:hint="eastAsia" w:ascii="宋体" w:hAnsi="宋体" w:cs="宋体"/>
          <w:bCs/>
          <w:kern w:val="2"/>
          <w:sz w:val="24"/>
        </w:rPr>
        <w:t>投标人名称：（加盖CA电子公章）</w:t>
      </w:r>
    </w:p>
    <w:p w14:paraId="0E857ED3">
      <w:pPr>
        <w:spacing w:line="460" w:lineRule="exact"/>
        <w:ind w:firstLine="492"/>
        <w:rPr>
          <w:rFonts w:ascii="宋体" w:hAnsi="宋体" w:cs="宋体"/>
          <w:bCs/>
          <w:kern w:val="2"/>
          <w:sz w:val="24"/>
        </w:rPr>
      </w:pPr>
      <w:r>
        <w:rPr>
          <w:rFonts w:hint="eastAsia" w:ascii="宋体" w:hAnsi="宋体" w:cs="宋体"/>
          <w:bCs/>
          <w:kern w:val="2"/>
          <w:sz w:val="24"/>
        </w:rPr>
        <w:t>日期：2026年XX月XX日</w:t>
      </w:r>
    </w:p>
    <w:p w14:paraId="325F1F53">
      <w:pPr>
        <w:spacing w:line="460" w:lineRule="exact"/>
        <w:ind w:firstLine="492"/>
        <w:rPr>
          <w:rFonts w:ascii="宋体" w:hAnsi="宋体" w:cs="宋体"/>
          <w:bCs/>
          <w:kern w:val="2"/>
          <w:sz w:val="24"/>
        </w:rPr>
      </w:pPr>
    </w:p>
    <w:p w14:paraId="06416F40">
      <w:pPr>
        <w:keepNext/>
        <w:keepLines/>
        <w:spacing w:line="360" w:lineRule="auto"/>
        <w:jc w:val="left"/>
        <w:outlineLvl w:val="2"/>
        <w:rPr>
          <w:rFonts w:ascii="宋体" w:hAnsi="宋体" w:cs="宋体"/>
          <w:i/>
          <w:kern w:val="2"/>
          <w:sz w:val="24"/>
          <w:szCs w:val="24"/>
          <w:u w:val="single"/>
        </w:rPr>
      </w:pPr>
      <w:bookmarkStart w:id="145" w:name="_Toc23221"/>
      <w:r>
        <w:rPr>
          <w:rFonts w:hint="eastAsia" w:ascii="宋体" w:hAnsi="宋体" w:cs="宋体"/>
          <w:i/>
          <w:kern w:val="2"/>
          <w:sz w:val="24"/>
          <w:szCs w:val="24"/>
          <w:u w:val="single"/>
        </w:rPr>
        <w:t>5.6、《中小企业声明函》</w:t>
      </w:r>
      <w:bookmarkEnd w:id="145"/>
    </w:p>
    <w:p w14:paraId="1755914A">
      <w:pPr>
        <w:spacing w:line="360" w:lineRule="auto"/>
        <w:jc w:val="center"/>
        <w:rPr>
          <w:rFonts w:ascii="宋体" w:hAnsi="宋体" w:cs="宋体"/>
          <w:bCs/>
          <w:kern w:val="2"/>
          <w:sz w:val="30"/>
          <w:szCs w:val="30"/>
        </w:rPr>
      </w:pPr>
      <w:r>
        <w:rPr>
          <w:rFonts w:hint="eastAsia" w:ascii="宋体" w:hAnsi="宋体" w:cs="宋体"/>
          <w:bCs/>
          <w:kern w:val="2"/>
          <w:sz w:val="30"/>
          <w:szCs w:val="30"/>
        </w:rPr>
        <w:t>中小企业声明函（货物）</w:t>
      </w:r>
    </w:p>
    <w:p w14:paraId="48B38FB6">
      <w:pPr>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本公司（联合体）郑重声明，根据《政府采购促进中小企业发展管理办法》（财库〔2020〕46号）的规定，本公司（联合体）参加</w:t>
      </w:r>
      <w:r>
        <w:rPr>
          <w:rFonts w:hint="eastAsia" w:ascii="宋体" w:hAnsi="宋体"/>
          <w:color w:val="000000" w:themeColor="text1"/>
          <w:sz w:val="24"/>
          <w:szCs w:val="24"/>
          <w:u w:val="single"/>
          <w14:textFill>
            <w14:solidFill>
              <w14:schemeClr w14:val="tx1"/>
            </w14:solidFill>
          </w14:textFill>
        </w:rPr>
        <w:t>（单位名称）</w:t>
      </w:r>
      <w:r>
        <w:rPr>
          <w:rFonts w:hint="eastAsia" w:ascii="宋体" w:hAnsi="宋体"/>
          <w:color w:val="000000" w:themeColor="text1"/>
          <w:sz w:val="24"/>
          <w:szCs w:val="24"/>
          <w14:textFill>
            <w14:solidFill>
              <w14:schemeClr w14:val="tx1"/>
            </w14:solidFill>
          </w14:textFill>
        </w:rPr>
        <w:t>采购编号为</w:t>
      </w:r>
      <w:r>
        <w:rPr>
          <w:rFonts w:hint="eastAsia" w:ascii="宋体" w:hAnsi="宋体"/>
          <w:color w:val="000000" w:themeColor="text1"/>
          <w:sz w:val="24"/>
          <w:szCs w:val="24"/>
          <w:u w:val="single"/>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u w:val="single"/>
          <w14:textFill>
            <w14:solidFill>
              <w14:schemeClr w14:val="tx1"/>
            </w14:solidFill>
          </w14:textFill>
        </w:rPr>
        <w:t>（项目名称）（分包号：**）</w:t>
      </w:r>
      <w:r>
        <w:rPr>
          <w:rFonts w:hint="eastAsia" w:ascii="宋体" w:hAnsi="宋体"/>
          <w:color w:val="000000" w:themeColor="text1"/>
          <w:sz w:val="24"/>
          <w:szCs w:val="24"/>
          <w14:textFill>
            <w14:solidFill>
              <w14:schemeClr w14:val="tx1"/>
            </w14:solidFill>
          </w14:textFill>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B9D0C10">
      <w:pPr>
        <w:ind w:firstLine="480" w:firstLineChars="200"/>
        <w:rPr>
          <w:rFonts w:ascii="宋体" w:hAnsi="宋体"/>
          <w:i/>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u w:val="single"/>
          <w14:textFill>
            <w14:solidFill>
              <w14:schemeClr w14:val="tx1"/>
            </w14:solidFill>
          </w14:textFill>
        </w:rPr>
        <w:t>（标的名称）</w:t>
      </w:r>
      <w:r>
        <w:rPr>
          <w:rFonts w:hint="eastAsia" w:ascii="宋体" w:hAnsi="宋体"/>
          <w:i/>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s="宋体"/>
          <w:b/>
          <w:bCs/>
          <w:i/>
          <w:sz w:val="24"/>
          <w:szCs w:val="24"/>
          <w:u w:val="single"/>
        </w:rPr>
        <w:t>软件和信息技术服务业</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行业；制造商为</w:t>
      </w:r>
      <w:r>
        <w:rPr>
          <w:rFonts w:hint="eastAsia" w:ascii="宋体" w:hAnsi="宋体"/>
          <w:color w:val="000000" w:themeColor="text1"/>
          <w:sz w:val="24"/>
          <w:szCs w:val="24"/>
          <w:u w:val="single"/>
          <w14:textFill>
            <w14:solidFill>
              <w14:schemeClr w14:val="tx1"/>
            </w14:solidFill>
          </w14:textFill>
        </w:rPr>
        <w:t>（企业名称）</w:t>
      </w:r>
      <w:r>
        <w:rPr>
          <w:rFonts w:hint="eastAsia" w:ascii="宋体" w:hAnsi="宋体"/>
          <w:color w:val="000000" w:themeColor="text1"/>
          <w:sz w:val="24"/>
          <w:szCs w:val="24"/>
          <w14:textFill>
            <w14:solidFill>
              <w14:schemeClr w14:val="tx1"/>
            </w14:solidFill>
          </w14:textFill>
        </w:rPr>
        <w:t>，从业人员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万元，属于</w:t>
      </w:r>
      <w:r>
        <w:rPr>
          <w:rFonts w:hint="eastAsia" w:ascii="宋体" w:hAnsi="宋体"/>
          <w:color w:val="000000" w:themeColor="text1"/>
          <w:sz w:val="24"/>
          <w:szCs w:val="24"/>
          <w:u w:val="single"/>
          <w14:textFill>
            <w14:solidFill>
              <w14:schemeClr w14:val="tx1"/>
            </w14:solidFill>
          </w14:textFill>
        </w:rPr>
        <w:t>（小型企业、微型企业）；</w:t>
      </w:r>
    </w:p>
    <w:p w14:paraId="42E49E93">
      <w:pPr>
        <w:ind w:firstLine="480" w:firstLineChars="200"/>
        <w:rPr>
          <w:rFonts w:ascii="宋体" w:hAnsi="宋体"/>
          <w:i/>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u w:val="single"/>
          <w14:textFill>
            <w14:solidFill>
              <w14:schemeClr w14:val="tx1"/>
            </w14:solidFill>
          </w14:textFill>
        </w:rPr>
        <w:t>（标的名称）</w:t>
      </w:r>
      <w:r>
        <w:rPr>
          <w:rFonts w:hint="eastAsia" w:ascii="宋体" w:hAnsi="宋体"/>
          <w:i/>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s="宋体"/>
          <w:b/>
          <w:bCs/>
          <w:i/>
          <w:sz w:val="24"/>
          <w:szCs w:val="24"/>
          <w:u w:val="single"/>
        </w:rPr>
        <w:t>软件和信息技术服务业</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行业；制造商为</w:t>
      </w:r>
      <w:r>
        <w:rPr>
          <w:rFonts w:hint="eastAsia" w:ascii="宋体" w:hAnsi="宋体"/>
          <w:color w:val="000000" w:themeColor="text1"/>
          <w:sz w:val="24"/>
          <w:szCs w:val="24"/>
          <w:u w:val="single"/>
          <w14:textFill>
            <w14:solidFill>
              <w14:schemeClr w14:val="tx1"/>
            </w14:solidFill>
          </w14:textFill>
        </w:rPr>
        <w:t>（企业名称）</w:t>
      </w:r>
      <w:r>
        <w:rPr>
          <w:rFonts w:hint="eastAsia" w:ascii="宋体" w:hAnsi="宋体"/>
          <w:color w:val="000000" w:themeColor="text1"/>
          <w:sz w:val="24"/>
          <w:szCs w:val="24"/>
          <w14:textFill>
            <w14:solidFill>
              <w14:schemeClr w14:val="tx1"/>
            </w14:solidFill>
          </w14:textFill>
        </w:rPr>
        <w:t>，从业人员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万元，属于</w:t>
      </w:r>
      <w:r>
        <w:rPr>
          <w:rFonts w:hint="eastAsia" w:ascii="宋体" w:hAnsi="宋体"/>
          <w:color w:val="000000" w:themeColor="text1"/>
          <w:sz w:val="24"/>
          <w:szCs w:val="24"/>
          <w:u w:val="single"/>
          <w14:textFill>
            <w14:solidFill>
              <w14:schemeClr w14:val="tx1"/>
            </w14:solidFill>
          </w14:textFill>
        </w:rPr>
        <w:t>（小型企业、微型企业）；</w:t>
      </w:r>
    </w:p>
    <w:p w14:paraId="57A4424C">
      <w:pPr>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p>
    <w:p w14:paraId="53902FBB">
      <w:pPr>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5D83F5C5">
      <w:pPr>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本企业对上述声明内容的真实性负责。如有虚假，将依法承担相应责任</w:t>
      </w:r>
    </w:p>
    <w:p w14:paraId="2A78626E">
      <w:pPr>
        <w:rPr>
          <w:rFonts w:ascii="宋体" w:hAnsi="宋体"/>
          <w:color w:val="000000" w:themeColor="text1"/>
          <w:sz w:val="24"/>
          <w14:textFill>
            <w14:solidFill>
              <w14:schemeClr w14:val="tx1"/>
            </w14:solidFill>
          </w14:textFill>
        </w:rPr>
      </w:pPr>
    </w:p>
    <w:p w14:paraId="6764E3F6">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企业名称（加盖CA电子公章）：</w:t>
      </w:r>
    </w:p>
    <w:p w14:paraId="248A3194">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日  期：</w:t>
      </w:r>
    </w:p>
    <w:p w14:paraId="649CD31B">
      <w:pPr>
        <w:spacing w:line="560" w:lineRule="exact"/>
        <w:ind w:firstLine="360"/>
        <w:rPr>
          <w:rFonts w:ascii="华文新魏" w:hAnsi="宋体" w:eastAsia="华文新魏"/>
          <w:color w:val="000000" w:themeColor="text1"/>
          <w:sz w:val="36"/>
          <w:szCs w:val="36"/>
          <w14:textFill>
            <w14:solidFill>
              <w14:schemeClr w14:val="tx1"/>
            </w14:solidFill>
          </w14:textFill>
        </w:rPr>
      </w:pPr>
    </w:p>
    <w:p w14:paraId="6F5B9290">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备注1：从业人员、营业收入、资产总额填报上一年度数据，无上一年度数据的新成立企业可不填报。</w:t>
      </w:r>
    </w:p>
    <w:p w14:paraId="2712A3C3">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备注2：供应商如不提供此声明函，价格将不做相应扣除。</w:t>
      </w:r>
    </w:p>
    <w:p w14:paraId="112136A6">
      <w:pPr>
        <w:rPr>
          <w:rFonts w:ascii="宋体" w:hAnsi="宋体" w:cs="宋体"/>
          <w:b/>
          <w:color w:val="000000"/>
        </w:rPr>
      </w:pPr>
    </w:p>
    <w:p w14:paraId="423A4ABB">
      <w:pPr>
        <w:rPr>
          <w:rFonts w:ascii="宋体" w:hAnsi="宋体" w:cs="宋体"/>
          <w:b/>
          <w:color w:val="000000"/>
        </w:rPr>
      </w:pPr>
      <w:r>
        <w:rPr>
          <w:rFonts w:hint="eastAsia" w:ascii="宋体" w:hAnsi="宋体" w:cs="宋体"/>
          <w:b/>
          <w:color w:val="000000"/>
        </w:rPr>
        <w:t>填表说明：</w:t>
      </w:r>
    </w:p>
    <w:p w14:paraId="5151CC43">
      <w:pPr>
        <w:ind w:firstLine="422" w:firstLineChars="200"/>
        <w:rPr>
          <w:rFonts w:ascii="宋体" w:hAnsi="宋体" w:cs="宋体"/>
          <w:b/>
          <w:color w:val="000000"/>
        </w:rPr>
      </w:pPr>
      <w:r>
        <w:rPr>
          <w:rFonts w:hint="eastAsia" w:ascii="宋体" w:hAnsi="宋体" w:cs="宋体"/>
          <w:b/>
          <w:color w:val="000000"/>
        </w:rPr>
        <w:t>1.投标人提供的所有货物均是中小微企业供货（制造商），按照《政府采购促进中小企业发展暂行办法》财库〔2020〕46号文的要求提供《中小企业声明函》</w:t>
      </w:r>
    </w:p>
    <w:p w14:paraId="4A16087F">
      <w:pPr>
        <w:ind w:firstLine="422" w:firstLineChars="200"/>
        <w:rPr>
          <w:rFonts w:ascii="宋体" w:hAnsi="宋体" w:cs="宋体"/>
          <w:b/>
          <w:color w:val="000000"/>
        </w:rPr>
      </w:pPr>
      <w:r>
        <w:rPr>
          <w:rFonts w:hint="eastAsia" w:ascii="宋体" w:hAnsi="宋体" w:cs="宋体"/>
          <w:b/>
          <w:color w:val="000000"/>
        </w:rPr>
        <w:t>2.中标人的《中小企业声明函》将随中标公告进行公示。供应商按照本办法规定提供声明内容不实的，属于提供虚假材料谋取中标，依照《中华人民共和国政府采购法》等国家有关规定追究相应责任。</w:t>
      </w:r>
    </w:p>
    <w:p w14:paraId="4A50C807">
      <w:pPr>
        <w:tabs>
          <w:tab w:val="left" w:pos="4860"/>
        </w:tabs>
        <w:spacing w:line="360" w:lineRule="auto"/>
        <w:ind w:right="1560"/>
        <w:rPr>
          <w:rFonts w:asciiTheme="minorEastAsia" w:hAnsiTheme="minorEastAsia" w:eastAsiaTheme="minorEastAsia"/>
          <w:color w:val="000000" w:themeColor="text1"/>
          <w:sz w:val="24"/>
          <w14:textFill>
            <w14:solidFill>
              <w14:schemeClr w14:val="tx1"/>
            </w14:solidFill>
          </w14:textFill>
        </w:rPr>
      </w:pPr>
    </w:p>
    <w:p w14:paraId="181690DB">
      <w:pPr>
        <w:keepNext/>
        <w:keepLines/>
        <w:widowControl/>
        <w:jc w:val="center"/>
        <w:rPr>
          <w:rFonts w:ascii="宋体" w:hAnsi="宋体" w:cs="宋体"/>
          <w:b/>
          <w:bCs/>
          <w:color w:val="333333"/>
        </w:rPr>
      </w:pPr>
      <w:bookmarkStart w:id="146" w:name="_Toc150519795"/>
      <w:r>
        <w:rPr>
          <w:rFonts w:hint="eastAsia" w:ascii="宋体" w:hAnsi="宋体" w:cs="宋体"/>
          <w:b/>
          <w:bCs/>
          <w:color w:val="333333"/>
        </w:rPr>
        <w:t>附：中小微企业划型标准</w:t>
      </w:r>
      <w:bookmarkEnd w:id="146"/>
      <w:r>
        <w:rPr>
          <w:rFonts w:hint="eastAsia" w:ascii="宋体" w:hAnsi="宋体" w:cs="宋体"/>
          <w:b/>
          <w:bCs/>
          <w:color w:val="333333"/>
        </w:rPr>
        <w:t>如下：</w:t>
      </w:r>
    </w:p>
    <w:tbl>
      <w:tblPr>
        <w:tblStyle w:val="38"/>
        <w:tblW w:w="8673"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Pr>
      <w:tblGrid>
        <w:gridCol w:w="1490"/>
        <w:gridCol w:w="1875"/>
        <w:gridCol w:w="1186"/>
        <w:gridCol w:w="1654"/>
        <w:gridCol w:w="1378"/>
        <w:gridCol w:w="1090"/>
      </w:tblGrid>
      <w:tr w14:paraId="59BF6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tcBorders>
              <w:tl2br w:val="nil"/>
              <w:tr2bl w:val="nil"/>
            </w:tcBorders>
            <w:tcMar>
              <w:top w:w="0" w:type="dxa"/>
              <w:left w:w="105" w:type="dxa"/>
              <w:bottom w:w="0" w:type="dxa"/>
              <w:right w:w="105" w:type="dxa"/>
            </w:tcMar>
            <w:vAlign w:val="center"/>
          </w:tcPr>
          <w:p w14:paraId="34BFF302">
            <w:r>
              <w:rPr>
                <w:rFonts w:hint="eastAsia"/>
              </w:rPr>
              <w:t>行业名称</w:t>
            </w:r>
          </w:p>
        </w:tc>
        <w:tc>
          <w:tcPr>
            <w:tcW w:w="1845" w:type="dxa"/>
            <w:tcBorders>
              <w:tl2br w:val="nil"/>
              <w:tr2bl w:val="nil"/>
            </w:tcBorders>
            <w:tcMar>
              <w:top w:w="0" w:type="dxa"/>
              <w:left w:w="105" w:type="dxa"/>
              <w:bottom w:w="0" w:type="dxa"/>
              <w:right w:w="105" w:type="dxa"/>
            </w:tcMar>
            <w:vAlign w:val="center"/>
          </w:tcPr>
          <w:p w14:paraId="42DA5836">
            <w:r>
              <w:rPr>
                <w:rFonts w:hint="eastAsia"/>
              </w:rPr>
              <w:t>指标名称</w:t>
            </w:r>
          </w:p>
        </w:tc>
        <w:tc>
          <w:tcPr>
            <w:tcW w:w="1156" w:type="dxa"/>
            <w:tcBorders>
              <w:tl2br w:val="nil"/>
              <w:tr2bl w:val="nil"/>
            </w:tcBorders>
            <w:tcMar>
              <w:top w:w="0" w:type="dxa"/>
              <w:left w:w="105" w:type="dxa"/>
              <w:bottom w:w="0" w:type="dxa"/>
              <w:right w:w="105" w:type="dxa"/>
            </w:tcMar>
            <w:vAlign w:val="center"/>
          </w:tcPr>
          <w:p w14:paraId="4D76EA34">
            <w:r>
              <w:rPr>
                <w:rFonts w:hint="eastAsia"/>
              </w:rPr>
              <w:t>计量单位</w:t>
            </w:r>
          </w:p>
        </w:tc>
        <w:tc>
          <w:tcPr>
            <w:tcW w:w="1624" w:type="dxa"/>
            <w:tcBorders>
              <w:tl2br w:val="nil"/>
              <w:tr2bl w:val="nil"/>
            </w:tcBorders>
            <w:tcMar>
              <w:top w:w="0" w:type="dxa"/>
              <w:left w:w="105" w:type="dxa"/>
              <w:bottom w:w="0" w:type="dxa"/>
              <w:right w:w="105" w:type="dxa"/>
            </w:tcMar>
            <w:vAlign w:val="center"/>
          </w:tcPr>
          <w:p w14:paraId="6603BDE1">
            <w:r>
              <w:rPr>
                <w:rFonts w:hint="eastAsia"/>
              </w:rPr>
              <w:t>中型</w:t>
            </w:r>
          </w:p>
        </w:tc>
        <w:tc>
          <w:tcPr>
            <w:tcW w:w="1348" w:type="dxa"/>
            <w:tcBorders>
              <w:tl2br w:val="nil"/>
              <w:tr2bl w:val="nil"/>
            </w:tcBorders>
            <w:tcMar>
              <w:top w:w="0" w:type="dxa"/>
              <w:left w:w="105" w:type="dxa"/>
              <w:bottom w:w="0" w:type="dxa"/>
              <w:right w:w="105" w:type="dxa"/>
            </w:tcMar>
            <w:vAlign w:val="center"/>
          </w:tcPr>
          <w:p w14:paraId="38985DA5">
            <w:r>
              <w:rPr>
                <w:rFonts w:hint="eastAsia"/>
              </w:rPr>
              <w:t>小型</w:t>
            </w:r>
          </w:p>
        </w:tc>
        <w:tc>
          <w:tcPr>
            <w:tcW w:w="1045" w:type="dxa"/>
            <w:tcBorders>
              <w:tl2br w:val="nil"/>
              <w:tr2bl w:val="nil"/>
            </w:tcBorders>
            <w:tcMar>
              <w:top w:w="0" w:type="dxa"/>
              <w:left w:w="105" w:type="dxa"/>
              <w:bottom w:w="0" w:type="dxa"/>
              <w:right w:w="105" w:type="dxa"/>
            </w:tcMar>
            <w:vAlign w:val="center"/>
          </w:tcPr>
          <w:p w14:paraId="484D54EA">
            <w:r>
              <w:rPr>
                <w:rFonts w:hint="eastAsia"/>
              </w:rPr>
              <w:t>微型</w:t>
            </w:r>
          </w:p>
        </w:tc>
      </w:tr>
      <w:tr w14:paraId="28689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tcBorders>
              <w:tl2br w:val="nil"/>
              <w:tr2bl w:val="nil"/>
            </w:tcBorders>
            <w:tcMar>
              <w:top w:w="0" w:type="dxa"/>
              <w:left w:w="105" w:type="dxa"/>
              <w:bottom w:w="0" w:type="dxa"/>
              <w:right w:w="105" w:type="dxa"/>
            </w:tcMar>
            <w:vAlign w:val="center"/>
          </w:tcPr>
          <w:p w14:paraId="1E689F63">
            <w:r>
              <w:rPr>
                <w:rFonts w:hint="eastAsia"/>
              </w:rPr>
              <w:t>农、林、牧、渔</w:t>
            </w:r>
          </w:p>
        </w:tc>
        <w:tc>
          <w:tcPr>
            <w:tcW w:w="1845" w:type="dxa"/>
            <w:tcBorders>
              <w:tl2br w:val="nil"/>
              <w:tr2bl w:val="nil"/>
            </w:tcBorders>
            <w:tcMar>
              <w:top w:w="0" w:type="dxa"/>
              <w:left w:w="105" w:type="dxa"/>
              <w:bottom w:w="0" w:type="dxa"/>
              <w:right w:w="105" w:type="dxa"/>
            </w:tcMar>
            <w:vAlign w:val="center"/>
          </w:tcPr>
          <w:p w14:paraId="2EB76638">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4CD9303C">
            <w:r>
              <w:rPr>
                <w:rFonts w:hint="eastAsia"/>
              </w:rPr>
              <w:t>万元</w:t>
            </w:r>
          </w:p>
        </w:tc>
        <w:tc>
          <w:tcPr>
            <w:tcW w:w="1624" w:type="dxa"/>
            <w:tcBorders>
              <w:tl2br w:val="nil"/>
              <w:tr2bl w:val="nil"/>
            </w:tcBorders>
            <w:tcMar>
              <w:top w:w="0" w:type="dxa"/>
              <w:left w:w="105" w:type="dxa"/>
              <w:bottom w:w="0" w:type="dxa"/>
              <w:right w:w="105" w:type="dxa"/>
            </w:tcMar>
            <w:vAlign w:val="center"/>
          </w:tcPr>
          <w:p w14:paraId="431C48FC">
            <w:r>
              <w:rPr>
                <w:rFonts w:hint="eastAsia"/>
              </w:rPr>
              <w:t>500≤Y＜20000</w:t>
            </w:r>
          </w:p>
        </w:tc>
        <w:tc>
          <w:tcPr>
            <w:tcW w:w="1348" w:type="dxa"/>
            <w:tcBorders>
              <w:tl2br w:val="nil"/>
              <w:tr2bl w:val="nil"/>
            </w:tcBorders>
            <w:tcMar>
              <w:top w:w="0" w:type="dxa"/>
              <w:left w:w="105" w:type="dxa"/>
              <w:bottom w:w="0" w:type="dxa"/>
              <w:right w:w="105" w:type="dxa"/>
            </w:tcMar>
            <w:vAlign w:val="center"/>
          </w:tcPr>
          <w:p w14:paraId="2F28C78F">
            <w:r>
              <w:rPr>
                <w:rFonts w:hint="eastAsia"/>
              </w:rPr>
              <w:t>50≤Y＜500</w:t>
            </w:r>
          </w:p>
        </w:tc>
        <w:tc>
          <w:tcPr>
            <w:tcW w:w="1045" w:type="dxa"/>
            <w:tcBorders>
              <w:tl2br w:val="nil"/>
              <w:tr2bl w:val="nil"/>
            </w:tcBorders>
            <w:tcMar>
              <w:top w:w="0" w:type="dxa"/>
              <w:left w:w="105" w:type="dxa"/>
              <w:bottom w:w="0" w:type="dxa"/>
              <w:right w:w="105" w:type="dxa"/>
            </w:tcMar>
            <w:vAlign w:val="center"/>
          </w:tcPr>
          <w:p w14:paraId="4A7C94E3">
            <w:r>
              <w:rPr>
                <w:rFonts w:hint="eastAsia"/>
              </w:rPr>
              <w:t>Y＜50</w:t>
            </w:r>
          </w:p>
        </w:tc>
      </w:tr>
      <w:tr w14:paraId="7C336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506C846A">
            <w:r>
              <w:rPr>
                <w:rFonts w:hint="eastAsia"/>
              </w:rPr>
              <w:t>工业</w:t>
            </w:r>
          </w:p>
        </w:tc>
        <w:tc>
          <w:tcPr>
            <w:tcW w:w="1845" w:type="dxa"/>
            <w:tcBorders>
              <w:tl2br w:val="nil"/>
              <w:tr2bl w:val="nil"/>
            </w:tcBorders>
            <w:tcMar>
              <w:top w:w="0" w:type="dxa"/>
              <w:left w:w="105" w:type="dxa"/>
              <w:bottom w:w="0" w:type="dxa"/>
              <w:right w:w="105" w:type="dxa"/>
            </w:tcMar>
            <w:vAlign w:val="center"/>
          </w:tcPr>
          <w:p w14:paraId="6E20AF38">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76EEF9F1">
            <w:r>
              <w:rPr>
                <w:rFonts w:hint="eastAsia"/>
              </w:rPr>
              <w:t>人</w:t>
            </w:r>
          </w:p>
        </w:tc>
        <w:tc>
          <w:tcPr>
            <w:tcW w:w="1624" w:type="dxa"/>
            <w:tcBorders>
              <w:tl2br w:val="nil"/>
              <w:tr2bl w:val="nil"/>
            </w:tcBorders>
            <w:tcMar>
              <w:top w:w="0" w:type="dxa"/>
              <w:left w:w="105" w:type="dxa"/>
              <w:bottom w:w="0" w:type="dxa"/>
              <w:right w:w="105" w:type="dxa"/>
            </w:tcMar>
            <w:vAlign w:val="center"/>
          </w:tcPr>
          <w:p w14:paraId="48F78378">
            <w:r>
              <w:rPr>
                <w:rFonts w:hint="eastAsia"/>
              </w:rPr>
              <w:t>300≤X＜1000</w:t>
            </w:r>
          </w:p>
        </w:tc>
        <w:tc>
          <w:tcPr>
            <w:tcW w:w="1348" w:type="dxa"/>
            <w:tcBorders>
              <w:tl2br w:val="nil"/>
              <w:tr2bl w:val="nil"/>
            </w:tcBorders>
            <w:tcMar>
              <w:top w:w="0" w:type="dxa"/>
              <w:left w:w="105" w:type="dxa"/>
              <w:bottom w:w="0" w:type="dxa"/>
              <w:right w:w="105" w:type="dxa"/>
            </w:tcMar>
            <w:vAlign w:val="center"/>
          </w:tcPr>
          <w:p w14:paraId="5A7B623E">
            <w:r>
              <w:rPr>
                <w:rFonts w:hint="eastAsia"/>
              </w:rPr>
              <w:t>20≤X＜300</w:t>
            </w:r>
          </w:p>
        </w:tc>
        <w:tc>
          <w:tcPr>
            <w:tcW w:w="1045" w:type="dxa"/>
            <w:tcBorders>
              <w:tl2br w:val="nil"/>
              <w:tr2bl w:val="nil"/>
            </w:tcBorders>
            <w:tcMar>
              <w:top w:w="0" w:type="dxa"/>
              <w:left w:w="105" w:type="dxa"/>
              <w:bottom w:w="0" w:type="dxa"/>
              <w:right w:w="105" w:type="dxa"/>
            </w:tcMar>
            <w:vAlign w:val="center"/>
          </w:tcPr>
          <w:p w14:paraId="4A74C196">
            <w:r>
              <w:rPr>
                <w:rFonts w:hint="eastAsia"/>
              </w:rPr>
              <w:t>X＜20</w:t>
            </w:r>
          </w:p>
        </w:tc>
      </w:tr>
      <w:tr w14:paraId="4B04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5A3F7631"/>
        </w:tc>
        <w:tc>
          <w:tcPr>
            <w:tcW w:w="1845" w:type="dxa"/>
            <w:tcBorders>
              <w:tl2br w:val="nil"/>
              <w:tr2bl w:val="nil"/>
            </w:tcBorders>
            <w:tcMar>
              <w:top w:w="0" w:type="dxa"/>
              <w:left w:w="105" w:type="dxa"/>
              <w:bottom w:w="0" w:type="dxa"/>
              <w:right w:w="105" w:type="dxa"/>
            </w:tcMar>
            <w:vAlign w:val="center"/>
          </w:tcPr>
          <w:p w14:paraId="4FA61423">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315F507E">
            <w:r>
              <w:rPr>
                <w:rFonts w:hint="eastAsia"/>
              </w:rPr>
              <w:t>万元</w:t>
            </w:r>
          </w:p>
        </w:tc>
        <w:tc>
          <w:tcPr>
            <w:tcW w:w="1624" w:type="dxa"/>
            <w:tcBorders>
              <w:tl2br w:val="nil"/>
              <w:tr2bl w:val="nil"/>
            </w:tcBorders>
            <w:tcMar>
              <w:top w:w="0" w:type="dxa"/>
              <w:left w:w="105" w:type="dxa"/>
              <w:bottom w:w="0" w:type="dxa"/>
              <w:right w:w="105" w:type="dxa"/>
            </w:tcMar>
            <w:vAlign w:val="center"/>
          </w:tcPr>
          <w:p w14:paraId="309FBA15">
            <w:r>
              <w:rPr>
                <w:rFonts w:hint="eastAsia"/>
              </w:rPr>
              <w:t>2000≤Y＜40000</w:t>
            </w:r>
          </w:p>
        </w:tc>
        <w:tc>
          <w:tcPr>
            <w:tcW w:w="1348" w:type="dxa"/>
            <w:tcBorders>
              <w:tl2br w:val="nil"/>
              <w:tr2bl w:val="nil"/>
            </w:tcBorders>
            <w:tcMar>
              <w:top w:w="0" w:type="dxa"/>
              <w:left w:w="105" w:type="dxa"/>
              <w:bottom w:w="0" w:type="dxa"/>
              <w:right w:w="105" w:type="dxa"/>
            </w:tcMar>
            <w:vAlign w:val="center"/>
          </w:tcPr>
          <w:p w14:paraId="7AB275F7">
            <w:r>
              <w:rPr>
                <w:rFonts w:hint="eastAsia"/>
              </w:rPr>
              <w:t>300≤Y＜2000</w:t>
            </w:r>
          </w:p>
        </w:tc>
        <w:tc>
          <w:tcPr>
            <w:tcW w:w="1045" w:type="dxa"/>
            <w:tcBorders>
              <w:tl2br w:val="nil"/>
              <w:tr2bl w:val="nil"/>
            </w:tcBorders>
            <w:tcMar>
              <w:top w:w="0" w:type="dxa"/>
              <w:left w:w="105" w:type="dxa"/>
              <w:bottom w:w="0" w:type="dxa"/>
              <w:right w:w="105" w:type="dxa"/>
            </w:tcMar>
            <w:vAlign w:val="center"/>
          </w:tcPr>
          <w:p w14:paraId="2B6489BB">
            <w:r>
              <w:rPr>
                <w:rFonts w:hint="eastAsia"/>
              </w:rPr>
              <w:t>Y＜300</w:t>
            </w:r>
          </w:p>
        </w:tc>
      </w:tr>
      <w:tr w14:paraId="12CC2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08D3B867">
            <w:r>
              <w:rPr>
                <w:rFonts w:hint="eastAsia"/>
              </w:rPr>
              <w:t>建筑业</w:t>
            </w:r>
          </w:p>
        </w:tc>
        <w:tc>
          <w:tcPr>
            <w:tcW w:w="1845" w:type="dxa"/>
            <w:tcBorders>
              <w:tl2br w:val="nil"/>
              <w:tr2bl w:val="nil"/>
            </w:tcBorders>
            <w:tcMar>
              <w:top w:w="0" w:type="dxa"/>
              <w:left w:w="105" w:type="dxa"/>
              <w:bottom w:w="0" w:type="dxa"/>
              <w:right w:w="105" w:type="dxa"/>
            </w:tcMar>
            <w:vAlign w:val="center"/>
          </w:tcPr>
          <w:p w14:paraId="3D560323">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27C326A4">
            <w:r>
              <w:rPr>
                <w:rFonts w:hint="eastAsia"/>
              </w:rPr>
              <w:t>万元</w:t>
            </w:r>
          </w:p>
        </w:tc>
        <w:tc>
          <w:tcPr>
            <w:tcW w:w="1624" w:type="dxa"/>
            <w:tcBorders>
              <w:tl2br w:val="nil"/>
              <w:tr2bl w:val="nil"/>
            </w:tcBorders>
            <w:tcMar>
              <w:top w:w="0" w:type="dxa"/>
              <w:left w:w="105" w:type="dxa"/>
              <w:bottom w:w="0" w:type="dxa"/>
              <w:right w:w="105" w:type="dxa"/>
            </w:tcMar>
            <w:vAlign w:val="center"/>
          </w:tcPr>
          <w:p w14:paraId="04AE1BA7">
            <w:r>
              <w:rPr>
                <w:rFonts w:hint="eastAsia"/>
              </w:rPr>
              <w:t>6000≤Y＜80000</w:t>
            </w:r>
          </w:p>
        </w:tc>
        <w:tc>
          <w:tcPr>
            <w:tcW w:w="1348" w:type="dxa"/>
            <w:tcBorders>
              <w:tl2br w:val="nil"/>
              <w:tr2bl w:val="nil"/>
            </w:tcBorders>
            <w:tcMar>
              <w:top w:w="0" w:type="dxa"/>
              <w:left w:w="105" w:type="dxa"/>
              <w:bottom w:w="0" w:type="dxa"/>
              <w:right w:w="105" w:type="dxa"/>
            </w:tcMar>
            <w:vAlign w:val="center"/>
          </w:tcPr>
          <w:p w14:paraId="26678061">
            <w:r>
              <w:rPr>
                <w:rFonts w:hint="eastAsia"/>
              </w:rPr>
              <w:t>300≤Y＜6000</w:t>
            </w:r>
          </w:p>
        </w:tc>
        <w:tc>
          <w:tcPr>
            <w:tcW w:w="1045" w:type="dxa"/>
            <w:tcBorders>
              <w:tl2br w:val="nil"/>
              <w:tr2bl w:val="nil"/>
            </w:tcBorders>
            <w:tcMar>
              <w:top w:w="0" w:type="dxa"/>
              <w:left w:w="105" w:type="dxa"/>
              <w:bottom w:w="0" w:type="dxa"/>
              <w:right w:w="105" w:type="dxa"/>
            </w:tcMar>
            <w:vAlign w:val="center"/>
          </w:tcPr>
          <w:p w14:paraId="6BB4D13E">
            <w:r>
              <w:rPr>
                <w:rFonts w:hint="eastAsia"/>
              </w:rPr>
              <w:t>Y＜300</w:t>
            </w:r>
          </w:p>
        </w:tc>
      </w:tr>
      <w:tr w14:paraId="01FCD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3CF6299A"/>
        </w:tc>
        <w:tc>
          <w:tcPr>
            <w:tcW w:w="1845" w:type="dxa"/>
            <w:tcBorders>
              <w:tl2br w:val="nil"/>
              <w:tr2bl w:val="nil"/>
            </w:tcBorders>
            <w:tcMar>
              <w:top w:w="0" w:type="dxa"/>
              <w:left w:w="105" w:type="dxa"/>
              <w:bottom w:w="0" w:type="dxa"/>
              <w:right w:w="105" w:type="dxa"/>
            </w:tcMar>
            <w:vAlign w:val="center"/>
          </w:tcPr>
          <w:p w14:paraId="4AA6BABB">
            <w:r>
              <w:rPr>
                <w:rFonts w:hint="eastAsia"/>
              </w:rPr>
              <w:t>资产总额（Z）</w:t>
            </w:r>
          </w:p>
        </w:tc>
        <w:tc>
          <w:tcPr>
            <w:tcW w:w="1156" w:type="dxa"/>
            <w:tcBorders>
              <w:tl2br w:val="nil"/>
              <w:tr2bl w:val="nil"/>
            </w:tcBorders>
            <w:tcMar>
              <w:top w:w="0" w:type="dxa"/>
              <w:left w:w="105" w:type="dxa"/>
              <w:bottom w:w="0" w:type="dxa"/>
              <w:right w:w="105" w:type="dxa"/>
            </w:tcMar>
            <w:vAlign w:val="center"/>
          </w:tcPr>
          <w:p w14:paraId="79568434">
            <w:r>
              <w:rPr>
                <w:rFonts w:hint="eastAsia"/>
              </w:rPr>
              <w:t>万元</w:t>
            </w:r>
          </w:p>
        </w:tc>
        <w:tc>
          <w:tcPr>
            <w:tcW w:w="1624" w:type="dxa"/>
            <w:tcBorders>
              <w:tl2br w:val="nil"/>
              <w:tr2bl w:val="nil"/>
            </w:tcBorders>
            <w:tcMar>
              <w:top w:w="0" w:type="dxa"/>
              <w:left w:w="105" w:type="dxa"/>
              <w:bottom w:w="0" w:type="dxa"/>
              <w:right w:w="105" w:type="dxa"/>
            </w:tcMar>
            <w:vAlign w:val="center"/>
          </w:tcPr>
          <w:p w14:paraId="071AAACB">
            <w:r>
              <w:rPr>
                <w:rFonts w:hint="eastAsia"/>
              </w:rPr>
              <w:t>5000≤Z＜80000</w:t>
            </w:r>
          </w:p>
        </w:tc>
        <w:tc>
          <w:tcPr>
            <w:tcW w:w="1348" w:type="dxa"/>
            <w:tcBorders>
              <w:tl2br w:val="nil"/>
              <w:tr2bl w:val="nil"/>
            </w:tcBorders>
            <w:tcMar>
              <w:top w:w="0" w:type="dxa"/>
              <w:left w:w="105" w:type="dxa"/>
              <w:bottom w:w="0" w:type="dxa"/>
              <w:right w:w="105" w:type="dxa"/>
            </w:tcMar>
            <w:vAlign w:val="center"/>
          </w:tcPr>
          <w:p w14:paraId="2516D071">
            <w:r>
              <w:rPr>
                <w:rFonts w:hint="eastAsia"/>
              </w:rPr>
              <w:t>300≤Z＜5000</w:t>
            </w:r>
          </w:p>
        </w:tc>
        <w:tc>
          <w:tcPr>
            <w:tcW w:w="1045" w:type="dxa"/>
            <w:tcBorders>
              <w:tl2br w:val="nil"/>
              <w:tr2bl w:val="nil"/>
            </w:tcBorders>
            <w:tcMar>
              <w:top w:w="0" w:type="dxa"/>
              <w:left w:w="105" w:type="dxa"/>
              <w:bottom w:w="0" w:type="dxa"/>
              <w:right w:w="105" w:type="dxa"/>
            </w:tcMar>
            <w:vAlign w:val="center"/>
          </w:tcPr>
          <w:p w14:paraId="77473658">
            <w:r>
              <w:rPr>
                <w:rFonts w:hint="eastAsia"/>
              </w:rPr>
              <w:t>Z＜300</w:t>
            </w:r>
          </w:p>
        </w:tc>
      </w:tr>
      <w:tr w14:paraId="3D73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5AC8FC5E">
            <w:r>
              <w:rPr>
                <w:rFonts w:hint="eastAsia"/>
              </w:rPr>
              <w:t>批发业</w:t>
            </w:r>
          </w:p>
        </w:tc>
        <w:tc>
          <w:tcPr>
            <w:tcW w:w="1845" w:type="dxa"/>
            <w:tcBorders>
              <w:tl2br w:val="nil"/>
              <w:tr2bl w:val="nil"/>
            </w:tcBorders>
            <w:tcMar>
              <w:top w:w="0" w:type="dxa"/>
              <w:left w:w="105" w:type="dxa"/>
              <w:bottom w:w="0" w:type="dxa"/>
              <w:right w:w="105" w:type="dxa"/>
            </w:tcMar>
            <w:vAlign w:val="center"/>
          </w:tcPr>
          <w:p w14:paraId="6B868A73">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237A48A1">
            <w:r>
              <w:rPr>
                <w:rFonts w:hint="eastAsia"/>
              </w:rPr>
              <w:t>人</w:t>
            </w:r>
          </w:p>
        </w:tc>
        <w:tc>
          <w:tcPr>
            <w:tcW w:w="1624" w:type="dxa"/>
            <w:tcBorders>
              <w:tl2br w:val="nil"/>
              <w:tr2bl w:val="nil"/>
            </w:tcBorders>
            <w:tcMar>
              <w:top w:w="0" w:type="dxa"/>
              <w:left w:w="105" w:type="dxa"/>
              <w:bottom w:w="0" w:type="dxa"/>
              <w:right w:w="105" w:type="dxa"/>
            </w:tcMar>
            <w:vAlign w:val="center"/>
          </w:tcPr>
          <w:p w14:paraId="2540FCDD">
            <w:r>
              <w:rPr>
                <w:rFonts w:hint="eastAsia"/>
              </w:rPr>
              <w:t>20≤X＜200</w:t>
            </w:r>
          </w:p>
        </w:tc>
        <w:tc>
          <w:tcPr>
            <w:tcW w:w="1348" w:type="dxa"/>
            <w:tcBorders>
              <w:tl2br w:val="nil"/>
              <w:tr2bl w:val="nil"/>
            </w:tcBorders>
            <w:tcMar>
              <w:top w:w="0" w:type="dxa"/>
              <w:left w:w="105" w:type="dxa"/>
              <w:bottom w:w="0" w:type="dxa"/>
              <w:right w:w="105" w:type="dxa"/>
            </w:tcMar>
            <w:vAlign w:val="center"/>
          </w:tcPr>
          <w:p w14:paraId="493182DA">
            <w:r>
              <w:rPr>
                <w:rFonts w:hint="eastAsia"/>
              </w:rPr>
              <w:t>5≤X＜20</w:t>
            </w:r>
          </w:p>
        </w:tc>
        <w:tc>
          <w:tcPr>
            <w:tcW w:w="1045" w:type="dxa"/>
            <w:tcBorders>
              <w:tl2br w:val="nil"/>
              <w:tr2bl w:val="nil"/>
            </w:tcBorders>
            <w:tcMar>
              <w:top w:w="0" w:type="dxa"/>
              <w:left w:w="105" w:type="dxa"/>
              <w:bottom w:w="0" w:type="dxa"/>
              <w:right w:w="105" w:type="dxa"/>
            </w:tcMar>
            <w:vAlign w:val="center"/>
          </w:tcPr>
          <w:p w14:paraId="0B75B380">
            <w:r>
              <w:rPr>
                <w:rFonts w:hint="eastAsia"/>
              </w:rPr>
              <w:t>X＜5</w:t>
            </w:r>
          </w:p>
        </w:tc>
      </w:tr>
      <w:tr w14:paraId="58D29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21AC7CC8"/>
        </w:tc>
        <w:tc>
          <w:tcPr>
            <w:tcW w:w="1845" w:type="dxa"/>
            <w:tcBorders>
              <w:tl2br w:val="nil"/>
              <w:tr2bl w:val="nil"/>
            </w:tcBorders>
            <w:tcMar>
              <w:top w:w="0" w:type="dxa"/>
              <w:left w:w="105" w:type="dxa"/>
              <w:bottom w:w="0" w:type="dxa"/>
              <w:right w:w="105" w:type="dxa"/>
            </w:tcMar>
            <w:vAlign w:val="center"/>
          </w:tcPr>
          <w:p w14:paraId="713BBF8C">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1C305539">
            <w:r>
              <w:rPr>
                <w:rFonts w:hint="eastAsia"/>
              </w:rPr>
              <w:t>万元</w:t>
            </w:r>
          </w:p>
        </w:tc>
        <w:tc>
          <w:tcPr>
            <w:tcW w:w="1624" w:type="dxa"/>
            <w:tcBorders>
              <w:tl2br w:val="nil"/>
              <w:tr2bl w:val="nil"/>
            </w:tcBorders>
            <w:tcMar>
              <w:top w:w="0" w:type="dxa"/>
              <w:left w:w="105" w:type="dxa"/>
              <w:bottom w:w="0" w:type="dxa"/>
              <w:right w:w="105" w:type="dxa"/>
            </w:tcMar>
            <w:vAlign w:val="center"/>
          </w:tcPr>
          <w:p w14:paraId="05422CD3">
            <w:r>
              <w:rPr>
                <w:rFonts w:hint="eastAsia"/>
              </w:rPr>
              <w:t>5000≤Y＜40000</w:t>
            </w:r>
          </w:p>
        </w:tc>
        <w:tc>
          <w:tcPr>
            <w:tcW w:w="1348" w:type="dxa"/>
            <w:tcBorders>
              <w:tl2br w:val="nil"/>
              <w:tr2bl w:val="nil"/>
            </w:tcBorders>
            <w:tcMar>
              <w:top w:w="0" w:type="dxa"/>
              <w:left w:w="105" w:type="dxa"/>
              <w:bottom w:w="0" w:type="dxa"/>
              <w:right w:w="105" w:type="dxa"/>
            </w:tcMar>
            <w:vAlign w:val="center"/>
          </w:tcPr>
          <w:p w14:paraId="56BE4835">
            <w:r>
              <w:rPr>
                <w:rFonts w:hint="eastAsia"/>
              </w:rPr>
              <w:t>1000≤Y＜5000</w:t>
            </w:r>
          </w:p>
        </w:tc>
        <w:tc>
          <w:tcPr>
            <w:tcW w:w="1045" w:type="dxa"/>
            <w:tcBorders>
              <w:tl2br w:val="nil"/>
              <w:tr2bl w:val="nil"/>
            </w:tcBorders>
            <w:tcMar>
              <w:top w:w="0" w:type="dxa"/>
              <w:left w:w="105" w:type="dxa"/>
              <w:bottom w:w="0" w:type="dxa"/>
              <w:right w:w="105" w:type="dxa"/>
            </w:tcMar>
            <w:vAlign w:val="center"/>
          </w:tcPr>
          <w:p w14:paraId="5CE503E0">
            <w:r>
              <w:rPr>
                <w:rFonts w:hint="eastAsia"/>
              </w:rPr>
              <w:t>Y＜1000</w:t>
            </w:r>
          </w:p>
        </w:tc>
      </w:tr>
      <w:tr w14:paraId="43C4F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2194CA3A">
            <w:r>
              <w:rPr>
                <w:rFonts w:hint="eastAsia"/>
              </w:rPr>
              <w:t>零售业</w:t>
            </w:r>
          </w:p>
        </w:tc>
        <w:tc>
          <w:tcPr>
            <w:tcW w:w="1845" w:type="dxa"/>
            <w:tcBorders>
              <w:tl2br w:val="nil"/>
              <w:tr2bl w:val="nil"/>
            </w:tcBorders>
            <w:tcMar>
              <w:top w:w="0" w:type="dxa"/>
              <w:left w:w="105" w:type="dxa"/>
              <w:bottom w:w="0" w:type="dxa"/>
              <w:right w:w="105" w:type="dxa"/>
            </w:tcMar>
            <w:vAlign w:val="center"/>
          </w:tcPr>
          <w:p w14:paraId="641EE87D">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10C9DFF3">
            <w:r>
              <w:rPr>
                <w:rFonts w:hint="eastAsia"/>
              </w:rPr>
              <w:t>人</w:t>
            </w:r>
          </w:p>
        </w:tc>
        <w:tc>
          <w:tcPr>
            <w:tcW w:w="1624" w:type="dxa"/>
            <w:tcBorders>
              <w:tl2br w:val="nil"/>
              <w:tr2bl w:val="nil"/>
            </w:tcBorders>
            <w:tcMar>
              <w:top w:w="0" w:type="dxa"/>
              <w:left w:w="105" w:type="dxa"/>
              <w:bottom w:w="0" w:type="dxa"/>
              <w:right w:w="105" w:type="dxa"/>
            </w:tcMar>
            <w:vAlign w:val="center"/>
          </w:tcPr>
          <w:p w14:paraId="2BA12D45">
            <w:r>
              <w:rPr>
                <w:rFonts w:hint="eastAsia"/>
              </w:rPr>
              <w:t>50≤X＜300</w:t>
            </w:r>
          </w:p>
        </w:tc>
        <w:tc>
          <w:tcPr>
            <w:tcW w:w="1348" w:type="dxa"/>
            <w:tcBorders>
              <w:tl2br w:val="nil"/>
              <w:tr2bl w:val="nil"/>
            </w:tcBorders>
            <w:tcMar>
              <w:top w:w="0" w:type="dxa"/>
              <w:left w:w="105" w:type="dxa"/>
              <w:bottom w:w="0" w:type="dxa"/>
              <w:right w:w="105" w:type="dxa"/>
            </w:tcMar>
            <w:vAlign w:val="center"/>
          </w:tcPr>
          <w:p w14:paraId="61526830">
            <w:r>
              <w:rPr>
                <w:rFonts w:hint="eastAsia"/>
              </w:rPr>
              <w:t>10≤X＜50</w:t>
            </w:r>
          </w:p>
        </w:tc>
        <w:tc>
          <w:tcPr>
            <w:tcW w:w="1045" w:type="dxa"/>
            <w:tcBorders>
              <w:tl2br w:val="nil"/>
              <w:tr2bl w:val="nil"/>
            </w:tcBorders>
            <w:tcMar>
              <w:top w:w="0" w:type="dxa"/>
              <w:left w:w="105" w:type="dxa"/>
              <w:bottom w:w="0" w:type="dxa"/>
              <w:right w:w="105" w:type="dxa"/>
            </w:tcMar>
            <w:vAlign w:val="center"/>
          </w:tcPr>
          <w:p w14:paraId="3173D527">
            <w:r>
              <w:rPr>
                <w:rFonts w:hint="eastAsia"/>
              </w:rPr>
              <w:t>X＜10</w:t>
            </w:r>
          </w:p>
        </w:tc>
      </w:tr>
      <w:tr w14:paraId="3688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769A31E2"/>
        </w:tc>
        <w:tc>
          <w:tcPr>
            <w:tcW w:w="1845" w:type="dxa"/>
            <w:tcBorders>
              <w:tl2br w:val="nil"/>
              <w:tr2bl w:val="nil"/>
            </w:tcBorders>
            <w:tcMar>
              <w:top w:w="0" w:type="dxa"/>
              <w:left w:w="105" w:type="dxa"/>
              <w:bottom w:w="0" w:type="dxa"/>
              <w:right w:w="105" w:type="dxa"/>
            </w:tcMar>
            <w:vAlign w:val="center"/>
          </w:tcPr>
          <w:p w14:paraId="1478A90F">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73FA64F6">
            <w:r>
              <w:rPr>
                <w:rFonts w:hint="eastAsia"/>
              </w:rPr>
              <w:t>万元</w:t>
            </w:r>
          </w:p>
        </w:tc>
        <w:tc>
          <w:tcPr>
            <w:tcW w:w="1624" w:type="dxa"/>
            <w:tcBorders>
              <w:tl2br w:val="nil"/>
              <w:tr2bl w:val="nil"/>
            </w:tcBorders>
            <w:tcMar>
              <w:top w:w="0" w:type="dxa"/>
              <w:left w:w="105" w:type="dxa"/>
              <w:bottom w:w="0" w:type="dxa"/>
              <w:right w:w="105" w:type="dxa"/>
            </w:tcMar>
            <w:vAlign w:val="center"/>
          </w:tcPr>
          <w:p w14:paraId="68001A44">
            <w:r>
              <w:rPr>
                <w:rFonts w:hint="eastAsia"/>
              </w:rPr>
              <w:t>500≤Y＜20000</w:t>
            </w:r>
          </w:p>
        </w:tc>
        <w:tc>
          <w:tcPr>
            <w:tcW w:w="1348" w:type="dxa"/>
            <w:tcBorders>
              <w:tl2br w:val="nil"/>
              <w:tr2bl w:val="nil"/>
            </w:tcBorders>
            <w:tcMar>
              <w:top w:w="0" w:type="dxa"/>
              <w:left w:w="105" w:type="dxa"/>
              <w:bottom w:w="0" w:type="dxa"/>
              <w:right w:w="105" w:type="dxa"/>
            </w:tcMar>
            <w:vAlign w:val="center"/>
          </w:tcPr>
          <w:p w14:paraId="66FC87EE">
            <w:r>
              <w:rPr>
                <w:rFonts w:hint="eastAsia"/>
              </w:rPr>
              <w:t>100≤Y＜500</w:t>
            </w:r>
          </w:p>
        </w:tc>
        <w:tc>
          <w:tcPr>
            <w:tcW w:w="1045" w:type="dxa"/>
            <w:tcBorders>
              <w:tl2br w:val="nil"/>
              <w:tr2bl w:val="nil"/>
            </w:tcBorders>
            <w:tcMar>
              <w:top w:w="0" w:type="dxa"/>
              <w:left w:w="105" w:type="dxa"/>
              <w:bottom w:w="0" w:type="dxa"/>
              <w:right w:w="105" w:type="dxa"/>
            </w:tcMar>
            <w:vAlign w:val="center"/>
          </w:tcPr>
          <w:p w14:paraId="00F79E84">
            <w:r>
              <w:rPr>
                <w:rFonts w:hint="eastAsia"/>
              </w:rPr>
              <w:t>Y＜100</w:t>
            </w:r>
          </w:p>
        </w:tc>
      </w:tr>
      <w:tr w14:paraId="26321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3A48E123">
            <w:r>
              <w:rPr>
                <w:rFonts w:hint="eastAsia"/>
              </w:rPr>
              <w:t>交通运输业</w:t>
            </w:r>
          </w:p>
        </w:tc>
        <w:tc>
          <w:tcPr>
            <w:tcW w:w="1845" w:type="dxa"/>
            <w:tcBorders>
              <w:tl2br w:val="nil"/>
              <w:tr2bl w:val="nil"/>
            </w:tcBorders>
            <w:tcMar>
              <w:top w:w="0" w:type="dxa"/>
              <w:left w:w="105" w:type="dxa"/>
              <w:bottom w:w="0" w:type="dxa"/>
              <w:right w:w="105" w:type="dxa"/>
            </w:tcMar>
            <w:vAlign w:val="center"/>
          </w:tcPr>
          <w:p w14:paraId="18F1D4BB">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107ADBAF">
            <w:r>
              <w:rPr>
                <w:rFonts w:hint="eastAsia"/>
              </w:rPr>
              <w:t>人</w:t>
            </w:r>
          </w:p>
        </w:tc>
        <w:tc>
          <w:tcPr>
            <w:tcW w:w="1624" w:type="dxa"/>
            <w:tcBorders>
              <w:tl2br w:val="nil"/>
              <w:tr2bl w:val="nil"/>
            </w:tcBorders>
            <w:tcMar>
              <w:top w:w="0" w:type="dxa"/>
              <w:left w:w="105" w:type="dxa"/>
              <w:bottom w:w="0" w:type="dxa"/>
              <w:right w:w="105" w:type="dxa"/>
            </w:tcMar>
            <w:vAlign w:val="center"/>
          </w:tcPr>
          <w:p w14:paraId="544A8291">
            <w:r>
              <w:rPr>
                <w:rFonts w:hint="eastAsia"/>
              </w:rPr>
              <w:t>300≤X＜1000</w:t>
            </w:r>
          </w:p>
        </w:tc>
        <w:tc>
          <w:tcPr>
            <w:tcW w:w="1348" w:type="dxa"/>
            <w:tcBorders>
              <w:tl2br w:val="nil"/>
              <w:tr2bl w:val="nil"/>
            </w:tcBorders>
            <w:tcMar>
              <w:top w:w="0" w:type="dxa"/>
              <w:left w:w="105" w:type="dxa"/>
              <w:bottom w:w="0" w:type="dxa"/>
              <w:right w:w="105" w:type="dxa"/>
            </w:tcMar>
            <w:vAlign w:val="center"/>
          </w:tcPr>
          <w:p w14:paraId="497FE525">
            <w:r>
              <w:rPr>
                <w:rFonts w:hint="eastAsia"/>
              </w:rPr>
              <w:t>20≤X＜300</w:t>
            </w:r>
          </w:p>
        </w:tc>
        <w:tc>
          <w:tcPr>
            <w:tcW w:w="1045" w:type="dxa"/>
            <w:tcBorders>
              <w:tl2br w:val="nil"/>
              <w:tr2bl w:val="nil"/>
            </w:tcBorders>
            <w:tcMar>
              <w:top w:w="0" w:type="dxa"/>
              <w:left w:w="105" w:type="dxa"/>
              <w:bottom w:w="0" w:type="dxa"/>
              <w:right w:w="105" w:type="dxa"/>
            </w:tcMar>
            <w:vAlign w:val="center"/>
          </w:tcPr>
          <w:p w14:paraId="4A868891">
            <w:r>
              <w:rPr>
                <w:rFonts w:hint="eastAsia"/>
              </w:rPr>
              <w:t>X＜20</w:t>
            </w:r>
          </w:p>
        </w:tc>
      </w:tr>
      <w:tr w14:paraId="681BC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69D60169"/>
        </w:tc>
        <w:tc>
          <w:tcPr>
            <w:tcW w:w="1845" w:type="dxa"/>
            <w:tcBorders>
              <w:tl2br w:val="nil"/>
              <w:tr2bl w:val="nil"/>
            </w:tcBorders>
            <w:tcMar>
              <w:top w:w="0" w:type="dxa"/>
              <w:left w:w="105" w:type="dxa"/>
              <w:bottom w:w="0" w:type="dxa"/>
              <w:right w:w="105" w:type="dxa"/>
            </w:tcMar>
            <w:vAlign w:val="center"/>
          </w:tcPr>
          <w:p w14:paraId="520115E6">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0EB202F5">
            <w:r>
              <w:rPr>
                <w:rFonts w:hint="eastAsia"/>
              </w:rPr>
              <w:t>万元</w:t>
            </w:r>
          </w:p>
        </w:tc>
        <w:tc>
          <w:tcPr>
            <w:tcW w:w="1624" w:type="dxa"/>
            <w:tcBorders>
              <w:tl2br w:val="nil"/>
              <w:tr2bl w:val="nil"/>
            </w:tcBorders>
            <w:tcMar>
              <w:top w:w="0" w:type="dxa"/>
              <w:left w:w="105" w:type="dxa"/>
              <w:bottom w:w="0" w:type="dxa"/>
              <w:right w:w="105" w:type="dxa"/>
            </w:tcMar>
            <w:vAlign w:val="center"/>
          </w:tcPr>
          <w:p w14:paraId="5E2821C8">
            <w:r>
              <w:rPr>
                <w:rFonts w:hint="eastAsia"/>
              </w:rPr>
              <w:t>3000≤Y＜30000</w:t>
            </w:r>
          </w:p>
        </w:tc>
        <w:tc>
          <w:tcPr>
            <w:tcW w:w="1348" w:type="dxa"/>
            <w:tcBorders>
              <w:tl2br w:val="nil"/>
              <w:tr2bl w:val="nil"/>
            </w:tcBorders>
            <w:tcMar>
              <w:top w:w="0" w:type="dxa"/>
              <w:left w:w="105" w:type="dxa"/>
              <w:bottom w:w="0" w:type="dxa"/>
              <w:right w:w="105" w:type="dxa"/>
            </w:tcMar>
            <w:vAlign w:val="center"/>
          </w:tcPr>
          <w:p w14:paraId="44A4D903">
            <w:r>
              <w:rPr>
                <w:rFonts w:hint="eastAsia"/>
              </w:rPr>
              <w:t>200≤Y＜3000</w:t>
            </w:r>
          </w:p>
        </w:tc>
        <w:tc>
          <w:tcPr>
            <w:tcW w:w="1045" w:type="dxa"/>
            <w:tcBorders>
              <w:tl2br w:val="nil"/>
              <w:tr2bl w:val="nil"/>
            </w:tcBorders>
            <w:tcMar>
              <w:top w:w="0" w:type="dxa"/>
              <w:left w:w="105" w:type="dxa"/>
              <w:bottom w:w="0" w:type="dxa"/>
              <w:right w:w="105" w:type="dxa"/>
            </w:tcMar>
            <w:vAlign w:val="center"/>
          </w:tcPr>
          <w:p w14:paraId="03261C63">
            <w:r>
              <w:rPr>
                <w:rFonts w:hint="eastAsia"/>
              </w:rPr>
              <w:t>Y＜200</w:t>
            </w:r>
          </w:p>
        </w:tc>
      </w:tr>
      <w:tr w14:paraId="7B2CB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0C094AD6">
            <w:r>
              <w:rPr>
                <w:rFonts w:hint="eastAsia"/>
              </w:rPr>
              <w:t>仓储业</w:t>
            </w:r>
          </w:p>
        </w:tc>
        <w:tc>
          <w:tcPr>
            <w:tcW w:w="1845" w:type="dxa"/>
            <w:tcBorders>
              <w:tl2br w:val="nil"/>
              <w:tr2bl w:val="nil"/>
            </w:tcBorders>
            <w:tcMar>
              <w:top w:w="0" w:type="dxa"/>
              <w:left w:w="105" w:type="dxa"/>
              <w:bottom w:w="0" w:type="dxa"/>
              <w:right w:w="105" w:type="dxa"/>
            </w:tcMar>
            <w:vAlign w:val="center"/>
          </w:tcPr>
          <w:p w14:paraId="5B88BD3F">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27D0FAFF">
            <w:r>
              <w:rPr>
                <w:rFonts w:hint="eastAsia"/>
              </w:rPr>
              <w:t>人</w:t>
            </w:r>
          </w:p>
        </w:tc>
        <w:tc>
          <w:tcPr>
            <w:tcW w:w="1624" w:type="dxa"/>
            <w:tcBorders>
              <w:tl2br w:val="nil"/>
              <w:tr2bl w:val="nil"/>
            </w:tcBorders>
            <w:tcMar>
              <w:top w:w="0" w:type="dxa"/>
              <w:left w:w="105" w:type="dxa"/>
              <w:bottom w:w="0" w:type="dxa"/>
              <w:right w:w="105" w:type="dxa"/>
            </w:tcMar>
            <w:vAlign w:val="center"/>
          </w:tcPr>
          <w:p w14:paraId="1739CBB3">
            <w:r>
              <w:rPr>
                <w:rFonts w:hint="eastAsia"/>
              </w:rPr>
              <w:t>100≤X＜200</w:t>
            </w:r>
          </w:p>
        </w:tc>
        <w:tc>
          <w:tcPr>
            <w:tcW w:w="1348" w:type="dxa"/>
            <w:tcBorders>
              <w:tl2br w:val="nil"/>
              <w:tr2bl w:val="nil"/>
            </w:tcBorders>
            <w:tcMar>
              <w:top w:w="0" w:type="dxa"/>
              <w:left w:w="105" w:type="dxa"/>
              <w:bottom w:w="0" w:type="dxa"/>
              <w:right w:w="105" w:type="dxa"/>
            </w:tcMar>
            <w:vAlign w:val="center"/>
          </w:tcPr>
          <w:p w14:paraId="1F485B4F">
            <w:r>
              <w:rPr>
                <w:rFonts w:hint="eastAsia"/>
              </w:rPr>
              <w:t>20≤X＜100</w:t>
            </w:r>
          </w:p>
        </w:tc>
        <w:tc>
          <w:tcPr>
            <w:tcW w:w="1045" w:type="dxa"/>
            <w:tcBorders>
              <w:tl2br w:val="nil"/>
              <w:tr2bl w:val="nil"/>
            </w:tcBorders>
            <w:tcMar>
              <w:top w:w="0" w:type="dxa"/>
              <w:left w:w="105" w:type="dxa"/>
              <w:bottom w:w="0" w:type="dxa"/>
              <w:right w:w="105" w:type="dxa"/>
            </w:tcMar>
            <w:vAlign w:val="center"/>
          </w:tcPr>
          <w:p w14:paraId="35E3B1E7">
            <w:r>
              <w:rPr>
                <w:rFonts w:hint="eastAsia"/>
              </w:rPr>
              <w:t>X＜20</w:t>
            </w:r>
          </w:p>
        </w:tc>
      </w:tr>
      <w:tr w14:paraId="45D86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7DF58A1F"/>
        </w:tc>
        <w:tc>
          <w:tcPr>
            <w:tcW w:w="1845" w:type="dxa"/>
            <w:tcBorders>
              <w:tl2br w:val="nil"/>
              <w:tr2bl w:val="nil"/>
            </w:tcBorders>
            <w:tcMar>
              <w:top w:w="0" w:type="dxa"/>
              <w:left w:w="105" w:type="dxa"/>
              <w:bottom w:w="0" w:type="dxa"/>
              <w:right w:w="105" w:type="dxa"/>
            </w:tcMar>
            <w:vAlign w:val="center"/>
          </w:tcPr>
          <w:p w14:paraId="4FC0C477">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313DF727">
            <w:r>
              <w:rPr>
                <w:rFonts w:hint="eastAsia"/>
              </w:rPr>
              <w:t>万元</w:t>
            </w:r>
          </w:p>
        </w:tc>
        <w:tc>
          <w:tcPr>
            <w:tcW w:w="1624" w:type="dxa"/>
            <w:tcBorders>
              <w:tl2br w:val="nil"/>
              <w:tr2bl w:val="nil"/>
            </w:tcBorders>
            <w:tcMar>
              <w:top w:w="0" w:type="dxa"/>
              <w:left w:w="105" w:type="dxa"/>
              <w:bottom w:w="0" w:type="dxa"/>
              <w:right w:w="105" w:type="dxa"/>
            </w:tcMar>
            <w:vAlign w:val="center"/>
          </w:tcPr>
          <w:p w14:paraId="313F588E">
            <w:r>
              <w:rPr>
                <w:rFonts w:hint="eastAsia"/>
              </w:rPr>
              <w:t>1000≤Y＜30000</w:t>
            </w:r>
          </w:p>
        </w:tc>
        <w:tc>
          <w:tcPr>
            <w:tcW w:w="1348" w:type="dxa"/>
            <w:tcBorders>
              <w:tl2br w:val="nil"/>
              <w:tr2bl w:val="nil"/>
            </w:tcBorders>
            <w:tcMar>
              <w:top w:w="0" w:type="dxa"/>
              <w:left w:w="105" w:type="dxa"/>
              <w:bottom w:w="0" w:type="dxa"/>
              <w:right w:w="105" w:type="dxa"/>
            </w:tcMar>
            <w:vAlign w:val="center"/>
          </w:tcPr>
          <w:p w14:paraId="6634FAB4">
            <w:r>
              <w:rPr>
                <w:rFonts w:hint="eastAsia"/>
              </w:rPr>
              <w:t>100≤Y＜1000</w:t>
            </w:r>
          </w:p>
        </w:tc>
        <w:tc>
          <w:tcPr>
            <w:tcW w:w="1045" w:type="dxa"/>
            <w:tcBorders>
              <w:tl2br w:val="nil"/>
              <w:tr2bl w:val="nil"/>
            </w:tcBorders>
            <w:tcMar>
              <w:top w:w="0" w:type="dxa"/>
              <w:left w:w="105" w:type="dxa"/>
              <w:bottom w:w="0" w:type="dxa"/>
              <w:right w:w="105" w:type="dxa"/>
            </w:tcMar>
            <w:vAlign w:val="center"/>
          </w:tcPr>
          <w:p w14:paraId="1982B14C">
            <w:r>
              <w:rPr>
                <w:rFonts w:hint="eastAsia"/>
              </w:rPr>
              <w:t>Y＜100</w:t>
            </w:r>
          </w:p>
        </w:tc>
      </w:tr>
      <w:tr w14:paraId="0BD4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19B26F99">
            <w:r>
              <w:rPr>
                <w:rFonts w:hint="eastAsia"/>
              </w:rPr>
              <w:t>邮政业</w:t>
            </w:r>
          </w:p>
        </w:tc>
        <w:tc>
          <w:tcPr>
            <w:tcW w:w="1845" w:type="dxa"/>
            <w:tcBorders>
              <w:tl2br w:val="nil"/>
              <w:tr2bl w:val="nil"/>
            </w:tcBorders>
            <w:tcMar>
              <w:top w:w="0" w:type="dxa"/>
              <w:left w:w="105" w:type="dxa"/>
              <w:bottom w:w="0" w:type="dxa"/>
              <w:right w:w="105" w:type="dxa"/>
            </w:tcMar>
            <w:vAlign w:val="center"/>
          </w:tcPr>
          <w:p w14:paraId="6D6FFE65">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7C7F6345">
            <w:r>
              <w:rPr>
                <w:rFonts w:hint="eastAsia"/>
              </w:rPr>
              <w:t>人</w:t>
            </w:r>
          </w:p>
        </w:tc>
        <w:tc>
          <w:tcPr>
            <w:tcW w:w="1624" w:type="dxa"/>
            <w:tcBorders>
              <w:tl2br w:val="nil"/>
              <w:tr2bl w:val="nil"/>
            </w:tcBorders>
            <w:tcMar>
              <w:top w:w="0" w:type="dxa"/>
              <w:left w:w="105" w:type="dxa"/>
              <w:bottom w:w="0" w:type="dxa"/>
              <w:right w:w="105" w:type="dxa"/>
            </w:tcMar>
            <w:vAlign w:val="center"/>
          </w:tcPr>
          <w:p w14:paraId="3E105490">
            <w:r>
              <w:rPr>
                <w:rFonts w:hint="eastAsia"/>
              </w:rPr>
              <w:t>300≤X＜1000</w:t>
            </w:r>
          </w:p>
        </w:tc>
        <w:tc>
          <w:tcPr>
            <w:tcW w:w="1348" w:type="dxa"/>
            <w:tcBorders>
              <w:tl2br w:val="nil"/>
              <w:tr2bl w:val="nil"/>
            </w:tcBorders>
            <w:tcMar>
              <w:top w:w="0" w:type="dxa"/>
              <w:left w:w="105" w:type="dxa"/>
              <w:bottom w:w="0" w:type="dxa"/>
              <w:right w:w="105" w:type="dxa"/>
            </w:tcMar>
            <w:vAlign w:val="center"/>
          </w:tcPr>
          <w:p w14:paraId="1388F3F4">
            <w:r>
              <w:rPr>
                <w:rFonts w:hint="eastAsia"/>
              </w:rPr>
              <w:t>20≤X＜300</w:t>
            </w:r>
          </w:p>
        </w:tc>
        <w:tc>
          <w:tcPr>
            <w:tcW w:w="1045" w:type="dxa"/>
            <w:tcBorders>
              <w:tl2br w:val="nil"/>
              <w:tr2bl w:val="nil"/>
            </w:tcBorders>
            <w:tcMar>
              <w:top w:w="0" w:type="dxa"/>
              <w:left w:w="105" w:type="dxa"/>
              <w:bottom w:w="0" w:type="dxa"/>
              <w:right w:w="105" w:type="dxa"/>
            </w:tcMar>
            <w:vAlign w:val="center"/>
          </w:tcPr>
          <w:p w14:paraId="080390BD">
            <w:r>
              <w:rPr>
                <w:rFonts w:hint="eastAsia"/>
              </w:rPr>
              <w:t>X＜20</w:t>
            </w:r>
          </w:p>
        </w:tc>
      </w:tr>
      <w:tr w14:paraId="1EECB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6E54F33A"/>
        </w:tc>
        <w:tc>
          <w:tcPr>
            <w:tcW w:w="1845" w:type="dxa"/>
            <w:tcBorders>
              <w:tl2br w:val="nil"/>
              <w:tr2bl w:val="nil"/>
            </w:tcBorders>
            <w:tcMar>
              <w:top w:w="0" w:type="dxa"/>
              <w:left w:w="105" w:type="dxa"/>
              <w:bottom w:w="0" w:type="dxa"/>
              <w:right w:w="105" w:type="dxa"/>
            </w:tcMar>
            <w:vAlign w:val="center"/>
          </w:tcPr>
          <w:p w14:paraId="4C03E265">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4C110CF0">
            <w:r>
              <w:rPr>
                <w:rFonts w:hint="eastAsia"/>
              </w:rPr>
              <w:t>万元</w:t>
            </w:r>
          </w:p>
        </w:tc>
        <w:tc>
          <w:tcPr>
            <w:tcW w:w="1624" w:type="dxa"/>
            <w:tcBorders>
              <w:tl2br w:val="nil"/>
              <w:tr2bl w:val="nil"/>
            </w:tcBorders>
            <w:tcMar>
              <w:top w:w="0" w:type="dxa"/>
              <w:left w:w="105" w:type="dxa"/>
              <w:bottom w:w="0" w:type="dxa"/>
              <w:right w:w="105" w:type="dxa"/>
            </w:tcMar>
            <w:vAlign w:val="center"/>
          </w:tcPr>
          <w:p w14:paraId="452A41A2">
            <w:r>
              <w:rPr>
                <w:rFonts w:hint="eastAsia"/>
              </w:rPr>
              <w:t>2000≤Y＜30000</w:t>
            </w:r>
          </w:p>
        </w:tc>
        <w:tc>
          <w:tcPr>
            <w:tcW w:w="1348" w:type="dxa"/>
            <w:tcBorders>
              <w:tl2br w:val="nil"/>
              <w:tr2bl w:val="nil"/>
            </w:tcBorders>
            <w:tcMar>
              <w:top w:w="0" w:type="dxa"/>
              <w:left w:w="105" w:type="dxa"/>
              <w:bottom w:w="0" w:type="dxa"/>
              <w:right w:w="105" w:type="dxa"/>
            </w:tcMar>
            <w:vAlign w:val="center"/>
          </w:tcPr>
          <w:p w14:paraId="0124B3A8">
            <w:r>
              <w:rPr>
                <w:rFonts w:hint="eastAsia"/>
              </w:rPr>
              <w:t>100≤Y＜2000</w:t>
            </w:r>
          </w:p>
        </w:tc>
        <w:tc>
          <w:tcPr>
            <w:tcW w:w="1045" w:type="dxa"/>
            <w:tcBorders>
              <w:tl2br w:val="nil"/>
              <w:tr2bl w:val="nil"/>
            </w:tcBorders>
            <w:tcMar>
              <w:top w:w="0" w:type="dxa"/>
              <w:left w:w="105" w:type="dxa"/>
              <w:bottom w:w="0" w:type="dxa"/>
              <w:right w:w="105" w:type="dxa"/>
            </w:tcMar>
            <w:vAlign w:val="center"/>
          </w:tcPr>
          <w:p w14:paraId="780CD24D">
            <w:r>
              <w:rPr>
                <w:rFonts w:hint="eastAsia"/>
              </w:rPr>
              <w:t>Y＜100</w:t>
            </w:r>
          </w:p>
        </w:tc>
      </w:tr>
      <w:tr w14:paraId="228E5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7B08487F">
            <w:r>
              <w:rPr>
                <w:rFonts w:hint="eastAsia"/>
              </w:rPr>
              <w:t>住宿业</w:t>
            </w:r>
          </w:p>
        </w:tc>
        <w:tc>
          <w:tcPr>
            <w:tcW w:w="1845" w:type="dxa"/>
            <w:tcBorders>
              <w:tl2br w:val="nil"/>
              <w:tr2bl w:val="nil"/>
            </w:tcBorders>
            <w:tcMar>
              <w:top w:w="0" w:type="dxa"/>
              <w:left w:w="105" w:type="dxa"/>
              <w:bottom w:w="0" w:type="dxa"/>
              <w:right w:w="105" w:type="dxa"/>
            </w:tcMar>
            <w:vAlign w:val="center"/>
          </w:tcPr>
          <w:p w14:paraId="07D233B7">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2616A576">
            <w:r>
              <w:rPr>
                <w:rFonts w:hint="eastAsia"/>
              </w:rPr>
              <w:t>人</w:t>
            </w:r>
          </w:p>
        </w:tc>
        <w:tc>
          <w:tcPr>
            <w:tcW w:w="1624" w:type="dxa"/>
            <w:tcBorders>
              <w:tl2br w:val="nil"/>
              <w:tr2bl w:val="nil"/>
            </w:tcBorders>
            <w:tcMar>
              <w:top w:w="0" w:type="dxa"/>
              <w:left w:w="105" w:type="dxa"/>
              <w:bottom w:w="0" w:type="dxa"/>
              <w:right w:w="105" w:type="dxa"/>
            </w:tcMar>
            <w:vAlign w:val="center"/>
          </w:tcPr>
          <w:p w14:paraId="4DD65943">
            <w:r>
              <w:rPr>
                <w:rFonts w:hint="eastAsia"/>
              </w:rPr>
              <w:t>100≤X＜300</w:t>
            </w:r>
          </w:p>
        </w:tc>
        <w:tc>
          <w:tcPr>
            <w:tcW w:w="1348" w:type="dxa"/>
            <w:tcBorders>
              <w:tl2br w:val="nil"/>
              <w:tr2bl w:val="nil"/>
            </w:tcBorders>
            <w:tcMar>
              <w:top w:w="0" w:type="dxa"/>
              <w:left w:w="105" w:type="dxa"/>
              <w:bottom w:w="0" w:type="dxa"/>
              <w:right w:w="105" w:type="dxa"/>
            </w:tcMar>
            <w:vAlign w:val="center"/>
          </w:tcPr>
          <w:p w14:paraId="332B3E6D">
            <w:r>
              <w:rPr>
                <w:rFonts w:hint="eastAsia"/>
              </w:rPr>
              <w:t>10≤X＜100</w:t>
            </w:r>
          </w:p>
        </w:tc>
        <w:tc>
          <w:tcPr>
            <w:tcW w:w="1045" w:type="dxa"/>
            <w:tcBorders>
              <w:tl2br w:val="nil"/>
              <w:tr2bl w:val="nil"/>
            </w:tcBorders>
            <w:tcMar>
              <w:top w:w="0" w:type="dxa"/>
              <w:left w:w="105" w:type="dxa"/>
              <w:bottom w:w="0" w:type="dxa"/>
              <w:right w:w="105" w:type="dxa"/>
            </w:tcMar>
            <w:vAlign w:val="center"/>
          </w:tcPr>
          <w:p w14:paraId="1D06A255">
            <w:r>
              <w:rPr>
                <w:rFonts w:hint="eastAsia"/>
              </w:rPr>
              <w:t>X＜10</w:t>
            </w:r>
          </w:p>
        </w:tc>
      </w:tr>
      <w:tr w14:paraId="37C07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4A7937B1"/>
        </w:tc>
        <w:tc>
          <w:tcPr>
            <w:tcW w:w="1845" w:type="dxa"/>
            <w:tcBorders>
              <w:tl2br w:val="nil"/>
              <w:tr2bl w:val="nil"/>
            </w:tcBorders>
            <w:tcMar>
              <w:top w:w="0" w:type="dxa"/>
              <w:left w:w="105" w:type="dxa"/>
              <w:bottom w:w="0" w:type="dxa"/>
              <w:right w:w="105" w:type="dxa"/>
            </w:tcMar>
            <w:vAlign w:val="center"/>
          </w:tcPr>
          <w:p w14:paraId="275A6316">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5197F80A">
            <w:r>
              <w:rPr>
                <w:rFonts w:hint="eastAsia"/>
              </w:rPr>
              <w:t>万元</w:t>
            </w:r>
          </w:p>
        </w:tc>
        <w:tc>
          <w:tcPr>
            <w:tcW w:w="1624" w:type="dxa"/>
            <w:tcBorders>
              <w:tl2br w:val="nil"/>
              <w:tr2bl w:val="nil"/>
            </w:tcBorders>
            <w:tcMar>
              <w:top w:w="0" w:type="dxa"/>
              <w:left w:w="105" w:type="dxa"/>
              <w:bottom w:w="0" w:type="dxa"/>
              <w:right w:w="105" w:type="dxa"/>
            </w:tcMar>
            <w:vAlign w:val="center"/>
          </w:tcPr>
          <w:p w14:paraId="4E13888D">
            <w:r>
              <w:rPr>
                <w:rFonts w:hint="eastAsia"/>
              </w:rPr>
              <w:t>2000≤Y＜10000</w:t>
            </w:r>
          </w:p>
        </w:tc>
        <w:tc>
          <w:tcPr>
            <w:tcW w:w="1348" w:type="dxa"/>
            <w:tcBorders>
              <w:tl2br w:val="nil"/>
              <w:tr2bl w:val="nil"/>
            </w:tcBorders>
            <w:tcMar>
              <w:top w:w="0" w:type="dxa"/>
              <w:left w:w="105" w:type="dxa"/>
              <w:bottom w:w="0" w:type="dxa"/>
              <w:right w:w="105" w:type="dxa"/>
            </w:tcMar>
            <w:vAlign w:val="center"/>
          </w:tcPr>
          <w:p w14:paraId="5E6A58CC">
            <w:r>
              <w:rPr>
                <w:rFonts w:hint="eastAsia"/>
              </w:rPr>
              <w:t>100≤Y＜2000</w:t>
            </w:r>
          </w:p>
        </w:tc>
        <w:tc>
          <w:tcPr>
            <w:tcW w:w="1045" w:type="dxa"/>
            <w:tcBorders>
              <w:tl2br w:val="nil"/>
              <w:tr2bl w:val="nil"/>
            </w:tcBorders>
            <w:tcMar>
              <w:top w:w="0" w:type="dxa"/>
              <w:left w:w="105" w:type="dxa"/>
              <w:bottom w:w="0" w:type="dxa"/>
              <w:right w:w="105" w:type="dxa"/>
            </w:tcMar>
            <w:vAlign w:val="center"/>
          </w:tcPr>
          <w:p w14:paraId="30DD6034">
            <w:r>
              <w:rPr>
                <w:rFonts w:hint="eastAsia"/>
              </w:rPr>
              <w:t>Y＜100</w:t>
            </w:r>
          </w:p>
        </w:tc>
      </w:tr>
      <w:tr w14:paraId="6D33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6DFEBF22">
            <w:r>
              <w:rPr>
                <w:rFonts w:hint="eastAsia"/>
              </w:rPr>
              <w:t>餐饮业</w:t>
            </w:r>
          </w:p>
        </w:tc>
        <w:tc>
          <w:tcPr>
            <w:tcW w:w="1845" w:type="dxa"/>
            <w:tcBorders>
              <w:tl2br w:val="nil"/>
              <w:tr2bl w:val="nil"/>
            </w:tcBorders>
            <w:tcMar>
              <w:top w:w="0" w:type="dxa"/>
              <w:left w:w="105" w:type="dxa"/>
              <w:bottom w:w="0" w:type="dxa"/>
              <w:right w:w="105" w:type="dxa"/>
            </w:tcMar>
            <w:vAlign w:val="center"/>
          </w:tcPr>
          <w:p w14:paraId="60F75D35">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0CBF9CCA">
            <w:r>
              <w:rPr>
                <w:rFonts w:hint="eastAsia"/>
              </w:rPr>
              <w:t>人</w:t>
            </w:r>
          </w:p>
        </w:tc>
        <w:tc>
          <w:tcPr>
            <w:tcW w:w="1624" w:type="dxa"/>
            <w:tcBorders>
              <w:tl2br w:val="nil"/>
              <w:tr2bl w:val="nil"/>
            </w:tcBorders>
            <w:tcMar>
              <w:top w:w="0" w:type="dxa"/>
              <w:left w:w="105" w:type="dxa"/>
              <w:bottom w:w="0" w:type="dxa"/>
              <w:right w:w="105" w:type="dxa"/>
            </w:tcMar>
            <w:vAlign w:val="center"/>
          </w:tcPr>
          <w:p w14:paraId="2DEE9F64">
            <w:r>
              <w:rPr>
                <w:rFonts w:hint="eastAsia"/>
              </w:rPr>
              <w:t>100≤X＜300</w:t>
            </w:r>
          </w:p>
        </w:tc>
        <w:tc>
          <w:tcPr>
            <w:tcW w:w="1348" w:type="dxa"/>
            <w:tcBorders>
              <w:tl2br w:val="nil"/>
              <w:tr2bl w:val="nil"/>
            </w:tcBorders>
            <w:tcMar>
              <w:top w:w="0" w:type="dxa"/>
              <w:left w:w="105" w:type="dxa"/>
              <w:bottom w:w="0" w:type="dxa"/>
              <w:right w:w="105" w:type="dxa"/>
            </w:tcMar>
            <w:vAlign w:val="center"/>
          </w:tcPr>
          <w:p w14:paraId="36658709">
            <w:r>
              <w:rPr>
                <w:rFonts w:hint="eastAsia"/>
              </w:rPr>
              <w:t>10≤X＜100</w:t>
            </w:r>
          </w:p>
        </w:tc>
        <w:tc>
          <w:tcPr>
            <w:tcW w:w="1045" w:type="dxa"/>
            <w:tcBorders>
              <w:tl2br w:val="nil"/>
              <w:tr2bl w:val="nil"/>
            </w:tcBorders>
            <w:tcMar>
              <w:top w:w="0" w:type="dxa"/>
              <w:left w:w="105" w:type="dxa"/>
              <w:bottom w:w="0" w:type="dxa"/>
              <w:right w:w="105" w:type="dxa"/>
            </w:tcMar>
            <w:vAlign w:val="center"/>
          </w:tcPr>
          <w:p w14:paraId="6FFA3796">
            <w:r>
              <w:rPr>
                <w:rFonts w:hint="eastAsia"/>
              </w:rPr>
              <w:t>X＜10</w:t>
            </w:r>
          </w:p>
        </w:tc>
      </w:tr>
      <w:tr w14:paraId="7678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6A200071"/>
        </w:tc>
        <w:tc>
          <w:tcPr>
            <w:tcW w:w="1845" w:type="dxa"/>
            <w:tcBorders>
              <w:tl2br w:val="nil"/>
              <w:tr2bl w:val="nil"/>
            </w:tcBorders>
            <w:tcMar>
              <w:top w:w="0" w:type="dxa"/>
              <w:left w:w="105" w:type="dxa"/>
              <w:bottom w:w="0" w:type="dxa"/>
              <w:right w:w="105" w:type="dxa"/>
            </w:tcMar>
            <w:vAlign w:val="center"/>
          </w:tcPr>
          <w:p w14:paraId="68BDF073">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59BE6037">
            <w:r>
              <w:rPr>
                <w:rFonts w:hint="eastAsia"/>
              </w:rPr>
              <w:t>万元</w:t>
            </w:r>
          </w:p>
        </w:tc>
        <w:tc>
          <w:tcPr>
            <w:tcW w:w="1624" w:type="dxa"/>
            <w:tcBorders>
              <w:tl2br w:val="nil"/>
              <w:tr2bl w:val="nil"/>
            </w:tcBorders>
            <w:tcMar>
              <w:top w:w="0" w:type="dxa"/>
              <w:left w:w="105" w:type="dxa"/>
              <w:bottom w:w="0" w:type="dxa"/>
              <w:right w:w="105" w:type="dxa"/>
            </w:tcMar>
            <w:vAlign w:val="center"/>
          </w:tcPr>
          <w:p w14:paraId="777E0228">
            <w:r>
              <w:rPr>
                <w:rFonts w:hint="eastAsia"/>
              </w:rPr>
              <w:t>2000≤Y＜10000</w:t>
            </w:r>
          </w:p>
        </w:tc>
        <w:tc>
          <w:tcPr>
            <w:tcW w:w="1348" w:type="dxa"/>
            <w:tcBorders>
              <w:tl2br w:val="nil"/>
              <w:tr2bl w:val="nil"/>
            </w:tcBorders>
            <w:tcMar>
              <w:top w:w="0" w:type="dxa"/>
              <w:left w:w="105" w:type="dxa"/>
              <w:bottom w:w="0" w:type="dxa"/>
              <w:right w:w="105" w:type="dxa"/>
            </w:tcMar>
            <w:vAlign w:val="center"/>
          </w:tcPr>
          <w:p w14:paraId="3825B31D">
            <w:r>
              <w:rPr>
                <w:rFonts w:hint="eastAsia"/>
              </w:rPr>
              <w:t>100≤Y＜2000</w:t>
            </w:r>
          </w:p>
        </w:tc>
        <w:tc>
          <w:tcPr>
            <w:tcW w:w="1045" w:type="dxa"/>
            <w:tcBorders>
              <w:tl2br w:val="nil"/>
              <w:tr2bl w:val="nil"/>
            </w:tcBorders>
            <w:tcMar>
              <w:top w:w="0" w:type="dxa"/>
              <w:left w:w="105" w:type="dxa"/>
              <w:bottom w:w="0" w:type="dxa"/>
              <w:right w:w="105" w:type="dxa"/>
            </w:tcMar>
            <w:vAlign w:val="center"/>
          </w:tcPr>
          <w:p w14:paraId="19553FAC">
            <w:r>
              <w:rPr>
                <w:rFonts w:hint="eastAsia"/>
              </w:rPr>
              <w:t>Y＜100</w:t>
            </w:r>
          </w:p>
        </w:tc>
      </w:tr>
      <w:tr w14:paraId="12D59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02D53812">
            <w:r>
              <w:rPr>
                <w:rFonts w:hint="eastAsia"/>
              </w:rPr>
              <w:t>信息传输业</w:t>
            </w:r>
          </w:p>
        </w:tc>
        <w:tc>
          <w:tcPr>
            <w:tcW w:w="1845" w:type="dxa"/>
            <w:tcBorders>
              <w:tl2br w:val="nil"/>
              <w:tr2bl w:val="nil"/>
            </w:tcBorders>
            <w:tcMar>
              <w:top w:w="0" w:type="dxa"/>
              <w:left w:w="105" w:type="dxa"/>
              <w:bottom w:w="0" w:type="dxa"/>
              <w:right w:w="105" w:type="dxa"/>
            </w:tcMar>
            <w:vAlign w:val="center"/>
          </w:tcPr>
          <w:p w14:paraId="48D4AB95">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21C750F2">
            <w:r>
              <w:rPr>
                <w:rFonts w:hint="eastAsia"/>
              </w:rPr>
              <w:t>人</w:t>
            </w:r>
          </w:p>
        </w:tc>
        <w:tc>
          <w:tcPr>
            <w:tcW w:w="1624" w:type="dxa"/>
            <w:tcBorders>
              <w:tl2br w:val="nil"/>
              <w:tr2bl w:val="nil"/>
            </w:tcBorders>
            <w:tcMar>
              <w:top w:w="0" w:type="dxa"/>
              <w:left w:w="105" w:type="dxa"/>
              <w:bottom w:w="0" w:type="dxa"/>
              <w:right w:w="105" w:type="dxa"/>
            </w:tcMar>
            <w:vAlign w:val="center"/>
          </w:tcPr>
          <w:p w14:paraId="767907E9">
            <w:r>
              <w:rPr>
                <w:rFonts w:hint="eastAsia"/>
              </w:rPr>
              <w:t>100≤X＜2000</w:t>
            </w:r>
          </w:p>
        </w:tc>
        <w:tc>
          <w:tcPr>
            <w:tcW w:w="1348" w:type="dxa"/>
            <w:tcBorders>
              <w:tl2br w:val="nil"/>
              <w:tr2bl w:val="nil"/>
            </w:tcBorders>
            <w:tcMar>
              <w:top w:w="0" w:type="dxa"/>
              <w:left w:w="105" w:type="dxa"/>
              <w:bottom w:w="0" w:type="dxa"/>
              <w:right w:w="105" w:type="dxa"/>
            </w:tcMar>
            <w:vAlign w:val="center"/>
          </w:tcPr>
          <w:p w14:paraId="1C317819">
            <w:r>
              <w:rPr>
                <w:rFonts w:hint="eastAsia"/>
              </w:rPr>
              <w:t>10≤X＜100</w:t>
            </w:r>
          </w:p>
        </w:tc>
        <w:tc>
          <w:tcPr>
            <w:tcW w:w="1045" w:type="dxa"/>
            <w:tcBorders>
              <w:tl2br w:val="nil"/>
              <w:tr2bl w:val="nil"/>
            </w:tcBorders>
            <w:tcMar>
              <w:top w:w="0" w:type="dxa"/>
              <w:left w:w="105" w:type="dxa"/>
              <w:bottom w:w="0" w:type="dxa"/>
              <w:right w:w="105" w:type="dxa"/>
            </w:tcMar>
            <w:vAlign w:val="center"/>
          </w:tcPr>
          <w:p w14:paraId="30D913B3">
            <w:r>
              <w:rPr>
                <w:rFonts w:hint="eastAsia"/>
              </w:rPr>
              <w:t>X＜10</w:t>
            </w:r>
          </w:p>
        </w:tc>
      </w:tr>
      <w:tr w14:paraId="60727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2648E0D0"/>
        </w:tc>
        <w:tc>
          <w:tcPr>
            <w:tcW w:w="1845" w:type="dxa"/>
            <w:tcBorders>
              <w:tl2br w:val="nil"/>
              <w:tr2bl w:val="nil"/>
            </w:tcBorders>
            <w:tcMar>
              <w:top w:w="0" w:type="dxa"/>
              <w:left w:w="105" w:type="dxa"/>
              <w:bottom w:w="0" w:type="dxa"/>
              <w:right w:w="105" w:type="dxa"/>
            </w:tcMar>
            <w:vAlign w:val="center"/>
          </w:tcPr>
          <w:p w14:paraId="54E56121">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7ECC1975">
            <w:r>
              <w:rPr>
                <w:rFonts w:hint="eastAsia"/>
              </w:rPr>
              <w:t>万元</w:t>
            </w:r>
          </w:p>
        </w:tc>
        <w:tc>
          <w:tcPr>
            <w:tcW w:w="1624" w:type="dxa"/>
            <w:tcBorders>
              <w:tl2br w:val="nil"/>
              <w:tr2bl w:val="nil"/>
            </w:tcBorders>
            <w:tcMar>
              <w:top w:w="0" w:type="dxa"/>
              <w:left w:w="105" w:type="dxa"/>
              <w:bottom w:w="0" w:type="dxa"/>
              <w:right w:w="105" w:type="dxa"/>
            </w:tcMar>
            <w:vAlign w:val="center"/>
          </w:tcPr>
          <w:p w14:paraId="76F9A1F9">
            <w:r>
              <w:rPr>
                <w:rFonts w:hint="eastAsia"/>
              </w:rPr>
              <w:t>1000≤Y＜100000</w:t>
            </w:r>
          </w:p>
        </w:tc>
        <w:tc>
          <w:tcPr>
            <w:tcW w:w="1348" w:type="dxa"/>
            <w:tcBorders>
              <w:tl2br w:val="nil"/>
              <w:tr2bl w:val="nil"/>
            </w:tcBorders>
            <w:tcMar>
              <w:top w:w="0" w:type="dxa"/>
              <w:left w:w="105" w:type="dxa"/>
              <w:bottom w:w="0" w:type="dxa"/>
              <w:right w:w="105" w:type="dxa"/>
            </w:tcMar>
            <w:vAlign w:val="center"/>
          </w:tcPr>
          <w:p w14:paraId="61C7D30D">
            <w:r>
              <w:rPr>
                <w:rFonts w:hint="eastAsia"/>
              </w:rPr>
              <w:t>100≤Y＜1000</w:t>
            </w:r>
          </w:p>
        </w:tc>
        <w:tc>
          <w:tcPr>
            <w:tcW w:w="1045" w:type="dxa"/>
            <w:tcBorders>
              <w:tl2br w:val="nil"/>
              <w:tr2bl w:val="nil"/>
            </w:tcBorders>
            <w:tcMar>
              <w:top w:w="0" w:type="dxa"/>
              <w:left w:w="105" w:type="dxa"/>
              <w:bottom w:w="0" w:type="dxa"/>
              <w:right w:w="105" w:type="dxa"/>
            </w:tcMar>
            <w:vAlign w:val="center"/>
          </w:tcPr>
          <w:p w14:paraId="49F894D4">
            <w:r>
              <w:rPr>
                <w:rFonts w:hint="eastAsia"/>
              </w:rPr>
              <w:t>Y＜100</w:t>
            </w:r>
          </w:p>
        </w:tc>
      </w:tr>
      <w:tr w14:paraId="72FE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21C84065">
            <w:r>
              <w:rPr>
                <w:rFonts w:hint="eastAsia"/>
              </w:rPr>
              <w:t>软件和信息技术服务业</w:t>
            </w:r>
          </w:p>
        </w:tc>
        <w:tc>
          <w:tcPr>
            <w:tcW w:w="1845" w:type="dxa"/>
            <w:tcBorders>
              <w:tl2br w:val="nil"/>
              <w:tr2bl w:val="nil"/>
            </w:tcBorders>
            <w:tcMar>
              <w:top w:w="0" w:type="dxa"/>
              <w:left w:w="105" w:type="dxa"/>
              <w:bottom w:w="0" w:type="dxa"/>
              <w:right w:w="105" w:type="dxa"/>
            </w:tcMar>
            <w:vAlign w:val="center"/>
          </w:tcPr>
          <w:p w14:paraId="1A5B1772">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339F1F18">
            <w:r>
              <w:rPr>
                <w:rFonts w:hint="eastAsia"/>
              </w:rPr>
              <w:t>人</w:t>
            </w:r>
          </w:p>
        </w:tc>
        <w:tc>
          <w:tcPr>
            <w:tcW w:w="1624" w:type="dxa"/>
            <w:tcBorders>
              <w:tl2br w:val="nil"/>
              <w:tr2bl w:val="nil"/>
            </w:tcBorders>
            <w:tcMar>
              <w:top w:w="0" w:type="dxa"/>
              <w:left w:w="105" w:type="dxa"/>
              <w:bottom w:w="0" w:type="dxa"/>
              <w:right w:w="105" w:type="dxa"/>
            </w:tcMar>
            <w:vAlign w:val="center"/>
          </w:tcPr>
          <w:p w14:paraId="7A78BBC6">
            <w:r>
              <w:rPr>
                <w:rFonts w:hint="eastAsia"/>
              </w:rPr>
              <w:t>100≤X＜300</w:t>
            </w:r>
          </w:p>
        </w:tc>
        <w:tc>
          <w:tcPr>
            <w:tcW w:w="1348" w:type="dxa"/>
            <w:tcBorders>
              <w:tl2br w:val="nil"/>
              <w:tr2bl w:val="nil"/>
            </w:tcBorders>
            <w:tcMar>
              <w:top w:w="0" w:type="dxa"/>
              <w:left w:w="105" w:type="dxa"/>
              <w:bottom w:w="0" w:type="dxa"/>
              <w:right w:w="105" w:type="dxa"/>
            </w:tcMar>
            <w:vAlign w:val="center"/>
          </w:tcPr>
          <w:p w14:paraId="04C895E4">
            <w:r>
              <w:rPr>
                <w:rFonts w:hint="eastAsia"/>
              </w:rPr>
              <w:t>10≤X＜100</w:t>
            </w:r>
          </w:p>
        </w:tc>
        <w:tc>
          <w:tcPr>
            <w:tcW w:w="1045" w:type="dxa"/>
            <w:tcBorders>
              <w:tl2br w:val="nil"/>
              <w:tr2bl w:val="nil"/>
            </w:tcBorders>
            <w:tcMar>
              <w:top w:w="0" w:type="dxa"/>
              <w:left w:w="105" w:type="dxa"/>
              <w:bottom w:w="0" w:type="dxa"/>
              <w:right w:w="105" w:type="dxa"/>
            </w:tcMar>
            <w:vAlign w:val="center"/>
          </w:tcPr>
          <w:p w14:paraId="1E2B0227">
            <w:r>
              <w:rPr>
                <w:rFonts w:hint="eastAsia"/>
              </w:rPr>
              <w:t>X＜10</w:t>
            </w:r>
          </w:p>
        </w:tc>
      </w:tr>
      <w:tr w14:paraId="3713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23B94EF7"/>
        </w:tc>
        <w:tc>
          <w:tcPr>
            <w:tcW w:w="1845" w:type="dxa"/>
            <w:tcBorders>
              <w:tl2br w:val="nil"/>
              <w:tr2bl w:val="nil"/>
            </w:tcBorders>
            <w:tcMar>
              <w:top w:w="0" w:type="dxa"/>
              <w:left w:w="105" w:type="dxa"/>
              <w:bottom w:w="0" w:type="dxa"/>
              <w:right w:w="105" w:type="dxa"/>
            </w:tcMar>
            <w:vAlign w:val="center"/>
          </w:tcPr>
          <w:p w14:paraId="17170FE8">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6AC9F745">
            <w:r>
              <w:rPr>
                <w:rFonts w:hint="eastAsia"/>
              </w:rPr>
              <w:t>万元</w:t>
            </w:r>
          </w:p>
        </w:tc>
        <w:tc>
          <w:tcPr>
            <w:tcW w:w="1624" w:type="dxa"/>
            <w:tcBorders>
              <w:tl2br w:val="nil"/>
              <w:tr2bl w:val="nil"/>
            </w:tcBorders>
            <w:tcMar>
              <w:top w:w="0" w:type="dxa"/>
              <w:left w:w="105" w:type="dxa"/>
              <w:bottom w:w="0" w:type="dxa"/>
              <w:right w:w="105" w:type="dxa"/>
            </w:tcMar>
            <w:vAlign w:val="center"/>
          </w:tcPr>
          <w:p w14:paraId="611FF08D">
            <w:r>
              <w:rPr>
                <w:rFonts w:hint="eastAsia"/>
              </w:rPr>
              <w:t>1000≤Y＜10000</w:t>
            </w:r>
          </w:p>
        </w:tc>
        <w:tc>
          <w:tcPr>
            <w:tcW w:w="1348" w:type="dxa"/>
            <w:tcBorders>
              <w:tl2br w:val="nil"/>
              <w:tr2bl w:val="nil"/>
            </w:tcBorders>
            <w:tcMar>
              <w:top w:w="0" w:type="dxa"/>
              <w:left w:w="105" w:type="dxa"/>
              <w:bottom w:w="0" w:type="dxa"/>
              <w:right w:w="105" w:type="dxa"/>
            </w:tcMar>
            <w:vAlign w:val="center"/>
          </w:tcPr>
          <w:p w14:paraId="215C2D03">
            <w:r>
              <w:rPr>
                <w:rFonts w:hint="eastAsia"/>
              </w:rPr>
              <w:t>50≤Y＜1000</w:t>
            </w:r>
          </w:p>
        </w:tc>
        <w:tc>
          <w:tcPr>
            <w:tcW w:w="1045" w:type="dxa"/>
            <w:tcBorders>
              <w:tl2br w:val="nil"/>
              <w:tr2bl w:val="nil"/>
            </w:tcBorders>
            <w:tcMar>
              <w:top w:w="0" w:type="dxa"/>
              <w:left w:w="105" w:type="dxa"/>
              <w:bottom w:w="0" w:type="dxa"/>
              <w:right w:w="105" w:type="dxa"/>
            </w:tcMar>
            <w:vAlign w:val="center"/>
          </w:tcPr>
          <w:p w14:paraId="6837931F">
            <w:r>
              <w:rPr>
                <w:rFonts w:hint="eastAsia"/>
              </w:rPr>
              <w:t>Y＜50</w:t>
            </w:r>
          </w:p>
        </w:tc>
      </w:tr>
      <w:tr w14:paraId="0BB9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128EB830">
            <w:r>
              <w:rPr>
                <w:rFonts w:hint="eastAsia"/>
              </w:rPr>
              <w:t>房地产开发经营</w:t>
            </w:r>
          </w:p>
        </w:tc>
        <w:tc>
          <w:tcPr>
            <w:tcW w:w="1845" w:type="dxa"/>
            <w:tcBorders>
              <w:tl2br w:val="nil"/>
              <w:tr2bl w:val="nil"/>
            </w:tcBorders>
            <w:tcMar>
              <w:top w:w="0" w:type="dxa"/>
              <w:left w:w="105" w:type="dxa"/>
              <w:bottom w:w="0" w:type="dxa"/>
              <w:right w:w="105" w:type="dxa"/>
            </w:tcMar>
            <w:vAlign w:val="center"/>
          </w:tcPr>
          <w:p w14:paraId="083CC65C">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1E925E63">
            <w:r>
              <w:rPr>
                <w:rFonts w:hint="eastAsia"/>
              </w:rPr>
              <w:t>万元</w:t>
            </w:r>
          </w:p>
        </w:tc>
        <w:tc>
          <w:tcPr>
            <w:tcW w:w="1624" w:type="dxa"/>
            <w:tcBorders>
              <w:tl2br w:val="nil"/>
              <w:tr2bl w:val="nil"/>
            </w:tcBorders>
            <w:tcMar>
              <w:top w:w="0" w:type="dxa"/>
              <w:left w:w="105" w:type="dxa"/>
              <w:bottom w:w="0" w:type="dxa"/>
              <w:right w:w="105" w:type="dxa"/>
            </w:tcMar>
            <w:vAlign w:val="center"/>
          </w:tcPr>
          <w:p w14:paraId="703BC0D2">
            <w:r>
              <w:rPr>
                <w:rFonts w:hint="eastAsia"/>
              </w:rPr>
              <w:t>1000≤Y＜200000</w:t>
            </w:r>
          </w:p>
        </w:tc>
        <w:tc>
          <w:tcPr>
            <w:tcW w:w="1348" w:type="dxa"/>
            <w:tcBorders>
              <w:tl2br w:val="nil"/>
              <w:tr2bl w:val="nil"/>
            </w:tcBorders>
            <w:tcMar>
              <w:top w:w="0" w:type="dxa"/>
              <w:left w:w="105" w:type="dxa"/>
              <w:bottom w:w="0" w:type="dxa"/>
              <w:right w:w="105" w:type="dxa"/>
            </w:tcMar>
            <w:vAlign w:val="center"/>
          </w:tcPr>
          <w:p w14:paraId="3F6135B8">
            <w:r>
              <w:rPr>
                <w:rFonts w:hint="eastAsia"/>
              </w:rPr>
              <w:t>100≤X＜1000</w:t>
            </w:r>
          </w:p>
        </w:tc>
        <w:tc>
          <w:tcPr>
            <w:tcW w:w="1045" w:type="dxa"/>
            <w:tcBorders>
              <w:tl2br w:val="nil"/>
              <w:tr2bl w:val="nil"/>
            </w:tcBorders>
            <w:tcMar>
              <w:top w:w="0" w:type="dxa"/>
              <w:left w:w="105" w:type="dxa"/>
              <w:bottom w:w="0" w:type="dxa"/>
              <w:right w:w="105" w:type="dxa"/>
            </w:tcMar>
            <w:vAlign w:val="center"/>
          </w:tcPr>
          <w:p w14:paraId="0F56B062">
            <w:r>
              <w:rPr>
                <w:rFonts w:hint="eastAsia"/>
              </w:rPr>
              <w:t>X＜100</w:t>
            </w:r>
          </w:p>
        </w:tc>
      </w:tr>
      <w:tr w14:paraId="3600F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61950257"/>
        </w:tc>
        <w:tc>
          <w:tcPr>
            <w:tcW w:w="1845" w:type="dxa"/>
            <w:tcBorders>
              <w:tl2br w:val="nil"/>
              <w:tr2bl w:val="nil"/>
            </w:tcBorders>
            <w:tcMar>
              <w:top w:w="0" w:type="dxa"/>
              <w:left w:w="105" w:type="dxa"/>
              <w:bottom w:w="0" w:type="dxa"/>
              <w:right w:w="105" w:type="dxa"/>
            </w:tcMar>
            <w:vAlign w:val="center"/>
          </w:tcPr>
          <w:p w14:paraId="2C879F52">
            <w:r>
              <w:rPr>
                <w:rFonts w:hint="eastAsia"/>
              </w:rPr>
              <w:t>资产总额（Z）</w:t>
            </w:r>
          </w:p>
        </w:tc>
        <w:tc>
          <w:tcPr>
            <w:tcW w:w="1156" w:type="dxa"/>
            <w:tcBorders>
              <w:tl2br w:val="nil"/>
              <w:tr2bl w:val="nil"/>
            </w:tcBorders>
            <w:tcMar>
              <w:top w:w="0" w:type="dxa"/>
              <w:left w:w="105" w:type="dxa"/>
              <w:bottom w:w="0" w:type="dxa"/>
              <w:right w:w="105" w:type="dxa"/>
            </w:tcMar>
            <w:vAlign w:val="center"/>
          </w:tcPr>
          <w:p w14:paraId="69F7CCDA">
            <w:r>
              <w:rPr>
                <w:rFonts w:hint="eastAsia"/>
              </w:rPr>
              <w:t>万元</w:t>
            </w:r>
          </w:p>
        </w:tc>
        <w:tc>
          <w:tcPr>
            <w:tcW w:w="1624" w:type="dxa"/>
            <w:tcBorders>
              <w:tl2br w:val="nil"/>
              <w:tr2bl w:val="nil"/>
            </w:tcBorders>
            <w:tcMar>
              <w:top w:w="0" w:type="dxa"/>
              <w:left w:w="105" w:type="dxa"/>
              <w:bottom w:w="0" w:type="dxa"/>
              <w:right w:w="105" w:type="dxa"/>
            </w:tcMar>
            <w:vAlign w:val="center"/>
          </w:tcPr>
          <w:p w14:paraId="627AACA5">
            <w:r>
              <w:rPr>
                <w:rFonts w:hint="eastAsia"/>
              </w:rPr>
              <w:t>5000≤Z＜10000</w:t>
            </w:r>
          </w:p>
        </w:tc>
        <w:tc>
          <w:tcPr>
            <w:tcW w:w="1348" w:type="dxa"/>
            <w:tcBorders>
              <w:tl2br w:val="nil"/>
              <w:tr2bl w:val="nil"/>
            </w:tcBorders>
            <w:tcMar>
              <w:top w:w="0" w:type="dxa"/>
              <w:left w:w="105" w:type="dxa"/>
              <w:bottom w:w="0" w:type="dxa"/>
              <w:right w:w="105" w:type="dxa"/>
            </w:tcMar>
            <w:vAlign w:val="center"/>
          </w:tcPr>
          <w:p w14:paraId="173E33E6">
            <w:r>
              <w:rPr>
                <w:rFonts w:hint="eastAsia"/>
              </w:rPr>
              <w:t>2000≤Y＜5000</w:t>
            </w:r>
          </w:p>
        </w:tc>
        <w:tc>
          <w:tcPr>
            <w:tcW w:w="1045" w:type="dxa"/>
            <w:tcBorders>
              <w:tl2br w:val="nil"/>
              <w:tr2bl w:val="nil"/>
            </w:tcBorders>
            <w:tcMar>
              <w:top w:w="0" w:type="dxa"/>
              <w:left w:w="105" w:type="dxa"/>
              <w:bottom w:w="0" w:type="dxa"/>
              <w:right w:w="105" w:type="dxa"/>
            </w:tcMar>
            <w:vAlign w:val="center"/>
          </w:tcPr>
          <w:p w14:paraId="4859BEFE">
            <w:r>
              <w:rPr>
                <w:rFonts w:hint="eastAsia"/>
              </w:rPr>
              <w:t>Y＜2000</w:t>
            </w:r>
          </w:p>
        </w:tc>
      </w:tr>
      <w:tr w14:paraId="7039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5E3ECC3D">
            <w:r>
              <w:rPr>
                <w:rFonts w:hint="eastAsia"/>
              </w:rPr>
              <w:t>物业管理</w:t>
            </w:r>
          </w:p>
        </w:tc>
        <w:tc>
          <w:tcPr>
            <w:tcW w:w="1845" w:type="dxa"/>
            <w:tcBorders>
              <w:tl2br w:val="nil"/>
              <w:tr2bl w:val="nil"/>
            </w:tcBorders>
            <w:tcMar>
              <w:top w:w="0" w:type="dxa"/>
              <w:left w:w="105" w:type="dxa"/>
              <w:bottom w:w="0" w:type="dxa"/>
              <w:right w:w="105" w:type="dxa"/>
            </w:tcMar>
            <w:vAlign w:val="center"/>
          </w:tcPr>
          <w:p w14:paraId="2A2E28D6">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47E16A11">
            <w:r>
              <w:rPr>
                <w:rFonts w:hint="eastAsia"/>
              </w:rPr>
              <w:t>人</w:t>
            </w:r>
          </w:p>
        </w:tc>
        <w:tc>
          <w:tcPr>
            <w:tcW w:w="1624" w:type="dxa"/>
            <w:tcBorders>
              <w:tl2br w:val="nil"/>
              <w:tr2bl w:val="nil"/>
            </w:tcBorders>
            <w:tcMar>
              <w:top w:w="0" w:type="dxa"/>
              <w:left w:w="105" w:type="dxa"/>
              <w:bottom w:w="0" w:type="dxa"/>
              <w:right w:w="105" w:type="dxa"/>
            </w:tcMar>
            <w:vAlign w:val="center"/>
          </w:tcPr>
          <w:p w14:paraId="2DAEDD3A">
            <w:r>
              <w:rPr>
                <w:rFonts w:hint="eastAsia"/>
              </w:rPr>
              <w:t>300≤X＜1000</w:t>
            </w:r>
          </w:p>
        </w:tc>
        <w:tc>
          <w:tcPr>
            <w:tcW w:w="1348" w:type="dxa"/>
            <w:tcBorders>
              <w:tl2br w:val="nil"/>
              <w:tr2bl w:val="nil"/>
            </w:tcBorders>
            <w:tcMar>
              <w:top w:w="0" w:type="dxa"/>
              <w:left w:w="105" w:type="dxa"/>
              <w:bottom w:w="0" w:type="dxa"/>
              <w:right w:w="105" w:type="dxa"/>
            </w:tcMar>
            <w:vAlign w:val="center"/>
          </w:tcPr>
          <w:p w14:paraId="2869C5C0">
            <w:r>
              <w:rPr>
                <w:rFonts w:hint="eastAsia"/>
              </w:rPr>
              <w:t>100≤X＜300</w:t>
            </w:r>
          </w:p>
        </w:tc>
        <w:tc>
          <w:tcPr>
            <w:tcW w:w="1045" w:type="dxa"/>
            <w:tcBorders>
              <w:tl2br w:val="nil"/>
              <w:tr2bl w:val="nil"/>
            </w:tcBorders>
            <w:tcMar>
              <w:top w:w="0" w:type="dxa"/>
              <w:left w:w="105" w:type="dxa"/>
              <w:bottom w:w="0" w:type="dxa"/>
              <w:right w:w="105" w:type="dxa"/>
            </w:tcMar>
            <w:vAlign w:val="center"/>
          </w:tcPr>
          <w:p w14:paraId="7CD41BC1">
            <w:r>
              <w:rPr>
                <w:rFonts w:hint="eastAsia"/>
              </w:rPr>
              <w:t>X＜100</w:t>
            </w:r>
          </w:p>
        </w:tc>
      </w:tr>
      <w:tr w14:paraId="00242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738030D3"/>
        </w:tc>
        <w:tc>
          <w:tcPr>
            <w:tcW w:w="1845" w:type="dxa"/>
            <w:tcBorders>
              <w:tl2br w:val="nil"/>
              <w:tr2bl w:val="nil"/>
            </w:tcBorders>
            <w:tcMar>
              <w:top w:w="0" w:type="dxa"/>
              <w:left w:w="105" w:type="dxa"/>
              <w:bottom w:w="0" w:type="dxa"/>
              <w:right w:w="105" w:type="dxa"/>
            </w:tcMar>
            <w:vAlign w:val="center"/>
          </w:tcPr>
          <w:p w14:paraId="17DE0E42">
            <w:r>
              <w:rPr>
                <w:rFonts w:hint="eastAsia"/>
              </w:rPr>
              <w:t>营业收入（Y）</w:t>
            </w:r>
          </w:p>
        </w:tc>
        <w:tc>
          <w:tcPr>
            <w:tcW w:w="1156" w:type="dxa"/>
            <w:tcBorders>
              <w:tl2br w:val="nil"/>
              <w:tr2bl w:val="nil"/>
            </w:tcBorders>
            <w:tcMar>
              <w:top w:w="0" w:type="dxa"/>
              <w:left w:w="105" w:type="dxa"/>
              <w:bottom w:w="0" w:type="dxa"/>
              <w:right w:w="105" w:type="dxa"/>
            </w:tcMar>
            <w:vAlign w:val="center"/>
          </w:tcPr>
          <w:p w14:paraId="3CD5BA57">
            <w:r>
              <w:rPr>
                <w:rFonts w:hint="eastAsia"/>
              </w:rPr>
              <w:t>万元</w:t>
            </w:r>
          </w:p>
        </w:tc>
        <w:tc>
          <w:tcPr>
            <w:tcW w:w="1624" w:type="dxa"/>
            <w:tcBorders>
              <w:tl2br w:val="nil"/>
              <w:tr2bl w:val="nil"/>
            </w:tcBorders>
            <w:tcMar>
              <w:top w:w="0" w:type="dxa"/>
              <w:left w:w="105" w:type="dxa"/>
              <w:bottom w:w="0" w:type="dxa"/>
              <w:right w:w="105" w:type="dxa"/>
            </w:tcMar>
            <w:vAlign w:val="center"/>
          </w:tcPr>
          <w:p w14:paraId="6E5A7691">
            <w:r>
              <w:rPr>
                <w:rFonts w:hint="eastAsia"/>
              </w:rPr>
              <w:t>1000≤Y＜5000</w:t>
            </w:r>
          </w:p>
        </w:tc>
        <w:tc>
          <w:tcPr>
            <w:tcW w:w="1348" w:type="dxa"/>
            <w:tcBorders>
              <w:tl2br w:val="nil"/>
              <w:tr2bl w:val="nil"/>
            </w:tcBorders>
            <w:tcMar>
              <w:top w:w="0" w:type="dxa"/>
              <w:left w:w="105" w:type="dxa"/>
              <w:bottom w:w="0" w:type="dxa"/>
              <w:right w:w="105" w:type="dxa"/>
            </w:tcMar>
            <w:vAlign w:val="center"/>
          </w:tcPr>
          <w:p w14:paraId="1F838626">
            <w:r>
              <w:rPr>
                <w:rFonts w:hint="eastAsia"/>
              </w:rPr>
              <w:t>500≤Y＜1000</w:t>
            </w:r>
          </w:p>
        </w:tc>
        <w:tc>
          <w:tcPr>
            <w:tcW w:w="1045" w:type="dxa"/>
            <w:tcBorders>
              <w:tl2br w:val="nil"/>
              <w:tr2bl w:val="nil"/>
            </w:tcBorders>
            <w:tcMar>
              <w:top w:w="0" w:type="dxa"/>
              <w:left w:w="105" w:type="dxa"/>
              <w:bottom w:w="0" w:type="dxa"/>
              <w:right w:w="105" w:type="dxa"/>
            </w:tcMar>
            <w:vAlign w:val="center"/>
          </w:tcPr>
          <w:p w14:paraId="13BE21D2">
            <w:r>
              <w:rPr>
                <w:rFonts w:hint="eastAsia"/>
              </w:rPr>
              <w:t>Y＜500</w:t>
            </w:r>
          </w:p>
        </w:tc>
      </w:tr>
      <w:tr w14:paraId="5C22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restart"/>
            <w:tcBorders>
              <w:tl2br w:val="nil"/>
              <w:tr2bl w:val="nil"/>
            </w:tcBorders>
            <w:tcMar>
              <w:top w:w="0" w:type="dxa"/>
              <w:left w:w="105" w:type="dxa"/>
              <w:bottom w:w="0" w:type="dxa"/>
              <w:right w:w="105" w:type="dxa"/>
            </w:tcMar>
            <w:vAlign w:val="center"/>
          </w:tcPr>
          <w:p w14:paraId="06621733">
            <w:r>
              <w:rPr>
                <w:rFonts w:hint="eastAsia"/>
              </w:rPr>
              <w:t>租赁和商务服务业</w:t>
            </w:r>
          </w:p>
        </w:tc>
        <w:tc>
          <w:tcPr>
            <w:tcW w:w="1845" w:type="dxa"/>
            <w:tcBorders>
              <w:tl2br w:val="nil"/>
              <w:tr2bl w:val="nil"/>
            </w:tcBorders>
            <w:tcMar>
              <w:top w:w="0" w:type="dxa"/>
              <w:left w:w="105" w:type="dxa"/>
              <w:bottom w:w="0" w:type="dxa"/>
              <w:right w:w="105" w:type="dxa"/>
            </w:tcMar>
            <w:vAlign w:val="center"/>
          </w:tcPr>
          <w:p w14:paraId="7C20A357">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0B274871">
            <w:r>
              <w:rPr>
                <w:rFonts w:hint="eastAsia"/>
              </w:rPr>
              <w:t>人</w:t>
            </w:r>
          </w:p>
        </w:tc>
        <w:tc>
          <w:tcPr>
            <w:tcW w:w="1624" w:type="dxa"/>
            <w:tcBorders>
              <w:tl2br w:val="nil"/>
              <w:tr2bl w:val="nil"/>
            </w:tcBorders>
            <w:tcMar>
              <w:top w:w="0" w:type="dxa"/>
              <w:left w:w="105" w:type="dxa"/>
              <w:bottom w:w="0" w:type="dxa"/>
              <w:right w:w="105" w:type="dxa"/>
            </w:tcMar>
            <w:vAlign w:val="center"/>
          </w:tcPr>
          <w:p w14:paraId="7D12BFBC">
            <w:r>
              <w:rPr>
                <w:rFonts w:hint="eastAsia"/>
              </w:rPr>
              <w:t>100≤X＜300</w:t>
            </w:r>
          </w:p>
        </w:tc>
        <w:tc>
          <w:tcPr>
            <w:tcW w:w="1348" w:type="dxa"/>
            <w:tcBorders>
              <w:tl2br w:val="nil"/>
              <w:tr2bl w:val="nil"/>
            </w:tcBorders>
            <w:tcMar>
              <w:top w:w="0" w:type="dxa"/>
              <w:left w:w="105" w:type="dxa"/>
              <w:bottom w:w="0" w:type="dxa"/>
              <w:right w:w="105" w:type="dxa"/>
            </w:tcMar>
            <w:vAlign w:val="center"/>
          </w:tcPr>
          <w:p w14:paraId="53528156">
            <w:r>
              <w:rPr>
                <w:rFonts w:hint="eastAsia"/>
              </w:rPr>
              <w:t>10≤X＜100</w:t>
            </w:r>
          </w:p>
        </w:tc>
        <w:tc>
          <w:tcPr>
            <w:tcW w:w="1045" w:type="dxa"/>
            <w:tcBorders>
              <w:tl2br w:val="nil"/>
              <w:tr2bl w:val="nil"/>
            </w:tcBorders>
            <w:tcMar>
              <w:top w:w="0" w:type="dxa"/>
              <w:left w:w="105" w:type="dxa"/>
              <w:bottom w:w="0" w:type="dxa"/>
              <w:right w:w="105" w:type="dxa"/>
            </w:tcMar>
            <w:vAlign w:val="center"/>
          </w:tcPr>
          <w:p w14:paraId="1F38ABC4">
            <w:r>
              <w:rPr>
                <w:rFonts w:hint="eastAsia"/>
              </w:rPr>
              <w:t>X＜10</w:t>
            </w:r>
          </w:p>
        </w:tc>
      </w:tr>
      <w:tr w14:paraId="64963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vMerge w:val="continue"/>
            <w:tcBorders>
              <w:tl2br w:val="nil"/>
              <w:tr2bl w:val="nil"/>
            </w:tcBorders>
            <w:vAlign w:val="center"/>
          </w:tcPr>
          <w:p w14:paraId="2A9BA68F"/>
        </w:tc>
        <w:tc>
          <w:tcPr>
            <w:tcW w:w="1845" w:type="dxa"/>
            <w:tcBorders>
              <w:tl2br w:val="nil"/>
              <w:tr2bl w:val="nil"/>
            </w:tcBorders>
            <w:tcMar>
              <w:top w:w="0" w:type="dxa"/>
              <w:left w:w="105" w:type="dxa"/>
              <w:bottom w:w="0" w:type="dxa"/>
              <w:right w:w="105" w:type="dxa"/>
            </w:tcMar>
            <w:vAlign w:val="center"/>
          </w:tcPr>
          <w:p w14:paraId="305195DD">
            <w:r>
              <w:rPr>
                <w:rFonts w:hint="eastAsia"/>
              </w:rPr>
              <w:t>资产总额（Z）</w:t>
            </w:r>
          </w:p>
        </w:tc>
        <w:tc>
          <w:tcPr>
            <w:tcW w:w="1156" w:type="dxa"/>
            <w:tcBorders>
              <w:tl2br w:val="nil"/>
              <w:tr2bl w:val="nil"/>
            </w:tcBorders>
            <w:tcMar>
              <w:top w:w="0" w:type="dxa"/>
              <w:left w:w="105" w:type="dxa"/>
              <w:bottom w:w="0" w:type="dxa"/>
              <w:right w:w="105" w:type="dxa"/>
            </w:tcMar>
            <w:vAlign w:val="center"/>
          </w:tcPr>
          <w:p w14:paraId="44EF17ED">
            <w:r>
              <w:rPr>
                <w:rFonts w:hint="eastAsia"/>
              </w:rPr>
              <w:t>万元</w:t>
            </w:r>
          </w:p>
        </w:tc>
        <w:tc>
          <w:tcPr>
            <w:tcW w:w="1624" w:type="dxa"/>
            <w:tcBorders>
              <w:tl2br w:val="nil"/>
              <w:tr2bl w:val="nil"/>
            </w:tcBorders>
            <w:tcMar>
              <w:top w:w="0" w:type="dxa"/>
              <w:left w:w="105" w:type="dxa"/>
              <w:bottom w:w="0" w:type="dxa"/>
              <w:right w:w="105" w:type="dxa"/>
            </w:tcMar>
            <w:vAlign w:val="center"/>
          </w:tcPr>
          <w:p w14:paraId="2375B45E">
            <w:r>
              <w:rPr>
                <w:rFonts w:hint="eastAsia"/>
              </w:rPr>
              <w:t>8000≤Z＜120000</w:t>
            </w:r>
          </w:p>
        </w:tc>
        <w:tc>
          <w:tcPr>
            <w:tcW w:w="1348" w:type="dxa"/>
            <w:tcBorders>
              <w:tl2br w:val="nil"/>
              <w:tr2bl w:val="nil"/>
            </w:tcBorders>
            <w:tcMar>
              <w:top w:w="0" w:type="dxa"/>
              <w:left w:w="105" w:type="dxa"/>
              <w:bottom w:w="0" w:type="dxa"/>
              <w:right w:w="105" w:type="dxa"/>
            </w:tcMar>
            <w:vAlign w:val="center"/>
          </w:tcPr>
          <w:p w14:paraId="759548BF">
            <w:r>
              <w:rPr>
                <w:rFonts w:hint="eastAsia"/>
              </w:rPr>
              <w:t>100≤Z＜8000</w:t>
            </w:r>
          </w:p>
        </w:tc>
        <w:tc>
          <w:tcPr>
            <w:tcW w:w="1045" w:type="dxa"/>
            <w:tcBorders>
              <w:tl2br w:val="nil"/>
              <w:tr2bl w:val="nil"/>
            </w:tcBorders>
            <w:tcMar>
              <w:top w:w="0" w:type="dxa"/>
              <w:left w:w="105" w:type="dxa"/>
              <w:bottom w:w="0" w:type="dxa"/>
              <w:right w:w="105" w:type="dxa"/>
            </w:tcMar>
            <w:vAlign w:val="center"/>
          </w:tcPr>
          <w:p w14:paraId="7B14B5FA">
            <w:r>
              <w:rPr>
                <w:rFonts w:hint="eastAsia"/>
              </w:rPr>
              <w:t>Y＜100</w:t>
            </w:r>
          </w:p>
        </w:tc>
      </w:tr>
      <w:tr w14:paraId="36122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567" w:hRule="atLeast"/>
          <w:tblCellSpacing w:w="15" w:type="dxa"/>
          <w:jc w:val="center"/>
        </w:trPr>
        <w:tc>
          <w:tcPr>
            <w:tcW w:w="1445" w:type="dxa"/>
            <w:tcBorders>
              <w:tl2br w:val="nil"/>
              <w:tr2bl w:val="nil"/>
            </w:tcBorders>
            <w:tcMar>
              <w:top w:w="0" w:type="dxa"/>
              <w:left w:w="105" w:type="dxa"/>
              <w:bottom w:w="0" w:type="dxa"/>
              <w:right w:w="105" w:type="dxa"/>
            </w:tcMar>
            <w:vAlign w:val="center"/>
          </w:tcPr>
          <w:p w14:paraId="72858933">
            <w:r>
              <w:rPr>
                <w:rFonts w:hint="eastAsia"/>
              </w:rPr>
              <w:t>其他未列明行业</w:t>
            </w:r>
          </w:p>
        </w:tc>
        <w:tc>
          <w:tcPr>
            <w:tcW w:w="1845" w:type="dxa"/>
            <w:tcBorders>
              <w:tl2br w:val="nil"/>
              <w:tr2bl w:val="nil"/>
            </w:tcBorders>
            <w:tcMar>
              <w:top w:w="0" w:type="dxa"/>
              <w:left w:w="105" w:type="dxa"/>
              <w:bottom w:w="0" w:type="dxa"/>
              <w:right w:w="105" w:type="dxa"/>
            </w:tcMar>
            <w:vAlign w:val="center"/>
          </w:tcPr>
          <w:p w14:paraId="07ED59C6">
            <w:r>
              <w:rPr>
                <w:rFonts w:hint="eastAsia"/>
              </w:rPr>
              <w:t>从业人员（X）</w:t>
            </w:r>
          </w:p>
        </w:tc>
        <w:tc>
          <w:tcPr>
            <w:tcW w:w="1156" w:type="dxa"/>
            <w:tcBorders>
              <w:tl2br w:val="nil"/>
              <w:tr2bl w:val="nil"/>
            </w:tcBorders>
            <w:tcMar>
              <w:top w:w="0" w:type="dxa"/>
              <w:left w:w="105" w:type="dxa"/>
              <w:bottom w:w="0" w:type="dxa"/>
              <w:right w:w="105" w:type="dxa"/>
            </w:tcMar>
            <w:vAlign w:val="center"/>
          </w:tcPr>
          <w:p w14:paraId="3799B84D">
            <w:r>
              <w:rPr>
                <w:rFonts w:hint="eastAsia"/>
              </w:rPr>
              <w:t>人</w:t>
            </w:r>
          </w:p>
        </w:tc>
        <w:tc>
          <w:tcPr>
            <w:tcW w:w="1624" w:type="dxa"/>
            <w:tcBorders>
              <w:tl2br w:val="nil"/>
              <w:tr2bl w:val="nil"/>
            </w:tcBorders>
            <w:tcMar>
              <w:top w:w="0" w:type="dxa"/>
              <w:left w:w="105" w:type="dxa"/>
              <w:bottom w:w="0" w:type="dxa"/>
              <w:right w:w="105" w:type="dxa"/>
            </w:tcMar>
            <w:vAlign w:val="center"/>
          </w:tcPr>
          <w:p w14:paraId="1F4044BB">
            <w:r>
              <w:rPr>
                <w:rFonts w:hint="eastAsia"/>
              </w:rPr>
              <w:t>100≤X＜300</w:t>
            </w:r>
          </w:p>
        </w:tc>
        <w:tc>
          <w:tcPr>
            <w:tcW w:w="1348" w:type="dxa"/>
            <w:tcBorders>
              <w:tl2br w:val="nil"/>
              <w:tr2bl w:val="nil"/>
            </w:tcBorders>
            <w:tcMar>
              <w:top w:w="0" w:type="dxa"/>
              <w:left w:w="105" w:type="dxa"/>
              <w:bottom w:w="0" w:type="dxa"/>
              <w:right w:w="105" w:type="dxa"/>
            </w:tcMar>
            <w:vAlign w:val="center"/>
          </w:tcPr>
          <w:p w14:paraId="7F997CD7">
            <w:r>
              <w:rPr>
                <w:rFonts w:hint="eastAsia"/>
              </w:rPr>
              <w:t>10≤X＜100</w:t>
            </w:r>
          </w:p>
        </w:tc>
        <w:tc>
          <w:tcPr>
            <w:tcW w:w="1045" w:type="dxa"/>
            <w:tcBorders>
              <w:tl2br w:val="nil"/>
              <w:tr2bl w:val="nil"/>
            </w:tcBorders>
            <w:tcMar>
              <w:top w:w="0" w:type="dxa"/>
              <w:left w:w="105" w:type="dxa"/>
              <w:bottom w:w="0" w:type="dxa"/>
              <w:right w:w="105" w:type="dxa"/>
            </w:tcMar>
            <w:vAlign w:val="center"/>
          </w:tcPr>
          <w:p w14:paraId="3E574C2D">
            <w:r>
              <w:rPr>
                <w:rFonts w:hint="eastAsia"/>
              </w:rPr>
              <w:t>X＜10</w:t>
            </w:r>
          </w:p>
        </w:tc>
      </w:tr>
    </w:tbl>
    <w:p w14:paraId="7299F06B">
      <w:pPr>
        <w:widowControl/>
        <w:wordWrap w:val="0"/>
        <w:ind w:firstLine="422" w:firstLineChars="200"/>
        <w:jc w:val="left"/>
        <w:rPr>
          <w:rFonts w:ascii="宋体" w:hAnsi="宋体" w:cs="宋体"/>
          <w:color w:val="666666"/>
        </w:rPr>
      </w:pPr>
      <w:r>
        <w:rPr>
          <w:rFonts w:hint="eastAsia" w:ascii="宋体" w:hAnsi="宋体" w:cs="宋体"/>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16A92E70">
      <w:pPr>
        <w:pStyle w:val="2"/>
        <w:rPr>
          <w:rFonts w:hAnsi="宋体"/>
        </w:rPr>
      </w:pPr>
    </w:p>
    <w:p w14:paraId="73673203">
      <w:pPr>
        <w:tabs>
          <w:tab w:val="left" w:pos="4860"/>
        </w:tabs>
        <w:spacing w:line="360" w:lineRule="auto"/>
        <w:ind w:right="1560"/>
        <w:rPr>
          <w:rFonts w:asciiTheme="minorEastAsia" w:hAnsiTheme="minorEastAsia" w:eastAsiaTheme="minorEastAsia"/>
          <w:color w:val="000000" w:themeColor="text1"/>
          <w:sz w:val="24"/>
          <w14:textFill>
            <w14:solidFill>
              <w14:schemeClr w14:val="tx1"/>
            </w14:solidFill>
          </w14:textFill>
        </w:rPr>
      </w:pPr>
    </w:p>
    <w:p w14:paraId="58F68730"/>
    <w:p w14:paraId="04AD1E13">
      <w:pPr>
        <w:spacing w:line="460" w:lineRule="exact"/>
        <w:rPr>
          <w:rFonts w:ascii="宋体" w:hAnsi="宋体" w:cs="宋体"/>
          <w:bCs/>
          <w:kern w:val="2"/>
          <w:sz w:val="24"/>
        </w:rPr>
      </w:pPr>
    </w:p>
    <w:p w14:paraId="00676605">
      <w:pPr>
        <w:rPr>
          <w:rFonts w:ascii="宋体" w:hAnsi="宋体" w:cs="宋体"/>
          <w:i/>
          <w:kern w:val="2"/>
          <w:sz w:val="32"/>
          <w:szCs w:val="32"/>
          <w:u w:val="single"/>
        </w:rPr>
      </w:pPr>
      <w:r>
        <w:rPr>
          <w:rFonts w:hint="eastAsia" w:ascii="宋体" w:hAnsi="宋体" w:cs="宋体"/>
          <w:i/>
          <w:kern w:val="2"/>
          <w:sz w:val="32"/>
          <w:szCs w:val="32"/>
          <w:u w:val="single"/>
        </w:rPr>
        <w:br w:type="page"/>
      </w:r>
    </w:p>
    <w:p w14:paraId="19C17A40">
      <w:pPr>
        <w:keepNext/>
        <w:keepLines/>
        <w:spacing w:before="260" w:line="415" w:lineRule="auto"/>
        <w:jc w:val="center"/>
        <w:outlineLvl w:val="1"/>
        <w:rPr>
          <w:rFonts w:ascii="宋体" w:hAnsi="宋体" w:cs="宋体"/>
          <w:b/>
          <w:bCs/>
          <w:iCs/>
          <w:kern w:val="2"/>
          <w:sz w:val="32"/>
          <w:szCs w:val="32"/>
        </w:rPr>
      </w:pPr>
      <w:bookmarkStart w:id="147" w:name="_Toc21887"/>
      <w:r>
        <w:rPr>
          <w:rFonts w:hint="eastAsia" w:ascii="宋体" w:hAnsi="宋体" w:cs="宋体"/>
          <w:b/>
          <w:bCs/>
          <w:iCs/>
          <w:kern w:val="2"/>
          <w:sz w:val="32"/>
          <w:szCs w:val="32"/>
        </w:rPr>
        <w:t>六、供应商信用承诺函</w:t>
      </w:r>
      <w:bookmarkEnd w:id="147"/>
    </w:p>
    <w:p w14:paraId="2E7BB814">
      <w:pPr>
        <w:spacing w:line="360" w:lineRule="auto"/>
        <w:rPr>
          <w:rFonts w:ascii="宋体" w:hAnsi="宋体" w:cs="宋体"/>
          <w:kern w:val="2"/>
        </w:rPr>
      </w:pPr>
      <w:r>
        <w:rPr>
          <w:rFonts w:hint="eastAsia" w:ascii="宋体" w:hAnsi="宋体" w:cs="宋体"/>
          <w:kern w:val="2"/>
        </w:rPr>
        <w:t>承诺主体名称：</w:t>
      </w:r>
    </w:p>
    <w:p w14:paraId="5B519C68">
      <w:pPr>
        <w:spacing w:line="360" w:lineRule="auto"/>
        <w:rPr>
          <w:rFonts w:ascii="宋体" w:hAnsi="宋体" w:cs="宋体"/>
          <w:kern w:val="2"/>
        </w:rPr>
      </w:pPr>
      <w:r>
        <w:rPr>
          <w:rFonts w:hint="eastAsia" w:ascii="宋体" w:hAnsi="宋体" w:cs="宋体"/>
          <w:kern w:val="2"/>
        </w:rPr>
        <w:t>统一社会信用代码：</w:t>
      </w:r>
    </w:p>
    <w:p w14:paraId="64EA1639">
      <w:pPr>
        <w:spacing w:line="360" w:lineRule="auto"/>
        <w:rPr>
          <w:rFonts w:ascii="宋体" w:hAnsi="宋体" w:cs="宋体"/>
          <w:kern w:val="2"/>
        </w:rPr>
      </w:pPr>
    </w:p>
    <w:p w14:paraId="03637DC0">
      <w:pPr>
        <w:spacing w:line="360" w:lineRule="auto"/>
        <w:ind w:firstLine="420"/>
        <w:rPr>
          <w:rFonts w:ascii="宋体" w:hAnsi="宋体" w:cs="宋体"/>
          <w:kern w:val="2"/>
        </w:rPr>
      </w:pPr>
      <w:r>
        <w:rPr>
          <w:rFonts w:hint="eastAsia" w:ascii="宋体" w:hAnsi="宋体" w:cs="宋体"/>
          <w:kern w:val="2"/>
        </w:rPr>
        <w:t>为维护公平竞争、规范有序的市场秩序，营造诚实守信的信用环境，共同推进社会信用体系建设完善，树立企业诚信守法形象，本企业对________________________项目政府采购活动郑重承诺如下：</w:t>
      </w:r>
    </w:p>
    <w:p w14:paraId="1ADBD797">
      <w:pPr>
        <w:spacing w:line="360" w:lineRule="auto"/>
        <w:ind w:firstLine="420"/>
        <w:rPr>
          <w:rFonts w:ascii="宋体" w:hAnsi="宋体" w:cs="宋体"/>
          <w:kern w:val="2"/>
        </w:rPr>
      </w:pPr>
      <w:r>
        <w:rPr>
          <w:rFonts w:hint="eastAsia" w:ascii="宋体" w:hAnsi="宋体" w:cs="宋体"/>
          <w:kern w:val="2"/>
        </w:rPr>
        <w:t>一、对提供给注册登记部门、行业管理部门、司法部门、行业组织以及在政府采购活动中提交的所有资料的合法性、真实性、准确性和有效性负责；</w:t>
      </w:r>
    </w:p>
    <w:p w14:paraId="7EEA6F1A">
      <w:pPr>
        <w:spacing w:line="360" w:lineRule="auto"/>
        <w:ind w:firstLine="420"/>
        <w:rPr>
          <w:rFonts w:ascii="宋体" w:hAnsi="宋体" w:cs="宋体"/>
          <w:kern w:val="2"/>
        </w:rPr>
      </w:pPr>
      <w:r>
        <w:rPr>
          <w:rFonts w:hint="eastAsia" w:ascii="宋体" w:hAnsi="宋体" w:cs="宋体"/>
          <w:kern w:val="2"/>
        </w:rPr>
        <w:t>二、严格按照国家法律、法规和规章开展采购活动，全面履行应尽的责任和义务，全面做到履约守信，具备《中华人民共和国政府采购法》第二十二条第一款规定的条件；</w:t>
      </w:r>
    </w:p>
    <w:p w14:paraId="02B541F1">
      <w:pPr>
        <w:spacing w:line="360" w:lineRule="auto"/>
        <w:ind w:firstLine="420"/>
        <w:rPr>
          <w:rFonts w:ascii="宋体" w:hAnsi="宋体" w:cs="宋体"/>
          <w:kern w:val="2"/>
        </w:rPr>
      </w:pPr>
      <w:r>
        <w:rPr>
          <w:rFonts w:hint="eastAsia" w:ascii="宋体" w:hAnsi="宋体" w:cs="宋体"/>
          <w:kern w:val="2"/>
        </w:rPr>
        <w:t>三、严格依法开展生产经营活动，主动接受行业监管，自愿接受依法开展的日常检查；违法失信经营后将自愿接受约束和惩戒，并依法承担相应责任；</w:t>
      </w:r>
    </w:p>
    <w:p w14:paraId="7EAF7A03">
      <w:pPr>
        <w:spacing w:line="360" w:lineRule="auto"/>
        <w:ind w:firstLine="420"/>
        <w:rPr>
          <w:rFonts w:ascii="宋体" w:hAnsi="宋体" w:cs="宋体"/>
          <w:kern w:val="2"/>
        </w:rPr>
      </w:pPr>
      <w:r>
        <w:rPr>
          <w:rFonts w:hint="eastAsia" w:ascii="宋体" w:hAnsi="宋体" w:cs="宋体"/>
          <w:kern w:val="2"/>
        </w:rPr>
        <w:t>四、自觉接受行政管理部门、行业组织、社会公众、新闻舆论的监督；</w:t>
      </w:r>
    </w:p>
    <w:p w14:paraId="2CE8BF87">
      <w:pPr>
        <w:spacing w:line="360" w:lineRule="auto"/>
        <w:ind w:firstLine="420"/>
        <w:rPr>
          <w:rFonts w:ascii="宋体" w:hAnsi="宋体" w:cs="宋体"/>
          <w:kern w:val="2"/>
        </w:rPr>
      </w:pPr>
      <w:r>
        <w:rPr>
          <w:rFonts w:hint="eastAsia" w:ascii="宋体" w:hAnsi="宋体" w:cs="宋体"/>
          <w:kern w:val="2"/>
        </w:rPr>
        <w:t>五、自觉做到自我约束、自我管理，不制假售假、商标侵权、虚假宣传、违约毁约、恶意逃债、偷税漏税、垄断和不正当竞争，维护经营者、消费者的合法权益；</w:t>
      </w:r>
    </w:p>
    <w:p w14:paraId="780860F3">
      <w:pPr>
        <w:spacing w:line="360" w:lineRule="auto"/>
        <w:ind w:firstLine="420"/>
        <w:rPr>
          <w:rFonts w:ascii="宋体" w:hAnsi="宋体" w:cs="宋体"/>
          <w:kern w:val="2"/>
        </w:rPr>
      </w:pPr>
      <w:r>
        <w:rPr>
          <w:rFonts w:hint="eastAsia" w:ascii="宋体" w:hAnsi="宋体" w:cs="宋体"/>
          <w:kern w:val="2"/>
        </w:rPr>
        <w:t>六、提出政府采购质疑和投诉坚持依法依规、诚实信用原则，在全国范围12个月内没有三次以上查无实据的政府采购投诉；</w:t>
      </w:r>
    </w:p>
    <w:p w14:paraId="747C5258">
      <w:pPr>
        <w:spacing w:line="360" w:lineRule="auto"/>
        <w:ind w:firstLine="420"/>
        <w:rPr>
          <w:rFonts w:ascii="宋体" w:hAnsi="宋体" w:cs="宋体"/>
          <w:kern w:val="2"/>
        </w:rPr>
      </w:pPr>
      <w:r>
        <w:rPr>
          <w:rFonts w:hint="eastAsia" w:ascii="宋体" w:hAnsi="宋体" w:cs="宋体"/>
          <w:kern w:val="2"/>
        </w:rPr>
        <w:t>七、严格遵守信用信息公示相关规定，向社会公示信用信息；</w:t>
      </w:r>
    </w:p>
    <w:p w14:paraId="606FF4C6">
      <w:pPr>
        <w:spacing w:line="360" w:lineRule="auto"/>
        <w:ind w:firstLine="420"/>
        <w:rPr>
          <w:rFonts w:ascii="宋体" w:hAnsi="宋体" w:cs="宋体"/>
          <w:kern w:val="2"/>
        </w:rPr>
      </w:pPr>
      <w:r>
        <w:rPr>
          <w:rFonts w:hint="eastAsia" w:ascii="宋体" w:hAnsi="宋体" w:cs="宋体"/>
          <w:kern w:val="2"/>
        </w:rPr>
        <w:t>八、在“信用中国”和“中国政府采购网”网站中无违法违规、较重或严重失信记录；</w:t>
      </w:r>
    </w:p>
    <w:p w14:paraId="420E450B">
      <w:pPr>
        <w:spacing w:line="360" w:lineRule="auto"/>
        <w:ind w:firstLine="420"/>
        <w:rPr>
          <w:rFonts w:ascii="宋体" w:hAnsi="宋体" w:cs="宋体"/>
          <w:kern w:val="2"/>
        </w:rPr>
      </w:pPr>
      <w:r>
        <w:rPr>
          <w:rFonts w:hint="eastAsia" w:ascii="宋体" w:hAnsi="宋体" w:cs="宋体"/>
          <w:kern w:val="2"/>
        </w:rPr>
        <w:t>九、如违反承诺，自愿接受管理部门依法给予的行政处罚，同意将违反承诺的行为作为不良记录记入信用档案，依法依规进行信息公示，并承担所产生的一切法律责任和经济损失。</w:t>
      </w:r>
    </w:p>
    <w:p w14:paraId="387B8D2A">
      <w:pPr>
        <w:spacing w:line="360" w:lineRule="auto"/>
        <w:ind w:firstLine="420"/>
        <w:rPr>
          <w:rFonts w:ascii="宋体" w:hAnsi="宋体" w:cs="宋体"/>
          <w:kern w:val="2"/>
        </w:rPr>
      </w:pPr>
      <w:r>
        <w:rPr>
          <w:rFonts w:hint="eastAsia" w:ascii="宋体" w:hAnsi="宋体" w:cs="宋体"/>
          <w:kern w:val="2"/>
        </w:rPr>
        <w:t>十、本承诺书自签订之日起生效。</w:t>
      </w:r>
    </w:p>
    <w:p w14:paraId="76E359BF">
      <w:pPr>
        <w:spacing w:line="360" w:lineRule="auto"/>
        <w:ind w:firstLine="420"/>
        <w:rPr>
          <w:rFonts w:ascii="宋体" w:hAnsi="宋体" w:cs="宋体"/>
          <w:kern w:val="2"/>
        </w:rPr>
      </w:pPr>
      <w:r>
        <w:rPr>
          <w:rFonts w:hint="eastAsia" w:ascii="宋体" w:hAnsi="宋体" w:cs="宋体"/>
          <w:kern w:val="2"/>
        </w:rPr>
        <w:t> （注：法定代表人或负责人、主体名称发生变更的应当重新做出承诺。）</w:t>
      </w:r>
    </w:p>
    <w:p w14:paraId="0AF6FE42">
      <w:pPr>
        <w:spacing w:line="360" w:lineRule="auto"/>
        <w:jc w:val="center"/>
        <w:rPr>
          <w:rFonts w:ascii="宋体" w:hAnsi="宋体" w:cs="宋体"/>
          <w:kern w:val="2"/>
        </w:rPr>
      </w:pPr>
      <w:r>
        <w:rPr>
          <w:rFonts w:hint="eastAsia" w:ascii="宋体" w:hAnsi="宋体" w:cs="宋体"/>
          <w:kern w:val="2"/>
        </w:rPr>
        <w:t xml:space="preserve">                     承诺单位（签章）：           </w:t>
      </w:r>
    </w:p>
    <w:p w14:paraId="4084E5D8">
      <w:pPr>
        <w:spacing w:line="360" w:lineRule="auto"/>
        <w:jc w:val="center"/>
        <w:rPr>
          <w:rFonts w:ascii="宋体" w:hAnsi="宋体" w:cs="宋体"/>
          <w:kern w:val="2"/>
        </w:rPr>
      </w:pPr>
      <w:r>
        <w:rPr>
          <w:rFonts w:hint="eastAsia" w:ascii="宋体" w:hAnsi="宋体" w:cs="宋体"/>
          <w:kern w:val="2"/>
        </w:rPr>
        <w:t xml:space="preserve">     法定代表人（负责人）：</w:t>
      </w:r>
    </w:p>
    <w:p w14:paraId="45726E54">
      <w:pPr>
        <w:spacing w:line="360" w:lineRule="auto"/>
        <w:jc w:val="center"/>
        <w:rPr>
          <w:rFonts w:ascii="宋体" w:hAnsi="宋体" w:cs="宋体"/>
          <w:kern w:val="2"/>
        </w:rPr>
      </w:pPr>
      <w:r>
        <w:rPr>
          <w:rFonts w:hint="eastAsia" w:ascii="宋体" w:hAnsi="宋体" w:cs="宋体"/>
          <w:kern w:val="2"/>
        </w:rPr>
        <w:t xml:space="preserve">      年    月    日</w:t>
      </w:r>
    </w:p>
    <w:p w14:paraId="51FF64B5">
      <w:pPr>
        <w:rPr>
          <w:rFonts w:ascii="宋体" w:hAnsi="宋体" w:cs="宋体"/>
          <w:i/>
          <w:kern w:val="2"/>
          <w:sz w:val="32"/>
          <w:szCs w:val="32"/>
          <w:u w:val="single"/>
        </w:rPr>
      </w:pPr>
      <w:r>
        <w:rPr>
          <w:rFonts w:hint="eastAsia" w:ascii="宋体" w:hAnsi="宋体" w:cs="宋体"/>
          <w:b/>
          <w:bCs/>
          <w:kern w:val="2"/>
          <w:sz w:val="32"/>
          <w:szCs w:val="32"/>
        </w:rPr>
        <w:br w:type="page"/>
      </w:r>
    </w:p>
    <w:p w14:paraId="4DC74593">
      <w:pPr>
        <w:keepNext/>
        <w:keepLines/>
        <w:spacing w:before="260" w:line="415" w:lineRule="auto"/>
        <w:jc w:val="center"/>
        <w:outlineLvl w:val="1"/>
        <w:rPr>
          <w:rFonts w:ascii="宋体" w:hAnsi="宋体" w:cs="宋体"/>
          <w:b/>
          <w:bCs/>
          <w:iCs/>
          <w:kern w:val="2"/>
          <w:sz w:val="32"/>
          <w:szCs w:val="32"/>
        </w:rPr>
      </w:pPr>
      <w:bookmarkStart w:id="148" w:name="_Toc20906"/>
      <w:bookmarkStart w:id="149" w:name="_Toc120614284"/>
      <w:r>
        <w:rPr>
          <w:rFonts w:hint="eastAsia" w:ascii="宋体" w:hAnsi="宋体" w:cs="宋体"/>
          <w:b/>
          <w:bCs/>
          <w:iCs/>
          <w:kern w:val="2"/>
          <w:sz w:val="32"/>
          <w:szCs w:val="32"/>
        </w:rPr>
        <w:t>七、法人授权书</w:t>
      </w:r>
      <w:bookmarkEnd w:id="148"/>
    </w:p>
    <w:p w14:paraId="70C4FFBA">
      <w:pPr>
        <w:tabs>
          <w:tab w:val="left" w:pos="360"/>
        </w:tabs>
        <w:spacing w:line="360" w:lineRule="auto"/>
        <w:ind w:firstLine="480" w:firstLineChars="200"/>
        <w:rPr>
          <w:rFonts w:ascii="宋体" w:hAnsi="宋体" w:cs="宋体"/>
          <w:kern w:val="2"/>
          <w:sz w:val="24"/>
          <w:szCs w:val="24"/>
        </w:rPr>
      </w:pPr>
      <w:r>
        <w:rPr>
          <w:rFonts w:hint="eastAsia" w:ascii="宋体" w:hAnsi="宋体" w:cs="宋体"/>
          <w:kern w:val="2"/>
          <w:sz w:val="24"/>
          <w:szCs w:val="24"/>
        </w:rPr>
        <w:t>本授权书声明：____________（投标人名称）授权________________（被授权人的姓名）为我方就JSZC-</w:t>
      </w:r>
      <w:r>
        <w:rPr>
          <w:rFonts w:hint="eastAsia" w:ascii="宋体" w:hAnsi="宋体" w:cs="宋体"/>
          <w:kern w:val="2"/>
          <w:sz w:val="24"/>
          <w:szCs w:val="24"/>
          <w:u w:val="single"/>
        </w:rPr>
        <w:t xml:space="preserve">        </w:t>
      </w:r>
      <w:r>
        <w:rPr>
          <w:rFonts w:hint="eastAsia" w:ascii="宋体" w:hAnsi="宋体" w:cs="宋体"/>
          <w:kern w:val="2"/>
          <w:sz w:val="24"/>
          <w:szCs w:val="24"/>
        </w:rPr>
        <w:t>号项目采购活动的合法代理人，以本单位名义全权处理一切与该项目采购有关的事务。</w:t>
      </w:r>
    </w:p>
    <w:p w14:paraId="50936EEA">
      <w:pPr>
        <w:tabs>
          <w:tab w:val="left" w:pos="360"/>
        </w:tabs>
        <w:spacing w:line="360" w:lineRule="auto"/>
        <w:ind w:firstLine="480" w:firstLineChars="200"/>
        <w:rPr>
          <w:rFonts w:ascii="宋体" w:hAnsi="宋体" w:cs="宋体"/>
          <w:kern w:val="2"/>
          <w:sz w:val="24"/>
          <w:szCs w:val="24"/>
        </w:rPr>
      </w:pPr>
      <w:r>
        <w:rPr>
          <w:rFonts w:hint="eastAsia" w:ascii="宋体" w:hAnsi="宋体" w:cs="宋体"/>
          <w:kern w:val="2"/>
          <w:sz w:val="24"/>
          <w:szCs w:val="24"/>
        </w:rPr>
        <w:t>本授权书于______年____月____日起生效，特此声明。</w:t>
      </w:r>
    </w:p>
    <w:p w14:paraId="4312FA06">
      <w:pPr>
        <w:tabs>
          <w:tab w:val="left" w:pos="360"/>
        </w:tabs>
        <w:spacing w:line="360" w:lineRule="auto"/>
        <w:rPr>
          <w:rFonts w:ascii="宋体" w:hAnsi="宋体" w:cs="宋体"/>
          <w:kern w:val="2"/>
          <w:sz w:val="24"/>
          <w:szCs w:val="24"/>
          <w:u w:val="single"/>
        </w:rPr>
      </w:pPr>
      <w:r>
        <w:rPr>
          <w:rFonts w:hint="eastAsia" w:ascii="宋体" w:hAnsi="宋体" w:cs="宋体"/>
          <w:kern w:val="2"/>
          <w:sz w:val="24"/>
          <w:szCs w:val="24"/>
        </w:rPr>
        <w:t xml:space="preserve">          被授权人身份证号码：</w:t>
      </w:r>
      <w:r>
        <w:rPr>
          <w:rFonts w:hint="eastAsia" w:ascii="宋体" w:hAnsi="宋体" w:cs="宋体"/>
          <w:kern w:val="2"/>
          <w:sz w:val="24"/>
          <w:szCs w:val="24"/>
          <w:u w:val="single"/>
        </w:rPr>
        <w:t xml:space="preserve">                              </w:t>
      </w:r>
    </w:p>
    <w:p w14:paraId="4A0E8B0D">
      <w:pPr>
        <w:tabs>
          <w:tab w:val="left" w:pos="360"/>
        </w:tabs>
        <w:spacing w:line="360" w:lineRule="auto"/>
        <w:rPr>
          <w:rFonts w:ascii="宋体" w:hAnsi="宋体" w:cs="宋体"/>
          <w:kern w:val="2"/>
          <w:sz w:val="24"/>
          <w:szCs w:val="24"/>
          <w:u w:val="single"/>
        </w:rPr>
      </w:pPr>
      <w:r>
        <w:rPr>
          <w:rFonts w:hint="eastAsia" w:ascii="宋体" w:hAnsi="宋体" w:cs="宋体"/>
          <w:kern w:val="2"/>
          <w:sz w:val="24"/>
          <w:szCs w:val="24"/>
        </w:rPr>
        <w:t xml:space="preserve">          被授权人联系电话：（手机）</w:t>
      </w:r>
      <w:r>
        <w:rPr>
          <w:rFonts w:hint="eastAsia" w:ascii="宋体" w:hAnsi="宋体" w:cs="宋体"/>
          <w:kern w:val="2"/>
          <w:sz w:val="24"/>
          <w:szCs w:val="24"/>
          <w:u w:val="single"/>
        </w:rPr>
        <w:t xml:space="preserve">                          </w:t>
      </w:r>
    </w:p>
    <w:p w14:paraId="2AF94784">
      <w:pPr>
        <w:tabs>
          <w:tab w:val="left" w:pos="360"/>
        </w:tabs>
        <w:spacing w:line="360" w:lineRule="auto"/>
        <w:ind w:firstLine="1200" w:firstLineChars="500"/>
        <w:rPr>
          <w:rFonts w:ascii="宋体" w:hAnsi="宋体" w:cs="宋体"/>
          <w:kern w:val="2"/>
          <w:sz w:val="24"/>
          <w:szCs w:val="24"/>
        </w:rPr>
      </w:pPr>
      <w:r>
        <w:rPr>
          <w:rFonts w:hint="eastAsia" w:ascii="宋体" w:hAnsi="宋体" w:cs="宋体"/>
          <w:kern w:val="2"/>
          <w:sz w:val="24"/>
          <w:szCs w:val="24"/>
        </w:rPr>
        <w:t>授权单位名称：</w:t>
      </w:r>
      <w:r>
        <w:rPr>
          <w:rFonts w:hint="eastAsia" w:ascii="宋体" w:hAnsi="宋体" w:cs="宋体"/>
          <w:kern w:val="2"/>
          <w:sz w:val="24"/>
          <w:szCs w:val="24"/>
          <w:u w:val="single"/>
        </w:rPr>
        <w:t>（加盖CA电子公章）</w:t>
      </w:r>
    </w:p>
    <w:p w14:paraId="38396BF8">
      <w:pPr>
        <w:tabs>
          <w:tab w:val="left" w:pos="360"/>
        </w:tabs>
        <w:spacing w:line="360" w:lineRule="auto"/>
        <w:ind w:firstLine="480" w:firstLineChars="200"/>
        <w:rPr>
          <w:rFonts w:ascii="宋体" w:hAnsi="宋体" w:cs="宋体"/>
          <w:kern w:val="2"/>
          <w:sz w:val="24"/>
          <w:szCs w:val="24"/>
          <w:u w:val="single"/>
        </w:rPr>
      </w:pPr>
      <w:r>
        <w:rPr>
          <w:rFonts w:hint="eastAsia" w:ascii="宋体" w:hAnsi="宋体" w:cs="宋体"/>
          <w:kern w:val="2"/>
          <w:sz w:val="24"/>
          <w:szCs w:val="24"/>
        </w:rPr>
        <w:t xml:space="preserve">      单位地址：</w:t>
      </w:r>
      <w:r>
        <w:rPr>
          <w:rFonts w:hint="eastAsia" w:ascii="宋体" w:hAnsi="宋体" w:cs="宋体"/>
          <w:kern w:val="2"/>
          <w:sz w:val="24"/>
          <w:szCs w:val="24"/>
          <w:u w:val="single"/>
        </w:rPr>
        <w:t xml:space="preserve">                                         </w:t>
      </w:r>
    </w:p>
    <w:p w14:paraId="0DEFDAD8">
      <w:pPr>
        <w:tabs>
          <w:tab w:val="left" w:pos="360"/>
        </w:tabs>
        <w:spacing w:line="360" w:lineRule="auto"/>
        <w:ind w:firstLine="480" w:firstLineChars="200"/>
        <w:rPr>
          <w:rFonts w:ascii="宋体" w:hAnsi="宋体" w:cs="宋体"/>
          <w:kern w:val="2"/>
          <w:sz w:val="24"/>
          <w:szCs w:val="24"/>
          <w:u w:val="single"/>
        </w:rPr>
      </w:pPr>
      <w:r>
        <w:rPr>
          <w:rFonts w:hint="eastAsia" w:ascii="宋体" w:hAnsi="宋体" w:cs="宋体"/>
          <w:kern w:val="2"/>
          <w:sz w:val="24"/>
          <w:szCs w:val="24"/>
        </w:rPr>
        <w:t xml:space="preserve">      日期：</w:t>
      </w:r>
      <w:bookmarkStart w:id="150" w:name="_格式3__银行出具的资信证明"/>
      <w:bookmarkEnd w:id="150"/>
      <w:bookmarkStart w:id="151" w:name="_Hlt26955070"/>
      <w:bookmarkEnd w:id="151"/>
      <w:bookmarkStart w:id="152" w:name="_Hlt26671380"/>
      <w:bookmarkEnd w:id="152"/>
      <w:r>
        <w:rPr>
          <w:rFonts w:hint="eastAsia" w:ascii="宋体" w:hAnsi="宋体" w:cs="宋体"/>
          <w:kern w:val="2"/>
          <w:sz w:val="24"/>
          <w:szCs w:val="24"/>
          <w:u w:val="single"/>
        </w:rPr>
        <w:t xml:space="preserve">                                         </w:t>
      </w:r>
    </w:p>
    <w:p w14:paraId="45AB4A77">
      <w:pPr>
        <w:tabs>
          <w:tab w:val="left" w:pos="360"/>
        </w:tabs>
        <w:spacing w:line="360" w:lineRule="auto"/>
        <w:ind w:firstLine="480" w:firstLineChars="200"/>
        <w:rPr>
          <w:rFonts w:ascii="宋体" w:hAnsi="宋体" w:cs="宋体"/>
          <w:i/>
          <w:kern w:val="2"/>
          <w:sz w:val="24"/>
          <w:szCs w:val="24"/>
          <w:u w:val="single"/>
        </w:rPr>
      </w:pPr>
      <w:r>
        <w:rPr>
          <w:rFonts w:hint="eastAsia" w:ascii="宋体" w:hAnsi="宋体" w:cs="宋体"/>
          <w:i/>
          <w:kern w:val="2"/>
          <w:sz w:val="24"/>
          <w:szCs w:val="24"/>
          <w:u w:val="single"/>
        </w:rPr>
        <w:t>附：法人代表及被授权人的身份证正反面</w:t>
      </w:r>
    </w:p>
    <w:p w14:paraId="57548155">
      <w:pPr>
        <w:tabs>
          <w:tab w:val="left" w:pos="360"/>
        </w:tabs>
        <w:spacing w:line="360" w:lineRule="auto"/>
        <w:ind w:firstLine="480" w:firstLineChars="200"/>
        <w:rPr>
          <w:rFonts w:ascii="宋体" w:hAnsi="宋体" w:cs="宋体"/>
          <w:i/>
          <w:kern w:val="2"/>
          <w:sz w:val="24"/>
          <w:szCs w:val="24"/>
          <w:u w:val="single"/>
        </w:rPr>
      </w:pPr>
    </w:p>
    <w:p w14:paraId="5FF28C5E">
      <w:pPr>
        <w:keepNext/>
        <w:keepLines/>
        <w:spacing w:before="260" w:line="415" w:lineRule="auto"/>
        <w:jc w:val="center"/>
        <w:outlineLvl w:val="1"/>
        <w:rPr>
          <w:rFonts w:ascii="宋体" w:hAnsi="宋体" w:cs="宋体"/>
          <w:b/>
          <w:bCs/>
          <w:iCs/>
          <w:kern w:val="2"/>
          <w:sz w:val="32"/>
          <w:szCs w:val="32"/>
        </w:rPr>
      </w:pPr>
      <w:bookmarkStart w:id="153" w:name="_Toc16597"/>
      <w:r>
        <w:rPr>
          <w:rFonts w:ascii="宋体" w:hAnsi="宋体" w:cs="宋体"/>
          <w:b/>
          <w:bCs/>
          <w:iCs/>
          <w:kern w:val="2"/>
          <w:sz w:val="32"/>
          <w:szCs w:val="32"/>
        </w:rPr>
        <w:t>八、拟参与本项目服务人员</w:t>
      </w:r>
      <w:bookmarkEnd w:id="153"/>
      <w:r>
        <w:rPr>
          <w:rFonts w:hint="eastAsia" w:ascii="宋体" w:hAnsi="宋体" w:cs="宋体"/>
          <w:b/>
          <w:bCs/>
          <w:iCs/>
          <w:kern w:val="2"/>
          <w:sz w:val="32"/>
          <w:szCs w:val="32"/>
        </w:rPr>
        <w:t>（如有）</w:t>
      </w:r>
    </w:p>
    <w:tbl>
      <w:tblPr>
        <w:tblStyle w:val="38"/>
        <w:tblW w:w="8984" w:type="dxa"/>
        <w:tblInd w:w="103" w:type="dxa"/>
        <w:tblLayout w:type="fixed"/>
        <w:tblCellMar>
          <w:top w:w="0" w:type="dxa"/>
          <w:left w:w="108" w:type="dxa"/>
          <w:bottom w:w="0" w:type="dxa"/>
          <w:right w:w="108" w:type="dxa"/>
        </w:tblCellMar>
      </w:tblPr>
      <w:tblGrid>
        <w:gridCol w:w="786"/>
        <w:gridCol w:w="938"/>
        <w:gridCol w:w="731"/>
        <w:gridCol w:w="883"/>
        <w:gridCol w:w="971"/>
        <w:gridCol w:w="949"/>
        <w:gridCol w:w="1776"/>
        <w:gridCol w:w="1950"/>
      </w:tblGrid>
      <w:tr w14:paraId="42C43E1C">
        <w:tblPrEx>
          <w:tblCellMar>
            <w:top w:w="0" w:type="dxa"/>
            <w:left w:w="108" w:type="dxa"/>
            <w:bottom w:w="0" w:type="dxa"/>
            <w:right w:w="108" w:type="dxa"/>
          </w:tblCellMar>
        </w:tblPrEx>
        <w:trPr>
          <w:trHeight w:val="567" w:hRule="atLeast"/>
        </w:trPr>
        <w:tc>
          <w:tcPr>
            <w:tcW w:w="786" w:type="dxa"/>
            <w:tcBorders>
              <w:top w:val="single" w:color="auto" w:sz="6" w:space="0"/>
              <w:left w:val="single" w:color="auto" w:sz="6" w:space="0"/>
              <w:bottom w:val="single" w:color="auto" w:sz="6" w:space="0"/>
              <w:right w:val="single" w:color="auto" w:sz="4" w:space="0"/>
            </w:tcBorders>
            <w:vAlign w:val="center"/>
          </w:tcPr>
          <w:p w14:paraId="76FFE0F7">
            <w:pPr>
              <w:autoSpaceDE w:val="0"/>
              <w:autoSpaceDN w:val="0"/>
              <w:adjustRightInd w:val="0"/>
              <w:jc w:val="center"/>
              <w:rPr>
                <w:rFonts w:ascii="宋体" w:hAnsi="宋体"/>
                <w:sz w:val="24"/>
                <w:szCs w:val="24"/>
              </w:rPr>
            </w:pPr>
            <w:r>
              <w:rPr>
                <w:rFonts w:hint="eastAsia" w:ascii="宋体" w:hAnsi="宋体"/>
                <w:sz w:val="24"/>
                <w:szCs w:val="24"/>
              </w:rPr>
              <w:t>序号</w:t>
            </w:r>
          </w:p>
        </w:tc>
        <w:tc>
          <w:tcPr>
            <w:tcW w:w="938" w:type="dxa"/>
            <w:tcBorders>
              <w:top w:val="single" w:color="auto" w:sz="6" w:space="0"/>
              <w:left w:val="single" w:color="auto" w:sz="6" w:space="0"/>
              <w:bottom w:val="single" w:color="auto" w:sz="6" w:space="0"/>
              <w:right w:val="single" w:color="auto" w:sz="6" w:space="0"/>
            </w:tcBorders>
            <w:vAlign w:val="center"/>
          </w:tcPr>
          <w:p w14:paraId="5166565F">
            <w:pPr>
              <w:autoSpaceDE w:val="0"/>
              <w:autoSpaceDN w:val="0"/>
              <w:adjustRightInd w:val="0"/>
              <w:jc w:val="center"/>
              <w:rPr>
                <w:rFonts w:ascii="宋体" w:hAnsi="宋体"/>
                <w:sz w:val="24"/>
                <w:szCs w:val="24"/>
              </w:rPr>
            </w:pPr>
            <w:r>
              <w:rPr>
                <w:rFonts w:hint="eastAsia" w:ascii="宋体" w:hAnsi="宋体"/>
                <w:sz w:val="24"/>
                <w:szCs w:val="24"/>
              </w:rPr>
              <w:t>姓名</w:t>
            </w:r>
          </w:p>
        </w:tc>
        <w:tc>
          <w:tcPr>
            <w:tcW w:w="731" w:type="dxa"/>
            <w:tcBorders>
              <w:top w:val="single" w:color="auto" w:sz="6" w:space="0"/>
              <w:left w:val="single" w:color="auto" w:sz="6" w:space="0"/>
              <w:bottom w:val="single" w:color="auto" w:sz="6" w:space="0"/>
              <w:right w:val="single" w:color="auto" w:sz="6" w:space="0"/>
            </w:tcBorders>
            <w:vAlign w:val="center"/>
          </w:tcPr>
          <w:p w14:paraId="5E0C510D">
            <w:pPr>
              <w:autoSpaceDE w:val="0"/>
              <w:autoSpaceDN w:val="0"/>
              <w:adjustRightInd w:val="0"/>
              <w:jc w:val="center"/>
              <w:rPr>
                <w:rFonts w:ascii="宋体" w:hAnsi="宋体"/>
                <w:sz w:val="24"/>
                <w:szCs w:val="24"/>
              </w:rPr>
            </w:pPr>
            <w:r>
              <w:rPr>
                <w:rFonts w:hint="eastAsia" w:ascii="宋体" w:hAnsi="宋体"/>
                <w:sz w:val="24"/>
                <w:szCs w:val="24"/>
              </w:rPr>
              <w:t>性别</w:t>
            </w:r>
          </w:p>
        </w:tc>
        <w:tc>
          <w:tcPr>
            <w:tcW w:w="883" w:type="dxa"/>
            <w:tcBorders>
              <w:top w:val="single" w:color="auto" w:sz="6" w:space="0"/>
              <w:left w:val="single" w:color="auto" w:sz="6" w:space="0"/>
              <w:bottom w:val="single" w:color="auto" w:sz="6" w:space="0"/>
              <w:right w:val="single" w:color="auto" w:sz="6" w:space="0"/>
            </w:tcBorders>
            <w:vAlign w:val="center"/>
          </w:tcPr>
          <w:p w14:paraId="198E580F">
            <w:pPr>
              <w:autoSpaceDE w:val="0"/>
              <w:autoSpaceDN w:val="0"/>
              <w:adjustRightInd w:val="0"/>
              <w:jc w:val="center"/>
              <w:rPr>
                <w:rFonts w:ascii="宋体" w:hAnsi="宋体"/>
                <w:sz w:val="24"/>
                <w:szCs w:val="24"/>
              </w:rPr>
            </w:pPr>
            <w:r>
              <w:rPr>
                <w:rFonts w:hint="eastAsia" w:ascii="宋体" w:hAnsi="宋体"/>
                <w:sz w:val="24"/>
                <w:szCs w:val="24"/>
              </w:rPr>
              <w:t>年龄</w:t>
            </w:r>
          </w:p>
        </w:tc>
        <w:tc>
          <w:tcPr>
            <w:tcW w:w="971" w:type="dxa"/>
            <w:tcBorders>
              <w:top w:val="single" w:color="auto" w:sz="6" w:space="0"/>
              <w:left w:val="single" w:color="auto" w:sz="6" w:space="0"/>
              <w:bottom w:val="single" w:color="auto" w:sz="6" w:space="0"/>
              <w:right w:val="single" w:color="auto" w:sz="6" w:space="0"/>
            </w:tcBorders>
            <w:vAlign w:val="center"/>
          </w:tcPr>
          <w:p w14:paraId="04D5065A">
            <w:pPr>
              <w:autoSpaceDE w:val="0"/>
              <w:autoSpaceDN w:val="0"/>
              <w:adjustRightInd w:val="0"/>
              <w:jc w:val="center"/>
              <w:rPr>
                <w:rFonts w:ascii="宋体" w:hAnsi="宋体"/>
                <w:sz w:val="24"/>
                <w:szCs w:val="24"/>
              </w:rPr>
            </w:pPr>
            <w:r>
              <w:rPr>
                <w:rFonts w:hint="eastAsia" w:ascii="宋体" w:hAnsi="宋体"/>
                <w:sz w:val="24"/>
                <w:szCs w:val="24"/>
              </w:rPr>
              <w:t>学历</w:t>
            </w:r>
          </w:p>
        </w:tc>
        <w:tc>
          <w:tcPr>
            <w:tcW w:w="949" w:type="dxa"/>
            <w:tcBorders>
              <w:top w:val="single" w:color="auto" w:sz="6" w:space="0"/>
              <w:left w:val="single" w:color="auto" w:sz="6" w:space="0"/>
              <w:bottom w:val="single" w:color="auto" w:sz="6" w:space="0"/>
              <w:right w:val="single" w:color="auto" w:sz="6" w:space="0"/>
            </w:tcBorders>
            <w:vAlign w:val="center"/>
          </w:tcPr>
          <w:p w14:paraId="7B61686F">
            <w:pPr>
              <w:autoSpaceDE w:val="0"/>
              <w:autoSpaceDN w:val="0"/>
              <w:adjustRightInd w:val="0"/>
              <w:jc w:val="center"/>
              <w:rPr>
                <w:rFonts w:ascii="宋体" w:hAnsi="宋体"/>
                <w:sz w:val="24"/>
                <w:szCs w:val="24"/>
              </w:rPr>
            </w:pPr>
            <w:r>
              <w:rPr>
                <w:rFonts w:hint="eastAsia" w:ascii="宋体" w:hAnsi="宋体"/>
                <w:sz w:val="24"/>
                <w:szCs w:val="24"/>
              </w:rPr>
              <w:t>专业</w:t>
            </w:r>
          </w:p>
        </w:tc>
        <w:tc>
          <w:tcPr>
            <w:tcW w:w="1776" w:type="dxa"/>
            <w:tcBorders>
              <w:top w:val="single" w:color="auto" w:sz="6" w:space="0"/>
              <w:left w:val="single" w:color="auto" w:sz="6" w:space="0"/>
              <w:bottom w:val="single" w:color="auto" w:sz="6" w:space="0"/>
              <w:right w:val="single" w:color="auto" w:sz="6" w:space="0"/>
            </w:tcBorders>
            <w:vAlign w:val="center"/>
          </w:tcPr>
          <w:p w14:paraId="62F05DF0">
            <w:pPr>
              <w:autoSpaceDE w:val="0"/>
              <w:autoSpaceDN w:val="0"/>
              <w:adjustRightInd w:val="0"/>
              <w:jc w:val="center"/>
              <w:rPr>
                <w:rFonts w:ascii="宋体" w:hAnsi="宋体"/>
                <w:sz w:val="24"/>
                <w:szCs w:val="24"/>
              </w:rPr>
            </w:pPr>
            <w:r>
              <w:rPr>
                <w:rFonts w:hint="eastAsia" w:ascii="宋体" w:hAnsi="宋体"/>
                <w:sz w:val="24"/>
                <w:szCs w:val="24"/>
              </w:rPr>
              <w:t>职业资格证书</w:t>
            </w:r>
          </w:p>
        </w:tc>
        <w:tc>
          <w:tcPr>
            <w:tcW w:w="1950" w:type="dxa"/>
            <w:tcBorders>
              <w:top w:val="single" w:color="auto" w:sz="6" w:space="0"/>
              <w:left w:val="single" w:color="auto" w:sz="6" w:space="0"/>
              <w:bottom w:val="single" w:color="auto" w:sz="6" w:space="0"/>
              <w:right w:val="single" w:color="auto" w:sz="6" w:space="0"/>
            </w:tcBorders>
            <w:vAlign w:val="center"/>
          </w:tcPr>
          <w:p w14:paraId="3A50A484">
            <w:pPr>
              <w:autoSpaceDE w:val="0"/>
              <w:autoSpaceDN w:val="0"/>
              <w:adjustRightInd w:val="0"/>
              <w:jc w:val="center"/>
              <w:rPr>
                <w:rFonts w:ascii="宋体" w:hAnsi="宋体"/>
                <w:sz w:val="24"/>
                <w:szCs w:val="24"/>
              </w:rPr>
            </w:pPr>
            <w:r>
              <w:rPr>
                <w:rFonts w:hint="eastAsia" w:ascii="宋体" w:hAnsi="宋体"/>
                <w:sz w:val="24"/>
                <w:szCs w:val="24"/>
              </w:rPr>
              <w:t>本项目中的职责</w:t>
            </w:r>
          </w:p>
        </w:tc>
      </w:tr>
      <w:tr w14:paraId="2F23C992">
        <w:tblPrEx>
          <w:tblCellMar>
            <w:top w:w="0" w:type="dxa"/>
            <w:left w:w="108" w:type="dxa"/>
            <w:bottom w:w="0" w:type="dxa"/>
            <w:right w:w="108" w:type="dxa"/>
          </w:tblCellMar>
        </w:tblPrEx>
        <w:trPr>
          <w:trHeight w:val="567" w:hRule="atLeast"/>
        </w:trPr>
        <w:tc>
          <w:tcPr>
            <w:tcW w:w="786" w:type="dxa"/>
            <w:tcBorders>
              <w:top w:val="single" w:color="auto" w:sz="6" w:space="0"/>
              <w:left w:val="single" w:color="auto" w:sz="6" w:space="0"/>
              <w:bottom w:val="single" w:color="auto" w:sz="6" w:space="0"/>
              <w:right w:val="single" w:color="auto" w:sz="4" w:space="0"/>
            </w:tcBorders>
            <w:vAlign w:val="center"/>
          </w:tcPr>
          <w:p w14:paraId="7D8F900F">
            <w:pPr>
              <w:autoSpaceDE w:val="0"/>
              <w:autoSpaceDN w:val="0"/>
              <w:adjustRightInd w:val="0"/>
              <w:rPr>
                <w:rFonts w:ascii="宋体" w:hAnsi="宋体"/>
                <w:sz w:val="24"/>
                <w:szCs w:val="24"/>
              </w:rPr>
            </w:pPr>
          </w:p>
        </w:tc>
        <w:tc>
          <w:tcPr>
            <w:tcW w:w="938" w:type="dxa"/>
            <w:tcBorders>
              <w:top w:val="single" w:color="auto" w:sz="6" w:space="0"/>
              <w:left w:val="single" w:color="auto" w:sz="6" w:space="0"/>
              <w:bottom w:val="single" w:color="auto" w:sz="6" w:space="0"/>
              <w:right w:val="single" w:color="auto" w:sz="6" w:space="0"/>
            </w:tcBorders>
            <w:vAlign w:val="center"/>
          </w:tcPr>
          <w:p w14:paraId="07969221">
            <w:pPr>
              <w:autoSpaceDE w:val="0"/>
              <w:autoSpaceDN w:val="0"/>
              <w:adjustRightInd w:val="0"/>
              <w:rPr>
                <w:rFonts w:ascii="宋体" w:hAnsi="宋体"/>
                <w:sz w:val="24"/>
                <w:szCs w:val="24"/>
              </w:rPr>
            </w:pPr>
          </w:p>
        </w:tc>
        <w:tc>
          <w:tcPr>
            <w:tcW w:w="731" w:type="dxa"/>
            <w:tcBorders>
              <w:top w:val="single" w:color="auto" w:sz="6" w:space="0"/>
              <w:left w:val="single" w:color="auto" w:sz="6" w:space="0"/>
              <w:bottom w:val="single" w:color="auto" w:sz="6" w:space="0"/>
              <w:right w:val="single" w:color="auto" w:sz="6" w:space="0"/>
            </w:tcBorders>
            <w:vAlign w:val="center"/>
          </w:tcPr>
          <w:p w14:paraId="3670A713">
            <w:pPr>
              <w:autoSpaceDE w:val="0"/>
              <w:autoSpaceDN w:val="0"/>
              <w:adjustRightInd w:val="0"/>
              <w:rPr>
                <w:rFonts w:ascii="宋体" w:hAnsi="宋体"/>
                <w:sz w:val="24"/>
                <w:szCs w:val="24"/>
              </w:rPr>
            </w:pPr>
          </w:p>
        </w:tc>
        <w:tc>
          <w:tcPr>
            <w:tcW w:w="883" w:type="dxa"/>
            <w:tcBorders>
              <w:top w:val="single" w:color="auto" w:sz="6" w:space="0"/>
              <w:left w:val="single" w:color="auto" w:sz="6" w:space="0"/>
              <w:bottom w:val="single" w:color="auto" w:sz="6" w:space="0"/>
              <w:right w:val="single" w:color="auto" w:sz="6" w:space="0"/>
            </w:tcBorders>
            <w:vAlign w:val="center"/>
          </w:tcPr>
          <w:p w14:paraId="1AC64864">
            <w:pPr>
              <w:autoSpaceDE w:val="0"/>
              <w:autoSpaceDN w:val="0"/>
              <w:adjustRightInd w:val="0"/>
              <w:rPr>
                <w:rFonts w:ascii="宋体" w:hAnsi="宋体"/>
                <w:sz w:val="24"/>
                <w:szCs w:val="24"/>
              </w:rPr>
            </w:pPr>
          </w:p>
        </w:tc>
        <w:tc>
          <w:tcPr>
            <w:tcW w:w="971" w:type="dxa"/>
            <w:tcBorders>
              <w:top w:val="single" w:color="auto" w:sz="6" w:space="0"/>
              <w:left w:val="single" w:color="auto" w:sz="6" w:space="0"/>
              <w:bottom w:val="single" w:color="auto" w:sz="6" w:space="0"/>
              <w:right w:val="single" w:color="auto" w:sz="6" w:space="0"/>
            </w:tcBorders>
            <w:vAlign w:val="center"/>
          </w:tcPr>
          <w:p w14:paraId="43D3D88E">
            <w:pPr>
              <w:autoSpaceDE w:val="0"/>
              <w:autoSpaceDN w:val="0"/>
              <w:adjustRightInd w:val="0"/>
              <w:rPr>
                <w:rFonts w:ascii="宋体" w:hAnsi="宋体"/>
                <w:sz w:val="24"/>
                <w:szCs w:val="24"/>
              </w:rPr>
            </w:pPr>
          </w:p>
        </w:tc>
        <w:tc>
          <w:tcPr>
            <w:tcW w:w="949" w:type="dxa"/>
            <w:tcBorders>
              <w:top w:val="single" w:color="auto" w:sz="6" w:space="0"/>
              <w:left w:val="single" w:color="auto" w:sz="6" w:space="0"/>
              <w:bottom w:val="single" w:color="auto" w:sz="6" w:space="0"/>
              <w:right w:val="single" w:color="auto" w:sz="6" w:space="0"/>
            </w:tcBorders>
            <w:vAlign w:val="center"/>
          </w:tcPr>
          <w:p w14:paraId="31278A37">
            <w:pPr>
              <w:autoSpaceDE w:val="0"/>
              <w:autoSpaceDN w:val="0"/>
              <w:adjustRightInd w:val="0"/>
              <w:rPr>
                <w:rFonts w:ascii="宋体" w:hAnsi="宋体"/>
                <w:sz w:val="24"/>
                <w:szCs w:val="24"/>
              </w:rPr>
            </w:pPr>
          </w:p>
        </w:tc>
        <w:tc>
          <w:tcPr>
            <w:tcW w:w="1776" w:type="dxa"/>
            <w:tcBorders>
              <w:top w:val="single" w:color="auto" w:sz="6" w:space="0"/>
              <w:left w:val="single" w:color="auto" w:sz="6" w:space="0"/>
              <w:bottom w:val="single" w:color="auto" w:sz="6" w:space="0"/>
              <w:right w:val="single" w:color="auto" w:sz="6" w:space="0"/>
            </w:tcBorders>
            <w:vAlign w:val="center"/>
          </w:tcPr>
          <w:p w14:paraId="54EE3686">
            <w:pPr>
              <w:autoSpaceDE w:val="0"/>
              <w:autoSpaceDN w:val="0"/>
              <w:adjustRightInd w:val="0"/>
              <w:rPr>
                <w:rFonts w:ascii="宋体" w:hAnsi="宋体"/>
                <w:sz w:val="24"/>
                <w:szCs w:val="24"/>
              </w:rPr>
            </w:pPr>
          </w:p>
        </w:tc>
        <w:tc>
          <w:tcPr>
            <w:tcW w:w="1950" w:type="dxa"/>
            <w:tcBorders>
              <w:top w:val="single" w:color="auto" w:sz="6" w:space="0"/>
              <w:left w:val="single" w:color="auto" w:sz="6" w:space="0"/>
              <w:bottom w:val="single" w:color="auto" w:sz="6" w:space="0"/>
              <w:right w:val="single" w:color="auto" w:sz="6" w:space="0"/>
            </w:tcBorders>
            <w:vAlign w:val="center"/>
          </w:tcPr>
          <w:p w14:paraId="51AE84A7">
            <w:pPr>
              <w:autoSpaceDE w:val="0"/>
              <w:autoSpaceDN w:val="0"/>
              <w:adjustRightInd w:val="0"/>
              <w:rPr>
                <w:rFonts w:ascii="宋体" w:hAnsi="宋体"/>
                <w:sz w:val="24"/>
                <w:szCs w:val="24"/>
              </w:rPr>
            </w:pPr>
          </w:p>
        </w:tc>
      </w:tr>
      <w:tr w14:paraId="79989A71">
        <w:tblPrEx>
          <w:tblCellMar>
            <w:top w:w="0" w:type="dxa"/>
            <w:left w:w="108" w:type="dxa"/>
            <w:bottom w:w="0" w:type="dxa"/>
            <w:right w:w="108" w:type="dxa"/>
          </w:tblCellMar>
        </w:tblPrEx>
        <w:trPr>
          <w:trHeight w:val="567" w:hRule="atLeast"/>
        </w:trPr>
        <w:tc>
          <w:tcPr>
            <w:tcW w:w="786" w:type="dxa"/>
            <w:tcBorders>
              <w:top w:val="single" w:color="auto" w:sz="6" w:space="0"/>
              <w:left w:val="single" w:color="auto" w:sz="6" w:space="0"/>
              <w:bottom w:val="single" w:color="auto" w:sz="6" w:space="0"/>
              <w:right w:val="single" w:color="auto" w:sz="4" w:space="0"/>
            </w:tcBorders>
            <w:vAlign w:val="center"/>
          </w:tcPr>
          <w:p w14:paraId="0AF8A3C9">
            <w:pPr>
              <w:autoSpaceDE w:val="0"/>
              <w:autoSpaceDN w:val="0"/>
              <w:adjustRightInd w:val="0"/>
              <w:rPr>
                <w:rFonts w:ascii="宋体" w:hAnsi="宋体"/>
                <w:sz w:val="24"/>
                <w:szCs w:val="24"/>
              </w:rPr>
            </w:pPr>
          </w:p>
        </w:tc>
        <w:tc>
          <w:tcPr>
            <w:tcW w:w="938" w:type="dxa"/>
            <w:tcBorders>
              <w:top w:val="single" w:color="auto" w:sz="6" w:space="0"/>
              <w:left w:val="single" w:color="auto" w:sz="6" w:space="0"/>
              <w:bottom w:val="single" w:color="auto" w:sz="6" w:space="0"/>
              <w:right w:val="single" w:color="auto" w:sz="6" w:space="0"/>
            </w:tcBorders>
            <w:vAlign w:val="center"/>
          </w:tcPr>
          <w:p w14:paraId="7FAFFCE7">
            <w:pPr>
              <w:autoSpaceDE w:val="0"/>
              <w:autoSpaceDN w:val="0"/>
              <w:adjustRightInd w:val="0"/>
              <w:rPr>
                <w:rFonts w:ascii="宋体" w:hAnsi="宋体"/>
                <w:sz w:val="24"/>
                <w:szCs w:val="24"/>
              </w:rPr>
            </w:pPr>
          </w:p>
        </w:tc>
        <w:tc>
          <w:tcPr>
            <w:tcW w:w="731" w:type="dxa"/>
            <w:tcBorders>
              <w:top w:val="single" w:color="auto" w:sz="6" w:space="0"/>
              <w:left w:val="single" w:color="auto" w:sz="6" w:space="0"/>
              <w:bottom w:val="single" w:color="auto" w:sz="6" w:space="0"/>
              <w:right w:val="single" w:color="auto" w:sz="6" w:space="0"/>
            </w:tcBorders>
            <w:vAlign w:val="center"/>
          </w:tcPr>
          <w:p w14:paraId="1D86348A">
            <w:pPr>
              <w:autoSpaceDE w:val="0"/>
              <w:autoSpaceDN w:val="0"/>
              <w:adjustRightInd w:val="0"/>
              <w:rPr>
                <w:rFonts w:ascii="宋体" w:hAnsi="宋体"/>
                <w:sz w:val="24"/>
                <w:szCs w:val="24"/>
              </w:rPr>
            </w:pPr>
          </w:p>
        </w:tc>
        <w:tc>
          <w:tcPr>
            <w:tcW w:w="883" w:type="dxa"/>
            <w:tcBorders>
              <w:top w:val="single" w:color="auto" w:sz="6" w:space="0"/>
              <w:left w:val="single" w:color="auto" w:sz="6" w:space="0"/>
              <w:bottom w:val="single" w:color="auto" w:sz="6" w:space="0"/>
              <w:right w:val="single" w:color="auto" w:sz="6" w:space="0"/>
            </w:tcBorders>
            <w:vAlign w:val="center"/>
          </w:tcPr>
          <w:p w14:paraId="409A471B">
            <w:pPr>
              <w:autoSpaceDE w:val="0"/>
              <w:autoSpaceDN w:val="0"/>
              <w:adjustRightInd w:val="0"/>
              <w:rPr>
                <w:rFonts w:ascii="宋体" w:hAnsi="宋体"/>
                <w:sz w:val="24"/>
                <w:szCs w:val="24"/>
              </w:rPr>
            </w:pPr>
          </w:p>
        </w:tc>
        <w:tc>
          <w:tcPr>
            <w:tcW w:w="971" w:type="dxa"/>
            <w:tcBorders>
              <w:top w:val="single" w:color="auto" w:sz="6" w:space="0"/>
              <w:left w:val="single" w:color="auto" w:sz="6" w:space="0"/>
              <w:bottom w:val="single" w:color="auto" w:sz="6" w:space="0"/>
              <w:right w:val="single" w:color="auto" w:sz="6" w:space="0"/>
            </w:tcBorders>
            <w:vAlign w:val="center"/>
          </w:tcPr>
          <w:p w14:paraId="79A6C0C1">
            <w:pPr>
              <w:autoSpaceDE w:val="0"/>
              <w:autoSpaceDN w:val="0"/>
              <w:adjustRightInd w:val="0"/>
              <w:rPr>
                <w:rFonts w:ascii="宋体" w:hAnsi="宋体"/>
                <w:sz w:val="24"/>
                <w:szCs w:val="24"/>
              </w:rPr>
            </w:pPr>
          </w:p>
        </w:tc>
        <w:tc>
          <w:tcPr>
            <w:tcW w:w="949" w:type="dxa"/>
            <w:tcBorders>
              <w:top w:val="single" w:color="auto" w:sz="6" w:space="0"/>
              <w:left w:val="single" w:color="auto" w:sz="6" w:space="0"/>
              <w:bottom w:val="single" w:color="auto" w:sz="6" w:space="0"/>
              <w:right w:val="single" w:color="auto" w:sz="6" w:space="0"/>
            </w:tcBorders>
            <w:vAlign w:val="center"/>
          </w:tcPr>
          <w:p w14:paraId="0D3DA62D">
            <w:pPr>
              <w:autoSpaceDE w:val="0"/>
              <w:autoSpaceDN w:val="0"/>
              <w:adjustRightInd w:val="0"/>
              <w:rPr>
                <w:rFonts w:ascii="宋体" w:hAnsi="宋体"/>
                <w:sz w:val="24"/>
                <w:szCs w:val="24"/>
              </w:rPr>
            </w:pPr>
          </w:p>
        </w:tc>
        <w:tc>
          <w:tcPr>
            <w:tcW w:w="1776" w:type="dxa"/>
            <w:tcBorders>
              <w:top w:val="single" w:color="auto" w:sz="6" w:space="0"/>
              <w:left w:val="single" w:color="auto" w:sz="6" w:space="0"/>
              <w:bottom w:val="single" w:color="auto" w:sz="6" w:space="0"/>
              <w:right w:val="single" w:color="auto" w:sz="6" w:space="0"/>
            </w:tcBorders>
            <w:vAlign w:val="center"/>
          </w:tcPr>
          <w:p w14:paraId="111CBBC8">
            <w:pPr>
              <w:autoSpaceDE w:val="0"/>
              <w:autoSpaceDN w:val="0"/>
              <w:adjustRightInd w:val="0"/>
              <w:rPr>
                <w:rFonts w:ascii="宋体" w:hAnsi="宋体"/>
                <w:sz w:val="24"/>
                <w:szCs w:val="24"/>
              </w:rPr>
            </w:pPr>
          </w:p>
        </w:tc>
        <w:tc>
          <w:tcPr>
            <w:tcW w:w="1950" w:type="dxa"/>
            <w:tcBorders>
              <w:top w:val="single" w:color="auto" w:sz="6" w:space="0"/>
              <w:left w:val="single" w:color="auto" w:sz="6" w:space="0"/>
              <w:bottom w:val="single" w:color="auto" w:sz="6" w:space="0"/>
              <w:right w:val="single" w:color="auto" w:sz="6" w:space="0"/>
            </w:tcBorders>
            <w:vAlign w:val="center"/>
          </w:tcPr>
          <w:p w14:paraId="165C9A50">
            <w:pPr>
              <w:autoSpaceDE w:val="0"/>
              <w:autoSpaceDN w:val="0"/>
              <w:adjustRightInd w:val="0"/>
              <w:rPr>
                <w:rFonts w:ascii="宋体" w:hAnsi="宋体"/>
                <w:sz w:val="24"/>
                <w:szCs w:val="24"/>
              </w:rPr>
            </w:pPr>
          </w:p>
        </w:tc>
      </w:tr>
      <w:tr w14:paraId="599E7E6D">
        <w:tblPrEx>
          <w:tblCellMar>
            <w:top w:w="0" w:type="dxa"/>
            <w:left w:w="108" w:type="dxa"/>
            <w:bottom w:w="0" w:type="dxa"/>
            <w:right w:w="108" w:type="dxa"/>
          </w:tblCellMar>
        </w:tblPrEx>
        <w:trPr>
          <w:trHeight w:val="567" w:hRule="atLeast"/>
        </w:trPr>
        <w:tc>
          <w:tcPr>
            <w:tcW w:w="786" w:type="dxa"/>
            <w:tcBorders>
              <w:top w:val="single" w:color="auto" w:sz="6" w:space="0"/>
              <w:left w:val="single" w:color="auto" w:sz="6" w:space="0"/>
              <w:bottom w:val="single" w:color="auto" w:sz="6" w:space="0"/>
              <w:right w:val="single" w:color="auto" w:sz="4" w:space="0"/>
            </w:tcBorders>
            <w:vAlign w:val="center"/>
          </w:tcPr>
          <w:p w14:paraId="6E69E7C5">
            <w:pPr>
              <w:autoSpaceDE w:val="0"/>
              <w:autoSpaceDN w:val="0"/>
              <w:adjustRightInd w:val="0"/>
              <w:rPr>
                <w:rFonts w:ascii="宋体" w:hAnsi="宋体"/>
                <w:sz w:val="24"/>
                <w:szCs w:val="24"/>
              </w:rPr>
            </w:pPr>
          </w:p>
        </w:tc>
        <w:tc>
          <w:tcPr>
            <w:tcW w:w="938" w:type="dxa"/>
            <w:tcBorders>
              <w:top w:val="single" w:color="auto" w:sz="6" w:space="0"/>
              <w:left w:val="single" w:color="auto" w:sz="6" w:space="0"/>
              <w:bottom w:val="single" w:color="auto" w:sz="6" w:space="0"/>
              <w:right w:val="single" w:color="auto" w:sz="6" w:space="0"/>
            </w:tcBorders>
            <w:vAlign w:val="center"/>
          </w:tcPr>
          <w:p w14:paraId="6FED612E">
            <w:pPr>
              <w:autoSpaceDE w:val="0"/>
              <w:autoSpaceDN w:val="0"/>
              <w:adjustRightInd w:val="0"/>
              <w:rPr>
                <w:rFonts w:ascii="宋体" w:hAnsi="宋体"/>
                <w:sz w:val="24"/>
                <w:szCs w:val="24"/>
              </w:rPr>
            </w:pPr>
          </w:p>
        </w:tc>
        <w:tc>
          <w:tcPr>
            <w:tcW w:w="731" w:type="dxa"/>
            <w:tcBorders>
              <w:top w:val="single" w:color="auto" w:sz="6" w:space="0"/>
              <w:left w:val="single" w:color="auto" w:sz="6" w:space="0"/>
              <w:bottom w:val="single" w:color="auto" w:sz="6" w:space="0"/>
              <w:right w:val="single" w:color="auto" w:sz="6" w:space="0"/>
            </w:tcBorders>
            <w:vAlign w:val="center"/>
          </w:tcPr>
          <w:p w14:paraId="00B62238">
            <w:pPr>
              <w:autoSpaceDE w:val="0"/>
              <w:autoSpaceDN w:val="0"/>
              <w:adjustRightInd w:val="0"/>
              <w:rPr>
                <w:rFonts w:ascii="宋体" w:hAnsi="宋体"/>
                <w:sz w:val="24"/>
                <w:szCs w:val="24"/>
              </w:rPr>
            </w:pPr>
          </w:p>
        </w:tc>
        <w:tc>
          <w:tcPr>
            <w:tcW w:w="883" w:type="dxa"/>
            <w:tcBorders>
              <w:top w:val="single" w:color="auto" w:sz="6" w:space="0"/>
              <w:left w:val="single" w:color="auto" w:sz="6" w:space="0"/>
              <w:bottom w:val="single" w:color="auto" w:sz="6" w:space="0"/>
              <w:right w:val="single" w:color="auto" w:sz="6" w:space="0"/>
            </w:tcBorders>
            <w:vAlign w:val="center"/>
          </w:tcPr>
          <w:p w14:paraId="664B5F3C">
            <w:pPr>
              <w:autoSpaceDE w:val="0"/>
              <w:autoSpaceDN w:val="0"/>
              <w:adjustRightInd w:val="0"/>
              <w:rPr>
                <w:rFonts w:ascii="宋体" w:hAnsi="宋体"/>
                <w:sz w:val="24"/>
                <w:szCs w:val="24"/>
              </w:rPr>
            </w:pPr>
          </w:p>
        </w:tc>
        <w:tc>
          <w:tcPr>
            <w:tcW w:w="971" w:type="dxa"/>
            <w:tcBorders>
              <w:top w:val="single" w:color="auto" w:sz="6" w:space="0"/>
              <w:left w:val="single" w:color="auto" w:sz="6" w:space="0"/>
              <w:bottom w:val="single" w:color="auto" w:sz="6" w:space="0"/>
              <w:right w:val="single" w:color="auto" w:sz="6" w:space="0"/>
            </w:tcBorders>
            <w:vAlign w:val="center"/>
          </w:tcPr>
          <w:p w14:paraId="74917708">
            <w:pPr>
              <w:autoSpaceDE w:val="0"/>
              <w:autoSpaceDN w:val="0"/>
              <w:adjustRightInd w:val="0"/>
              <w:rPr>
                <w:rFonts w:ascii="宋体" w:hAnsi="宋体"/>
                <w:sz w:val="24"/>
                <w:szCs w:val="24"/>
              </w:rPr>
            </w:pPr>
          </w:p>
        </w:tc>
        <w:tc>
          <w:tcPr>
            <w:tcW w:w="949" w:type="dxa"/>
            <w:tcBorders>
              <w:top w:val="single" w:color="auto" w:sz="6" w:space="0"/>
              <w:left w:val="single" w:color="auto" w:sz="6" w:space="0"/>
              <w:bottom w:val="single" w:color="auto" w:sz="6" w:space="0"/>
              <w:right w:val="single" w:color="auto" w:sz="6" w:space="0"/>
            </w:tcBorders>
            <w:vAlign w:val="center"/>
          </w:tcPr>
          <w:p w14:paraId="0B906B57">
            <w:pPr>
              <w:autoSpaceDE w:val="0"/>
              <w:autoSpaceDN w:val="0"/>
              <w:adjustRightInd w:val="0"/>
              <w:rPr>
                <w:rFonts w:ascii="宋体" w:hAnsi="宋体"/>
                <w:sz w:val="24"/>
                <w:szCs w:val="24"/>
              </w:rPr>
            </w:pPr>
          </w:p>
        </w:tc>
        <w:tc>
          <w:tcPr>
            <w:tcW w:w="1776" w:type="dxa"/>
            <w:tcBorders>
              <w:top w:val="single" w:color="auto" w:sz="6" w:space="0"/>
              <w:left w:val="single" w:color="auto" w:sz="6" w:space="0"/>
              <w:bottom w:val="single" w:color="auto" w:sz="6" w:space="0"/>
              <w:right w:val="single" w:color="auto" w:sz="6" w:space="0"/>
            </w:tcBorders>
            <w:vAlign w:val="center"/>
          </w:tcPr>
          <w:p w14:paraId="3E729EC7">
            <w:pPr>
              <w:autoSpaceDE w:val="0"/>
              <w:autoSpaceDN w:val="0"/>
              <w:adjustRightInd w:val="0"/>
              <w:rPr>
                <w:rFonts w:ascii="宋体" w:hAnsi="宋体"/>
                <w:sz w:val="24"/>
                <w:szCs w:val="24"/>
              </w:rPr>
            </w:pPr>
          </w:p>
        </w:tc>
        <w:tc>
          <w:tcPr>
            <w:tcW w:w="1950" w:type="dxa"/>
            <w:tcBorders>
              <w:top w:val="single" w:color="auto" w:sz="6" w:space="0"/>
              <w:left w:val="single" w:color="auto" w:sz="6" w:space="0"/>
              <w:bottom w:val="single" w:color="auto" w:sz="6" w:space="0"/>
              <w:right w:val="single" w:color="auto" w:sz="6" w:space="0"/>
            </w:tcBorders>
            <w:vAlign w:val="center"/>
          </w:tcPr>
          <w:p w14:paraId="4E421EA5">
            <w:pPr>
              <w:autoSpaceDE w:val="0"/>
              <w:autoSpaceDN w:val="0"/>
              <w:adjustRightInd w:val="0"/>
              <w:rPr>
                <w:rFonts w:ascii="宋体" w:hAnsi="宋体"/>
                <w:sz w:val="24"/>
                <w:szCs w:val="24"/>
              </w:rPr>
            </w:pPr>
          </w:p>
        </w:tc>
      </w:tr>
    </w:tbl>
    <w:p w14:paraId="3064F750">
      <w:pPr>
        <w:spacing w:before="120" w:beforeLines="50"/>
        <w:rPr>
          <w:rFonts w:ascii="宋体" w:hAnsi="宋体" w:cs="宋体"/>
          <w:sz w:val="24"/>
          <w:szCs w:val="24"/>
        </w:rPr>
      </w:pPr>
      <w:r>
        <w:rPr>
          <w:rFonts w:hint="eastAsia" w:ascii="宋体" w:hAnsi="宋体" w:cs="宋体"/>
          <w:sz w:val="24"/>
          <w:szCs w:val="24"/>
        </w:rPr>
        <w:t>投标人名称：（加盖CA电子公章）</w:t>
      </w:r>
    </w:p>
    <w:p w14:paraId="2C707821">
      <w:pPr>
        <w:spacing w:before="120" w:beforeLines="50"/>
        <w:rPr>
          <w:rFonts w:ascii="宋体" w:hAnsi="宋体" w:cs="宋体"/>
          <w:i/>
          <w:kern w:val="2"/>
          <w:sz w:val="24"/>
          <w:szCs w:val="24"/>
          <w:u w:val="single"/>
        </w:rPr>
      </w:pPr>
      <w:r>
        <w:rPr>
          <w:rFonts w:hint="eastAsia" w:ascii="宋体" w:hAnsi="宋体" w:cs="宋体"/>
          <w:sz w:val="24"/>
          <w:szCs w:val="24"/>
        </w:rPr>
        <w:t xml:space="preserve">日期：2026年XX月XX日 </w:t>
      </w:r>
    </w:p>
    <w:p w14:paraId="71BD4913"/>
    <w:p w14:paraId="05A95BDC">
      <w:pPr>
        <w:keepNext/>
        <w:keepLines/>
        <w:numPr>
          <w:ilvl w:val="0"/>
          <w:numId w:val="10"/>
        </w:numPr>
        <w:spacing w:before="260" w:line="415" w:lineRule="auto"/>
        <w:jc w:val="center"/>
        <w:outlineLvl w:val="1"/>
        <w:rPr>
          <w:rFonts w:ascii="宋体" w:hAnsi="宋体" w:cs="宋体"/>
          <w:b/>
          <w:bCs/>
          <w:iCs/>
          <w:kern w:val="2"/>
          <w:sz w:val="32"/>
          <w:szCs w:val="32"/>
        </w:rPr>
      </w:pPr>
      <w:bookmarkStart w:id="154" w:name="_Toc32130"/>
      <w:r>
        <w:rPr>
          <w:rFonts w:hint="eastAsia" w:ascii="宋体" w:hAnsi="宋体" w:cs="宋体"/>
          <w:b/>
          <w:bCs/>
          <w:iCs/>
          <w:kern w:val="2"/>
          <w:sz w:val="32"/>
          <w:szCs w:val="32"/>
        </w:rPr>
        <w:t>业绩情况表（如有）</w:t>
      </w:r>
      <w:bookmarkEnd w:id="154"/>
    </w:p>
    <w:tbl>
      <w:tblPr>
        <w:tblStyle w:val="38"/>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1448"/>
        <w:gridCol w:w="1541"/>
        <w:gridCol w:w="738"/>
        <w:gridCol w:w="1391"/>
        <w:gridCol w:w="1661"/>
        <w:gridCol w:w="1294"/>
      </w:tblGrid>
      <w:tr w14:paraId="3FCBE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5" w:type="dxa"/>
            <w:vAlign w:val="center"/>
          </w:tcPr>
          <w:p w14:paraId="4D35C76F">
            <w:pPr>
              <w:jc w:val="center"/>
              <w:rPr>
                <w:rFonts w:ascii="宋体" w:hAnsi="宋体" w:cs="宋体"/>
                <w:sz w:val="24"/>
                <w:szCs w:val="24"/>
              </w:rPr>
            </w:pPr>
            <w:r>
              <w:rPr>
                <w:rFonts w:hint="eastAsia" w:ascii="宋体" w:hAnsi="宋体" w:cs="宋体"/>
                <w:sz w:val="24"/>
                <w:szCs w:val="24"/>
              </w:rPr>
              <w:t>序号</w:t>
            </w:r>
          </w:p>
        </w:tc>
        <w:tc>
          <w:tcPr>
            <w:tcW w:w="1448" w:type="dxa"/>
            <w:vAlign w:val="center"/>
          </w:tcPr>
          <w:p w14:paraId="2330D63A">
            <w:pPr>
              <w:jc w:val="center"/>
              <w:rPr>
                <w:rFonts w:ascii="宋体" w:hAnsi="宋体" w:cs="宋体"/>
                <w:sz w:val="24"/>
                <w:szCs w:val="24"/>
              </w:rPr>
            </w:pPr>
            <w:r>
              <w:rPr>
                <w:rFonts w:hint="eastAsia" w:ascii="宋体" w:hAnsi="宋体" w:cs="宋体"/>
                <w:sz w:val="24"/>
                <w:szCs w:val="24"/>
              </w:rPr>
              <w:t>货物名称</w:t>
            </w:r>
          </w:p>
        </w:tc>
        <w:tc>
          <w:tcPr>
            <w:tcW w:w="1541" w:type="dxa"/>
            <w:vAlign w:val="center"/>
          </w:tcPr>
          <w:p w14:paraId="23972DF0">
            <w:pPr>
              <w:jc w:val="center"/>
              <w:rPr>
                <w:rFonts w:ascii="宋体" w:hAnsi="宋体" w:cs="宋体"/>
                <w:sz w:val="24"/>
                <w:szCs w:val="24"/>
              </w:rPr>
            </w:pPr>
            <w:r>
              <w:rPr>
                <w:rFonts w:hint="eastAsia" w:ascii="宋体" w:hAnsi="宋体" w:cs="宋体"/>
                <w:sz w:val="24"/>
                <w:szCs w:val="24"/>
              </w:rPr>
              <w:t>规格型号</w:t>
            </w:r>
          </w:p>
        </w:tc>
        <w:tc>
          <w:tcPr>
            <w:tcW w:w="738" w:type="dxa"/>
            <w:vAlign w:val="center"/>
          </w:tcPr>
          <w:p w14:paraId="79CA12DF">
            <w:pPr>
              <w:jc w:val="center"/>
              <w:rPr>
                <w:rFonts w:ascii="宋体" w:hAnsi="宋体" w:cs="宋体"/>
                <w:sz w:val="24"/>
                <w:szCs w:val="24"/>
              </w:rPr>
            </w:pPr>
            <w:r>
              <w:rPr>
                <w:rFonts w:hint="eastAsia" w:ascii="宋体" w:hAnsi="宋体" w:cs="宋体"/>
                <w:sz w:val="24"/>
                <w:szCs w:val="24"/>
              </w:rPr>
              <w:t>数量</w:t>
            </w:r>
          </w:p>
        </w:tc>
        <w:tc>
          <w:tcPr>
            <w:tcW w:w="1391" w:type="dxa"/>
            <w:vAlign w:val="center"/>
          </w:tcPr>
          <w:p w14:paraId="5842E82D">
            <w:pPr>
              <w:jc w:val="center"/>
              <w:rPr>
                <w:rFonts w:ascii="宋体" w:hAnsi="宋体" w:cs="宋体"/>
                <w:sz w:val="24"/>
                <w:szCs w:val="24"/>
              </w:rPr>
            </w:pPr>
            <w:r>
              <w:rPr>
                <w:rFonts w:hint="eastAsia" w:ascii="宋体" w:hAnsi="宋体" w:cs="宋体"/>
                <w:sz w:val="24"/>
                <w:szCs w:val="24"/>
              </w:rPr>
              <w:t>采购人</w:t>
            </w:r>
          </w:p>
        </w:tc>
        <w:tc>
          <w:tcPr>
            <w:tcW w:w="1661" w:type="dxa"/>
            <w:vAlign w:val="center"/>
          </w:tcPr>
          <w:p w14:paraId="19D1E73C">
            <w:pPr>
              <w:jc w:val="center"/>
              <w:rPr>
                <w:rFonts w:ascii="宋体" w:hAnsi="宋体" w:cs="宋体"/>
                <w:sz w:val="24"/>
                <w:szCs w:val="24"/>
              </w:rPr>
            </w:pPr>
            <w:r>
              <w:rPr>
                <w:rFonts w:hint="eastAsia" w:ascii="宋体" w:hAnsi="宋体" w:cs="宋体"/>
                <w:sz w:val="24"/>
                <w:szCs w:val="24"/>
              </w:rPr>
              <w:t>联系人/电话</w:t>
            </w:r>
          </w:p>
        </w:tc>
        <w:tc>
          <w:tcPr>
            <w:tcW w:w="1294" w:type="dxa"/>
            <w:vAlign w:val="center"/>
          </w:tcPr>
          <w:p w14:paraId="24A096F4">
            <w:pPr>
              <w:jc w:val="center"/>
              <w:rPr>
                <w:rFonts w:ascii="宋体" w:hAnsi="宋体" w:cs="宋体"/>
                <w:sz w:val="24"/>
                <w:szCs w:val="24"/>
              </w:rPr>
            </w:pPr>
            <w:r>
              <w:rPr>
                <w:rFonts w:hint="eastAsia" w:ascii="宋体" w:hAnsi="宋体" w:cs="宋体"/>
                <w:sz w:val="24"/>
                <w:szCs w:val="24"/>
              </w:rPr>
              <w:t>签订日期</w:t>
            </w:r>
          </w:p>
        </w:tc>
      </w:tr>
      <w:tr w14:paraId="7CE0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5" w:type="dxa"/>
            <w:vAlign w:val="center"/>
          </w:tcPr>
          <w:p w14:paraId="0C018F9A">
            <w:pPr>
              <w:jc w:val="center"/>
              <w:rPr>
                <w:rFonts w:ascii="宋体" w:hAnsi="宋体" w:cs="宋体"/>
                <w:sz w:val="24"/>
                <w:szCs w:val="24"/>
              </w:rPr>
            </w:pPr>
          </w:p>
        </w:tc>
        <w:tc>
          <w:tcPr>
            <w:tcW w:w="1448" w:type="dxa"/>
            <w:vAlign w:val="center"/>
          </w:tcPr>
          <w:p w14:paraId="32EEBA92">
            <w:pPr>
              <w:jc w:val="center"/>
              <w:rPr>
                <w:rFonts w:ascii="宋体" w:hAnsi="宋体" w:cs="宋体"/>
                <w:sz w:val="24"/>
                <w:szCs w:val="24"/>
              </w:rPr>
            </w:pPr>
          </w:p>
        </w:tc>
        <w:tc>
          <w:tcPr>
            <w:tcW w:w="1541" w:type="dxa"/>
            <w:vAlign w:val="center"/>
          </w:tcPr>
          <w:p w14:paraId="0B7852A7">
            <w:pPr>
              <w:jc w:val="center"/>
              <w:rPr>
                <w:rFonts w:ascii="宋体" w:hAnsi="宋体" w:cs="宋体"/>
                <w:sz w:val="24"/>
                <w:szCs w:val="24"/>
              </w:rPr>
            </w:pPr>
          </w:p>
        </w:tc>
        <w:tc>
          <w:tcPr>
            <w:tcW w:w="738" w:type="dxa"/>
            <w:vAlign w:val="center"/>
          </w:tcPr>
          <w:p w14:paraId="22077B74">
            <w:pPr>
              <w:jc w:val="center"/>
              <w:rPr>
                <w:rFonts w:ascii="宋体" w:hAnsi="宋体" w:cs="宋体"/>
                <w:sz w:val="24"/>
                <w:szCs w:val="24"/>
              </w:rPr>
            </w:pPr>
          </w:p>
        </w:tc>
        <w:tc>
          <w:tcPr>
            <w:tcW w:w="1391" w:type="dxa"/>
            <w:vAlign w:val="center"/>
          </w:tcPr>
          <w:p w14:paraId="1417E01E">
            <w:pPr>
              <w:jc w:val="center"/>
              <w:rPr>
                <w:rFonts w:ascii="宋体" w:hAnsi="宋体" w:cs="宋体"/>
                <w:sz w:val="24"/>
                <w:szCs w:val="24"/>
              </w:rPr>
            </w:pPr>
          </w:p>
        </w:tc>
        <w:tc>
          <w:tcPr>
            <w:tcW w:w="1661" w:type="dxa"/>
            <w:vAlign w:val="center"/>
          </w:tcPr>
          <w:p w14:paraId="72FDA39B">
            <w:pPr>
              <w:jc w:val="center"/>
              <w:rPr>
                <w:rFonts w:ascii="宋体" w:hAnsi="宋体" w:cs="宋体"/>
                <w:sz w:val="24"/>
                <w:szCs w:val="24"/>
              </w:rPr>
            </w:pPr>
          </w:p>
        </w:tc>
        <w:tc>
          <w:tcPr>
            <w:tcW w:w="1294" w:type="dxa"/>
            <w:vAlign w:val="center"/>
          </w:tcPr>
          <w:p w14:paraId="077A60CE">
            <w:pPr>
              <w:jc w:val="center"/>
              <w:rPr>
                <w:rFonts w:ascii="宋体" w:hAnsi="宋体" w:cs="宋体"/>
                <w:sz w:val="24"/>
                <w:szCs w:val="24"/>
              </w:rPr>
            </w:pPr>
          </w:p>
        </w:tc>
      </w:tr>
      <w:tr w14:paraId="006EE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5" w:type="dxa"/>
            <w:vAlign w:val="center"/>
          </w:tcPr>
          <w:p w14:paraId="4B2C261C">
            <w:pPr>
              <w:jc w:val="center"/>
              <w:rPr>
                <w:rFonts w:ascii="宋体" w:hAnsi="宋体" w:cs="宋体"/>
                <w:sz w:val="24"/>
                <w:szCs w:val="24"/>
              </w:rPr>
            </w:pPr>
          </w:p>
        </w:tc>
        <w:tc>
          <w:tcPr>
            <w:tcW w:w="1448" w:type="dxa"/>
            <w:vAlign w:val="center"/>
          </w:tcPr>
          <w:p w14:paraId="77BEEE17">
            <w:pPr>
              <w:jc w:val="center"/>
              <w:rPr>
                <w:rFonts w:ascii="宋体" w:hAnsi="宋体" w:cs="宋体"/>
                <w:sz w:val="24"/>
                <w:szCs w:val="24"/>
              </w:rPr>
            </w:pPr>
          </w:p>
        </w:tc>
        <w:tc>
          <w:tcPr>
            <w:tcW w:w="1541" w:type="dxa"/>
            <w:vAlign w:val="center"/>
          </w:tcPr>
          <w:p w14:paraId="72C0D419">
            <w:pPr>
              <w:jc w:val="center"/>
              <w:rPr>
                <w:rFonts w:ascii="宋体" w:hAnsi="宋体" w:cs="宋体"/>
                <w:sz w:val="24"/>
                <w:szCs w:val="24"/>
              </w:rPr>
            </w:pPr>
          </w:p>
        </w:tc>
        <w:tc>
          <w:tcPr>
            <w:tcW w:w="738" w:type="dxa"/>
            <w:vAlign w:val="center"/>
          </w:tcPr>
          <w:p w14:paraId="6A95CB13">
            <w:pPr>
              <w:jc w:val="center"/>
              <w:rPr>
                <w:rFonts w:ascii="宋体" w:hAnsi="宋体" w:cs="宋体"/>
                <w:sz w:val="24"/>
                <w:szCs w:val="24"/>
              </w:rPr>
            </w:pPr>
          </w:p>
        </w:tc>
        <w:tc>
          <w:tcPr>
            <w:tcW w:w="1391" w:type="dxa"/>
            <w:vAlign w:val="center"/>
          </w:tcPr>
          <w:p w14:paraId="0F9C8BD2">
            <w:pPr>
              <w:jc w:val="center"/>
              <w:rPr>
                <w:rFonts w:ascii="宋体" w:hAnsi="宋体" w:cs="宋体"/>
                <w:sz w:val="24"/>
                <w:szCs w:val="24"/>
              </w:rPr>
            </w:pPr>
          </w:p>
        </w:tc>
        <w:tc>
          <w:tcPr>
            <w:tcW w:w="1661" w:type="dxa"/>
            <w:vAlign w:val="center"/>
          </w:tcPr>
          <w:p w14:paraId="03ACAAB2">
            <w:pPr>
              <w:jc w:val="center"/>
              <w:rPr>
                <w:rFonts w:ascii="宋体" w:hAnsi="宋体" w:cs="宋体"/>
                <w:sz w:val="24"/>
                <w:szCs w:val="24"/>
              </w:rPr>
            </w:pPr>
          </w:p>
        </w:tc>
        <w:tc>
          <w:tcPr>
            <w:tcW w:w="1294" w:type="dxa"/>
            <w:vAlign w:val="center"/>
          </w:tcPr>
          <w:p w14:paraId="121D1302">
            <w:pPr>
              <w:jc w:val="center"/>
              <w:rPr>
                <w:rFonts w:ascii="宋体" w:hAnsi="宋体" w:cs="宋体"/>
                <w:sz w:val="24"/>
                <w:szCs w:val="24"/>
              </w:rPr>
            </w:pPr>
          </w:p>
        </w:tc>
      </w:tr>
      <w:tr w14:paraId="62D80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55" w:type="dxa"/>
            <w:vAlign w:val="center"/>
          </w:tcPr>
          <w:p w14:paraId="3A35613A">
            <w:pPr>
              <w:jc w:val="center"/>
              <w:rPr>
                <w:rFonts w:ascii="宋体" w:hAnsi="宋体" w:cs="宋体"/>
                <w:sz w:val="24"/>
                <w:szCs w:val="24"/>
              </w:rPr>
            </w:pPr>
          </w:p>
        </w:tc>
        <w:tc>
          <w:tcPr>
            <w:tcW w:w="1448" w:type="dxa"/>
            <w:vAlign w:val="center"/>
          </w:tcPr>
          <w:p w14:paraId="2CDFBD59">
            <w:pPr>
              <w:jc w:val="center"/>
              <w:rPr>
                <w:rFonts w:ascii="宋体" w:hAnsi="宋体" w:cs="宋体"/>
                <w:sz w:val="24"/>
                <w:szCs w:val="24"/>
              </w:rPr>
            </w:pPr>
          </w:p>
        </w:tc>
        <w:tc>
          <w:tcPr>
            <w:tcW w:w="1541" w:type="dxa"/>
            <w:vAlign w:val="center"/>
          </w:tcPr>
          <w:p w14:paraId="1E6FC505">
            <w:pPr>
              <w:jc w:val="center"/>
              <w:rPr>
                <w:rFonts w:ascii="宋体" w:hAnsi="宋体" w:cs="宋体"/>
                <w:sz w:val="24"/>
                <w:szCs w:val="24"/>
              </w:rPr>
            </w:pPr>
          </w:p>
        </w:tc>
        <w:tc>
          <w:tcPr>
            <w:tcW w:w="738" w:type="dxa"/>
            <w:vAlign w:val="center"/>
          </w:tcPr>
          <w:p w14:paraId="40E60172">
            <w:pPr>
              <w:jc w:val="center"/>
              <w:rPr>
                <w:rFonts w:ascii="宋体" w:hAnsi="宋体" w:cs="宋体"/>
                <w:sz w:val="24"/>
                <w:szCs w:val="24"/>
              </w:rPr>
            </w:pPr>
          </w:p>
        </w:tc>
        <w:tc>
          <w:tcPr>
            <w:tcW w:w="1391" w:type="dxa"/>
            <w:vAlign w:val="center"/>
          </w:tcPr>
          <w:p w14:paraId="52D247D5">
            <w:pPr>
              <w:jc w:val="center"/>
              <w:rPr>
                <w:rFonts w:ascii="宋体" w:hAnsi="宋体" w:cs="宋体"/>
                <w:sz w:val="24"/>
                <w:szCs w:val="24"/>
              </w:rPr>
            </w:pPr>
          </w:p>
        </w:tc>
        <w:tc>
          <w:tcPr>
            <w:tcW w:w="1661" w:type="dxa"/>
            <w:vAlign w:val="center"/>
          </w:tcPr>
          <w:p w14:paraId="681A92EA">
            <w:pPr>
              <w:jc w:val="center"/>
              <w:rPr>
                <w:rFonts w:ascii="宋体" w:hAnsi="宋体" w:cs="宋体"/>
                <w:sz w:val="24"/>
                <w:szCs w:val="24"/>
              </w:rPr>
            </w:pPr>
          </w:p>
        </w:tc>
        <w:tc>
          <w:tcPr>
            <w:tcW w:w="1294" w:type="dxa"/>
            <w:vAlign w:val="center"/>
          </w:tcPr>
          <w:p w14:paraId="5E83015C">
            <w:pPr>
              <w:jc w:val="center"/>
              <w:rPr>
                <w:rFonts w:ascii="宋体" w:hAnsi="宋体" w:cs="宋体"/>
                <w:sz w:val="24"/>
                <w:szCs w:val="24"/>
              </w:rPr>
            </w:pPr>
          </w:p>
        </w:tc>
      </w:tr>
    </w:tbl>
    <w:p w14:paraId="144113FF">
      <w:pPr>
        <w:rPr>
          <w:sz w:val="24"/>
          <w:szCs w:val="24"/>
        </w:rPr>
      </w:pPr>
      <w:r>
        <w:rPr>
          <w:sz w:val="24"/>
          <w:szCs w:val="24"/>
        </w:rPr>
        <w:t>注：请填写此表，并按要求上传业绩等证明资料电子件。</w:t>
      </w:r>
    </w:p>
    <w:p w14:paraId="1FA8DDB4">
      <w:pPr>
        <w:rPr>
          <w:sz w:val="24"/>
          <w:szCs w:val="24"/>
        </w:rPr>
      </w:pPr>
    </w:p>
    <w:p w14:paraId="2C4E017B">
      <w:pPr>
        <w:rPr>
          <w:sz w:val="24"/>
          <w:szCs w:val="24"/>
        </w:rPr>
      </w:pPr>
    </w:p>
    <w:p w14:paraId="479BA346">
      <w:pPr>
        <w:keepNext/>
        <w:keepLines/>
        <w:numPr>
          <w:ilvl w:val="0"/>
          <w:numId w:val="10"/>
        </w:numPr>
        <w:spacing w:before="260" w:line="415" w:lineRule="auto"/>
        <w:jc w:val="center"/>
        <w:outlineLvl w:val="1"/>
        <w:rPr>
          <w:rFonts w:ascii="宋体" w:hAnsi="宋体" w:cs="宋体"/>
          <w:b/>
          <w:bCs/>
          <w:iCs/>
          <w:kern w:val="2"/>
          <w:sz w:val="32"/>
          <w:szCs w:val="32"/>
        </w:rPr>
      </w:pPr>
      <w:bookmarkStart w:id="155" w:name="_Toc18785"/>
      <w:r>
        <w:rPr>
          <w:rFonts w:hint="eastAsia" w:ascii="宋体" w:hAnsi="宋体" w:cs="宋体"/>
          <w:b/>
          <w:bCs/>
          <w:iCs/>
          <w:kern w:val="2"/>
          <w:sz w:val="32"/>
          <w:szCs w:val="32"/>
        </w:rPr>
        <w:t>服务方案（如有）</w:t>
      </w:r>
      <w:bookmarkEnd w:id="155"/>
    </w:p>
    <w:p w14:paraId="38D39B3B">
      <w:pPr>
        <w:ind w:left="420"/>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投标人根据本项目的采购需求及评分标准的要求编制项目服务方案，格式自拟</w:t>
      </w:r>
    </w:p>
    <w:p w14:paraId="28F7085E">
      <w:pPr>
        <w:ind w:left="420"/>
        <w:jc w:val="center"/>
        <w:rPr>
          <w:rFonts w:ascii="宋体" w:hAnsi="宋体" w:cs="宋体"/>
          <w:bCs/>
          <w:color w:val="000000" w:themeColor="text1"/>
          <w:sz w:val="24"/>
          <w14:textFill>
            <w14:solidFill>
              <w14:schemeClr w14:val="tx1"/>
            </w14:solidFill>
          </w14:textFill>
        </w:rPr>
      </w:pPr>
    </w:p>
    <w:p w14:paraId="2808C123">
      <w:pPr>
        <w:ind w:left="420"/>
        <w:jc w:val="center"/>
        <w:rPr>
          <w:rFonts w:ascii="宋体" w:hAnsi="宋体" w:cs="宋体"/>
          <w:bCs/>
          <w:color w:val="000000" w:themeColor="text1"/>
          <w:sz w:val="24"/>
          <w14:textFill>
            <w14:solidFill>
              <w14:schemeClr w14:val="tx1"/>
            </w14:solidFill>
          </w14:textFill>
        </w:rPr>
      </w:pPr>
    </w:p>
    <w:p w14:paraId="72E61E06">
      <w:pPr>
        <w:ind w:left="420"/>
        <w:jc w:val="center"/>
        <w:rPr>
          <w:rFonts w:ascii="宋体" w:hAnsi="宋体" w:cs="宋体"/>
          <w:bCs/>
          <w:color w:val="000000" w:themeColor="text1"/>
          <w:sz w:val="24"/>
          <w14:textFill>
            <w14:solidFill>
              <w14:schemeClr w14:val="tx1"/>
            </w14:solidFill>
          </w14:textFill>
        </w:rPr>
      </w:pPr>
    </w:p>
    <w:p w14:paraId="011AC2DF">
      <w:pPr>
        <w:keepNext/>
        <w:keepLines/>
        <w:numPr>
          <w:ilvl w:val="0"/>
          <w:numId w:val="10"/>
        </w:numPr>
        <w:spacing w:before="260" w:line="415" w:lineRule="auto"/>
        <w:jc w:val="center"/>
        <w:outlineLvl w:val="1"/>
        <w:rPr>
          <w:rFonts w:ascii="宋体" w:hAnsi="宋体" w:cs="宋体"/>
          <w:b/>
          <w:bCs/>
          <w:iCs/>
          <w:kern w:val="2"/>
          <w:sz w:val="32"/>
          <w:szCs w:val="32"/>
        </w:rPr>
      </w:pPr>
      <w:bookmarkStart w:id="156" w:name="_Toc16060"/>
      <w:r>
        <w:rPr>
          <w:rFonts w:hint="eastAsia" w:ascii="宋体" w:hAnsi="宋体" w:cs="宋体"/>
          <w:b/>
          <w:bCs/>
          <w:iCs/>
          <w:kern w:val="2"/>
          <w:sz w:val="32"/>
          <w:szCs w:val="32"/>
        </w:rPr>
        <w:t>价格扣除证明文件（如有）</w:t>
      </w:r>
    </w:p>
    <w:bookmarkEnd w:id="156"/>
    <w:p w14:paraId="7AB28DB2">
      <w:pPr>
        <w:tabs>
          <w:tab w:val="left" w:pos="360"/>
        </w:tabs>
        <w:spacing w:line="360" w:lineRule="auto"/>
        <w:ind w:firstLine="482" w:firstLineChars="200"/>
        <w:jc w:val="center"/>
        <w:rPr>
          <w:rFonts w:ascii="宋体" w:hAnsi="宋体" w:cs="宋体"/>
          <w:kern w:val="2"/>
          <w:sz w:val="24"/>
          <w:szCs w:val="24"/>
        </w:rPr>
      </w:pPr>
      <w:r>
        <w:rPr>
          <w:rFonts w:hint="eastAsia" w:ascii="宋体" w:hAnsi="宋体" w:cs="宋体"/>
          <w:b/>
          <w:bCs/>
          <w:kern w:val="2"/>
          <w:sz w:val="24"/>
          <w:szCs w:val="24"/>
        </w:rPr>
        <w:t>关于符合本国产品标准的声明函（采购包号：**）</w:t>
      </w:r>
    </w:p>
    <w:p w14:paraId="2EF2D7B5">
      <w:pPr>
        <w:pStyle w:val="36"/>
        <w:spacing w:line="0" w:lineRule="atLeast"/>
        <w:ind w:firstLine="420"/>
        <w:rPr>
          <w:rFonts w:ascii="宋体" w:hAnsi="宋体" w:cs="宋体"/>
        </w:rPr>
      </w:pPr>
    </w:p>
    <w:p w14:paraId="354A0B4E">
      <w:pPr>
        <w:pStyle w:val="36"/>
        <w:spacing w:line="0" w:lineRule="atLeast"/>
        <w:ind w:firstLine="420"/>
        <w:rPr>
          <w:rFonts w:ascii="宋体" w:hAnsi="宋体" w:cs="宋体"/>
          <w:color w:val="FF0000"/>
        </w:rPr>
      </w:pPr>
      <w:r>
        <w:rPr>
          <w:rFonts w:hint="eastAsia" w:ascii="宋体" w:hAnsi="宋体" w:cs="宋体"/>
          <w:color w:val="FF0000"/>
        </w:rPr>
        <w:t>本公司（单位）郑重声明，根据《国务院办公厅关于在政府采购中实施本国产品标准及相关政策的通知》（国办发〔2025〕34号）的规定，本公司（单位）提供的以下产品属于本国产品。具体情况如下：</w:t>
      </w:r>
    </w:p>
    <w:p w14:paraId="74A06CED">
      <w:pPr>
        <w:pStyle w:val="36"/>
        <w:spacing w:before="30" w:after="30" w:line="0" w:lineRule="atLeast"/>
        <w:ind w:firstLine="420"/>
        <w:rPr>
          <w:rFonts w:ascii="宋体" w:hAnsi="宋体" w:cs="宋体"/>
          <w:color w:val="FF0000"/>
        </w:rPr>
      </w:pPr>
      <w:r>
        <w:rPr>
          <w:rFonts w:hint="eastAsia" w:ascii="宋体" w:hAnsi="宋体" w:cs="宋体"/>
          <w:color w:val="FF0000"/>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450850</wp:posOffset>
                </wp:positionV>
                <wp:extent cx="816610" cy="147320"/>
                <wp:effectExtent l="635" t="4445" r="1905" b="10160"/>
                <wp:wrapNone/>
                <wp:docPr id="3" name="直接箭头连接符 3"/>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35.5pt;height:11.6pt;width:64.3pt;z-index:251668480;mso-width-relative:page;mso-height-relative:page;" filled="f" stroked="t" coordsize="21600,21600" o:gfxdata="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UPvz1wAAAAkBAAAPAAAAAAAAAAEAIAAAACIA&#10;AABkcnMvZG93bnJldi54bWxQSwECFAAUAAAACACHTuJATe5zIwoCAAD6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467995</wp:posOffset>
                </wp:positionV>
                <wp:extent cx="876300" cy="120015"/>
                <wp:effectExtent l="635" t="4445" r="8890" b="8890"/>
                <wp:wrapNone/>
                <wp:docPr id="5" name="直接箭头连接符 5"/>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36.85pt;height:9.45pt;width:69pt;z-index:251661312;mso-width-relative:page;mso-height-relative:page;" filled="f" stroked="t" coordsize="21600,21600" o:gfxdata="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VKbe61wAAAAkBAAAPAAAAAAAAAAEAIAAAACIAAABk&#10;cnMvZG93bnJldi54bWxQSwECFAAUAAAACACHTuJAi+vczwcCAAD6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69504" behindDoc="0" locked="0" layoutInCell="1" allowOverlap="1">
                <wp:simplePos x="0" y="0"/>
                <wp:positionH relativeFrom="column">
                  <wp:posOffset>5132070</wp:posOffset>
                </wp:positionH>
                <wp:positionV relativeFrom="paragraph">
                  <wp:posOffset>259080</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04.1pt;margin-top:20.4pt;height:7.7pt;width:15.45pt;z-index:251669504;mso-width-relative:page;mso-height-relative:page;" filled="f" stroked="t" coordsize="21600,21600" o:gfxdata="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&#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W/R/y1wAAAAkBAAAPAAAAAAAAAAEAIAAAACIAAABk&#10;cnMvZG93bnJldi54bWxQSwECFAAUAAAACACHTuJAXe0j3QcCAAD5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60288" behindDoc="0" locked="0" layoutInCell="1" allowOverlap="1">
                <wp:simplePos x="0" y="0"/>
                <wp:positionH relativeFrom="column">
                  <wp:posOffset>3964940</wp:posOffset>
                </wp:positionH>
                <wp:positionV relativeFrom="paragraph">
                  <wp:posOffset>256540</wp:posOffset>
                </wp:positionV>
                <wp:extent cx="816610" cy="103505"/>
                <wp:effectExtent l="635" t="4445" r="1905" b="6350"/>
                <wp:wrapNone/>
                <wp:docPr id="6" name="直接箭头连接符 6"/>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12.2pt;margin-top:20.2pt;height:8.15pt;width:64.3pt;z-index:251660288;mso-width-relative:page;mso-height-relative:page;" filled="f" stroked="t" coordsize="21600,21600" o:gfxdata="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twRtV2AAAAAkBAAAPAAAAAAAAAAEAIAAAACIAAABk&#10;cnMvZG93bnJldi54bWxQSwECFAAUAAAACACHTuJAfKAk9wYCAAD6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463550</wp:posOffset>
                </wp:positionV>
                <wp:extent cx="565785" cy="130810"/>
                <wp:effectExtent l="1270" t="4445" r="4445" b="7620"/>
                <wp:wrapNone/>
                <wp:docPr id="1" name="直接箭头连接符 1"/>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36.5pt;height:10.3pt;width:44.55pt;z-index:251670528;mso-width-relative:page;mso-height-relative:page;" filled="f" stroked="t" coordsize="21600,21600" o:gfxdata="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LB1DfVAAAABwEAAA8AAAAAAAAAAQAgAAAAIgAAAGRy&#10;cy9kb3ducmV2LnhtbFBLAQIUABQAAAAIAIdO4kDozt8UCAIAAPoDAAAOAAAAAAAAAAEAIAAAACQB&#10;AABkcnMvZTJvRG9jLnhtbFBLBQYAAAAABgAGAFkBAACeBQ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271780</wp:posOffset>
                </wp:positionV>
                <wp:extent cx="364490" cy="97790"/>
                <wp:effectExtent l="1270" t="4445" r="5715" b="12065"/>
                <wp:wrapNone/>
                <wp:docPr id="4" name="直接箭头连接符 4"/>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1.4pt;height:7.7pt;width:28.7pt;z-index:251667456;mso-width-relative:page;mso-height-relative:page;" filled="f" stroked="t" coordsize="21600,21600" o:gfxdata="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6dZFe9QAAAAGAQAADwAAAAAAAAABACAAAAAiAAAAZHJzL2Rv&#10;d25yZXYueG1sUEsBAhQAFAAAAAgAh07iQK8tjfkFAgAA+QMAAA4AAAAAAAAAAQAgAAAAIwEAAGRy&#10;cy9lMm9Eb2MueG1sUEsFBgAAAAAGAAYAWQEAAJoFA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59264" behindDoc="0" locked="0" layoutInCell="1" allowOverlap="1">
                <wp:simplePos x="0" y="0"/>
                <wp:positionH relativeFrom="column">
                  <wp:posOffset>2848610</wp:posOffset>
                </wp:positionH>
                <wp:positionV relativeFrom="paragraph">
                  <wp:posOffset>282575</wp:posOffset>
                </wp:positionV>
                <wp:extent cx="816610" cy="76200"/>
                <wp:effectExtent l="635" t="4445" r="1905" b="5080"/>
                <wp:wrapNone/>
                <wp:docPr id="7" name="直接箭头连接符 7"/>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4.3pt;margin-top:22.25pt;height:6pt;width:64.3pt;z-index:251659264;mso-width-relative:page;mso-height-relative:page;" filled="f" stroked="t" coordsize="21600,21600" o:gfxdata="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pMMYd1gAAAAkBAAAPAAAAAAAAAAEAIAAAACIAAABkcnMv&#10;ZG93bnJldi54bWxQSwECFAAUAAAACACHTuJAQLE4bQUCAAD5AwAADgAAAAAAAAABACAAAAAlAQAA&#10;ZHJzL2Uyb0RvYy54bWxQSwUGAAAAAAYABgBZAQAAnAU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66432" behindDoc="0" locked="0" layoutInCell="1" allowOverlap="1">
                <wp:simplePos x="0" y="0"/>
                <wp:positionH relativeFrom="column">
                  <wp:posOffset>4665345</wp:posOffset>
                </wp:positionH>
                <wp:positionV relativeFrom="paragraph">
                  <wp:posOffset>90170</wp:posOffset>
                </wp:positionV>
                <wp:extent cx="577215" cy="92075"/>
                <wp:effectExtent l="635" t="4445" r="3175" b="8255"/>
                <wp:wrapNone/>
                <wp:docPr id="12" name="直接箭头连接符 12"/>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7.35pt;margin-top:7.1pt;height:7.25pt;width:45.45pt;z-index:251666432;mso-width-relative:page;mso-height-relative:page;" filled="f" stroked="t" coordsize="21600,21600" o:gfxdata="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lmLD61wAAAAkBAAAPAAAAAAAAAAEAIAAAACIAAABkcnMv&#10;ZG93bnJldi54bWxQSwECFAAUAAAACACHTuJAFCoCXwQCAAD7AwAADgAAAAAAAAABACAAAAAmAQAA&#10;ZHJzL2Uyb0RvYy54bWxQSwUGAAAAAAYABgBZAQAAnAUAAAAA&#10;">
                <v:fill on="f" focussize="0,0"/>
                <v:stroke color="#000000" joinstyle="round"/>
                <v:imagedata o:title=""/>
                <o:lock v:ext="edit" aspectratio="f"/>
              </v:shape>
            </w:pict>
          </mc:Fallback>
        </mc:AlternateContent>
      </w:r>
      <w:r>
        <w:rPr>
          <w:rFonts w:hint="eastAsia" w:ascii="宋体" w:hAnsi="宋体" w:cs="宋体"/>
          <w:color w:val="FF0000"/>
          <w:shd w:val="clear" w:color="auto" w:fill="FFFFFF"/>
        </w:rPr>
        <w:t>1.</w:t>
      </w:r>
      <w:r>
        <w:rPr>
          <w:rStyle w:val="42"/>
          <w:rFonts w:hint="eastAsia" w:ascii="宋体" w:hAnsi="宋体" w:cs="宋体"/>
          <w:i w:val="0"/>
          <w:color w:val="FF0000"/>
          <w:u w:val="single"/>
          <w:shd w:val="clear" w:color="auto" w:fill="FFFFFF"/>
        </w:rPr>
        <w:t>（产品名称1）</w:t>
      </w:r>
      <w:r>
        <w:rPr>
          <w:rStyle w:val="42"/>
          <w:rFonts w:hint="eastAsia" w:ascii="宋体" w:hAnsi="宋体" w:cs="宋体"/>
          <w:i w:val="0"/>
          <w:color w:val="FF0000"/>
          <w:shd w:val="clear" w:color="auto" w:fill="FFFFFF"/>
          <w:vertAlign w:val="superscript"/>
        </w:rPr>
        <w:t>1</w:t>
      </w:r>
      <w:r>
        <w:rPr>
          <w:rFonts w:hint="eastAsia" w:ascii="宋体" w:hAnsi="宋体" w:cs="宋体"/>
          <w:color w:val="FF0000"/>
          <w:shd w:val="clear" w:color="auto" w:fill="FFFFFF"/>
        </w:rPr>
        <w:t>，生产厂为</w:t>
      </w:r>
      <w:r>
        <w:rPr>
          <w:rStyle w:val="42"/>
          <w:rFonts w:hint="eastAsia" w:ascii="宋体" w:hAnsi="宋体" w:cs="宋体"/>
          <w:i w:val="0"/>
          <w:color w:val="FF0000"/>
          <w:u w:val="single"/>
          <w:shd w:val="clear" w:color="auto" w:fill="FFFFFF"/>
        </w:rPr>
        <w:t>（厂名）</w:t>
      </w:r>
      <w:r>
        <w:rPr>
          <w:rStyle w:val="42"/>
          <w:rFonts w:hint="eastAsia" w:ascii="宋体" w:hAnsi="宋体" w:cs="宋体"/>
          <w:i w:val="0"/>
          <w:color w:val="FF0000"/>
          <w:shd w:val="clear" w:color="auto" w:fill="FFFFFF"/>
          <w:vertAlign w:val="superscript"/>
        </w:rPr>
        <w:t>2</w:t>
      </w:r>
      <w:r>
        <w:rPr>
          <w:rFonts w:hint="eastAsia" w:ascii="宋体" w:hAnsi="宋体" w:cs="宋体"/>
          <w:color w:val="FF0000"/>
          <w:shd w:val="clear" w:color="auto" w:fill="FFFFFF"/>
        </w:rPr>
        <w:t>，厂址为</w:t>
      </w:r>
      <w:r>
        <w:rPr>
          <w:rStyle w:val="42"/>
          <w:rFonts w:hint="eastAsia" w:ascii="宋体" w:hAnsi="宋体" w:cs="宋体"/>
          <w:i w:val="0"/>
          <w:color w:val="FF0000"/>
          <w:u w:val="single"/>
          <w:shd w:val="clear" w:color="auto" w:fill="FFFFFF"/>
        </w:rPr>
        <w:t>（生产厂址）</w:t>
      </w:r>
      <w:r>
        <w:rPr>
          <w:rFonts w:hint="eastAsia" w:ascii="宋体" w:hAnsi="宋体" w:cs="宋体"/>
          <w:color w:val="FF0000"/>
          <w:shd w:val="clear" w:color="auto" w:fill="FFFFFF"/>
        </w:rPr>
        <w:t>。</w:t>
      </w:r>
      <w:r>
        <w:rPr>
          <w:rFonts w:hint="eastAsia" w:ascii="宋体" w:hAnsi="宋体" w:cs="宋体"/>
          <w:color w:val="FF0000"/>
          <w:u w:val="single"/>
          <w:shd w:val="clear" w:color="auto" w:fill="FFFFFF"/>
        </w:rPr>
        <w:t xml:space="preserve"> </w:t>
      </w:r>
      <w:r>
        <w:rPr>
          <w:rStyle w:val="42"/>
          <w:rFonts w:hint="eastAsia" w:ascii="宋体" w:hAnsi="宋体" w:cs="宋体"/>
          <w:i w:val="0"/>
          <w:color w:val="FF0000"/>
          <w:u w:val="single"/>
          <w:shd w:val="clear" w:color="auto" w:fill="FFFFFF"/>
        </w:rPr>
        <w:t xml:space="preserve">（产品名称1） </w:t>
      </w:r>
      <w:r>
        <w:rPr>
          <w:rFonts w:hint="eastAsia" w:ascii="宋体" w:hAnsi="宋体" w:cs="宋体"/>
          <w:color w:val="FF0000"/>
          <w:shd w:val="clear" w:color="auto" w:fill="FFFFFF"/>
        </w:rPr>
        <w:t>的中国境内生产的组件成本占比≥</w:t>
      </w:r>
      <w:r>
        <w:rPr>
          <w:rStyle w:val="42"/>
          <w:rFonts w:hint="eastAsia" w:ascii="宋体" w:hAnsi="宋体" w:cs="宋体"/>
          <w:i w:val="0"/>
          <w:color w:val="FF0000"/>
          <w:u w:val="single"/>
          <w:shd w:val="clear" w:color="auto" w:fill="FFFFFF"/>
        </w:rPr>
        <w:t>（规定比例）</w:t>
      </w:r>
      <w:r>
        <w:rPr>
          <w:rStyle w:val="42"/>
          <w:rFonts w:hint="eastAsia" w:ascii="宋体" w:hAnsi="宋体" w:cs="宋体"/>
          <w:i w:val="0"/>
          <w:color w:val="FF0000"/>
          <w:shd w:val="clear" w:color="auto" w:fill="FFFFFF"/>
          <w:vertAlign w:val="superscript"/>
        </w:rPr>
        <w:t>3</w:t>
      </w:r>
      <w:r>
        <w:rPr>
          <w:rFonts w:hint="eastAsia" w:ascii="宋体" w:hAnsi="宋体" w:cs="宋体"/>
          <w:color w:val="FF0000"/>
          <w:shd w:val="clear" w:color="auto" w:fill="FFFFFF"/>
        </w:rPr>
        <w:t>。</w:t>
      </w:r>
      <w:r>
        <w:rPr>
          <w:rStyle w:val="42"/>
          <w:rFonts w:hint="eastAsia" w:ascii="宋体" w:hAnsi="宋体" w:cs="宋体"/>
          <w:i w:val="0"/>
          <w:color w:val="FF0000"/>
          <w:u w:val="single"/>
          <w:shd w:val="clear" w:color="auto" w:fill="FFFFFF"/>
        </w:rPr>
        <w:t>（产品名称1）</w:t>
      </w:r>
      <w:r>
        <w:rPr>
          <w:rFonts w:hint="eastAsia" w:ascii="宋体" w:hAnsi="宋体" w:cs="宋体"/>
          <w:color w:val="FF0000"/>
          <w:shd w:val="clear" w:color="auto" w:fill="FFFFFF"/>
        </w:rPr>
        <w:t>的</w:t>
      </w:r>
      <w:r>
        <w:rPr>
          <w:rStyle w:val="42"/>
          <w:rFonts w:hint="eastAsia" w:ascii="宋体" w:hAnsi="宋体" w:cs="宋体"/>
          <w:i w:val="0"/>
          <w:color w:val="FF0000"/>
          <w:u w:val="single"/>
          <w:shd w:val="clear" w:color="auto" w:fill="FFFFFF"/>
        </w:rPr>
        <w:t>（关键组件）</w:t>
      </w:r>
      <w:r>
        <w:rPr>
          <w:rStyle w:val="42"/>
          <w:rFonts w:hint="eastAsia" w:ascii="宋体" w:hAnsi="宋体" w:cs="宋体"/>
          <w:i w:val="0"/>
          <w:color w:val="FF0000"/>
          <w:shd w:val="clear" w:color="auto" w:fill="FFFFFF"/>
          <w:vertAlign w:val="superscript"/>
        </w:rPr>
        <w:t>4</w:t>
      </w:r>
      <w:r>
        <w:rPr>
          <w:rFonts w:hint="eastAsia" w:ascii="宋体" w:hAnsi="宋体" w:cs="宋体"/>
          <w:color w:val="FF0000"/>
          <w:shd w:val="clear" w:color="auto" w:fill="FFFFFF"/>
        </w:rPr>
        <w:t>在中国境内生产。</w:t>
      </w:r>
      <w:r>
        <w:rPr>
          <w:rStyle w:val="42"/>
          <w:rFonts w:hint="eastAsia" w:ascii="宋体" w:hAnsi="宋体" w:cs="宋体"/>
          <w:i w:val="0"/>
          <w:color w:val="FF0000"/>
          <w:u w:val="single"/>
          <w:shd w:val="clear" w:color="auto" w:fill="FFFFFF"/>
        </w:rPr>
        <w:t>（产品名称1）</w:t>
      </w:r>
      <w:r>
        <w:rPr>
          <w:rFonts w:hint="eastAsia" w:ascii="宋体" w:hAnsi="宋体" w:cs="宋体"/>
          <w:color w:val="FF0000"/>
          <w:shd w:val="clear" w:color="auto" w:fill="FFFFFF"/>
        </w:rPr>
        <w:t>的</w:t>
      </w:r>
      <w:r>
        <w:rPr>
          <w:rStyle w:val="42"/>
          <w:rFonts w:hint="eastAsia" w:ascii="宋体" w:hAnsi="宋体" w:cs="宋体"/>
          <w:i w:val="0"/>
          <w:color w:val="FF0000"/>
          <w:u w:val="single"/>
          <w:shd w:val="clear" w:color="auto" w:fill="FFFFFF"/>
        </w:rPr>
        <w:t>（关键工序）</w:t>
      </w:r>
      <w:r>
        <w:rPr>
          <w:rStyle w:val="42"/>
          <w:rFonts w:hint="eastAsia" w:ascii="宋体" w:hAnsi="宋体" w:cs="宋体"/>
          <w:i w:val="0"/>
          <w:color w:val="FF0000"/>
          <w:shd w:val="clear" w:color="auto" w:fill="FFFFFF"/>
          <w:vertAlign w:val="superscript"/>
        </w:rPr>
        <w:t>5</w:t>
      </w:r>
      <w:r>
        <w:rPr>
          <w:rFonts w:hint="eastAsia" w:ascii="宋体" w:hAnsi="宋体" w:cs="宋体"/>
          <w:color w:val="FF0000"/>
          <w:shd w:val="clear" w:color="auto" w:fill="FFFFFF"/>
        </w:rPr>
        <w:t>在中国境内完成。</w:t>
      </w:r>
    </w:p>
    <w:p w14:paraId="497FA5C6">
      <w:pPr>
        <w:pStyle w:val="36"/>
        <w:spacing w:before="30" w:after="30" w:line="0" w:lineRule="atLeast"/>
        <w:ind w:firstLine="420"/>
        <w:rPr>
          <w:rFonts w:ascii="宋体" w:hAnsi="宋体" w:cs="宋体"/>
          <w:color w:val="FF0000"/>
        </w:rPr>
      </w:pPr>
      <w:r>
        <w:rPr>
          <w:rFonts w:hint="eastAsia" w:ascii="宋体" w:hAnsi="宋体" w:cs="宋体"/>
          <w:color w:val="FF0000"/>
        </w:rPr>
        <mc:AlternateContent>
          <mc:Choice Requires="wps">
            <w:drawing>
              <wp:anchor distT="0" distB="0" distL="114300" distR="114300" simplePos="0" relativeHeight="251665408" behindDoc="0" locked="0" layoutInCell="1" allowOverlap="1">
                <wp:simplePos x="0" y="0"/>
                <wp:positionH relativeFrom="column">
                  <wp:posOffset>2400935</wp:posOffset>
                </wp:positionH>
                <wp:positionV relativeFrom="paragraph">
                  <wp:posOffset>453390</wp:posOffset>
                </wp:positionV>
                <wp:extent cx="821690" cy="102870"/>
                <wp:effectExtent l="635" t="4445" r="6350" b="6985"/>
                <wp:wrapNone/>
                <wp:docPr id="16" name="直接箭头连接符 1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9.05pt;margin-top:35.7pt;height:8.1pt;width:64.7pt;z-index:251665408;mso-width-relative:page;mso-height-relative:page;" filled="f" stroked="t" coordsize="21600,21600" o:gfxdata="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d6jL21wAAAAkBAAAPAAAAAAAAAAEAIAAAACIA&#10;AABkcnMvZG93bnJldi54bWxQSwECFAAUAAAACACHTuJA9up+/AoCAAD8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64384" behindDoc="0" locked="0" layoutInCell="1" allowOverlap="1">
                <wp:simplePos x="0" y="0"/>
                <wp:positionH relativeFrom="column">
                  <wp:posOffset>1250315</wp:posOffset>
                </wp:positionH>
                <wp:positionV relativeFrom="paragraph">
                  <wp:posOffset>446405</wp:posOffset>
                </wp:positionV>
                <wp:extent cx="908685" cy="140970"/>
                <wp:effectExtent l="635" t="4445" r="5080" b="6985"/>
                <wp:wrapNone/>
                <wp:docPr id="13" name="直接箭头连接符 13"/>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98.45pt;margin-top:35.15pt;height:11.1pt;width:71.55pt;z-index:251664384;mso-width-relative:page;mso-height-relative:page;" filled="f" stroked="t" coordsize="21600,21600" o:gfxdata="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SUERA1wAAAAkBAAAPAAAAAAAAAAEAIAAAACIA&#10;AABkcnMvZG93bnJldi54bWxQSwECFAAUAAAACACHTuJAQn7mlwoCAAD8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72576" behindDoc="0" locked="0" layoutInCell="1" allowOverlap="1">
                <wp:simplePos x="0" y="0"/>
                <wp:positionH relativeFrom="column">
                  <wp:posOffset>4780915</wp:posOffset>
                </wp:positionH>
                <wp:positionV relativeFrom="paragraph">
                  <wp:posOffset>220980</wp:posOffset>
                </wp:positionV>
                <wp:extent cx="462280" cy="147320"/>
                <wp:effectExtent l="1270" t="4445" r="3175" b="10160"/>
                <wp:wrapNone/>
                <wp:docPr id="8" name="直接箭头连接符 8"/>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17.4pt;height:11.6pt;width:36.4pt;z-index:251672576;mso-width-relative:page;mso-height-relative:page;" filled="f" stroked="t" coordsize="21600,21600" o:gfxdata="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5snJNgAAAAJAQAADwAAAAAAAAABACAAAAAi&#10;AAAAZHJzL2Rvd25yZXYueG1sUEsBAhQAFAAAAAgAh07iQE0NH7QKAgAA+gMAAA4AAAAAAAAAAQAg&#10;AAAAJwEAAGRycy9lMm9Eb2MueG1sUEsFBgAAAAAGAAYAWQEAAKMFA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63360" behindDoc="0" locked="0" layoutInCell="1" allowOverlap="1">
                <wp:simplePos x="0" y="0"/>
                <wp:positionH relativeFrom="column">
                  <wp:posOffset>3469640</wp:posOffset>
                </wp:positionH>
                <wp:positionV relativeFrom="paragraph">
                  <wp:posOffset>242570</wp:posOffset>
                </wp:positionV>
                <wp:extent cx="849630" cy="120015"/>
                <wp:effectExtent l="635" t="4445" r="6985" b="8890"/>
                <wp:wrapNone/>
                <wp:docPr id="15" name="直接箭头连接符 15"/>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73.2pt;margin-top:19.1pt;height:9.45pt;width:66.9pt;z-index:251663360;mso-width-relative:page;mso-height-relative:page;" filled="f" stroked="t" coordsize="21600,21600" o:gfxdata="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e6fK9cAAAAJAQAADwAAAAAAAAABACAAAAAiAAAA&#10;ZHJzL2Rvd25yZXYueG1sUEsBAhQAFAAAAAgAh07iQKUi0eYIAgAA/A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62336" behindDoc="0" locked="0" layoutInCell="1" allowOverlap="1">
                <wp:simplePos x="0" y="0"/>
                <wp:positionH relativeFrom="column">
                  <wp:posOffset>2360930</wp:posOffset>
                </wp:positionH>
                <wp:positionV relativeFrom="paragraph">
                  <wp:posOffset>211455</wp:posOffset>
                </wp:positionV>
                <wp:extent cx="843915" cy="125730"/>
                <wp:effectExtent l="635" t="4445" r="3175" b="12700"/>
                <wp:wrapNone/>
                <wp:docPr id="14" name="直接箭头连接符 14"/>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85.9pt;margin-top:16.65pt;height:9.9pt;width:66.45pt;z-index:251662336;mso-width-relative:page;mso-height-relative:page;" filled="f" stroked="t" coordsize="21600,21600" o:gfxdata="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8Rw9H1wAAAAkBAAAPAAAAAAAAAAEAIAAAACIA&#10;AABkcnMvZG93bnJldi54bWxQSwECFAAUAAAACACHTuJAzBeATAoCAAD8AwAADgAAAAAAAAABACAA&#10;AAAmAQAAZHJzL2Uyb0RvYy54bWxQSwUGAAAAAAYABgBZAQAAogUAAAAA&#10;">
                <v:fill on="f" focussize="0,0"/>
                <v:stroke color="#000000" joinstyle="round"/>
                <v:imagedata o:title=""/>
                <o:lock v:ext="edit" aspectratio="f"/>
              </v:shape>
            </w:pict>
          </mc:Fallback>
        </mc:AlternateContent>
      </w:r>
      <w:r>
        <w:rPr>
          <w:rFonts w:hint="eastAsia" w:ascii="宋体" w:hAnsi="宋体" w:cs="宋体"/>
          <w:color w:val="FF0000"/>
        </w:rPr>
        <mc:AlternateContent>
          <mc:Choice Requires="wps">
            <w:drawing>
              <wp:anchor distT="0" distB="0" distL="114300" distR="114300" simplePos="0" relativeHeight="251671552" behindDoc="0" locked="0" layoutInCell="1" allowOverlap="1">
                <wp:simplePos x="0" y="0"/>
                <wp:positionH relativeFrom="column">
                  <wp:posOffset>4574540</wp:posOffset>
                </wp:positionH>
                <wp:positionV relativeFrom="paragraph">
                  <wp:posOffset>59690</wp:posOffset>
                </wp:positionV>
                <wp:extent cx="718185" cy="97790"/>
                <wp:effectExtent l="635" t="4445" r="5080" b="12065"/>
                <wp:wrapNone/>
                <wp:docPr id="11" name="直接箭头连接符 11"/>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0.2pt;margin-top:4.7pt;height:7.7pt;width:56.55pt;z-index:251671552;mso-width-relative:page;mso-height-relative:page;" filled="f" stroked="t" coordsize="21600,21600" o:gfxdata="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k//lJ1wAAAAgBAAAPAAAAAAAAAAEAIAAAACIAAABk&#10;cnMvZG93bnJldi54bWxQSwECFAAUAAAACACHTuJAPgBg4wcCAAD7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cs="宋体"/>
          <w:color w:val="FF0000"/>
          <w:shd w:val="clear" w:color="auto" w:fill="FFFFFF"/>
        </w:rPr>
        <w:t>2.</w:t>
      </w:r>
      <w:r>
        <w:rPr>
          <w:rStyle w:val="42"/>
          <w:rFonts w:hint="eastAsia" w:ascii="宋体" w:hAnsi="宋体" w:cs="宋体"/>
          <w:i w:val="0"/>
          <w:color w:val="FF0000"/>
          <w:u w:val="single"/>
          <w:shd w:val="clear" w:color="auto" w:fill="FFFFFF"/>
        </w:rPr>
        <w:t>（产品名称2）</w:t>
      </w:r>
      <w:r>
        <w:rPr>
          <w:rFonts w:hint="eastAsia" w:ascii="宋体" w:hAnsi="宋体" w:cs="宋体"/>
          <w:color w:val="FF0000"/>
          <w:shd w:val="clear" w:color="auto" w:fill="FFFFFF"/>
        </w:rPr>
        <w:t>，生产厂为</w:t>
      </w:r>
      <w:r>
        <w:rPr>
          <w:rStyle w:val="42"/>
          <w:rFonts w:hint="eastAsia" w:ascii="宋体" w:hAnsi="宋体" w:cs="宋体"/>
          <w:i w:val="0"/>
          <w:color w:val="FF0000"/>
          <w:u w:val="single"/>
          <w:shd w:val="clear" w:color="auto" w:fill="FFFFFF"/>
        </w:rPr>
        <w:t>（厂名）</w:t>
      </w:r>
      <w:r>
        <w:rPr>
          <w:rFonts w:hint="eastAsia" w:ascii="宋体" w:hAnsi="宋体" w:cs="宋体"/>
          <w:color w:val="FF0000"/>
          <w:shd w:val="clear" w:color="auto" w:fill="FFFFFF"/>
        </w:rPr>
        <w:t>，厂址为</w:t>
      </w:r>
      <w:r>
        <w:rPr>
          <w:rStyle w:val="42"/>
          <w:rFonts w:hint="eastAsia" w:ascii="宋体" w:hAnsi="宋体" w:cs="宋体"/>
          <w:i w:val="0"/>
          <w:color w:val="FF0000"/>
          <w:u w:val="single"/>
          <w:shd w:val="clear" w:color="auto" w:fill="FFFFFF"/>
        </w:rPr>
        <w:t>（生产厂址）</w:t>
      </w:r>
      <w:r>
        <w:rPr>
          <w:rFonts w:hint="eastAsia" w:ascii="宋体" w:hAnsi="宋体" w:cs="宋体"/>
          <w:color w:val="FF0000"/>
          <w:shd w:val="clear" w:color="auto" w:fill="FFFFFF"/>
        </w:rPr>
        <w:t>。</w:t>
      </w:r>
      <w:r>
        <w:rPr>
          <w:rStyle w:val="42"/>
          <w:rFonts w:hint="eastAsia" w:ascii="宋体" w:hAnsi="宋体" w:cs="宋体"/>
          <w:i w:val="0"/>
          <w:color w:val="FF0000"/>
          <w:u w:val="single"/>
          <w:shd w:val="clear" w:color="auto" w:fill="FFFFFF"/>
        </w:rPr>
        <w:t>（产品名称2）</w:t>
      </w:r>
      <w:r>
        <w:rPr>
          <w:rFonts w:hint="eastAsia" w:ascii="宋体" w:hAnsi="宋体" w:cs="宋体"/>
          <w:color w:val="FF0000"/>
          <w:shd w:val="clear" w:color="auto" w:fill="FFFFFF"/>
        </w:rPr>
        <w:t>的中国境内生产的组件成本占比≥</w:t>
      </w:r>
      <w:r>
        <w:rPr>
          <w:rStyle w:val="42"/>
          <w:rFonts w:hint="eastAsia" w:ascii="宋体" w:hAnsi="宋体" w:cs="宋体"/>
          <w:i w:val="0"/>
          <w:color w:val="FF0000"/>
          <w:u w:val="single"/>
          <w:shd w:val="clear" w:color="auto" w:fill="FFFFFF"/>
        </w:rPr>
        <w:t>（规定比例）</w:t>
      </w:r>
      <w:r>
        <w:rPr>
          <w:rFonts w:hint="eastAsia" w:ascii="宋体" w:hAnsi="宋体" w:cs="宋体"/>
          <w:color w:val="FF0000"/>
          <w:shd w:val="clear" w:color="auto" w:fill="FFFFFF"/>
        </w:rPr>
        <w:t>。</w:t>
      </w:r>
      <w:r>
        <w:rPr>
          <w:rStyle w:val="42"/>
          <w:rFonts w:hint="eastAsia" w:ascii="宋体" w:hAnsi="宋体" w:cs="宋体"/>
          <w:i w:val="0"/>
          <w:color w:val="FF0000"/>
          <w:u w:val="single"/>
          <w:shd w:val="clear" w:color="auto" w:fill="FFFFFF"/>
        </w:rPr>
        <w:t>（产品名称2）</w:t>
      </w:r>
      <w:r>
        <w:rPr>
          <w:rFonts w:hint="eastAsia" w:ascii="宋体" w:hAnsi="宋体" w:cs="宋体"/>
          <w:color w:val="FF0000"/>
          <w:shd w:val="clear" w:color="auto" w:fill="FFFFFF"/>
        </w:rPr>
        <w:t>的</w:t>
      </w:r>
      <w:r>
        <w:rPr>
          <w:rStyle w:val="42"/>
          <w:rFonts w:hint="eastAsia" w:ascii="宋体" w:hAnsi="宋体" w:cs="宋体"/>
          <w:i w:val="0"/>
          <w:color w:val="FF0000"/>
          <w:u w:val="single"/>
          <w:shd w:val="clear" w:color="auto" w:fill="FFFFFF"/>
        </w:rPr>
        <w:t>（关键组件）</w:t>
      </w:r>
      <w:r>
        <w:rPr>
          <w:rFonts w:hint="eastAsia" w:ascii="宋体" w:hAnsi="宋体" w:cs="宋体"/>
          <w:color w:val="FF0000"/>
          <w:shd w:val="clear" w:color="auto" w:fill="FFFFFF"/>
        </w:rPr>
        <w:t>在中国境内生产。</w:t>
      </w:r>
      <w:r>
        <w:rPr>
          <w:rStyle w:val="42"/>
          <w:rFonts w:hint="eastAsia" w:ascii="宋体" w:hAnsi="宋体" w:cs="宋体"/>
          <w:i w:val="0"/>
          <w:color w:val="FF0000"/>
          <w:u w:val="single"/>
          <w:shd w:val="clear" w:color="auto" w:fill="FFFFFF"/>
        </w:rPr>
        <w:t>（产品名称1）</w:t>
      </w:r>
      <w:r>
        <w:rPr>
          <w:rFonts w:hint="eastAsia" w:ascii="宋体" w:hAnsi="宋体" w:cs="宋体"/>
          <w:color w:val="FF0000"/>
          <w:shd w:val="clear" w:color="auto" w:fill="FFFFFF"/>
        </w:rPr>
        <w:t>的</w:t>
      </w:r>
      <w:r>
        <w:rPr>
          <w:rStyle w:val="42"/>
          <w:rFonts w:hint="eastAsia" w:ascii="宋体" w:hAnsi="宋体" w:cs="宋体"/>
          <w:i w:val="0"/>
          <w:color w:val="FF0000"/>
          <w:u w:val="single"/>
          <w:shd w:val="clear" w:color="auto" w:fill="FFFFFF"/>
        </w:rPr>
        <w:t>（关键工序）</w:t>
      </w:r>
      <w:r>
        <w:rPr>
          <w:rFonts w:hint="eastAsia" w:ascii="宋体" w:hAnsi="宋体" w:cs="宋体"/>
          <w:color w:val="FF0000"/>
          <w:shd w:val="clear" w:color="auto" w:fill="FFFFFF"/>
        </w:rPr>
        <w:t>在中国境内完成。</w:t>
      </w:r>
    </w:p>
    <w:p w14:paraId="41078980">
      <w:pPr>
        <w:pStyle w:val="36"/>
        <w:spacing w:before="30" w:after="30" w:line="0" w:lineRule="atLeast"/>
        <w:ind w:firstLine="420"/>
        <w:rPr>
          <w:rFonts w:ascii="宋体" w:hAnsi="宋体" w:cs="宋体"/>
          <w:color w:val="FF0000"/>
        </w:rPr>
      </w:pPr>
      <w:r>
        <w:rPr>
          <w:rFonts w:hint="eastAsia" w:ascii="宋体" w:hAnsi="宋体" w:cs="宋体"/>
          <w:color w:val="FF0000"/>
          <w:shd w:val="clear" w:color="auto" w:fill="FFFFFF"/>
        </w:rPr>
        <w:t>……</w:t>
      </w:r>
    </w:p>
    <w:p w14:paraId="5932D4E8">
      <w:pPr>
        <w:pStyle w:val="36"/>
        <w:spacing w:before="30" w:after="30" w:line="0" w:lineRule="atLeast"/>
        <w:ind w:firstLine="420"/>
        <w:rPr>
          <w:rFonts w:ascii="宋体" w:hAnsi="宋体" w:cs="宋体"/>
          <w:color w:val="FF0000"/>
        </w:rPr>
      </w:pPr>
      <w:r>
        <w:rPr>
          <w:rFonts w:hint="eastAsia" w:ascii="宋体" w:hAnsi="宋体" w:cs="宋体"/>
          <w:color w:val="FF0000"/>
          <w:shd w:val="clear" w:color="auto" w:fill="FFFFFF"/>
        </w:rPr>
        <w:t>本公司（单位）对上述声明内容的真实性负责。如有虚假，愿承担相应法律责任。</w:t>
      </w:r>
    </w:p>
    <w:p w14:paraId="0E1EA738">
      <w:pPr>
        <w:pStyle w:val="36"/>
        <w:spacing w:before="30" w:after="30" w:line="0" w:lineRule="atLeast"/>
        <w:rPr>
          <w:rFonts w:ascii="宋体" w:hAnsi="宋体" w:cs="宋体"/>
          <w:color w:val="FF0000"/>
        </w:rPr>
      </w:pPr>
    </w:p>
    <w:p w14:paraId="4901C824">
      <w:pPr>
        <w:pStyle w:val="36"/>
        <w:spacing w:before="30" w:after="30" w:line="0" w:lineRule="atLeast"/>
        <w:ind w:right="480" w:firstLine="3720" w:firstLineChars="1550"/>
        <w:rPr>
          <w:rFonts w:ascii="宋体" w:hAnsi="宋体" w:cs="宋体"/>
          <w:color w:val="FF0000"/>
        </w:rPr>
      </w:pPr>
      <w:r>
        <w:rPr>
          <w:rFonts w:hint="eastAsia" w:ascii="宋体" w:hAnsi="宋体" w:cs="宋体"/>
          <w:color w:val="FF0000"/>
          <w:shd w:val="clear" w:color="auto" w:fill="FFFFFF"/>
        </w:rPr>
        <w:t>公司（单位）名称（盖章）：　        </w:t>
      </w:r>
    </w:p>
    <w:p w14:paraId="6467DAC7">
      <w:pPr>
        <w:pStyle w:val="36"/>
        <w:spacing w:before="30" w:after="30" w:line="0" w:lineRule="atLeast"/>
        <w:jc w:val="center"/>
        <w:rPr>
          <w:rFonts w:ascii="宋体" w:hAnsi="宋体" w:cs="宋体"/>
          <w:color w:val="FF0000"/>
        </w:rPr>
      </w:pPr>
      <w:r>
        <w:rPr>
          <w:rFonts w:hint="eastAsia" w:ascii="宋体" w:hAnsi="宋体" w:cs="宋体"/>
          <w:color w:val="FF0000"/>
          <w:shd w:val="clear" w:color="auto" w:fill="FFFFFF"/>
        </w:rPr>
        <w:t xml:space="preserve">                                日期：　   年　  月　  日         </w:t>
      </w:r>
    </w:p>
    <w:p w14:paraId="7F40EBFD">
      <w:pPr>
        <w:pStyle w:val="36"/>
        <w:spacing w:before="30" w:after="30" w:line="0" w:lineRule="atLeast"/>
        <w:rPr>
          <w:rFonts w:ascii="宋体" w:hAnsi="宋体" w:cs="宋体"/>
          <w:color w:val="FF0000"/>
        </w:rPr>
      </w:pPr>
      <w:r>
        <w:rPr>
          <w:rFonts w:hint="eastAsia" w:ascii="宋体" w:hAnsi="宋体" w:cs="宋体"/>
          <w:color w:val="FF0000"/>
          <w:shd w:val="clear" w:color="auto" w:fill="FFFFFF"/>
        </w:rPr>
        <w:t>__________________</w:t>
      </w:r>
    </w:p>
    <w:p w14:paraId="78AA5818">
      <w:pPr>
        <w:pStyle w:val="36"/>
        <w:spacing w:before="30" w:after="30" w:line="0" w:lineRule="atLeast"/>
        <w:rPr>
          <w:rFonts w:ascii="宋体" w:hAnsi="宋体" w:cs="宋体"/>
          <w:color w:val="FF0000"/>
          <w:sz w:val="22"/>
        </w:rPr>
      </w:pPr>
      <w:r>
        <w:rPr>
          <w:rFonts w:hint="eastAsia" w:ascii="宋体" w:hAnsi="宋体" w:cs="宋体"/>
          <w:color w:val="FF0000"/>
          <w:sz w:val="22"/>
          <w:shd w:val="clear" w:color="auto" w:fill="FFFFFF"/>
        </w:rPr>
        <w:t>1.产品如有型号，请在“产品名称”栏一并填写。</w:t>
      </w:r>
    </w:p>
    <w:p w14:paraId="3A02956B">
      <w:pPr>
        <w:pStyle w:val="36"/>
        <w:spacing w:before="30" w:after="30" w:line="0" w:lineRule="atLeast"/>
        <w:rPr>
          <w:rFonts w:ascii="宋体" w:hAnsi="宋体" w:cs="宋体"/>
          <w:color w:val="FF0000"/>
          <w:sz w:val="22"/>
        </w:rPr>
      </w:pPr>
      <w:r>
        <w:rPr>
          <w:rFonts w:hint="eastAsia" w:ascii="宋体" w:hAnsi="宋体" w:cs="宋体"/>
          <w:color w:val="FF0000"/>
          <w:sz w:val="22"/>
          <w:shd w:val="clear" w:color="auto" w:fill="FFFFFF"/>
        </w:rPr>
        <w:t>2.生产厂名与厂址应与生产厂营业执照载明的相关信息保持一致。</w:t>
      </w:r>
    </w:p>
    <w:p w14:paraId="102AF7BA">
      <w:pPr>
        <w:pStyle w:val="36"/>
        <w:spacing w:before="30" w:after="30" w:line="0" w:lineRule="atLeast"/>
        <w:rPr>
          <w:rFonts w:ascii="宋体" w:hAnsi="宋体" w:cs="宋体"/>
          <w:color w:val="FF0000"/>
          <w:sz w:val="22"/>
        </w:rPr>
      </w:pPr>
      <w:r>
        <w:rPr>
          <w:rFonts w:hint="eastAsia" w:ascii="宋体" w:hAnsi="宋体" w:cs="宋体"/>
          <w:color w:val="FF0000"/>
          <w:sz w:val="22"/>
          <w:shd w:val="clear" w:color="auto" w:fill="FFFFFF"/>
        </w:rPr>
        <w:t>3.该产品的中国境内生产的组件成本占比相关要求实施前，“规定比例”栏可不填，下同。</w:t>
      </w:r>
    </w:p>
    <w:p w14:paraId="5B6E437B">
      <w:pPr>
        <w:pStyle w:val="36"/>
        <w:spacing w:before="30" w:after="30" w:line="0" w:lineRule="atLeast"/>
        <w:rPr>
          <w:rFonts w:ascii="宋体" w:hAnsi="宋体" w:cs="宋体"/>
          <w:color w:val="FF0000"/>
          <w:sz w:val="22"/>
        </w:rPr>
      </w:pPr>
      <w:r>
        <w:rPr>
          <w:rFonts w:hint="eastAsia" w:ascii="宋体" w:hAnsi="宋体" w:cs="宋体"/>
          <w:color w:val="FF0000"/>
          <w:sz w:val="22"/>
          <w:shd w:val="clear" w:color="auto" w:fill="FFFFFF"/>
        </w:rPr>
        <w:t>4.该产品的关键组件要求实施前，“关键组件”栏可不填，下同。</w:t>
      </w:r>
    </w:p>
    <w:p w14:paraId="301FA644">
      <w:pPr>
        <w:pStyle w:val="36"/>
        <w:spacing w:before="30" w:after="30" w:line="0" w:lineRule="atLeast"/>
        <w:rPr>
          <w:rFonts w:ascii="宋体" w:hAnsi="宋体" w:cs="宋体"/>
          <w:color w:val="FF0000"/>
          <w:sz w:val="22"/>
          <w:shd w:val="clear" w:color="auto" w:fill="FFFFFF"/>
        </w:rPr>
      </w:pPr>
      <w:r>
        <w:rPr>
          <w:rFonts w:hint="eastAsia" w:ascii="宋体" w:hAnsi="宋体" w:cs="宋体"/>
          <w:color w:val="FF0000"/>
          <w:sz w:val="22"/>
          <w:shd w:val="clear" w:color="auto" w:fill="FFFFFF"/>
        </w:rPr>
        <w:t>5.该产品的关键工序要求实施前，“关键工序”栏可不填，下同。</w:t>
      </w:r>
    </w:p>
    <w:p w14:paraId="493A5DB6">
      <w:pPr>
        <w:pStyle w:val="36"/>
        <w:spacing w:before="30" w:after="30" w:line="0" w:lineRule="atLeast"/>
        <w:rPr>
          <w:rFonts w:ascii="宋体" w:hAnsi="宋体" w:cs="宋体"/>
          <w:color w:val="FF0000"/>
          <w:sz w:val="22"/>
          <w:shd w:val="clear" w:color="auto" w:fill="FFFFFF"/>
        </w:rPr>
      </w:pPr>
      <w:r>
        <w:rPr>
          <w:rFonts w:hint="eastAsia" w:ascii="宋体" w:hAnsi="宋体" w:cs="宋体"/>
          <w:color w:val="FF0000"/>
          <w:sz w:val="22"/>
          <w:shd w:val="clear" w:color="auto" w:fill="FFFFFF"/>
        </w:rPr>
        <w:t>6.用斜线划除的地方无需填写。</w:t>
      </w:r>
    </w:p>
    <w:p w14:paraId="5F29F53E">
      <w:pPr>
        <w:pStyle w:val="36"/>
        <w:spacing w:before="30" w:after="30" w:line="0" w:lineRule="atLeast"/>
        <w:rPr>
          <w:rFonts w:ascii="方正魏碑_GBK" w:hAnsi="方正魏碑_GBK" w:eastAsia="方正魏碑_GBK" w:cs="方正魏碑_GBK"/>
          <w:color w:val="FF0000"/>
          <w:sz w:val="22"/>
          <w:shd w:val="clear" w:color="auto" w:fill="FFFFFF"/>
        </w:rPr>
      </w:pPr>
    </w:p>
    <w:p w14:paraId="67B23B77">
      <w:pPr>
        <w:pStyle w:val="36"/>
        <w:spacing w:before="30" w:after="30" w:line="0" w:lineRule="atLeast"/>
        <w:rPr>
          <w:rFonts w:ascii="方正魏碑_GBK" w:hAnsi="方正魏碑_GBK" w:eastAsia="方正魏碑_GBK" w:cs="方正魏碑_GBK"/>
          <w:sz w:val="22"/>
        </w:rPr>
      </w:pPr>
    </w:p>
    <w:p w14:paraId="3BA02C4E">
      <w:pPr>
        <w:jc w:val="center"/>
        <w:rPr>
          <w:rFonts w:ascii="黑体" w:hAnsi="黑体" w:eastAsia="黑体"/>
          <w:b/>
          <w:color w:val="000000"/>
          <w:sz w:val="32"/>
          <w:szCs w:val="32"/>
        </w:rPr>
      </w:pPr>
    </w:p>
    <w:p w14:paraId="0AD091A4"/>
    <w:p w14:paraId="7E700A3B">
      <w:pPr>
        <w:spacing w:line="360" w:lineRule="auto"/>
        <w:rPr>
          <w:rFonts w:asciiTheme="minorEastAsia" w:hAnsiTheme="minorEastAsia" w:eastAsiaTheme="minorEastAsia"/>
          <w:iCs/>
          <w:color w:val="000000" w:themeColor="text1"/>
          <w:sz w:val="24"/>
          <w:szCs w:val="24"/>
          <w14:textFill>
            <w14:solidFill>
              <w14:schemeClr w14:val="tx1"/>
            </w14:solidFill>
          </w14:textFill>
        </w:rPr>
      </w:pPr>
    </w:p>
    <w:p w14:paraId="2B45687B">
      <w:pPr>
        <w:pStyle w:val="17"/>
        <w:rPr>
          <w:rFonts w:hAnsi="宋体" w:cs="宋体"/>
          <w:bCs/>
          <w:color w:val="000000" w:themeColor="text1"/>
          <w:sz w:val="24"/>
          <w14:textFill>
            <w14:solidFill>
              <w14:schemeClr w14:val="tx1"/>
            </w14:solidFill>
          </w14:textFill>
        </w:rPr>
      </w:pPr>
    </w:p>
    <w:p w14:paraId="20C5F1A8">
      <w:pPr>
        <w:pStyle w:val="17"/>
        <w:rPr>
          <w:rFonts w:hAnsi="宋体" w:cs="宋体"/>
          <w:bCs/>
          <w:color w:val="000000" w:themeColor="text1"/>
          <w:sz w:val="24"/>
          <w14:textFill>
            <w14:solidFill>
              <w14:schemeClr w14:val="tx1"/>
            </w14:solidFill>
          </w14:textFill>
        </w:rPr>
      </w:pPr>
    </w:p>
    <w:p w14:paraId="64D46BA2">
      <w:pPr>
        <w:pStyle w:val="17"/>
        <w:rPr>
          <w:rFonts w:hAnsi="宋体" w:cs="宋体"/>
          <w:bCs/>
          <w:color w:val="000000" w:themeColor="text1"/>
          <w:sz w:val="24"/>
          <w14:textFill>
            <w14:solidFill>
              <w14:schemeClr w14:val="tx1"/>
            </w14:solidFill>
          </w14:textFill>
        </w:rPr>
      </w:pPr>
    </w:p>
    <w:p w14:paraId="44320922">
      <w:pPr>
        <w:keepNext/>
        <w:keepLines/>
        <w:numPr>
          <w:ilvl w:val="0"/>
          <w:numId w:val="10"/>
        </w:numPr>
        <w:spacing w:before="260" w:line="415" w:lineRule="auto"/>
        <w:jc w:val="center"/>
        <w:outlineLvl w:val="1"/>
        <w:rPr>
          <w:rFonts w:ascii="宋体" w:hAnsi="宋体" w:cs="宋体"/>
          <w:b/>
          <w:bCs/>
          <w:iCs/>
          <w:kern w:val="2"/>
          <w:sz w:val="32"/>
          <w:szCs w:val="32"/>
        </w:rPr>
      </w:pPr>
      <w:bookmarkStart w:id="157" w:name="_Toc30642"/>
      <w:r>
        <w:rPr>
          <w:rFonts w:hint="eastAsia" w:ascii="宋体" w:hAnsi="宋体" w:cs="宋体"/>
          <w:b/>
          <w:bCs/>
          <w:iCs/>
          <w:kern w:val="2"/>
          <w:sz w:val="32"/>
          <w:szCs w:val="32"/>
        </w:rPr>
        <w:t>招标文件要求提供或者投标人认为需要提供的其他资料（如有）</w:t>
      </w:r>
      <w:bookmarkEnd w:id="157"/>
    </w:p>
    <w:p w14:paraId="4E952AAD">
      <w:pPr>
        <w:keepNext/>
        <w:keepLines/>
        <w:numPr>
          <w:ilvl w:val="0"/>
          <w:numId w:val="11"/>
        </w:numPr>
        <w:ind w:left="0" w:firstLine="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所投产品制造商或投标产品的认证证书等其他资料</w:t>
      </w:r>
    </w:p>
    <w:p w14:paraId="4B931A12">
      <w:pPr>
        <w:keepNext/>
        <w:keepLines/>
        <w:numPr>
          <w:ilvl w:val="0"/>
          <w:numId w:val="11"/>
        </w:numPr>
        <w:ind w:left="0" w:firstLine="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投标人认为需要提供的其他资料</w:t>
      </w:r>
    </w:p>
    <w:p w14:paraId="655BFB9B">
      <w:pPr>
        <w:ind w:left="420"/>
        <w:jc w:val="center"/>
        <w:rPr>
          <w:rFonts w:ascii="宋体" w:hAnsi="宋体" w:cs="宋体"/>
          <w:bCs/>
          <w:color w:val="000000" w:themeColor="text1"/>
          <w:sz w:val="24"/>
          <w14:textFill>
            <w14:solidFill>
              <w14:schemeClr w14:val="tx1"/>
            </w14:solidFill>
          </w14:textFill>
        </w:rPr>
      </w:pPr>
    </w:p>
    <w:p w14:paraId="14D045B3">
      <w:pPr>
        <w:ind w:left="420"/>
        <w:jc w:val="center"/>
        <w:rPr>
          <w:rFonts w:ascii="宋体" w:hAnsi="宋体" w:cs="宋体"/>
          <w:bCs/>
          <w:color w:val="000000" w:themeColor="text1"/>
          <w:sz w:val="24"/>
          <w14:textFill>
            <w14:solidFill>
              <w14:schemeClr w14:val="tx1"/>
            </w14:solidFill>
          </w14:textFill>
        </w:rPr>
      </w:pPr>
    </w:p>
    <w:p w14:paraId="150E9615">
      <w:pPr>
        <w:keepNext/>
        <w:keepLines/>
        <w:numPr>
          <w:ilvl w:val="0"/>
          <w:numId w:val="10"/>
        </w:numPr>
        <w:spacing w:before="260" w:line="415" w:lineRule="auto"/>
        <w:jc w:val="center"/>
        <w:outlineLvl w:val="1"/>
        <w:rPr>
          <w:rFonts w:ascii="宋体" w:hAnsi="宋体" w:cs="宋体"/>
          <w:b/>
          <w:bCs/>
          <w:iCs/>
          <w:kern w:val="2"/>
          <w:sz w:val="32"/>
          <w:szCs w:val="32"/>
        </w:rPr>
      </w:pPr>
      <w:bookmarkStart w:id="158" w:name="_Toc21995"/>
      <w:r>
        <w:rPr>
          <w:rFonts w:hint="eastAsia" w:ascii="宋体" w:hAnsi="宋体" w:cs="宋体"/>
          <w:b/>
          <w:bCs/>
          <w:iCs/>
          <w:kern w:val="2"/>
          <w:sz w:val="32"/>
          <w:szCs w:val="32"/>
        </w:rPr>
        <w:t>联合体协议（本项目不适用）</w:t>
      </w:r>
      <w:bookmarkEnd w:id="158"/>
    </w:p>
    <w:p w14:paraId="6BA063FD">
      <w:pPr>
        <w:spacing w:line="360" w:lineRule="auto"/>
        <w:rPr>
          <w:rFonts w:ascii="宋体" w:hAnsi="宋体" w:cs="宋体"/>
        </w:rPr>
      </w:pPr>
      <w:r>
        <w:rPr>
          <w:rFonts w:hint="eastAsia" w:ascii="宋体" w:hAnsi="宋体" w:cs="宋体"/>
        </w:rPr>
        <w:t>（联合体中各供应商全称）在此达成以下协议：</w:t>
      </w:r>
    </w:p>
    <w:p w14:paraId="0328E23E">
      <w:pPr>
        <w:spacing w:line="360" w:lineRule="auto"/>
        <w:ind w:firstLine="645"/>
        <w:rPr>
          <w:rFonts w:ascii="宋体" w:hAnsi="宋体" w:cs="宋体"/>
        </w:rPr>
      </w:pPr>
      <w:r>
        <w:rPr>
          <w:rFonts w:hint="eastAsia" w:ascii="宋体" w:hAnsi="宋体" w:cs="宋体"/>
        </w:rPr>
        <w:t>1.我们</w:t>
      </w:r>
      <w:r>
        <w:rPr>
          <w:rFonts w:hint="eastAsia" w:ascii="宋体" w:hAnsi="宋体" w:cs="宋体"/>
          <w:u w:val="single"/>
        </w:rPr>
        <w:t xml:space="preserve"> （供应商1），（供应商2） ，……</w:t>
      </w:r>
      <w:r>
        <w:rPr>
          <w:rFonts w:hint="eastAsia" w:ascii="宋体" w:hAnsi="宋体" w:cs="宋体"/>
        </w:rPr>
        <w:t>自愿组成联合体，参加江苏苏豪创新科技集团高科有限公司组织的采购编号为</w:t>
      </w:r>
      <w:r>
        <w:rPr>
          <w:rFonts w:hint="eastAsia" w:ascii="宋体" w:hAnsi="宋体" w:cs="宋体"/>
          <w:u w:val="single"/>
        </w:rPr>
        <w:t>（编号全称），（项目全称）</w:t>
      </w:r>
      <w:r>
        <w:rPr>
          <w:rFonts w:hint="eastAsia" w:ascii="宋体" w:hAnsi="宋体" w:cs="宋体"/>
        </w:rPr>
        <w:t>项目（分包号：**）的政府采购活动，我联合体指定</w:t>
      </w:r>
      <w:r>
        <w:rPr>
          <w:rFonts w:hint="eastAsia" w:ascii="宋体" w:hAnsi="宋体" w:cs="宋体"/>
          <w:u w:val="single"/>
        </w:rPr>
        <w:t>（供应商*）</w:t>
      </w:r>
      <w:r>
        <w:rPr>
          <w:rFonts w:hint="eastAsia" w:ascii="宋体" w:hAnsi="宋体" w:cs="宋体"/>
        </w:rPr>
        <w:t>为牵头单位（牵头单位必须为联合体成员）。</w:t>
      </w:r>
    </w:p>
    <w:p w14:paraId="527C056B">
      <w:pPr>
        <w:spacing w:line="360" w:lineRule="auto"/>
        <w:ind w:firstLine="645"/>
        <w:rPr>
          <w:rFonts w:ascii="宋体" w:hAnsi="宋体" w:cs="宋体"/>
        </w:rPr>
      </w:pPr>
      <w:r>
        <w:rPr>
          <w:rFonts w:hint="eastAsia" w:ascii="宋体" w:hAnsi="宋体" w:cs="宋体"/>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AE8A9BE">
      <w:pPr>
        <w:spacing w:line="360" w:lineRule="auto"/>
        <w:ind w:firstLine="645"/>
        <w:rPr>
          <w:rFonts w:ascii="宋体" w:hAnsi="宋体" w:cs="宋体"/>
        </w:rPr>
      </w:pPr>
      <w:r>
        <w:rPr>
          <w:rFonts w:hint="eastAsia" w:ascii="宋体" w:hAnsi="宋体" w:cs="宋体"/>
        </w:rPr>
        <w:t>3.其中</w:t>
      </w:r>
      <w:r>
        <w:rPr>
          <w:rFonts w:hint="eastAsia" w:ascii="宋体" w:hAnsi="宋体" w:cs="宋体"/>
          <w:u w:val="single"/>
        </w:rPr>
        <w:t xml:space="preserve">      </w:t>
      </w:r>
      <w:r>
        <w:rPr>
          <w:rFonts w:hint="eastAsia" w:ascii="宋体" w:hAnsi="宋体" w:cs="宋体"/>
        </w:rPr>
        <w:t>（小型、微型企业/残疾人福利性单位/监狱企业全称）为</w:t>
      </w:r>
      <w:r>
        <w:rPr>
          <w:rFonts w:hint="eastAsia" w:ascii="宋体" w:hAnsi="宋体" w:cs="宋体"/>
          <w:u w:val="single"/>
        </w:rPr>
        <w:t xml:space="preserve">    </w:t>
      </w:r>
      <w:r>
        <w:rPr>
          <w:rFonts w:hint="eastAsia" w:ascii="宋体" w:hAnsi="宋体" w:cs="宋体"/>
        </w:rPr>
        <w:t>（小型、微型企业/残疾人福利性单位/监狱企业）企业，且我们约定该公司/单位所承担的合同金额将占本项目合同总金额的</w:t>
      </w:r>
      <w:r>
        <w:rPr>
          <w:rFonts w:hint="eastAsia" w:ascii="宋体" w:hAnsi="宋体" w:cs="宋体"/>
          <w:u w:val="single"/>
        </w:rPr>
        <w:t xml:space="preserve">  </w:t>
      </w:r>
      <w:r>
        <w:rPr>
          <w:rFonts w:hint="eastAsia" w:ascii="宋体" w:hAnsi="宋体" w:cs="宋体"/>
        </w:rPr>
        <w:t xml:space="preserve"> %。</w:t>
      </w:r>
    </w:p>
    <w:p w14:paraId="4AC4E6FE">
      <w:pPr>
        <w:spacing w:line="360" w:lineRule="auto"/>
        <w:ind w:firstLine="645"/>
        <w:rPr>
          <w:rFonts w:ascii="宋体" w:hAnsi="宋体" w:cs="宋体"/>
        </w:rPr>
      </w:pPr>
    </w:p>
    <w:p w14:paraId="7EDE799C">
      <w:pPr>
        <w:spacing w:line="360" w:lineRule="auto"/>
        <w:ind w:firstLine="645"/>
        <w:rPr>
          <w:rFonts w:ascii="宋体" w:hAnsi="宋体" w:cs="宋体"/>
        </w:rPr>
      </w:pPr>
      <w:r>
        <w:rPr>
          <w:rFonts w:hint="eastAsia" w:ascii="宋体" w:hAnsi="宋体" w:cs="宋体"/>
        </w:rPr>
        <w:t>备注：本招标文件中要求加盖CA电子签章的地方，仅需加盖牵头单位的CA电子签章。</w:t>
      </w:r>
    </w:p>
    <w:p w14:paraId="37EC3F9F">
      <w:pPr>
        <w:spacing w:line="360" w:lineRule="auto"/>
        <w:ind w:firstLine="645"/>
        <w:rPr>
          <w:rFonts w:ascii="宋体" w:hAnsi="宋体" w:cs="宋体"/>
        </w:rPr>
      </w:pPr>
      <w:r>
        <w:rPr>
          <w:rFonts w:hint="eastAsia" w:ascii="宋体" w:hAnsi="宋体" w:cs="宋体"/>
        </w:rPr>
        <w:t xml:space="preserve">                                          </w:t>
      </w:r>
    </w:p>
    <w:p w14:paraId="7D518A9A">
      <w:pPr>
        <w:spacing w:line="360" w:lineRule="auto"/>
        <w:ind w:firstLine="645"/>
        <w:jc w:val="right"/>
        <w:rPr>
          <w:rFonts w:ascii="宋体" w:hAnsi="宋体" w:cs="宋体"/>
        </w:rPr>
      </w:pPr>
      <w:r>
        <w:rPr>
          <w:rFonts w:hint="eastAsia" w:ascii="宋体" w:hAnsi="宋体" w:cs="宋体"/>
        </w:rPr>
        <w:t xml:space="preserve">联合体中各供应商全称（公章）：     </w:t>
      </w:r>
    </w:p>
    <w:p w14:paraId="3C3F3FF7">
      <w:pPr>
        <w:spacing w:line="360" w:lineRule="auto"/>
        <w:ind w:firstLine="645"/>
        <w:rPr>
          <w:rFonts w:ascii="宋体" w:hAnsi="宋体" w:cs="宋体"/>
        </w:rPr>
      </w:pPr>
      <w:r>
        <w:rPr>
          <w:rFonts w:hint="eastAsia" w:ascii="宋体" w:hAnsi="宋体" w:cs="宋体"/>
        </w:rPr>
        <w:t xml:space="preserve">                                        日期：</w:t>
      </w:r>
    </w:p>
    <w:p w14:paraId="6185B0AF">
      <w:pPr>
        <w:pStyle w:val="2"/>
        <w:rPr>
          <w:rFonts w:hAnsi="宋体"/>
        </w:rPr>
      </w:pPr>
    </w:p>
    <w:p w14:paraId="60D80E20"/>
    <w:p w14:paraId="5BA2D8AF">
      <w:pPr>
        <w:rPr>
          <w:rFonts w:cs="仿宋" w:asciiTheme="minorEastAsia" w:hAnsiTheme="minorEastAsia" w:eastAsiaTheme="minorEastAsia"/>
          <w:b/>
          <w:bCs/>
          <w:color w:val="000000" w:themeColor="text1"/>
          <w:sz w:val="32"/>
          <w:szCs w:val="32"/>
          <w14:textFill>
            <w14:solidFill>
              <w14:schemeClr w14:val="tx1"/>
            </w14:solidFill>
          </w14:textFill>
        </w:rPr>
      </w:pPr>
    </w:p>
    <w:p w14:paraId="115FA378">
      <w:pPr>
        <w:spacing w:line="560" w:lineRule="exact"/>
        <w:rPr>
          <w:rFonts w:ascii="宋体" w:hAnsi="宋体" w:cs="宋体"/>
          <w:b/>
          <w:kern w:val="2"/>
          <w:sz w:val="32"/>
          <w:szCs w:val="32"/>
        </w:rPr>
      </w:pPr>
    </w:p>
    <w:bookmarkEnd w:id="149"/>
    <w:p w14:paraId="1D0EE9AB">
      <w:pPr>
        <w:widowControl/>
        <w:jc w:val="left"/>
        <w:rPr>
          <w:rFonts w:ascii="宋体" w:hAnsi="宋体" w:cs="宋体"/>
          <w:color w:val="000000"/>
          <w:sz w:val="24"/>
          <w:szCs w:val="24"/>
        </w:rPr>
      </w:pPr>
      <w:r>
        <w:rPr>
          <w:rFonts w:hint="eastAsia" w:ascii="宋体" w:hAnsi="宋体" w:cs="宋体"/>
        </w:rPr>
        <w:br w:type="page"/>
      </w:r>
    </w:p>
    <w:p w14:paraId="60270C00">
      <w:pPr>
        <w:pStyle w:val="2"/>
        <w:rPr>
          <w:rFonts w:hAnsi="宋体"/>
        </w:rPr>
      </w:pPr>
    </w:p>
    <w:p w14:paraId="550455C2">
      <w:pPr>
        <w:keepNext/>
        <w:keepLines/>
        <w:spacing w:before="260" w:line="415" w:lineRule="auto"/>
        <w:jc w:val="center"/>
        <w:outlineLvl w:val="1"/>
        <w:rPr>
          <w:rFonts w:ascii="宋体" w:hAnsi="宋体" w:cs="宋体"/>
          <w:b/>
          <w:bCs/>
          <w:kern w:val="2"/>
          <w:szCs w:val="22"/>
        </w:rPr>
      </w:pPr>
      <w:bookmarkStart w:id="159" w:name="_Toc14405"/>
      <w:r>
        <w:rPr>
          <w:rFonts w:hint="eastAsia" w:ascii="宋体" w:hAnsi="宋体" w:cs="宋体"/>
          <w:b/>
          <w:bCs/>
          <w:kern w:val="2"/>
          <w:sz w:val="32"/>
          <w:szCs w:val="32"/>
        </w:rPr>
        <w:t>质疑函范本</w:t>
      </w:r>
      <w:bookmarkEnd w:id="159"/>
    </w:p>
    <w:p w14:paraId="225AD3B0">
      <w:pPr>
        <w:adjustRightInd w:val="0"/>
        <w:snapToGrid w:val="0"/>
        <w:spacing w:before="240" w:beforeLines="100" w:line="360" w:lineRule="auto"/>
        <w:rPr>
          <w:rFonts w:ascii="宋体" w:hAnsi="宋体" w:cs="宋体"/>
          <w:bCs/>
          <w:kern w:val="2"/>
          <w:sz w:val="24"/>
          <w:szCs w:val="24"/>
        </w:rPr>
      </w:pPr>
      <w:r>
        <w:rPr>
          <w:rFonts w:hint="eastAsia" w:ascii="宋体" w:hAnsi="宋体" w:cs="宋体"/>
          <w:bCs/>
          <w:kern w:val="2"/>
          <w:sz w:val="24"/>
          <w:szCs w:val="24"/>
        </w:rPr>
        <w:t>一、质疑供应商基本信息</w:t>
      </w:r>
    </w:p>
    <w:p w14:paraId="1177C31C">
      <w:pPr>
        <w:adjustRightInd w:val="0"/>
        <w:snapToGrid w:val="0"/>
        <w:spacing w:line="360" w:lineRule="auto"/>
        <w:rPr>
          <w:rFonts w:ascii="宋体" w:hAnsi="宋体" w:cs="宋体"/>
          <w:kern w:val="2"/>
          <w:sz w:val="24"/>
          <w:szCs w:val="24"/>
          <w:u w:val="dotted"/>
        </w:rPr>
      </w:pPr>
      <w:r>
        <w:rPr>
          <w:rFonts w:hint="eastAsia" w:ascii="宋体" w:hAnsi="宋体" w:cs="宋体"/>
          <w:kern w:val="2"/>
          <w:sz w:val="24"/>
          <w:szCs w:val="24"/>
        </w:rPr>
        <w:t>质疑供应商：</w:t>
      </w:r>
      <w:r>
        <w:rPr>
          <w:rFonts w:hint="eastAsia" w:ascii="宋体" w:hAnsi="宋体" w:cs="宋体"/>
          <w:kern w:val="2"/>
          <w:sz w:val="24"/>
          <w:szCs w:val="24"/>
          <w:u w:val="dotted"/>
        </w:rPr>
        <w:t xml:space="preserve">                                                              </w:t>
      </w:r>
    </w:p>
    <w:p w14:paraId="3A84B72E">
      <w:pPr>
        <w:adjustRightInd w:val="0"/>
        <w:snapToGrid w:val="0"/>
        <w:spacing w:line="360" w:lineRule="auto"/>
        <w:rPr>
          <w:rFonts w:ascii="宋体" w:hAnsi="宋体" w:cs="宋体"/>
          <w:kern w:val="2"/>
          <w:sz w:val="24"/>
          <w:szCs w:val="24"/>
        </w:rPr>
      </w:pPr>
      <w:r>
        <w:rPr>
          <w:rFonts w:hint="eastAsia" w:ascii="宋体" w:hAnsi="宋体" w:cs="宋体"/>
          <w:kern w:val="2"/>
          <w:sz w:val="24"/>
          <w:szCs w:val="24"/>
        </w:rPr>
        <w:t>地址：</w:t>
      </w:r>
      <w:r>
        <w:rPr>
          <w:rFonts w:hint="eastAsia" w:ascii="宋体" w:hAnsi="宋体" w:cs="宋体"/>
          <w:kern w:val="2"/>
          <w:sz w:val="24"/>
          <w:szCs w:val="24"/>
          <w:u w:val="dotted"/>
        </w:rPr>
        <w:t xml:space="preserve">                             </w:t>
      </w:r>
      <w:r>
        <w:rPr>
          <w:rFonts w:hint="eastAsia" w:ascii="宋体" w:hAnsi="宋体" w:cs="宋体"/>
          <w:kern w:val="2"/>
          <w:sz w:val="24"/>
          <w:szCs w:val="24"/>
        </w:rPr>
        <w:t>邮编：</w:t>
      </w:r>
      <w:r>
        <w:rPr>
          <w:rFonts w:hint="eastAsia" w:ascii="宋体" w:hAnsi="宋体" w:cs="宋体"/>
          <w:kern w:val="2"/>
          <w:sz w:val="24"/>
          <w:szCs w:val="24"/>
          <w:u w:val="dotted"/>
        </w:rPr>
        <w:t xml:space="preserve">                                    </w:t>
      </w:r>
    </w:p>
    <w:p w14:paraId="1074276C">
      <w:pPr>
        <w:adjustRightInd w:val="0"/>
        <w:snapToGrid w:val="0"/>
        <w:spacing w:line="360" w:lineRule="auto"/>
        <w:rPr>
          <w:rFonts w:ascii="宋体" w:hAnsi="宋体" w:cs="宋体"/>
          <w:kern w:val="2"/>
          <w:sz w:val="24"/>
          <w:szCs w:val="24"/>
        </w:rPr>
      </w:pPr>
      <w:r>
        <w:rPr>
          <w:rFonts w:hint="eastAsia" w:ascii="宋体" w:hAnsi="宋体" w:cs="宋体"/>
          <w:kern w:val="2"/>
          <w:sz w:val="24"/>
          <w:szCs w:val="24"/>
        </w:rPr>
        <w:t>联系人：</w:t>
      </w:r>
      <w:r>
        <w:rPr>
          <w:rFonts w:hint="eastAsia" w:ascii="宋体" w:hAnsi="宋体" w:cs="宋体"/>
          <w:kern w:val="2"/>
          <w:sz w:val="24"/>
          <w:szCs w:val="24"/>
          <w:u w:val="dotted"/>
        </w:rPr>
        <w:t xml:space="preserve">                      </w:t>
      </w:r>
      <w:r>
        <w:rPr>
          <w:rFonts w:hint="eastAsia" w:ascii="宋体" w:hAnsi="宋体" w:cs="宋体"/>
          <w:kern w:val="2"/>
          <w:sz w:val="24"/>
          <w:szCs w:val="24"/>
        </w:rPr>
        <w:t>联系电话：</w:t>
      </w:r>
      <w:r>
        <w:rPr>
          <w:rFonts w:hint="eastAsia" w:ascii="宋体" w:hAnsi="宋体" w:cs="宋体"/>
          <w:kern w:val="2"/>
          <w:sz w:val="24"/>
          <w:szCs w:val="24"/>
          <w:u w:val="dotted"/>
        </w:rPr>
        <w:t xml:space="preserve">                                       </w:t>
      </w:r>
    </w:p>
    <w:p w14:paraId="53190731">
      <w:pPr>
        <w:adjustRightInd w:val="0"/>
        <w:snapToGrid w:val="0"/>
        <w:spacing w:line="360" w:lineRule="auto"/>
        <w:rPr>
          <w:rFonts w:ascii="宋体" w:hAnsi="宋体" w:cs="宋体"/>
          <w:kern w:val="2"/>
          <w:sz w:val="24"/>
          <w:szCs w:val="24"/>
          <w:u w:val="dotted"/>
        </w:rPr>
      </w:pPr>
      <w:r>
        <w:rPr>
          <w:rFonts w:hint="eastAsia" w:ascii="宋体" w:hAnsi="宋体" w:cs="宋体"/>
          <w:kern w:val="2"/>
          <w:sz w:val="24"/>
          <w:szCs w:val="24"/>
        </w:rPr>
        <w:t>授权代表：</w:t>
      </w:r>
      <w:r>
        <w:rPr>
          <w:rFonts w:hint="eastAsia" w:ascii="宋体" w:hAnsi="宋体" w:cs="宋体"/>
          <w:kern w:val="2"/>
          <w:sz w:val="24"/>
          <w:szCs w:val="24"/>
          <w:u w:val="dotted"/>
        </w:rPr>
        <w:t xml:space="preserve">                                                                 </w:t>
      </w:r>
    </w:p>
    <w:p w14:paraId="0235BC0B">
      <w:pPr>
        <w:adjustRightInd w:val="0"/>
        <w:snapToGrid w:val="0"/>
        <w:spacing w:line="360" w:lineRule="auto"/>
        <w:rPr>
          <w:rFonts w:ascii="宋体" w:hAnsi="宋体" w:cs="宋体"/>
          <w:kern w:val="2"/>
          <w:sz w:val="24"/>
          <w:szCs w:val="24"/>
        </w:rPr>
      </w:pPr>
      <w:r>
        <w:rPr>
          <w:rFonts w:hint="eastAsia" w:ascii="宋体" w:hAnsi="宋体" w:cs="宋体"/>
          <w:kern w:val="2"/>
          <w:sz w:val="24"/>
          <w:szCs w:val="24"/>
        </w:rPr>
        <w:t>联系电话：</w:t>
      </w:r>
      <w:r>
        <w:rPr>
          <w:rFonts w:hint="eastAsia" w:ascii="宋体" w:hAnsi="宋体" w:cs="宋体"/>
          <w:kern w:val="2"/>
          <w:sz w:val="24"/>
          <w:szCs w:val="24"/>
          <w:u w:val="dotted"/>
        </w:rPr>
        <w:t xml:space="preserve">                                                                </w:t>
      </w:r>
    </w:p>
    <w:p w14:paraId="627BB248">
      <w:pPr>
        <w:adjustRightInd w:val="0"/>
        <w:snapToGrid w:val="0"/>
        <w:spacing w:line="360" w:lineRule="auto"/>
        <w:rPr>
          <w:rFonts w:ascii="宋体" w:hAnsi="宋体" w:cs="宋体"/>
          <w:kern w:val="2"/>
          <w:sz w:val="24"/>
          <w:szCs w:val="24"/>
        </w:rPr>
      </w:pPr>
      <w:r>
        <w:rPr>
          <w:rFonts w:hint="eastAsia" w:ascii="宋体" w:hAnsi="宋体" w:cs="宋体"/>
          <w:kern w:val="2"/>
          <w:sz w:val="24"/>
          <w:szCs w:val="24"/>
        </w:rPr>
        <w:t xml:space="preserve">地址： </w:t>
      </w:r>
      <w:r>
        <w:rPr>
          <w:rFonts w:hint="eastAsia" w:ascii="宋体" w:hAnsi="宋体" w:cs="宋体"/>
          <w:kern w:val="2"/>
          <w:sz w:val="24"/>
          <w:szCs w:val="24"/>
          <w:u w:val="dotted"/>
        </w:rPr>
        <w:t xml:space="preserve">                        </w:t>
      </w:r>
      <w:r>
        <w:rPr>
          <w:rFonts w:hint="eastAsia" w:ascii="宋体" w:hAnsi="宋体" w:cs="宋体"/>
          <w:kern w:val="2"/>
          <w:sz w:val="24"/>
          <w:szCs w:val="24"/>
        </w:rPr>
        <w:t>邮编：</w:t>
      </w:r>
      <w:r>
        <w:rPr>
          <w:rFonts w:hint="eastAsia" w:ascii="宋体" w:hAnsi="宋体" w:cs="宋体"/>
          <w:kern w:val="2"/>
          <w:sz w:val="24"/>
          <w:szCs w:val="24"/>
          <w:u w:val="dotted"/>
        </w:rPr>
        <w:t xml:space="preserve">                                     </w:t>
      </w:r>
    </w:p>
    <w:p w14:paraId="3E736E84">
      <w:pPr>
        <w:adjustRightInd w:val="0"/>
        <w:snapToGrid w:val="0"/>
        <w:spacing w:line="360" w:lineRule="auto"/>
        <w:rPr>
          <w:rFonts w:ascii="宋体" w:hAnsi="宋体" w:cs="宋体"/>
          <w:bCs/>
          <w:kern w:val="2"/>
          <w:sz w:val="24"/>
          <w:szCs w:val="24"/>
        </w:rPr>
      </w:pPr>
      <w:r>
        <w:rPr>
          <w:rFonts w:hint="eastAsia" w:ascii="宋体" w:hAnsi="宋体" w:cs="宋体"/>
          <w:bCs/>
          <w:kern w:val="2"/>
          <w:sz w:val="24"/>
          <w:szCs w:val="24"/>
        </w:rPr>
        <w:t>二、质疑项目基本情况</w:t>
      </w:r>
    </w:p>
    <w:p w14:paraId="6D63A02F">
      <w:pPr>
        <w:adjustRightInd w:val="0"/>
        <w:snapToGrid w:val="0"/>
        <w:spacing w:line="360" w:lineRule="auto"/>
        <w:rPr>
          <w:rFonts w:ascii="宋体" w:hAnsi="宋体" w:cs="宋体"/>
          <w:kern w:val="2"/>
          <w:sz w:val="24"/>
          <w:szCs w:val="24"/>
        </w:rPr>
      </w:pPr>
      <w:r>
        <w:rPr>
          <w:rFonts w:hint="eastAsia" w:ascii="宋体" w:hAnsi="宋体" w:cs="宋体"/>
          <w:kern w:val="2"/>
          <w:sz w:val="24"/>
          <w:szCs w:val="24"/>
        </w:rPr>
        <w:t>质疑项目的名称：</w:t>
      </w:r>
      <w:r>
        <w:rPr>
          <w:rFonts w:hint="eastAsia" w:ascii="宋体" w:hAnsi="宋体" w:cs="宋体"/>
          <w:kern w:val="2"/>
          <w:sz w:val="24"/>
          <w:szCs w:val="24"/>
          <w:u w:val="dotted"/>
        </w:rPr>
        <w:t xml:space="preserve">                                                          </w:t>
      </w:r>
    </w:p>
    <w:p w14:paraId="220509F0">
      <w:pPr>
        <w:adjustRightInd w:val="0"/>
        <w:snapToGrid w:val="0"/>
        <w:spacing w:line="360" w:lineRule="auto"/>
        <w:rPr>
          <w:rFonts w:ascii="宋体" w:hAnsi="宋体" w:cs="宋体"/>
          <w:kern w:val="2"/>
          <w:sz w:val="24"/>
          <w:szCs w:val="24"/>
        </w:rPr>
      </w:pPr>
      <w:r>
        <w:rPr>
          <w:rFonts w:hint="eastAsia" w:ascii="宋体" w:hAnsi="宋体" w:cs="宋体"/>
          <w:kern w:val="2"/>
          <w:sz w:val="24"/>
          <w:szCs w:val="24"/>
        </w:rPr>
        <w:t>质疑项目的编号：</w:t>
      </w:r>
      <w:r>
        <w:rPr>
          <w:rFonts w:hint="eastAsia" w:ascii="宋体" w:hAnsi="宋体" w:cs="宋体"/>
          <w:kern w:val="2"/>
          <w:sz w:val="24"/>
          <w:szCs w:val="24"/>
          <w:u w:val="dotted"/>
        </w:rPr>
        <w:t xml:space="preserve">                         </w:t>
      </w:r>
      <w:r>
        <w:rPr>
          <w:rFonts w:hint="eastAsia" w:ascii="宋体" w:hAnsi="宋体" w:cs="宋体"/>
          <w:kern w:val="2"/>
          <w:sz w:val="24"/>
          <w:szCs w:val="24"/>
        </w:rPr>
        <w:t>包号：</w:t>
      </w:r>
      <w:r>
        <w:rPr>
          <w:rFonts w:hint="eastAsia" w:ascii="宋体" w:hAnsi="宋体" w:cs="宋体"/>
          <w:kern w:val="2"/>
          <w:sz w:val="24"/>
          <w:szCs w:val="24"/>
          <w:u w:val="dotted"/>
        </w:rPr>
        <w:t xml:space="preserve">                           </w:t>
      </w:r>
    </w:p>
    <w:p w14:paraId="365AEE2A">
      <w:pPr>
        <w:adjustRightInd w:val="0"/>
        <w:snapToGrid w:val="0"/>
        <w:spacing w:line="360" w:lineRule="auto"/>
        <w:rPr>
          <w:rFonts w:ascii="宋体" w:hAnsi="宋体" w:cs="宋体"/>
          <w:kern w:val="2"/>
          <w:sz w:val="24"/>
          <w:szCs w:val="24"/>
          <w:u w:val="dotted"/>
        </w:rPr>
      </w:pPr>
      <w:r>
        <w:rPr>
          <w:rFonts w:hint="eastAsia" w:ascii="宋体" w:hAnsi="宋体" w:cs="宋体"/>
          <w:kern w:val="2"/>
          <w:sz w:val="24"/>
          <w:szCs w:val="24"/>
        </w:rPr>
        <w:t>采购人名称：</w:t>
      </w:r>
      <w:r>
        <w:rPr>
          <w:rFonts w:hint="eastAsia" w:ascii="宋体" w:hAnsi="宋体" w:cs="宋体"/>
          <w:kern w:val="2"/>
          <w:sz w:val="24"/>
          <w:szCs w:val="24"/>
          <w:u w:val="dotted"/>
        </w:rPr>
        <w:t xml:space="preserve">                                                              </w:t>
      </w:r>
    </w:p>
    <w:p w14:paraId="596FA104">
      <w:pPr>
        <w:adjustRightInd w:val="0"/>
        <w:snapToGrid w:val="0"/>
        <w:spacing w:line="360" w:lineRule="auto"/>
        <w:rPr>
          <w:rFonts w:ascii="宋体" w:hAnsi="宋体" w:cs="宋体"/>
          <w:kern w:val="2"/>
          <w:sz w:val="24"/>
          <w:szCs w:val="24"/>
        </w:rPr>
      </w:pPr>
      <w:r>
        <w:rPr>
          <w:rFonts w:hint="eastAsia" w:ascii="宋体" w:hAnsi="宋体" w:cs="宋体"/>
          <w:kern w:val="2"/>
          <w:sz w:val="24"/>
          <w:szCs w:val="24"/>
        </w:rPr>
        <w:t>采购文件获取日期：</w:t>
      </w:r>
      <w:r>
        <w:rPr>
          <w:rFonts w:hint="eastAsia" w:ascii="宋体" w:hAnsi="宋体" w:cs="宋体"/>
          <w:kern w:val="2"/>
          <w:sz w:val="24"/>
          <w:szCs w:val="24"/>
          <w:u w:val="dotted"/>
        </w:rPr>
        <w:t xml:space="preserve">                                                        </w:t>
      </w:r>
    </w:p>
    <w:p w14:paraId="2A80F58A">
      <w:pPr>
        <w:adjustRightInd w:val="0"/>
        <w:snapToGrid w:val="0"/>
        <w:spacing w:line="360" w:lineRule="auto"/>
        <w:rPr>
          <w:rFonts w:ascii="宋体" w:hAnsi="宋体" w:cs="宋体"/>
          <w:bCs/>
          <w:kern w:val="2"/>
          <w:sz w:val="24"/>
          <w:szCs w:val="24"/>
        </w:rPr>
      </w:pPr>
      <w:r>
        <w:rPr>
          <w:rFonts w:hint="eastAsia" w:ascii="宋体" w:hAnsi="宋体" w:cs="宋体"/>
          <w:bCs/>
          <w:kern w:val="2"/>
          <w:sz w:val="24"/>
          <w:szCs w:val="24"/>
        </w:rPr>
        <w:t>三、质疑事项具体内容</w:t>
      </w:r>
    </w:p>
    <w:p w14:paraId="305875DE">
      <w:pPr>
        <w:adjustRightInd w:val="0"/>
        <w:snapToGrid w:val="0"/>
        <w:spacing w:line="360" w:lineRule="auto"/>
        <w:rPr>
          <w:rFonts w:ascii="宋体" w:hAnsi="宋体" w:cs="宋体"/>
          <w:kern w:val="2"/>
          <w:sz w:val="24"/>
          <w:szCs w:val="24"/>
          <w:u w:val="dotted"/>
        </w:rPr>
      </w:pPr>
      <w:r>
        <w:rPr>
          <w:rFonts w:hint="eastAsia" w:ascii="宋体" w:hAnsi="宋体" w:cs="宋体"/>
          <w:kern w:val="2"/>
          <w:sz w:val="24"/>
          <w:szCs w:val="24"/>
        </w:rPr>
        <w:t>质疑事项1：</w:t>
      </w:r>
      <w:r>
        <w:rPr>
          <w:rFonts w:hint="eastAsia" w:ascii="宋体" w:hAnsi="宋体" w:cs="宋体"/>
          <w:kern w:val="2"/>
          <w:sz w:val="24"/>
          <w:szCs w:val="24"/>
          <w:u w:val="dotted"/>
        </w:rPr>
        <w:t xml:space="preserve">                                                              </w:t>
      </w:r>
    </w:p>
    <w:p w14:paraId="4CAE8B1B">
      <w:pPr>
        <w:adjustRightInd w:val="0"/>
        <w:snapToGrid w:val="0"/>
        <w:spacing w:line="360" w:lineRule="auto"/>
        <w:rPr>
          <w:rFonts w:ascii="宋体" w:hAnsi="宋体" w:cs="宋体"/>
          <w:kern w:val="2"/>
          <w:sz w:val="24"/>
          <w:szCs w:val="24"/>
          <w:u w:val="dotted"/>
        </w:rPr>
      </w:pPr>
      <w:r>
        <w:rPr>
          <w:rFonts w:hint="eastAsia" w:ascii="宋体" w:hAnsi="宋体" w:cs="宋体"/>
          <w:kern w:val="2"/>
          <w:sz w:val="24"/>
          <w:szCs w:val="24"/>
        </w:rPr>
        <w:t>事实依据：</w:t>
      </w:r>
      <w:r>
        <w:rPr>
          <w:rFonts w:hint="eastAsia" w:ascii="宋体" w:hAnsi="宋体" w:cs="宋体"/>
          <w:kern w:val="2"/>
          <w:sz w:val="24"/>
          <w:szCs w:val="24"/>
          <w:u w:val="dotted"/>
        </w:rPr>
        <w:t xml:space="preserve">                                                                </w:t>
      </w:r>
    </w:p>
    <w:p w14:paraId="5F1B7342">
      <w:pPr>
        <w:adjustRightInd w:val="0"/>
        <w:snapToGrid w:val="0"/>
        <w:spacing w:line="360" w:lineRule="auto"/>
        <w:rPr>
          <w:rFonts w:ascii="宋体" w:hAnsi="宋体" w:cs="宋体"/>
          <w:kern w:val="2"/>
          <w:sz w:val="24"/>
          <w:szCs w:val="24"/>
        </w:rPr>
      </w:pPr>
      <w:r>
        <w:rPr>
          <w:rFonts w:hint="eastAsia" w:ascii="宋体" w:hAnsi="宋体" w:cs="宋体"/>
          <w:kern w:val="2"/>
          <w:sz w:val="24"/>
          <w:szCs w:val="24"/>
          <w:u w:val="dotted"/>
        </w:rPr>
        <w:t xml:space="preserve">                                                                           </w:t>
      </w:r>
    </w:p>
    <w:p w14:paraId="3B218CC2">
      <w:pPr>
        <w:adjustRightInd w:val="0"/>
        <w:snapToGrid w:val="0"/>
        <w:spacing w:line="360" w:lineRule="auto"/>
        <w:rPr>
          <w:rFonts w:ascii="宋体" w:hAnsi="宋体" w:cs="宋体"/>
          <w:kern w:val="2"/>
          <w:sz w:val="24"/>
          <w:szCs w:val="24"/>
          <w:u w:val="dotted"/>
        </w:rPr>
      </w:pPr>
      <w:r>
        <w:rPr>
          <w:rFonts w:hint="eastAsia" w:ascii="宋体" w:hAnsi="宋体" w:cs="宋体"/>
          <w:kern w:val="2"/>
          <w:sz w:val="24"/>
          <w:szCs w:val="24"/>
        </w:rPr>
        <w:t>法律依据：</w:t>
      </w:r>
      <w:r>
        <w:rPr>
          <w:rFonts w:hint="eastAsia" w:ascii="宋体" w:hAnsi="宋体" w:cs="宋体"/>
          <w:kern w:val="2"/>
          <w:sz w:val="24"/>
          <w:szCs w:val="24"/>
          <w:u w:val="dotted"/>
        </w:rPr>
        <w:t xml:space="preserve">                                                                 </w:t>
      </w:r>
    </w:p>
    <w:p w14:paraId="1121C9E4">
      <w:pPr>
        <w:adjustRightInd w:val="0"/>
        <w:snapToGrid w:val="0"/>
        <w:spacing w:line="360" w:lineRule="auto"/>
        <w:rPr>
          <w:rFonts w:ascii="宋体" w:hAnsi="宋体" w:cs="宋体"/>
          <w:kern w:val="2"/>
          <w:sz w:val="24"/>
          <w:szCs w:val="24"/>
          <w:u w:val="dotted"/>
        </w:rPr>
      </w:pPr>
      <w:r>
        <w:rPr>
          <w:rFonts w:hint="eastAsia" w:ascii="宋体" w:hAnsi="宋体" w:cs="宋体"/>
          <w:kern w:val="2"/>
          <w:sz w:val="24"/>
          <w:szCs w:val="24"/>
          <w:u w:val="dotted"/>
        </w:rPr>
        <w:t xml:space="preserve">                                                                           </w:t>
      </w:r>
    </w:p>
    <w:p w14:paraId="584AFA61">
      <w:pPr>
        <w:adjustRightInd w:val="0"/>
        <w:snapToGrid w:val="0"/>
        <w:spacing w:line="360" w:lineRule="auto"/>
        <w:rPr>
          <w:rFonts w:ascii="宋体" w:hAnsi="宋体" w:cs="宋体"/>
          <w:kern w:val="2"/>
          <w:sz w:val="24"/>
          <w:szCs w:val="24"/>
          <w:u w:val="dotted"/>
        </w:rPr>
      </w:pPr>
      <w:r>
        <w:rPr>
          <w:rFonts w:hint="eastAsia" w:ascii="宋体" w:hAnsi="宋体" w:cs="宋体"/>
          <w:kern w:val="2"/>
          <w:sz w:val="24"/>
          <w:szCs w:val="24"/>
        </w:rPr>
        <w:t>质疑事项2</w:t>
      </w:r>
    </w:p>
    <w:p w14:paraId="4F74512D">
      <w:pPr>
        <w:adjustRightInd w:val="0"/>
        <w:snapToGrid w:val="0"/>
        <w:spacing w:line="360" w:lineRule="auto"/>
        <w:rPr>
          <w:rFonts w:ascii="宋体" w:hAnsi="宋体" w:cs="宋体"/>
          <w:kern w:val="2"/>
          <w:sz w:val="24"/>
          <w:szCs w:val="24"/>
        </w:rPr>
      </w:pPr>
      <w:r>
        <w:rPr>
          <w:rFonts w:hint="eastAsia" w:ascii="宋体" w:hAnsi="宋体" w:cs="宋体"/>
          <w:kern w:val="2"/>
          <w:sz w:val="24"/>
          <w:szCs w:val="24"/>
        </w:rPr>
        <w:t>……</w:t>
      </w:r>
    </w:p>
    <w:p w14:paraId="3C5B0171">
      <w:pPr>
        <w:adjustRightInd w:val="0"/>
        <w:snapToGrid w:val="0"/>
        <w:spacing w:line="360" w:lineRule="auto"/>
        <w:rPr>
          <w:rFonts w:ascii="宋体" w:hAnsi="宋体" w:cs="宋体"/>
          <w:bCs/>
          <w:kern w:val="2"/>
          <w:sz w:val="24"/>
          <w:szCs w:val="24"/>
        </w:rPr>
      </w:pPr>
      <w:r>
        <w:rPr>
          <w:rFonts w:hint="eastAsia" w:ascii="宋体" w:hAnsi="宋体" w:cs="宋体"/>
          <w:bCs/>
          <w:kern w:val="2"/>
          <w:sz w:val="24"/>
          <w:szCs w:val="24"/>
        </w:rPr>
        <w:t>四、与质疑事项相关的质疑请求</w:t>
      </w:r>
    </w:p>
    <w:p w14:paraId="0A531A94">
      <w:pPr>
        <w:adjustRightInd w:val="0"/>
        <w:snapToGrid w:val="0"/>
        <w:spacing w:line="360" w:lineRule="auto"/>
        <w:rPr>
          <w:rFonts w:ascii="宋体" w:hAnsi="宋体" w:cs="宋体"/>
          <w:kern w:val="2"/>
          <w:sz w:val="24"/>
          <w:szCs w:val="24"/>
          <w:u w:val="dotted"/>
        </w:rPr>
      </w:pPr>
      <w:r>
        <w:rPr>
          <w:rFonts w:hint="eastAsia" w:ascii="宋体" w:hAnsi="宋体" w:cs="宋体"/>
          <w:kern w:val="2"/>
          <w:sz w:val="24"/>
          <w:szCs w:val="24"/>
        </w:rPr>
        <w:t>请求：</w:t>
      </w:r>
      <w:r>
        <w:rPr>
          <w:rFonts w:hint="eastAsia" w:ascii="宋体" w:hAnsi="宋体" w:cs="宋体"/>
          <w:kern w:val="2"/>
          <w:sz w:val="24"/>
          <w:szCs w:val="24"/>
          <w:u w:val="dotted"/>
        </w:rPr>
        <w:t xml:space="preserve">                                                                     </w:t>
      </w:r>
    </w:p>
    <w:p w14:paraId="312F6108">
      <w:pPr>
        <w:rPr>
          <w:rFonts w:ascii="宋体" w:hAnsi="宋体" w:cs="宋体"/>
          <w:kern w:val="2"/>
          <w:sz w:val="24"/>
          <w:szCs w:val="24"/>
        </w:rPr>
      </w:pPr>
      <w:r>
        <w:rPr>
          <w:rFonts w:hint="eastAsia" w:ascii="宋体" w:hAnsi="宋体" w:cs="宋体"/>
          <w:kern w:val="2"/>
          <w:sz w:val="24"/>
          <w:szCs w:val="24"/>
        </w:rPr>
        <w:t xml:space="preserve">签字（签章）：                   公章：                      </w:t>
      </w:r>
    </w:p>
    <w:p w14:paraId="01AA2B67">
      <w:pPr>
        <w:rPr>
          <w:rFonts w:ascii="宋体" w:hAnsi="宋体" w:cs="宋体"/>
          <w:kern w:val="2"/>
          <w:sz w:val="24"/>
          <w:szCs w:val="24"/>
        </w:rPr>
      </w:pPr>
      <w:r>
        <w:rPr>
          <w:rFonts w:hint="eastAsia" w:ascii="宋体" w:hAnsi="宋体" w:cs="宋体"/>
          <w:kern w:val="2"/>
          <w:sz w:val="24"/>
          <w:szCs w:val="24"/>
        </w:rPr>
        <w:t xml:space="preserve">日期：    </w:t>
      </w:r>
    </w:p>
    <w:p w14:paraId="784FCA6F">
      <w:pPr>
        <w:spacing w:line="400" w:lineRule="exact"/>
        <w:rPr>
          <w:rFonts w:ascii="宋体" w:hAnsi="宋体" w:cs="宋体"/>
          <w:b/>
          <w:kern w:val="2"/>
          <w:sz w:val="24"/>
          <w:szCs w:val="24"/>
        </w:rPr>
      </w:pPr>
      <w:r>
        <w:rPr>
          <w:rFonts w:hint="eastAsia" w:ascii="宋体" w:hAnsi="宋体" w:cs="宋体"/>
          <w:b/>
          <w:kern w:val="2"/>
          <w:sz w:val="24"/>
          <w:szCs w:val="24"/>
        </w:rPr>
        <w:t>质疑函制作说明：</w:t>
      </w:r>
    </w:p>
    <w:p w14:paraId="2815F120">
      <w:pPr>
        <w:widowControl/>
        <w:spacing w:line="400" w:lineRule="exact"/>
        <w:ind w:firstLine="480" w:firstLineChars="200"/>
        <w:jc w:val="left"/>
        <w:rPr>
          <w:rFonts w:ascii="宋体" w:hAnsi="宋体" w:cs="宋体"/>
          <w:kern w:val="2"/>
          <w:sz w:val="24"/>
          <w:szCs w:val="24"/>
        </w:rPr>
      </w:pPr>
      <w:r>
        <w:rPr>
          <w:rFonts w:hint="eastAsia" w:ascii="宋体" w:hAnsi="宋体" w:cs="宋体"/>
          <w:kern w:val="2"/>
          <w:sz w:val="24"/>
          <w:szCs w:val="24"/>
        </w:rPr>
        <w:t>1.供应商提出质疑时，应提交质疑函和必要的证明材料。</w:t>
      </w:r>
    </w:p>
    <w:p w14:paraId="6CD00DBF">
      <w:pPr>
        <w:widowControl/>
        <w:spacing w:line="400" w:lineRule="exact"/>
        <w:ind w:firstLine="480" w:firstLineChars="200"/>
        <w:jc w:val="left"/>
        <w:rPr>
          <w:rFonts w:ascii="宋体" w:hAnsi="宋体" w:cs="宋体"/>
          <w:kern w:val="2"/>
          <w:sz w:val="24"/>
          <w:szCs w:val="24"/>
        </w:rPr>
      </w:pPr>
      <w:r>
        <w:rPr>
          <w:rFonts w:hint="eastAsia" w:ascii="宋体" w:hAnsi="宋体" w:cs="宋体"/>
          <w:kern w:val="2"/>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04AC5047">
      <w:pPr>
        <w:widowControl/>
        <w:spacing w:line="400" w:lineRule="exact"/>
        <w:ind w:firstLine="480" w:firstLineChars="200"/>
        <w:jc w:val="left"/>
        <w:rPr>
          <w:rFonts w:ascii="宋体" w:hAnsi="宋体" w:cs="宋体"/>
          <w:kern w:val="2"/>
          <w:sz w:val="24"/>
          <w:szCs w:val="24"/>
        </w:rPr>
      </w:pPr>
      <w:r>
        <w:rPr>
          <w:rFonts w:hint="eastAsia" w:ascii="宋体" w:hAnsi="宋体" w:cs="宋体"/>
          <w:kern w:val="2"/>
          <w:sz w:val="24"/>
          <w:szCs w:val="24"/>
        </w:rPr>
        <w:t>3.质疑供应商若对项目的某一分包进行质疑，质疑函中应列明具体分包号。</w:t>
      </w:r>
    </w:p>
    <w:p w14:paraId="619058E1">
      <w:pPr>
        <w:widowControl/>
        <w:spacing w:line="400" w:lineRule="exact"/>
        <w:ind w:firstLine="480" w:firstLineChars="200"/>
        <w:jc w:val="left"/>
        <w:rPr>
          <w:rFonts w:ascii="宋体" w:hAnsi="宋体" w:cs="宋体"/>
          <w:kern w:val="2"/>
          <w:sz w:val="24"/>
          <w:szCs w:val="24"/>
        </w:rPr>
      </w:pPr>
      <w:r>
        <w:rPr>
          <w:rFonts w:hint="eastAsia" w:ascii="宋体" w:hAnsi="宋体" w:cs="宋体"/>
          <w:kern w:val="2"/>
          <w:sz w:val="24"/>
          <w:szCs w:val="24"/>
        </w:rPr>
        <w:t>4.质疑函的质疑事项应具体、明确，并有必要的事实依据和法律依据。</w:t>
      </w:r>
    </w:p>
    <w:p w14:paraId="79AEAC91">
      <w:pPr>
        <w:widowControl/>
        <w:spacing w:line="400" w:lineRule="exact"/>
        <w:ind w:firstLine="480" w:firstLineChars="200"/>
        <w:jc w:val="left"/>
        <w:rPr>
          <w:rFonts w:ascii="宋体" w:hAnsi="宋体" w:cs="宋体"/>
          <w:kern w:val="2"/>
          <w:sz w:val="24"/>
          <w:szCs w:val="24"/>
        </w:rPr>
      </w:pPr>
      <w:r>
        <w:rPr>
          <w:rFonts w:hint="eastAsia" w:ascii="宋体" w:hAnsi="宋体" w:cs="宋体"/>
          <w:kern w:val="2"/>
          <w:sz w:val="24"/>
          <w:szCs w:val="24"/>
        </w:rPr>
        <w:t>5.质疑函的质疑请求应与质疑事项相关。</w:t>
      </w:r>
    </w:p>
    <w:p w14:paraId="3D1F280B">
      <w:pPr>
        <w:widowControl/>
        <w:spacing w:line="400" w:lineRule="exact"/>
        <w:ind w:firstLine="480" w:firstLineChars="200"/>
        <w:jc w:val="left"/>
        <w:rPr>
          <w:rFonts w:ascii="宋体" w:hAnsi="宋体" w:cs="宋体"/>
          <w:kern w:val="2"/>
          <w:sz w:val="24"/>
          <w:szCs w:val="24"/>
        </w:rPr>
      </w:pPr>
      <w:r>
        <w:rPr>
          <w:rFonts w:hint="eastAsia" w:ascii="宋体" w:hAnsi="宋体" w:cs="宋体"/>
          <w:kern w:val="2"/>
          <w:sz w:val="24"/>
          <w:szCs w:val="24"/>
        </w:rPr>
        <w:t>6.质疑供应商为自然人的，质疑函应由本人签字；质疑供应商为法人或者其他组织的，质疑函应由法定代表人、主要负责人，或者其授权代表签字或者盖章，并加盖公章。</w:t>
      </w:r>
    </w:p>
    <w:p w14:paraId="6F500117">
      <w:pPr>
        <w:ind w:firstLine="420"/>
        <w:rPr>
          <w:rFonts w:ascii="宋体" w:hAnsi="宋体" w:cs="宋体"/>
          <w:kern w:val="2"/>
          <w:sz w:val="24"/>
          <w:szCs w:val="24"/>
        </w:rPr>
      </w:pPr>
    </w:p>
    <w:p w14:paraId="6B46BA0D">
      <w:pPr>
        <w:ind w:firstLine="420"/>
        <w:rPr>
          <w:rFonts w:ascii="宋体" w:hAnsi="宋体" w:cs="宋体"/>
          <w:kern w:val="2"/>
          <w:sz w:val="24"/>
          <w:szCs w:val="24"/>
        </w:rPr>
      </w:pPr>
    </w:p>
    <w:p w14:paraId="135C77BE">
      <w:pPr>
        <w:rPr>
          <w:rFonts w:ascii="宋体" w:hAnsi="宋体" w:cs="宋体"/>
          <w:kern w:val="2"/>
          <w:szCs w:val="22"/>
        </w:rPr>
      </w:pPr>
    </w:p>
    <w:p w14:paraId="5D6A609B">
      <w:pPr>
        <w:widowControl/>
        <w:jc w:val="left"/>
        <w:rPr>
          <w:rFonts w:ascii="宋体" w:hAnsi="宋体" w:cs="宋体"/>
          <w:sz w:val="24"/>
          <w:szCs w:val="24"/>
        </w:rPr>
      </w:pPr>
    </w:p>
    <w:sectPr>
      <w:headerReference r:id="rId5" w:type="default"/>
      <w:footerReference r:id="rId6" w:type="default"/>
      <w:pgSz w:w="11906" w:h="16838"/>
      <w:pgMar w:top="1134" w:right="1588" w:bottom="567" w:left="1587" w:header="851"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0000000000000000000"/>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方正小标宋_GBK">
    <w:altName w:val="微软雅黑"/>
    <w:panose1 w:val="00000000000000000000"/>
    <w:charset w:val="86"/>
    <w:family w:val="auto"/>
    <w:pitch w:val="default"/>
    <w:sig w:usb0="00000000" w:usb1="00000000" w:usb2="00082016" w:usb3="00000000" w:csb0="00040001" w:csb1="0000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modern"/>
    <w:pitch w:val="default"/>
    <w:sig w:usb0="800002BF" w:usb1="38CF7CFA" w:usb2="00000016" w:usb3="00000000" w:csb0="00040001" w:csb1="00000000"/>
  </w:font>
  <w:font w:name="方正魏碑_GBK">
    <w:altName w:val="宋体"/>
    <w:panose1 w:val="00000000000000000000"/>
    <w:charset w:val="86"/>
    <w:family w:val="script"/>
    <w:pitch w:val="default"/>
    <w:sig w:usb0="00000000" w:usb1="00000000" w:usb2="00000010" w:usb3="00000000" w:csb0="00040000" w:csb1="00000000"/>
  </w:font>
  <w:font w:name="Wingdings 2">
    <w:panose1 w:val="05020102010507070707"/>
    <w:charset w:val="02"/>
    <w:family w:val="roman"/>
    <w:pitch w:val="default"/>
    <w:sig w:usb0="00000000" w:usb1="00000000" w:usb2="00000000" w:usb3="00000000" w:csb0="80000000"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7AF59">
    <w:pPr>
      <w:pStyle w:val="257"/>
      <w:framePr w:wrap="around" w:vAnchor="text" w:hAnchor="margin" w:xAlign="center" w:y="1"/>
      <w:rPr>
        <w:rStyle w:val="246"/>
        <w:rFonts w:ascii="宋体" w:hAnsi="宋体"/>
      </w:rPr>
    </w:pPr>
    <w:r>
      <w:rPr>
        <w:rFonts w:ascii="宋体" w:hAnsi="宋体"/>
      </w:rPr>
      <w:fldChar w:fldCharType="begin"/>
    </w:r>
    <w:r>
      <w:rPr>
        <w:rStyle w:val="246"/>
        <w:rFonts w:ascii="宋体" w:hAnsi="宋体"/>
      </w:rPr>
      <w:instrText xml:space="preserve">PAGE  </w:instrText>
    </w:r>
    <w:r>
      <w:rPr>
        <w:rFonts w:ascii="宋体" w:hAnsi="宋体"/>
      </w:rPr>
      <w:fldChar w:fldCharType="separate"/>
    </w:r>
    <w:r>
      <w:rPr>
        <w:rStyle w:val="246"/>
        <w:rFonts w:ascii="宋体" w:hAnsi="宋体"/>
      </w:rPr>
      <w:t>45</w:t>
    </w:r>
    <w:r>
      <w:rPr>
        <w:rFonts w:ascii="宋体" w:hAnsi="宋体"/>
      </w:rPr>
      <w:fldChar w:fldCharType="end"/>
    </w:r>
  </w:p>
  <w:p w14:paraId="675EDCCB">
    <w:pPr>
      <w:pStyle w:val="257"/>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811D2">
    <w:pPr>
      <w:pStyle w:val="257"/>
      <w:framePr w:wrap="around" w:vAnchor="text" w:hAnchor="margin" w:xAlign="center" w:y="1"/>
      <w:rPr>
        <w:rStyle w:val="246"/>
        <w:rFonts w:ascii="宋体" w:hAnsi="宋体"/>
      </w:rPr>
    </w:pPr>
    <w:r>
      <w:rPr>
        <w:rFonts w:ascii="宋体" w:hAnsi="宋体"/>
      </w:rPr>
      <w:fldChar w:fldCharType="begin"/>
    </w:r>
    <w:r>
      <w:rPr>
        <w:rStyle w:val="246"/>
        <w:rFonts w:ascii="宋体" w:hAnsi="宋体"/>
      </w:rPr>
      <w:instrText xml:space="preserve">PAGE  </w:instrText>
    </w:r>
    <w:r>
      <w:rPr>
        <w:rFonts w:ascii="宋体" w:hAnsi="宋体"/>
      </w:rPr>
      <w:fldChar w:fldCharType="separate"/>
    </w:r>
    <w:r>
      <w:rPr>
        <w:rStyle w:val="246"/>
        <w:rFonts w:ascii="宋体" w:hAnsi="宋体"/>
      </w:rPr>
      <w:t>59</w:t>
    </w:r>
    <w:r>
      <w:rPr>
        <w:rFonts w:ascii="宋体" w:hAnsi="宋体"/>
      </w:rPr>
      <w:fldChar w:fldCharType="end"/>
    </w:r>
  </w:p>
  <w:p w14:paraId="33F056BE">
    <w:pPr>
      <w:pStyle w:val="257"/>
      <w:jc w:val="center"/>
      <w:rPr>
        <w:b/>
        <w:i/>
      </w:rPr>
    </w:pP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279BD">
    <w:pPr>
      <w:pStyle w:val="245"/>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8BD07">
    <w:pPr>
      <w:pStyle w:val="24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DC0FE3"/>
    <w:multiLevelType w:val="singleLevel"/>
    <w:tmpl w:val="9ADC0FE3"/>
    <w:lvl w:ilvl="0" w:tentative="0">
      <w:start w:val="2"/>
      <w:numFmt w:val="chineseCounting"/>
      <w:suff w:val="nothing"/>
      <w:lvlText w:val="（%1）"/>
      <w:lvlJc w:val="left"/>
      <w:rPr>
        <w:rFonts w:hint="eastAsia"/>
      </w:rPr>
    </w:lvl>
  </w:abstractNum>
  <w:abstractNum w:abstractNumId="1">
    <w:nsid w:val="BF205925"/>
    <w:multiLevelType w:val="multilevel"/>
    <w:tmpl w:val="BF205925"/>
    <w:lvl w:ilvl="0" w:tentative="0">
      <w:start w:val="1"/>
      <w:numFmt w:val="decimal"/>
      <w:pStyle w:val="31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C757308"/>
    <w:multiLevelType w:val="singleLevel"/>
    <w:tmpl w:val="CC757308"/>
    <w:lvl w:ilvl="0" w:tentative="0">
      <w:start w:val="1"/>
      <w:numFmt w:val="decimal"/>
      <w:lvlText w:val="%1."/>
      <w:lvlJc w:val="left"/>
      <w:pPr>
        <w:tabs>
          <w:tab w:val="left" w:pos="312"/>
        </w:tabs>
      </w:pPr>
    </w:lvl>
  </w:abstractNum>
  <w:abstractNum w:abstractNumId="3">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21"/>
      <w:suff w:val="nothing"/>
      <w:lvlText w:val=""/>
      <w:lvlJc w:val="left"/>
      <w:pPr>
        <w:ind w:left="0" w:firstLine="0"/>
      </w:pPr>
      <w:rPr>
        <w:rFonts w:hint="eastAsia"/>
      </w:rPr>
    </w:lvl>
    <w:lvl w:ilvl="6" w:tentative="0">
      <w:start w:val="1"/>
      <w:numFmt w:val="decimal"/>
      <w:pStyle w:val="222"/>
      <w:suff w:val="nothing"/>
      <w:lvlText w:val=""/>
      <w:lvlJc w:val="left"/>
      <w:pPr>
        <w:ind w:left="0" w:firstLine="0"/>
      </w:pPr>
      <w:rPr>
        <w:rFonts w:hint="eastAsia"/>
      </w:rPr>
    </w:lvl>
    <w:lvl w:ilvl="7" w:tentative="0">
      <w:start w:val="1"/>
      <w:numFmt w:val="decimal"/>
      <w:pStyle w:val="223"/>
      <w:suff w:val="nothing"/>
      <w:lvlText w:val=""/>
      <w:lvlJc w:val="left"/>
      <w:pPr>
        <w:ind w:left="0" w:firstLine="0"/>
      </w:pPr>
      <w:rPr>
        <w:rFonts w:hint="eastAsia"/>
      </w:rPr>
    </w:lvl>
    <w:lvl w:ilvl="8" w:tentative="0">
      <w:start w:val="1"/>
      <w:numFmt w:val="decimal"/>
      <w:pStyle w:val="224"/>
      <w:suff w:val="nothing"/>
      <w:lvlText w:val=""/>
      <w:lvlJc w:val="left"/>
      <w:pPr>
        <w:ind w:left="0" w:firstLine="0"/>
      </w:pPr>
      <w:rPr>
        <w:rFonts w:hint="eastAsia"/>
      </w:rPr>
    </w:lvl>
  </w:abstractNum>
  <w:abstractNum w:abstractNumId="4">
    <w:nsid w:val="E0937760"/>
    <w:multiLevelType w:val="singleLevel"/>
    <w:tmpl w:val="E0937760"/>
    <w:lvl w:ilvl="0" w:tentative="0">
      <w:start w:val="2"/>
      <w:numFmt w:val="decimal"/>
      <w:lvlText w:val="%1."/>
      <w:lvlJc w:val="left"/>
      <w:pPr>
        <w:tabs>
          <w:tab w:val="left" w:pos="312"/>
        </w:tabs>
      </w:pPr>
    </w:lvl>
  </w:abstractNum>
  <w:abstractNum w:abstractNumId="5">
    <w:nsid w:val="ECC24CDB"/>
    <w:multiLevelType w:val="singleLevel"/>
    <w:tmpl w:val="ECC24CDB"/>
    <w:lvl w:ilvl="0" w:tentative="0">
      <w:start w:val="9"/>
      <w:numFmt w:val="chineseCounting"/>
      <w:suff w:val="nothing"/>
      <w:lvlText w:val="%1、"/>
      <w:lvlJc w:val="left"/>
      <w:rPr>
        <w:rFonts w:hint="eastAsia"/>
      </w:rPr>
    </w:lvl>
  </w:abstractNum>
  <w:abstractNum w:abstractNumId="6">
    <w:nsid w:val="F70D257D"/>
    <w:multiLevelType w:val="singleLevel"/>
    <w:tmpl w:val="F70D257D"/>
    <w:lvl w:ilvl="0" w:tentative="0">
      <w:start w:val="1"/>
      <w:numFmt w:val="decimal"/>
      <w:suff w:val="nothing"/>
      <w:lvlText w:val="%1、"/>
      <w:lvlJc w:val="left"/>
    </w:lvl>
  </w:abstractNum>
  <w:abstractNum w:abstractNumId="7">
    <w:nsid w:val="0053208E"/>
    <w:multiLevelType w:val="multilevel"/>
    <w:tmpl w:val="0053208E"/>
    <w:lvl w:ilvl="0" w:tentative="0">
      <w:start w:val="1"/>
      <w:numFmt w:val="bullet"/>
      <w:pStyle w:val="18"/>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B057434"/>
    <w:multiLevelType w:val="singleLevel"/>
    <w:tmpl w:val="0B057434"/>
    <w:lvl w:ilvl="0" w:tentative="0">
      <w:start w:val="1"/>
      <w:numFmt w:val="decimal"/>
      <w:lvlText w:val="%1."/>
      <w:lvlJc w:val="left"/>
      <w:pPr>
        <w:ind w:left="425" w:hanging="425"/>
      </w:pPr>
      <w:rPr>
        <w:rFonts w:hint="default"/>
      </w:rPr>
    </w:lvl>
  </w:abstractNum>
  <w:abstractNum w:abstractNumId="9">
    <w:nsid w:val="59ADCABA"/>
    <w:multiLevelType w:val="multilevel"/>
    <w:tmpl w:val="59ADCABA"/>
    <w:lvl w:ilvl="0" w:tentative="0">
      <w:start w:val="1"/>
      <w:numFmt w:val="upperLetter"/>
      <w:pStyle w:val="29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EE27E0D"/>
    <w:multiLevelType w:val="multilevel"/>
    <w:tmpl w:val="7EE27E0D"/>
    <w:lvl w:ilvl="0" w:tentative="0">
      <w:start w:val="1"/>
      <w:numFmt w:val="decimal"/>
      <w:pStyle w:val="4"/>
      <w:lvlText w:val="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0"/>
  </w:num>
  <w:num w:numId="2">
    <w:abstractNumId w:val="7"/>
  </w:num>
  <w:num w:numId="3">
    <w:abstractNumId w:val="3"/>
  </w:num>
  <w:num w:numId="4">
    <w:abstractNumId w:val="9"/>
  </w:num>
  <w:num w:numId="5">
    <w:abstractNumId w:val="1"/>
  </w:num>
  <w:num w:numId="6">
    <w:abstractNumId w:val="0"/>
  </w:num>
  <w:num w:numId="7">
    <w:abstractNumId w:val="6"/>
  </w:num>
  <w:num w:numId="8">
    <w:abstractNumId w:val="4"/>
  </w:num>
  <w:num w:numId="9">
    <w:abstractNumId w:val="2"/>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EyNDc0NTExNGM2NDRlNjRjZjNhMzMyZDI5MzE0NDUifQ=="/>
    <w:docVar w:name="KSO_WPS_MARK_KEY" w:val="d99d4821-8950-44ea-b330-927fb38f722d"/>
  </w:docVars>
  <w:rsids>
    <w:rsidRoot w:val="007048AF"/>
    <w:rsid w:val="00001E67"/>
    <w:rsid w:val="0001002A"/>
    <w:rsid w:val="00013C8A"/>
    <w:rsid w:val="00017D5E"/>
    <w:rsid w:val="0002309B"/>
    <w:rsid w:val="00025E5B"/>
    <w:rsid w:val="00030876"/>
    <w:rsid w:val="00031D19"/>
    <w:rsid w:val="000343E8"/>
    <w:rsid w:val="00051318"/>
    <w:rsid w:val="000537CC"/>
    <w:rsid w:val="00073486"/>
    <w:rsid w:val="0009540A"/>
    <w:rsid w:val="00095B06"/>
    <w:rsid w:val="000966CE"/>
    <w:rsid w:val="000A7217"/>
    <w:rsid w:val="000B40C3"/>
    <w:rsid w:val="000B540B"/>
    <w:rsid w:val="000C0B28"/>
    <w:rsid w:val="000D57E4"/>
    <w:rsid w:val="000F2FF4"/>
    <w:rsid w:val="00102CC2"/>
    <w:rsid w:val="0011244B"/>
    <w:rsid w:val="0014066F"/>
    <w:rsid w:val="00165056"/>
    <w:rsid w:val="00190C78"/>
    <w:rsid w:val="00192750"/>
    <w:rsid w:val="00197A86"/>
    <w:rsid w:val="001B0E55"/>
    <w:rsid w:val="001C6F72"/>
    <w:rsid w:val="001E3637"/>
    <w:rsid w:val="001E6D7C"/>
    <w:rsid w:val="001F536C"/>
    <w:rsid w:val="00232A0B"/>
    <w:rsid w:val="00233052"/>
    <w:rsid w:val="002405C0"/>
    <w:rsid w:val="00252728"/>
    <w:rsid w:val="00260157"/>
    <w:rsid w:val="00267311"/>
    <w:rsid w:val="00267B75"/>
    <w:rsid w:val="00270E89"/>
    <w:rsid w:val="0027260C"/>
    <w:rsid w:val="00276803"/>
    <w:rsid w:val="00287297"/>
    <w:rsid w:val="002C11BA"/>
    <w:rsid w:val="002D21D8"/>
    <w:rsid w:val="00303461"/>
    <w:rsid w:val="00305451"/>
    <w:rsid w:val="0031500C"/>
    <w:rsid w:val="00315C29"/>
    <w:rsid w:val="00323B7F"/>
    <w:rsid w:val="00330488"/>
    <w:rsid w:val="0034625C"/>
    <w:rsid w:val="0034698E"/>
    <w:rsid w:val="00352D3C"/>
    <w:rsid w:val="00370869"/>
    <w:rsid w:val="00375BA6"/>
    <w:rsid w:val="00395AF9"/>
    <w:rsid w:val="003A1911"/>
    <w:rsid w:val="003A2F68"/>
    <w:rsid w:val="004013C6"/>
    <w:rsid w:val="00414CBA"/>
    <w:rsid w:val="00414FA6"/>
    <w:rsid w:val="00432F81"/>
    <w:rsid w:val="004332DF"/>
    <w:rsid w:val="004443D5"/>
    <w:rsid w:val="00447A6F"/>
    <w:rsid w:val="0045260F"/>
    <w:rsid w:val="00455FD4"/>
    <w:rsid w:val="00457A7C"/>
    <w:rsid w:val="00460C0C"/>
    <w:rsid w:val="004654C2"/>
    <w:rsid w:val="0047741D"/>
    <w:rsid w:val="00477D72"/>
    <w:rsid w:val="00483C02"/>
    <w:rsid w:val="004854D0"/>
    <w:rsid w:val="00485914"/>
    <w:rsid w:val="004A3662"/>
    <w:rsid w:val="004B22AE"/>
    <w:rsid w:val="004C2A43"/>
    <w:rsid w:val="004C5920"/>
    <w:rsid w:val="004D1221"/>
    <w:rsid w:val="004D319D"/>
    <w:rsid w:val="004D3F27"/>
    <w:rsid w:val="004E238A"/>
    <w:rsid w:val="005502BD"/>
    <w:rsid w:val="005742D0"/>
    <w:rsid w:val="00574CBB"/>
    <w:rsid w:val="00580B89"/>
    <w:rsid w:val="005850D3"/>
    <w:rsid w:val="005A13D2"/>
    <w:rsid w:val="005A46DA"/>
    <w:rsid w:val="005A5E2B"/>
    <w:rsid w:val="005A7B04"/>
    <w:rsid w:val="005B54B1"/>
    <w:rsid w:val="005E0DCB"/>
    <w:rsid w:val="005E3CF3"/>
    <w:rsid w:val="00602559"/>
    <w:rsid w:val="00614700"/>
    <w:rsid w:val="00617F37"/>
    <w:rsid w:val="0065151E"/>
    <w:rsid w:val="00657FB0"/>
    <w:rsid w:val="006703D6"/>
    <w:rsid w:val="00675ED7"/>
    <w:rsid w:val="00676285"/>
    <w:rsid w:val="00682CEB"/>
    <w:rsid w:val="006841F4"/>
    <w:rsid w:val="006D7AA7"/>
    <w:rsid w:val="006E644A"/>
    <w:rsid w:val="006F5915"/>
    <w:rsid w:val="007048AF"/>
    <w:rsid w:val="0073024C"/>
    <w:rsid w:val="007515D1"/>
    <w:rsid w:val="0076119C"/>
    <w:rsid w:val="00774607"/>
    <w:rsid w:val="00776109"/>
    <w:rsid w:val="00784772"/>
    <w:rsid w:val="007A25F0"/>
    <w:rsid w:val="007C7765"/>
    <w:rsid w:val="007D6320"/>
    <w:rsid w:val="00806DD8"/>
    <w:rsid w:val="00822D0B"/>
    <w:rsid w:val="00835FFD"/>
    <w:rsid w:val="00837E89"/>
    <w:rsid w:val="00843AEC"/>
    <w:rsid w:val="0086488C"/>
    <w:rsid w:val="00870C92"/>
    <w:rsid w:val="00871F93"/>
    <w:rsid w:val="008A2D84"/>
    <w:rsid w:val="008C5A3A"/>
    <w:rsid w:val="008D7C8E"/>
    <w:rsid w:val="008E65BD"/>
    <w:rsid w:val="00910063"/>
    <w:rsid w:val="009128EB"/>
    <w:rsid w:val="00913DEA"/>
    <w:rsid w:val="0091613F"/>
    <w:rsid w:val="00927A29"/>
    <w:rsid w:val="00932AAD"/>
    <w:rsid w:val="00934AD6"/>
    <w:rsid w:val="00956499"/>
    <w:rsid w:val="00962E58"/>
    <w:rsid w:val="00965710"/>
    <w:rsid w:val="00992ECB"/>
    <w:rsid w:val="009A3291"/>
    <w:rsid w:val="009A6B3F"/>
    <w:rsid w:val="009C1989"/>
    <w:rsid w:val="009C2340"/>
    <w:rsid w:val="009C560D"/>
    <w:rsid w:val="009D4D5E"/>
    <w:rsid w:val="00A0340F"/>
    <w:rsid w:val="00A05BE9"/>
    <w:rsid w:val="00A07FDD"/>
    <w:rsid w:val="00A12CC4"/>
    <w:rsid w:val="00A23415"/>
    <w:rsid w:val="00A23EFD"/>
    <w:rsid w:val="00A24013"/>
    <w:rsid w:val="00A259FD"/>
    <w:rsid w:val="00A26D58"/>
    <w:rsid w:val="00A50D40"/>
    <w:rsid w:val="00A510F7"/>
    <w:rsid w:val="00A52EAA"/>
    <w:rsid w:val="00A6071C"/>
    <w:rsid w:val="00A62364"/>
    <w:rsid w:val="00A652D0"/>
    <w:rsid w:val="00A72021"/>
    <w:rsid w:val="00A729EB"/>
    <w:rsid w:val="00A743E1"/>
    <w:rsid w:val="00A82D01"/>
    <w:rsid w:val="00AA04B1"/>
    <w:rsid w:val="00AA1B22"/>
    <w:rsid w:val="00AD0C97"/>
    <w:rsid w:val="00B03FBC"/>
    <w:rsid w:val="00B11BA8"/>
    <w:rsid w:val="00B2418C"/>
    <w:rsid w:val="00B56142"/>
    <w:rsid w:val="00B714E5"/>
    <w:rsid w:val="00B76189"/>
    <w:rsid w:val="00B96D2D"/>
    <w:rsid w:val="00BA4353"/>
    <w:rsid w:val="00BB0887"/>
    <w:rsid w:val="00BC660C"/>
    <w:rsid w:val="00C044C2"/>
    <w:rsid w:val="00C05D75"/>
    <w:rsid w:val="00C214D0"/>
    <w:rsid w:val="00C2152D"/>
    <w:rsid w:val="00C319FF"/>
    <w:rsid w:val="00C445C1"/>
    <w:rsid w:val="00C50F7A"/>
    <w:rsid w:val="00C73206"/>
    <w:rsid w:val="00C77DB1"/>
    <w:rsid w:val="00C9566E"/>
    <w:rsid w:val="00C96E15"/>
    <w:rsid w:val="00CA181A"/>
    <w:rsid w:val="00CB42D0"/>
    <w:rsid w:val="00CC7FF6"/>
    <w:rsid w:val="00CE56CA"/>
    <w:rsid w:val="00D156E6"/>
    <w:rsid w:val="00D321D1"/>
    <w:rsid w:val="00D3491F"/>
    <w:rsid w:val="00D36625"/>
    <w:rsid w:val="00D40EDC"/>
    <w:rsid w:val="00D707BB"/>
    <w:rsid w:val="00D842A5"/>
    <w:rsid w:val="00D849C5"/>
    <w:rsid w:val="00D84CEF"/>
    <w:rsid w:val="00DB3CA9"/>
    <w:rsid w:val="00DB5244"/>
    <w:rsid w:val="00DC37A4"/>
    <w:rsid w:val="00DE14CB"/>
    <w:rsid w:val="00DE1F77"/>
    <w:rsid w:val="00DE68D0"/>
    <w:rsid w:val="00E04C0E"/>
    <w:rsid w:val="00E220ED"/>
    <w:rsid w:val="00E276BD"/>
    <w:rsid w:val="00E74D6B"/>
    <w:rsid w:val="00E76664"/>
    <w:rsid w:val="00E87552"/>
    <w:rsid w:val="00E95A20"/>
    <w:rsid w:val="00EB16FD"/>
    <w:rsid w:val="00EB4D52"/>
    <w:rsid w:val="00ED0817"/>
    <w:rsid w:val="00ED25E7"/>
    <w:rsid w:val="00ED391D"/>
    <w:rsid w:val="00ED60C5"/>
    <w:rsid w:val="00EE5FE0"/>
    <w:rsid w:val="00EE6C03"/>
    <w:rsid w:val="00F24840"/>
    <w:rsid w:val="00F25E34"/>
    <w:rsid w:val="00F364AC"/>
    <w:rsid w:val="00F42898"/>
    <w:rsid w:val="00F44EF4"/>
    <w:rsid w:val="00F57FFD"/>
    <w:rsid w:val="00F640C5"/>
    <w:rsid w:val="00F70931"/>
    <w:rsid w:val="00F77599"/>
    <w:rsid w:val="00FA3DA4"/>
    <w:rsid w:val="00FA641C"/>
    <w:rsid w:val="00FA65F8"/>
    <w:rsid w:val="00FC58F0"/>
    <w:rsid w:val="00FF354F"/>
    <w:rsid w:val="01C23D3E"/>
    <w:rsid w:val="04787C5D"/>
    <w:rsid w:val="059C797B"/>
    <w:rsid w:val="05FA5CD3"/>
    <w:rsid w:val="061045D3"/>
    <w:rsid w:val="06A641D4"/>
    <w:rsid w:val="07485E01"/>
    <w:rsid w:val="086847DA"/>
    <w:rsid w:val="086E69DA"/>
    <w:rsid w:val="08C42554"/>
    <w:rsid w:val="0963387B"/>
    <w:rsid w:val="0A6F565E"/>
    <w:rsid w:val="0AB767B7"/>
    <w:rsid w:val="0B6F0DBA"/>
    <w:rsid w:val="0BA51678"/>
    <w:rsid w:val="0DF838A5"/>
    <w:rsid w:val="0E4A2A23"/>
    <w:rsid w:val="0FAB7EAB"/>
    <w:rsid w:val="0FBB6C18"/>
    <w:rsid w:val="11241C6E"/>
    <w:rsid w:val="116662E4"/>
    <w:rsid w:val="15321265"/>
    <w:rsid w:val="15DD5B72"/>
    <w:rsid w:val="19234009"/>
    <w:rsid w:val="196439D9"/>
    <w:rsid w:val="1A622AE9"/>
    <w:rsid w:val="1B360BF1"/>
    <w:rsid w:val="1B542D7A"/>
    <w:rsid w:val="1B6D4F1A"/>
    <w:rsid w:val="1B85367A"/>
    <w:rsid w:val="1BF16E61"/>
    <w:rsid w:val="1F010305"/>
    <w:rsid w:val="20427863"/>
    <w:rsid w:val="207B02E1"/>
    <w:rsid w:val="20BC3C2E"/>
    <w:rsid w:val="21162880"/>
    <w:rsid w:val="21CF5D55"/>
    <w:rsid w:val="22211F08"/>
    <w:rsid w:val="22497EC3"/>
    <w:rsid w:val="22593B57"/>
    <w:rsid w:val="23496F3C"/>
    <w:rsid w:val="25070E5D"/>
    <w:rsid w:val="26F23447"/>
    <w:rsid w:val="272C5A7E"/>
    <w:rsid w:val="294376C3"/>
    <w:rsid w:val="29A2391A"/>
    <w:rsid w:val="29CB3202"/>
    <w:rsid w:val="2A1E224B"/>
    <w:rsid w:val="2A636B36"/>
    <w:rsid w:val="2BCA4134"/>
    <w:rsid w:val="2BFA7026"/>
    <w:rsid w:val="2C2A5317"/>
    <w:rsid w:val="2C5A5D16"/>
    <w:rsid w:val="2C6764B4"/>
    <w:rsid w:val="2D3A79CE"/>
    <w:rsid w:val="2FF938A9"/>
    <w:rsid w:val="30470360"/>
    <w:rsid w:val="321B5E04"/>
    <w:rsid w:val="32B75F4A"/>
    <w:rsid w:val="33A8793A"/>
    <w:rsid w:val="34902BCC"/>
    <w:rsid w:val="34E90E59"/>
    <w:rsid w:val="359C5394"/>
    <w:rsid w:val="35E5152D"/>
    <w:rsid w:val="35EC4F30"/>
    <w:rsid w:val="362A675A"/>
    <w:rsid w:val="38D97FC3"/>
    <w:rsid w:val="39DC0765"/>
    <w:rsid w:val="39FA5E4A"/>
    <w:rsid w:val="3A375B05"/>
    <w:rsid w:val="3ADB67D5"/>
    <w:rsid w:val="3AF56825"/>
    <w:rsid w:val="3B471B5C"/>
    <w:rsid w:val="3BF5740E"/>
    <w:rsid w:val="3E4157CD"/>
    <w:rsid w:val="3E8C6EE9"/>
    <w:rsid w:val="3F89620E"/>
    <w:rsid w:val="41770876"/>
    <w:rsid w:val="41E77BF5"/>
    <w:rsid w:val="426E184F"/>
    <w:rsid w:val="42DD7B15"/>
    <w:rsid w:val="44CB02B1"/>
    <w:rsid w:val="4663243C"/>
    <w:rsid w:val="47050677"/>
    <w:rsid w:val="474B6530"/>
    <w:rsid w:val="47AC2A69"/>
    <w:rsid w:val="47F07774"/>
    <w:rsid w:val="47FC7499"/>
    <w:rsid w:val="4A851D59"/>
    <w:rsid w:val="4CD439BA"/>
    <w:rsid w:val="4E1D622A"/>
    <w:rsid w:val="50147B70"/>
    <w:rsid w:val="50C3563B"/>
    <w:rsid w:val="51212C7A"/>
    <w:rsid w:val="51695F30"/>
    <w:rsid w:val="51BD0C45"/>
    <w:rsid w:val="532362DC"/>
    <w:rsid w:val="535260A0"/>
    <w:rsid w:val="53E47DAA"/>
    <w:rsid w:val="55891AE0"/>
    <w:rsid w:val="569E68CA"/>
    <w:rsid w:val="583A4F4D"/>
    <w:rsid w:val="5872585D"/>
    <w:rsid w:val="59181689"/>
    <w:rsid w:val="5A44753A"/>
    <w:rsid w:val="5AB022A5"/>
    <w:rsid w:val="5AC73CC7"/>
    <w:rsid w:val="5B5C1997"/>
    <w:rsid w:val="5C21236A"/>
    <w:rsid w:val="5C9D42AD"/>
    <w:rsid w:val="5E55665B"/>
    <w:rsid w:val="5E841A19"/>
    <w:rsid w:val="60497FE7"/>
    <w:rsid w:val="60F30774"/>
    <w:rsid w:val="618E553F"/>
    <w:rsid w:val="61DA2CD5"/>
    <w:rsid w:val="65516FAF"/>
    <w:rsid w:val="66241EAC"/>
    <w:rsid w:val="664E3F70"/>
    <w:rsid w:val="67284168"/>
    <w:rsid w:val="67CF02C1"/>
    <w:rsid w:val="685B6F40"/>
    <w:rsid w:val="6880077A"/>
    <w:rsid w:val="68EB6E5B"/>
    <w:rsid w:val="68ED2D91"/>
    <w:rsid w:val="68F154E4"/>
    <w:rsid w:val="6B882FFF"/>
    <w:rsid w:val="6B8A42F6"/>
    <w:rsid w:val="6C3062DB"/>
    <w:rsid w:val="6D95001C"/>
    <w:rsid w:val="6F6042B4"/>
    <w:rsid w:val="6F7A7103"/>
    <w:rsid w:val="6FC03E2E"/>
    <w:rsid w:val="700D0B78"/>
    <w:rsid w:val="707F2C23"/>
    <w:rsid w:val="7161493C"/>
    <w:rsid w:val="71E80C9B"/>
    <w:rsid w:val="71F63298"/>
    <w:rsid w:val="729E18DB"/>
    <w:rsid w:val="753C17D5"/>
    <w:rsid w:val="754F341A"/>
    <w:rsid w:val="7574238E"/>
    <w:rsid w:val="759565B2"/>
    <w:rsid w:val="762A052D"/>
    <w:rsid w:val="76DD64ED"/>
    <w:rsid w:val="77A56891"/>
    <w:rsid w:val="79BF1AED"/>
    <w:rsid w:val="7B0E56DB"/>
    <w:rsid w:val="7C513309"/>
    <w:rsid w:val="7E0422D9"/>
    <w:rsid w:val="7E7C29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90"/>
    <w:unhideWhenUsed/>
    <w:qFormat/>
    <w:uiPriority w:val="9"/>
    <w:pPr>
      <w:keepNext/>
      <w:keepLines/>
      <w:numPr>
        <w:ilvl w:val="0"/>
        <w:numId w:val="1"/>
      </w:numPr>
      <w:outlineLvl w:val="1"/>
    </w:pPr>
    <w:rPr>
      <w:rFonts w:ascii="Arial" w:hAnsi="Arial" w:cs="Arial" w:eastAsiaTheme="minorEastAsia"/>
      <w:sz w:val="28"/>
    </w:rPr>
  </w:style>
  <w:style w:type="paragraph" w:styleId="5">
    <w:name w:val="heading 3"/>
    <w:basedOn w:val="1"/>
    <w:next w:val="1"/>
    <w:link w:val="9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5"/>
    <w:next w:val="1"/>
    <w:link w:val="92"/>
    <w:unhideWhenUsed/>
    <w:qFormat/>
    <w:uiPriority w:val="9"/>
    <w:pPr>
      <w:outlineLvl w:val="3"/>
    </w:pPr>
    <w:rPr>
      <w:b/>
      <w:bCs/>
      <w:sz w:val="26"/>
      <w:szCs w:val="26"/>
    </w:rPr>
  </w:style>
  <w:style w:type="paragraph" w:styleId="7">
    <w:name w:val="heading 5"/>
    <w:basedOn w:val="1"/>
    <w:next w:val="1"/>
    <w:link w:val="9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7"/>
    <w:unhideWhenUsed/>
    <w:qFormat/>
    <w:uiPriority w:val="9"/>
    <w:pPr>
      <w:keepNext/>
      <w:keepLines/>
      <w:spacing w:before="320" w:after="200"/>
      <w:outlineLvl w:val="8"/>
    </w:pPr>
    <w:rPr>
      <w:rFonts w:ascii="Arial" w:hAnsi="Arial" w:eastAsia="Arial" w:cs="Arial"/>
      <w:i/>
      <w:iCs/>
    </w:rPr>
  </w:style>
  <w:style w:type="character" w:default="1" w:styleId="40">
    <w:name w:val="Default Paragraph Font"/>
    <w:semiHidden/>
    <w:unhideWhenUsed/>
    <w:qFormat/>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customStyle="1" w:styleId="2">
    <w:name w:val="Default"/>
    <w:next w:val="1"/>
    <w:qFormat/>
    <w:uiPriority w:val="0"/>
    <w:pPr>
      <w:widowControl w:val="0"/>
    </w:pPr>
    <w:rPr>
      <w:rFonts w:ascii="宋体" w:hAnsi="Times New Roman" w:eastAsia="宋体" w:cs="宋体"/>
      <w:color w:val="000000"/>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Normal Indent"/>
    <w:basedOn w:val="1"/>
    <w:next w:val="1"/>
    <w:link w:val="333"/>
    <w:unhideWhenUsed/>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qFormat/>
    <w:uiPriority w:val="0"/>
    <w:rPr>
      <w:rFonts w:ascii="楷体_GB2312" w:hAnsi="Arial" w:eastAsia="楷体_GB2312"/>
      <w:sz w:val="28"/>
      <w:szCs w:val="28"/>
    </w:rPr>
  </w:style>
  <w:style w:type="paragraph" w:styleId="17">
    <w:name w:val="Body Text Indent"/>
    <w:basedOn w:val="1"/>
    <w:qFormat/>
    <w:uiPriority w:val="0"/>
    <w:pPr>
      <w:spacing w:line="200" w:lineRule="exact"/>
      <w:ind w:firstLine="301"/>
    </w:pPr>
    <w:rPr>
      <w:rFonts w:ascii="宋体" w:hAnsi="Courier New"/>
      <w:spacing w:val="-4"/>
      <w:sz w:val="18"/>
      <w:szCs w:val="20"/>
    </w:rPr>
  </w:style>
  <w:style w:type="paragraph" w:styleId="18">
    <w:name w:val="List Bullet 2"/>
    <w:basedOn w:val="1"/>
    <w:semiHidden/>
    <w:unhideWhenUsed/>
    <w:qFormat/>
    <w:uiPriority w:val="99"/>
    <w:pPr>
      <w:numPr>
        <w:ilvl w:val="0"/>
        <w:numId w:val="2"/>
      </w:numPr>
    </w:pPr>
  </w:style>
  <w:style w:type="paragraph" w:styleId="19">
    <w:name w:val="index 4"/>
    <w:basedOn w:val="1"/>
    <w:next w:val="1"/>
    <w:qFormat/>
    <w:uiPriority w:val="0"/>
    <w:pPr>
      <w:spacing w:line="360" w:lineRule="auto"/>
      <w:ind w:left="600" w:firstLine="200"/>
    </w:pPr>
    <w:rPr>
      <w:rFonts w:ascii="等线" w:hAnsi="等线" w:eastAsia="等线"/>
      <w:sz w:val="24"/>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Date"/>
    <w:basedOn w:val="1"/>
    <w:next w:val="1"/>
    <w:link w:val="341"/>
    <w:semiHidden/>
    <w:unhideWhenUsed/>
    <w:qFormat/>
    <w:uiPriority w:val="99"/>
    <w:pPr>
      <w:ind w:left="100" w:leftChars="2500"/>
    </w:pPr>
  </w:style>
  <w:style w:type="paragraph" w:styleId="24">
    <w:name w:val="endnote text"/>
    <w:basedOn w:val="1"/>
    <w:link w:val="216"/>
    <w:semiHidden/>
    <w:unhideWhenUsed/>
    <w:qFormat/>
    <w:uiPriority w:val="99"/>
    <w:rPr>
      <w:sz w:val="20"/>
    </w:rPr>
  </w:style>
  <w:style w:type="paragraph" w:styleId="25">
    <w:name w:val="Balloon Text"/>
    <w:basedOn w:val="1"/>
    <w:link w:val="339"/>
    <w:semiHidden/>
    <w:unhideWhenUsed/>
    <w:qFormat/>
    <w:uiPriority w:val="99"/>
    <w:rPr>
      <w:sz w:val="18"/>
      <w:szCs w:val="18"/>
    </w:rPr>
  </w:style>
  <w:style w:type="paragraph" w:styleId="26">
    <w:name w:val="footer"/>
    <w:basedOn w:val="1"/>
    <w:link w:val="108"/>
    <w:unhideWhenUsed/>
    <w:qFormat/>
    <w:uiPriority w:val="99"/>
    <w:pPr>
      <w:tabs>
        <w:tab w:val="center" w:pos="7143"/>
        <w:tab w:val="right" w:pos="14287"/>
      </w:tabs>
    </w:pPr>
  </w:style>
  <w:style w:type="paragraph" w:styleId="27">
    <w:name w:val="header"/>
    <w:basedOn w:val="1"/>
    <w:link w:val="106"/>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01"/>
    <w:qFormat/>
    <w:uiPriority w:val="11"/>
    <w:pPr>
      <w:spacing w:before="200" w:after="200"/>
    </w:pPr>
    <w:rPr>
      <w:sz w:val="24"/>
      <w:szCs w:val="24"/>
    </w:rPr>
  </w:style>
  <w:style w:type="paragraph" w:styleId="31">
    <w:name w:val="footnote text"/>
    <w:basedOn w:val="1"/>
    <w:link w:val="215"/>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rPr>
      <w:sz w:val="24"/>
    </w:rPr>
  </w:style>
  <w:style w:type="paragraph" w:styleId="37">
    <w:name w:val="Title"/>
    <w:basedOn w:val="1"/>
    <w:next w:val="1"/>
    <w:link w:val="100"/>
    <w:qFormat/>
    <w:uiPriority w:val="10"/>
    <w:pPr>
      <w:spacing w:before="300" w:after="200"/>
      <w:contextualSpacing/>
    </w:pPr>
    <w:rPr>
      <w:sz w:val="48"/>
      <w:szCs w:val="48"/>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40"/>
    <w:semiHidden/>
    <w:unhideWhenUsed/>
    <w:qFormat/>
    <w:uiPriority w:val="99"/>
    <w:rPr>
      <w:sz w:val="21"/>
      <w:szCs w:val="21"/>
    </w:rPr>
  </w:style>
  <w:style w:type="character" w:styleId="45">
    <w:name w:val="footnote reference"/>
    <w:unhideWhenUsed/>
    <w:qFormat/>
    <w:uiPriority w:val="99"/>
    <w:rPr>
      <w:vertAlign w:val="superscript"/>
    </w:rPr>
  </w:style>
  <w:style w:type="paragraph" w:customStyle="1" w:styleId="46">
    <w:name w:val="标题 31"/>
    <w:basedOn w:val="1"/>
    <w:next w:val="1"/>
    <w:link w:val="47"/>
    <w:qFormat/>
    <w:uiPriority w:val="0"/>
    <w:pPr>
      <w:keepNext/>
      <w:keepLines/>
      <w:spacing w:before="100" w:beforeLines="100"/>
      <w:ind w:firstLine="1687" w:firstLineChars="200"/>
      <w:outlineLvl w:val="2"/>
    </w:pPr>
    <w:rPr>
      <w:b/>
      <w:bCs/>
      <w:sz w:val="30"/>
      <w:szCs w:val="32"/>
    </w:rPr>
  </w:style>
  <w:style w:type="character" w:customStyle="1" w:styleId="47">
    <w:name w:val="标题 3 Char"/>
    <w:link w:val="46"/>
    <w:qFormat/>
    <w:uiPriority w:val="0"/>
    <w:rPr>
      <w:rFonts w:ascii="Times New Roman" w:hAnsi="Times New Roman" w:eastAsia="宋体" w:cs="Times New Roman"/>
      <w:b/>
      <w:bCs/>
      <w:sz w:val="30"/>
      <w:szCs w:val="32"/>
    </w:rPr>
  </w:style>
  <w:style w:type="character" w:customStyle="1" w:styleId="48">
    <w:name w:val="标题 1 字符"/>
    <w:link w:val="3"/>
    <w:qFormat/>
    <w:uiPriority w:val="9"/>
    <w:rPr>
      <w:rFonts w:ascii="Arial" w:hAnsi="Arial" w:eastAsia="Arial" w:cs="Arial"/>
      <w:sz w:val="40"/>
      <w:szCs w:val="40"/>
    </w:rPr>
  </w:style>
  <w:style w:type="character" w:customStyle="1" w:styleId="49">
    <w:name w:val="标题 2 Char"/>
    <w:link w:val="50"/>
    <w:qFormat/>
    <w:uiPriority w:val="0"/>
    <w:rPr>
      <w:rFonts w:ascii="Arial" w:hAnsi="Arial" w:eastAsia="幼圆" w:cs="Arial"/>
      <w:b/>
      <w:bCs/>
      <w:sz w:val="44"/>
      <w:szCs w:val="44"/>
    </w:rPr>
  </w:style>
  <w:style w:type="paragraph" w:customStyle="1" w:styleId="50">
    <w:name w:val="标题 21"/>
    <w:basedOn w:val="1"/>
    <w:next w:val="1"/>
    <w:link w:val="49"/>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51">
    <w:name w:val="标题 1 Char"/>
    <w:link w:val="52"/>
    <w:qFormat/>
    <w:uiPriority w:val="0"/>
    <w:rPr>
      <w:rFonts w:ascii="楷体_GB2312" w:hAnsi="Times New Roman" w:eastAsia="楷体_GB2312" w:cs="Times New Roman"/>
      <w:sz w:val="28"/>
      <w:szCs w:val="28"/>
    </w:rPr>
  </w:style>
  <w:style w:type="paragraph" w:customStyle="1" w:styleId="52">
    <w:name w:val="标题 11"/>
    <w:basedOn w:val="1"/>
    <w:next w:val="1"/>
    <w:link w:val="51"/>
    <w:qFormat/>
    <w:uiPriority w:val="0"/>
    <w:pPr>
      <w:keepNext/>
      <w:jc w:val="center"/>
      <w:outlineLvl w:val="0"/>
    </w:pPr>
    <w:rPr>
      <w:rFonts w:ascii="楷体_GB2312" w:eastAsia="楷体_GB2312"/>
      <w:sz w:val="28"/>
      <w:szCs w:val="28"/>
    </w:rPr>
  </w:style>
  <w:style w:type="character" w:customStyle="1" w:styleId="53">
    <w:name w:val="Heading 1 Char"/>
    <w:basedOn w:val="40"/>
    <w:qFormat/>
    <w:uiPriority w:val="9"/>
    <w:rPr>
      <w:rFonts w:ascii="Arial" w:hAnsi="Arial" w:eastAsia="Arial" w:cs="Arial"/>
      <w:sz w:val="40"/>
      <w:szCs w:val="40"/>
    </w:rPr>
  </w:style>
  <w:style w:type="character" w:customStyle="1" w:styleId="54">
    <w:name w:val="Heading 2 Char"/>
    <w:basedOn w:val="40"/>
    <w:qFormat/>
    <w:uiPriority w:val="9"/>
    <w:rPr>
      <w:rFonts w:ascii="Arial" w:hAnsi="Arial" w:eastAsia="Arial" w:cs="Arial"/>
      <w:sz w:val="34"/>
    </w:rPr>
  </w:style>
  <w:style w:type="character" w:customStyle="1" w:styleId="55">
    <w:name w:val="Heading 3 Char"/>
    <w:basedOn w:val="40"/>
    <w:qFormat/>
    <w:uiPriority w:val="9"/>
    <w:rPr>
      <w:rFonts w:ascii="Arial" w:hAnsi="Arial" w:eastAsia="Arial" w:cs="Arial"/>
      <w:sz w:val="30"/>
      <w:szCs w:val="30"/>
    </w:rPr>
  </w:style>
  <w:style w:type="character" w:customStyle="1" w:styleId="56">
    <w:name w:val="Heading 4 Char"/>
    <w:basedOn w:val="40"/>
    <w:qFormat/>
    <w:uiPriority w:val="9"/>
    <w:rPr>
      <w:rFonts w:ascii="Arial" w:hAnsi="Arial" w:eastAsia="Arial" w:cs="Arial"/>
      <w:b/>
      <w:bCs/>
      <w:sz w:val="26"/>
      <w:szCs w:val="26"/>
    </w:rPr>
  </w:style>
  <w:style w:type="character" w:customStyle="1" w:styleId="57">
    <w:name w:val="Heading 5 Char"/>
    <w:basedOn w:val="40"/>
    <w:qFormat/>
    <w:uiPriority w:val="9"/>
    <w:rPr>
      <w:rFonts w:ascii="Arial" w:hAnsi="Arial" w:eastAsia="Arial" w:cs="Arial"/>
      <w:b/>
      <w:bCs/>
      <w:sz w:val="24"/>
      <w:szCs w:val="24"/>
    </w:rPr>
  </w:style>
  <w:style w:type="character" w:customStyle="1" w:styleId="58">
    <w:name w:val="Heading 6 Char"/>
    <w:basedOn w:val="40"/>
    <w:qFormat/>
    <w:uiPriority w:val="9"/>
    <w:rPr>
      <w:rFonts w:ascii="Arial" w:hAnsi="Arial" w:eastAsia="Arial" w:cs="Arial"/>
      <w:b/>
      <w:bCs/>
      <w:sz w:val="22"/>
      <w:szCs w:val="22"/>
    </w:rPr>
  </w:style>
  <w:style w:type="character" w:customStyle="1" w:styleId="59">
    <w:name w:val="Heading 7 Char"/>
    <w:basedOn w:val="40"/>
    <w:qFormat/>
    <w:uiPriority w:val="9"/>
    <w:rPr>
      <w:rFonts w:ascii="Arial" w:hAnsi="Arial" w:eastAsia="Arial" w:cs="Arial"/>
      <w:b/>
      <w:bCs/>
      <w:i/>
      <w:iCs/>
      <w:sz w:val="22"/>
      <w:szCs w:val="22"/>
    </w:rPr>
  </w:style>
  <w:style w:type="character" w:customStyle="1" w:styleId="60">
    <w:name w:val="Heading 8 Char"/>
    <w:basedOn w:val="40"/>
    <w:qFormat/>
    <w:uiPriority w:val="9"/>
    <w:rPr>
      <w:rFonts w:ascii="Arial" w:hAnsi="Arial" w:eastAsia="Arial" w:cs="Arial"/>
      <w:i/>
      <w:iCs/>
      <w:sz w:val="22"/>
      <w:szCs w:val="22"/>
    </w:rPr>
  </w:style>
  <w:style w:type="character" w:customStyle="1" w:styleId="61">
    <w:name w:val="Heading 9 Char"/>
    <w:basedOn w:val="40"/>
    <w:qFormat/>
    <w:uiPriority w:val="9"/>
    <w:rPr>
      <w:rFonts w:ascii="Arial" w:hAnsi="Arial" w:eastAsia="Arial" w:cs="Arial"/>
      <w:i/>
      <w:iCs/>
      <w:sz w:val="21"/>
      <w:szCs w:val="21"/>
    </w:rPr>
  </w:style>
  <w:style w:type="character" w:customStyle="1" w:styleId="62">
    <w:name w:val="Title Char"/>
    <w:basedOn w:val="40"/>
    <w:qFormat/>
    <w:uiPriority w:val="10"/>
    <w:rPr>
      <w:sz w:val="48"/>
      <w:szCs w:val="48"/>
    </w:rPr>
  </w:style>
  <w:style w:type="character" w:customStyle="1" w:styleId="63">
    <w:name w:val="Subtitle Char"/>
    <w:basedOn w:val="40"/>
    <w:qFormat/>
    <w:uiPriority w:val="11"/>
    <w:rPr>
      <w:sz w:val="24"/>
      <w:szCs w:val="24"/>
    </w:rPr>
  </w:style>
  <w:style w:type="character" w:customStyle="1" w:styleId="64">
    <w:name w:val="Quote Char"/>
    <w:qFormat/>
    <w:uiPriority w:val="29"/>
    <w:rPr>
      <w:i/>
    </w:rPr>
  </w:style>
  <w:style w:type="character" w:customStyle="1" w:styleId="65">
    <w:name w:val="Intense Quote Char"/>
    <w:qFormat/>
    <w:uiPriority w:val="30"/>
    <w:rPr>
      <w:i/>
    </w:rPr>
  </w:style>
  <w:style w:type="character" w:customStyle="1" w:styleId="66">
    <w:name w:val="Header Char"/>
    <w:basedOn w:val="40"/>
    <w:qFormat/>
    <w:uiPriority w:val="99"/>
  </w:style>
  <w:style w:type="character" w:customStyle="1" w:styleId="67">
    <w:name w:val="Caption Char"/>
    <w:qFormat/>
    <w:uiPriority w:val="99"/>
  </w:style>
  <w:style w:type="table" w:customStyle="1" w:styleId="68">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basedOn w:val="38"/>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basedOn w:val="38"/>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basedOn w:val="38"/>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8">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清单表 1 浅色1"/>
    <w:basedOn w:val="38"/>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1">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3">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5">
    <w:name w:val="清单表 6 彩色1"/>
    <w:basedOn w:val="38"/>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6">
    <w:name w:val="清单表 7 彩色1"/>
    <w:basedOn w:val="38"/>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7">
    <w:name w:val="Footnote Text Char"/>
    <w:qFormat/>
    <w:uiPriority w:val="99"/>
    <w:rPr>
      <w:sz w:val="18"/>
    </w:rPr>
  </w:style>
  <w:style w:type="character" w:customStyle="1" w:styleId="88">
    <w:name w:val="Endnote Text Char"/>
    <w:qFormat/>
    <w:uiPriority w:val="99"/>
    <w:rPr>
      <w:sz w:val="20"/>
    </w:rPr>
  </w:style>
  <w:style w:type="paragraph" w:customStyle="1" w:styleId="89">
    <w:name w:val="TOC 标题1"/>
    <w:unhideWhenUsed/>
    <w:qFormat/>
    <w:uiPriority w:val="39"/>
    <w:rPr>
      <w:rFonts w:ascii="Times New Roman" w:hAnsi="Times New Roman" w:eastAsia="宋体" w:cs="Times New Roman"/>
      <w:lang w:val="en-US" w:eastAsia="zh-CN" w:bidi="ar-SA"/>
    </w:rPr>
  </w:style>
  <w:style w:type="character" w:customStyle="1" w:styleId="90">
    <w:name w:val="标题 2 字符"/>
    <w:link w:val="4"/>
    <w:qFormat/>
    <w:uiPriority w:val="9"/>
    <w:rPr>
      <w:rFonts w:ascii="Arial" w:hAnsi="Arial" w:cs="Arial" w:eastAsiaTheme="minorEastAsia"/>
      <w:sz w:val="28"/>
      <w:szCs w:val="21"/>
    </w:rPr>
  </w:style>
  <w:style w:type="character" w:customStyle="1" w:styleId="91">
    <w:name w:val="标题 3 字符"/>
    <w:link w:val="5"/>
    <w:qFormat/>
    <w:uiPriority w:val="9"/>
    <w:rPr>
      <w:rFonts w:ascii="Arial" w:hAnsi="Arial" w:eastAsia="Arial" w:cs="Arial"/>
      <w:sz w:val="30"/>
      <w:szCs w:val="30"/>
    </w:rPr>
  </w:style>
  <w:style w:type="character" w:customStyle="1" w:styleId="92">
    <w:name w:val="标题 4 字符"/>
    <w:link w:val="6"/>
    <w:qFormat/>
    <w:uiPriority w:val="9"/>
    <w:rPr>
      <w:rFonts w:ascii="Arial" w:hAnsi="Arial" w:eastAsia="Arial" w:cs="Arial"/>
      <w:b/>
      <w:bCs/>
      <w:sz w:val="26"/>
      <w:szCs w:val="26"/>
    </w:rPr>
  </w:style>
  <w:style w:type="character" w:customStyle="1" w:styleId="93">
    <w:name w:val="标题 5 字符"/>
    <w:link w:val="7"/>
    <w:qFormat/>
    <w:uiPriority w:val="9"/>
    <w:rPr>
      <w:rFonts w:ascii="Arial" w:hAnsi="Arial" w:eastAsia="Arial" w:cs="Arial"/>
      <w:b/>
      <w:bCs/>
      <w:sz w:val="24"/>
      <w:szCs w:val="24"/>
    </w:rPr>
  </w:style>
  <w:style w:type="character" w:customStyle="1" w:styleId="94">
    <w:name w:val="标题 6 字符"/>
    <w:link w:val="8"/>
    <w:qFormat/>
    <w:uiPriority w:val="9"/>
    <w:rPr>
      <w:rFonts w:ascii="Arial" w:hAnsi="Arial" w:eastAsia="Arial" w:cs="Arial"/>
      <w:b/>
      <w:bCs/>
      <w:sz w:val="22"/>
      <w:szCs w:val="22"/>
    </w:rPr>
  </w:style>
  <w:style w:type="character" w:customStyle="1" w:styleId="95">
    <w:name w:val="标题 7 字符"/>
    <w:link w:val="9"/>
    <w:qFormat/>
    <w:uiPriority w:val="9"/>
    <w:rPr>
      <w:rFonts w:ascii="Arial" w:hAnsi="Arial" w:eastAsia="Arial" w:cs="Arial"/>
      <w:b/>
      <w:bCs/>
      <w:i/>
      <w:iCs/>
      <w:sz w:val="22"/>
      <w:szCs w:val="22"/>
    </w:rPr>
  </w:style>
  <w:style w:type="character" w:customStyle="1" w:styleId="96">
    <w:name w:val="标题 8 字符"/>
    <w:link w:val="10"/>
    <w:qFormat/>
    <w:uiPriority w:val="9"/>
    <w:rPr>
      <w:rFonts w:ascii="Arial" w:hAnsi="Arial" w:eastAsia="Arial" w:cs="Arial"/>
      <w:i/>
      <w:iCs/>
      <w:sz w:val="22"/>
      <w:szCs w:val="22"/>
    </w:rPr>
  </w:style>
  <w:style w:type="character" w:customStyle="1" w:styleId="97">
    <w:name w:val="标题 9 字符"/>
    <w:link w:val="11"/>
    <w:qFormat/>
    <w:uiPriority w:val="9"/>
    <w:rPr>
      <w:rFonts w:ascii="Arial" w:hAnsi="Arial" w:eastAsia="Arial" w:cs="Arial"/>
      <w:i/>
      <w:iCs/>
      <w:sz w:val="21"/>
      <w:szCs w:val="21"/>
    </w:rPr>
  </w:style>
  <w:style w:type="paragraph" w:styleId="98">
    <w:name w:val="List Paragraph"/>
    <w:basedOn w:val="1"/>
    <w:qFormat/>
    <w:uiPriority w:val="34"/>
    <w:pPr>
      <w:ind w:left="720"/>
      <w:contextualSpacing/>
    </w:pPr>
  </w:style>
  <w:style w:type="paragraph" w:styleId="99">
    <w:name w:val="No Spacing"/>
    <w:qFormat/>
    <w:uiPriority w:val="1"/>
    <w:rPr>
      <w:rFonts w:ascii="Calibri" w:hAnsi="Calibri" w:eastAsia="宋体" w:cs="Times New Roman"/>
      <w:lang w:val="en-US" w:eastAsia="zh-CN" w:bidi="ar-SA"/>
    </w:rPr>
  </w:style>
  <w:style w:type="character" w:customStyle="1" w:styleId="100">
    <w:name w:val="标题 字符"/>
    <w:link w:val="37"/>
    <w:qFormat/>
    <w:uiPriority w:val="10"/>
    <w:rPr>
      <w:sz w:val="48"/>
      <w:szCs w:val="48"/>
    </w:rPr>
  </w:style>
  <w:style w:type="character" w:customStyle="1" w:styleId="101">
    <w:name w:val="副标题 字符"/>
    <w:link w:val="30"/>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字符"/>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字符"/>
    <w:link w:val="104"/>
    <w:qFormat/>
    <w:uiPriority w:val="30"/>
    <w:rPr>
      <w:i/>
    </w:rPr>
  </w:style>
  <w:style w:type="character" w:customStyle="1" w:styleId="106">
    <w:name w:val="页眉 字符"/>
    <w:link w:val="27"/>
    <w:qFormat/>
    <w:uiPriority w:val="99"/>
  </w:style>
  <w:style w:type="character" w:customStyle="1" w:styleId="107">
    <w:name w:val="Footer Char"/>
    <w:qFormat/>
    <w:uiPriority w:val="99"/>
  </w:style>
  <w:style w:type="character" w:customStyle="1" w:styleId="108">
    <w:name w:val="页脚 字符"/>
    <w:link w:val="26"/>
    <w:qFormat/>
    <w:uiPriority w:val="99"/>
  </w:style>
  <w:style w:type="table" w:customStyle="1" w:styleId="10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脚注文本 字符"/>
    <w:link w:val="31"/>
    <w:qFormat/>
    <w:uiPriority w:val="99"/>
    <w:rPr>
      <w:sz w:val="18"/>
    </w:rPr>
  </w:style>
  <w:style w:type="character" w:customStyle="1" w:styleId="216">
    <w:name w:val="尾注文本 字符"/>
    <w:link w:val="24"/>
    <w:qFormat/>
    <w:uiPriority w:val="99"/>
    <w:rPr>
      <w:sz w:val="20"/>
    </w:rPr>
  </w:style>
  <w:style w:type="paragraph" w:customStyle="1" w:styleId="217">
    <w:name w:val="TOC 标题11"/>
    <w:unhideWhenUsed/>
    <w:qFormat/>
    <w:uiPriority w:val="39"/>
    <w:rPr>
      <w:rFonts w:ascii="Calibri" w:hAnsi="Calibri" w:eastAsia="宋体" w:cs="Times New Roman"/>
      <w:lang w:val="en-US" w:eastAsia="zh-CN" w:bidi="ar-SA"/>
    </w:rPr>
  </w:style>
  <w:style w:type="paragraph" w:customStyle="1" w:styleId="218">
    <w:name w:val="标题 41"/>
    <w:basedOn w:val="1"/>
    <w:next w:val="219"/>
    <w:link w:val="24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19">
    <w:name w:val="正文缩进1"/>
    <w:basedOn w:val="1"/>
    <w:link w:val="252"/>
    <w:qFormat/>
    <w:uiPriority w:val="0"/>
    <w:pPr>
      <w:ind w:firstLine="420"/>
    </w:pPr>
  </w:style>
  <w:style w:type="paragraph" w:customStyle="1" w:styleId="220">
    <w:name w:val="标题 51"/>
    <w:basedOn w:val="1"/>
    <w:next w:val="219"/>
    <w:link w:val="259"/>
    <w:qFormat/>
    <w:uiPriority w:val="0"/>
    <w:pPr>
      <w:keepNext/>
      <w:outlineLvl w:val="4"/>
    </w:pPr>
    <w:rPr>
      <w:rFonts w:ascii="宋体"/>
      <w:color w:val="000000"/>
      <w:sz w:val="28"/>
      <w:szCs w:val="28"/>
    </w:rPr>
  </w:style>
  <w:style w:type="paragraph" w:customStyle="1" w:styleId="221">
    <w:name w:val="标题 61"/>
    <w:basedOn w:val="1"/>
    <w:next w:val="1"/>
    <w:link w:val="239"/>
    <w:qFormat/>
    <w:uiPriority w:val="0"/>
    <w:pPr>
      <w:keepNext/>
      <w:keepLines/>
      <w:numPr>
        <w:ilvl w:val="5"/>
        <w:numId w:val="3"/>
      </w:numPr>
      <w:spacing w:before="240" w:after="64" w:line="320" w:lineRule="auto"/>
      <w:outlineLvl w:val="5"/>
    </w:pPr>
    <w:rPr>
      <w:rFonts w:ascii="Arial" w:hAnsi="Arial" w:eastAsia="黑体"/>
      <w:b/>
      <w:bCs/>
      <w:sz w:val="24"/>
      <w:szCs w:val="24"/>
    </w:rPr>
  </w:style>
  <w:style w:type="paragraph" w:customStyle="1" w:styleId="222">
    <w:name w:val="标题 71"/>
    <w:basedOn w:val="1"/>
    <w:next w:val="1"/>
    <w:link w:val="234"/>
    <w:qFormat/>
    <w:uiPriority w:val="0"/>
    <w:pPr>
      <w:keepNext/>
      <w:keepLines/>
      <w:numPr>
        <w:ilvl w:val="6"/>
        <w:numId w:val="3"/>
      </w:numPr>
      <w:spacing w:before="240" w:after="64" w:line="320" w:lineRule="auto"/>
      <w:outlineLvl w:val="6"/>
    </w:pPr>
    <w:rPr>
      <w:b/>
      <w:bCs/>
      <w:sz w:val="24"/>
      <w:szCs w:val="24"/>
    </w:rPr>
  </w:style>
  <w:style w:type="paragraph" w:customStyle="1" w:styleId="223">
    <w:name w:val="标题 81"/>
    <w:basedOn w:val="1"/>
    <w:next w:val="1"/>
    <w:link w:val="233"/>
    <w:qFormat/>
    <w:uiPriority w:val="0"/>
    <w:pPr>
      <w:keepNext/>
      <w:keepLines/>
      <w:numPr>
        <w:ilvl w:val="7"/>
        <w:numId w:val="3"/>
      </w:numPr>
      <w:spacing w:before="240" w:after="64" w:line="320" w:lineRule="auto"/>
      <w:outlineLvl w:val="7"/>
    </w:pPr>
    <w:rPr>
      <w:rFonts w:ascii="Arial" w:hAnsi="Arial" w:eastAsia="黑体"/>
      <w:sz w:val="24"/>
      <w:szCs w:val="24"/>
    </w:rPr>
  </w:style>
  <w:style w:type="paragraph" w:customStyle="1" w:styleId="224">
    <w:name w:val="标题 91"/>
    <w:basedOn w:val="1"/>
    <w:next w:val="1"/>
    <w:link w:val="267"/>
    <w:qFormat/>
    <w:uiPriority w:val="0"/>
    <w:pPr>
      <w:keepNext/>
      <w:keepLines/>
      <w:numPr>
        <w:ilvl w:val="8"/>
        <w:numId w:val="3"/>
      </w:numPr>
      <w:spacing w:before="240" w:after="64" w:line="320" w:lineRule="auto"/>
      <w:outlineLvl w:val="8"/>
    </w:pPr>
    <w:rPr>
      <w:rFonts w:ascii="Arial" w:hAnsi="Arial" w:eastAsia="黑体"/>
    </w:rPr>
  </w:style>
  <w:style w:type="character" w:customStyle="1" w:styleId="225">
    <w:name w:val="默认段落字体1"/>
    <w:unhideWhenUsed/>
    <w:qFormat/>
    <w:uiPriority w:val="1"/>
  </w:style>
  <w:style w:type="table" w:customStyle="1" w:styleId="226">
    <w:name w:val="普通表格1"/>
    <w:unhideWhenUsed/>
    <w:qFormat/>
    <w:uiPriority w:val="99"/>
    <w:tblPr>
      <w:tblCellMar>
        <w:top w:w="0" w:type="dxa"/>
        <w:left w:w="0" w:type="dxa"/>
        <w:bottom w:w="0" w:type="dxa"/>
        <w:right w:w="0" w:type="dxa"/>
      </w:tblCellMar>
    </w:tblPr>
  </w:style>
  <w:style w:type="character" w:customStyle="1" w:styleId="227">
    <w:name w:val="批注框文本 Char"/>
    <w:link w:val="228"/>
    <w:semiHidden/>
    <w:qFormat/>
    <w:uiPriority w:val="0"/>
    <w:rPr>
      <w:rFonts w:ascii="Times New Roman" w:hAnsi="Times New Roman" w:eastAsia="宋体" w:cs="Times New Roman"/>
      <w:sz w:val="18"/>
      <w:szCs w:val="18"/>
    </w:rPr>
  </w:style>
  <w:style w:type="paragraph" w:customStyle="1" w:styleId="228">
    <w:name w:val="批注框文本1"/>
    <w:basedOn w:val="1"/>
    <w:link w:val="227"/>
    <w:semiHidden/>
    <w:qFormat/>
    <w:uiPriority w:val="0"/>
    <w:rPr>
      <w:sz w:val="18"/>
      <w:szCs w:val="18"/>
    </w:rPr>
  </w:style>
  <w:style w:type="character" w:customStyle="1" w:styleId="229">
    <w:name w:val="列出段落 Char"/>
    <w:link w:val="230"/>
    <w:qFormat/>
    <w:uiPriority w:val="0"/>
    <w:rPr>
      <w:rFonts w:ascii="Calibri" w:hAnsi="Calibri"/>
      <w:sz w:val="24"/>
      <w:szCs w:val="24"/>
      <w:lang w:eastAsia="en-US" w:bidi="en-US"/>
    </w:rPr>
  </w:style>
  <w:style w:type="paragraph" w:customStyle="1" w:styleId="230">
    <w:name w:val="列出段落1"/>
    <w:basedOn w:val="1"/>
    <w:link w:val="229"/>
    <w:qFormat/>
    <w:uiPriority w:val="0"/>
    <w:pPr>
      <w:widowControl/>
      <w:ind w:left="720"/>
      <w:contextualSpacing/>
      <w:jc w:val="left"/>
    </w:pPr>
    <w:rPr>
      <w:rFonts w:ascii="Calibri" w:hAnsi="Calibri"/>
      <w:sz w:val="24"/>
      <w:szCs w:val="24"/>
      <w:lang w:eastAsia="en-US" w:bidi="en-US"/>
    </w:rPr>
  </w:style>
  <w:style w:type="character" w:customStyle="1" w:styleId="231">
    <w:name w:val="正文文本 Char"/>
    <w:link w:val="232"/>
    <w:qFormat/>
    <w:uiPriority w:val="0"/>
    <w:rPr>
      <w:rFonts w:ascii="楷体_GB2312" w:hAnsi="Arial" w:eastAsia="楷体_GB2312" w:cs="Times New Roman"/>
      <w:sz w:val="28"/>
      <w:szCs w:val="28"/>
    </w:rPr>
  </w:style>
  <w:style w:type="paragraph" w:customStyle="1" w:styleId="232">
    <w:name w:val="正文文本1"/>
    <w:basedOn w:val="1"/>
    <w:link w:val="231"/>
    <w:qFormat/>
    <w:uiPriority w:val="0"/>
    <w:rPr>
      <w:rFonts w:ascii="楷体_GB2312" w:hAnsi="Arial" w:eastAsia="楷体_GB2312"/>
      <w:sz w:val="28"/>
      <w:szCs w:val="28"/>
    </w:rPr>
  </w:style>
  <w:style w:type="character" w:customStyle="1" w:styleId="233">
    <w:name w:val="标题 8 Char"/>
    <w:link w:val="223"/>
    <w:qFormat/>
    <w:uiPriority w:val="0"/>
    <w:rPr>
      <w:rFonts w:ascii="Arial" w:hAnsi="Arial" w:eastAsia="黑体" w:cs="Times New Roman"/>
      <w:sz w:val="24"/>
      <w:szCs w:val="24"/>
    </w:rPr>
  </w:style>
  <w:style w:type="character" w:customStyle="1" w:styleId="234">
    <w:name w:val="标题 7 Char"/>
    <w:link w:val="222"/>
    <w:qFormat/>
    <w:uiPriority w:val="0"/>
    <w:rPr>
      <w:rFonts w:ascii="Times New Roman" w:hAnsi="Times New Roman" w:eastAsia="宋体" w:cs="Times New Roman"/>
      <w:b/>
      <w:bCs/>
      <w:sz w:val="24"/>
      <w:szCs w:val="24"/>
    </w:rPr>
  </w:style>
  <w:style w:type="character" w:customStyle="1" w:styleId="235">
    <w:name w:val="超链接1"/>
    <w:qFormat/>
    <w:uiPriority w:val="0"/>
    <w:rPr>
      <w:color w:val="0000FF"/>
      <w:u w:val="single"/>
    </w:rPr>
  </w:style>
  <w:style w:type="character" w:customStyle="1" w:styleId="236">
    <w:name w:val="正文文本 3 Char"/>
    <w:link w:val="237"/>
    <w:qFormat/>
    <w:uiPriority w:val="0"/>
    <w:rPr>
      <w:rFonts w:ascii="仿宋_GB2312" w:hAnsi="Arial" w:eastAsia="仿宋_GB2312" w:cs="Times New Roman"/>
      <w:sz w:val="32"/>
      <w:szCs w:val="32"/>
    </w:rPr>
  </w:style>
  <w:style w:type="paragraph" w:customStyle="1" w:styleId="237">
    <w:name w:val="正文文本 31"/>
    <w:basedOn w:val="1"/>
    <w:link w:val="236"/>
    <w:qFormat/>
    <w:uiPriority w:val="0"/>
    <w:rPr>
      <w:rFonts w:ascii="仿宋_GB2312" w:hAnsi="Arial" w:eastAsia="仿宋_GB2312"/>
      <w:sz w:val="32"/>
      <w:szCs w:val="32"/>
    </w:rPr>
  </w:style>
  <w:style w:type="character" w:customStyle="1" w:styleId="238">
    <w:name w:val="font5 Char"/>
    <w:qFormat/>
    <w:uiPriority w:val="0"/>
    <w:rPr>
      <w:rFonts w:ascii="宋体" w:hAnsi="宋体" w:eastAsia="宋体"/>
      <w:sz w:val="28"/>
      <w:szCs w:val="28"/>
      <w:lang w:val="en-US" w:eastAsia="zh-CN" w:bidi="ar-SA"/>
    </w:rPr>
  </w:style>
  <w:style w:type="character" w:customStyle="1" w:styleId="239">
    <w:name w:val="标题 6 Char"/>
    <w:link w:val="221"/>
    <w:qFormat/>
    <w:uiPriority w:val="0"/>
    <w:rPr>
      <w:rFonts w:ascii="Arial" w:hAnsi="Arial" w:eastAsia="黑体" w:cs="Times New Roman"/>
      <w:b/>
      <w:bCs/>
      <w:sz w:val="24"/>
      <w:szCs w:val="24"/>
    </w:rPr>
  </w:style>
  <w:style w:type="character" w:customStyle="1" w:styleId="240">
    <w:name w:val="已访问的超链接1"/>
    <w:qFormat/>
    <w:uiPriority w:val="0"/>
    <w:rPr>
      <w:color w:val="800080"/>
      <w:u w:val="single"/>
    </w:rPr>
  </w:style>
  <w:style w:type="character" w:customStyle="1" w:styleId="241">
    <w:name w:val="标题 4 Char"/>
    <w:link w:val="218"/>
    <w:qFormat/>
    <w:uiPriority w:val="0"/>
    <w:rPr>
      <w:rFonts w:ascii="Arial" w:hAnsi="Arial" w:eastAsia="黑体" w:cs="Arial"/>
      <w:b/>
      <w:bCs/>
      <w:sz w:val="28"/>
      <w:szCs w:val="28"/>
    </w:rPr>
  </w:style>
  <w:style w:type="character" w:customStyle="1" w:styleId="242">
    <w:name w:val="二级目录 Char"/>
    <w:link w:val="243"/>
    <w:qFormat/>
    <w:uiPriority w:val="0"/>
    <w:rPr>
      <w:b/>
      <w:sz w:val="30"/>
      <w:szCs w:val="28"/>
    </w:rPr>
  </w:style>
  <w:style w:type="paragraph" w:customStyle="1" w:styleId="243">
    <w:name w:val="二级目录"/>
    <w:next w:val="1"/>
    <w:link w:val="242"/>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44">
    <w:name w:val="页眉 Char"/>
    <w:link w:val="245"/>
    <w:qFormat/>
    <w:uiPriority w:val="0"/>
    <w:rPr>
      <w:rFonts w:ascii="Times New Roman" w:hAnsi="Times New Roman" w:eastAsia="宋体" w:cs="Times New Roman"/>
      <w:sz w:val="18"/>
      <w:szCs w:val="18"/>
    </w:rPr>
  </w:style>
  <w:style w:type="paragraph" w:customStyle="1" w:styleId="245">
    <w:name w:val="页眉1"/>
    <w:basedOn w:val="1"/>
    <w:link w:val="244"/>
    <w:qFormat/>
    <w:uiPriority w:val="0"/>
    <w:pPr>
      <w:pBdr>
        <w:bottom w:val="single" w:color="000000" w:sz="6" w:space="1"/>
      </w:pBdr>
      <w:tabs>
        <w:tab w:val="center" w:pos="4153"/>
        <w:tab w:val="right" w:pos="8306"/>
      </w:tabs>
      <w:jc w:val="center"/>
    </w:pPr>
    <w:rPr>
      <w:sz w:val="18"/>
      <w:szCs w:val="18"/>
    </w:rPr>
  </w:style>
  <w:style w:type="character" w:customStyle="1" w:styleId="246">
    <w:name w:val="页码1"/>
    <w:qFormat/>
    <w:uiPriority w:val="0"/>
  </w:style>
  <w:style w:type="character" w:customStyle="1" w:styleId="247">
    <w:name w:val="正文首行缩进 2 Char"/>
    <w:link w:val="248"/>
    <w:qFormat/>
    <w:uiPriority w:val="0"/>
    <w:rPr>
      <w:rFonts w:ascii="宋体" w:hAnsi="宋体" w:eastAsia="宋体" w:cs="Times New Roman"/>
      <w:sz w:val="32"/>
      <w:szCs w:val="20"/>
    </w:rPr>
  </w:style>
  <w:style w:type="paragraph" w:customStyle="1" w:styleId="248">
    <w:name w:val="正文首行缩进 21"/>
    <w:basedOn w:val="249"/>
    <w:link w:val="247"/>
    <w:qFormat/>
    <w:uiPriority w:val="0"/>
    <w:pPr>
      <w:spacing w:line="360" w:lineRule="auto"/>
      <w:ind w:firstLine="420"/>
    </w:pPr>
    <w:rPr>
      <w:rFonts w:ascii="宋体" w:hAnsi="宋体" w:eastAsia="宋体"/>
      <w:sz w:val="21"/>
      <w:szCs w:val="20"/>
    </w:rPr>
  </w:style>
  <w:style w:type="paragraph" w:customStyle="1" w:styleId="249">
    <w:name w:val="正文文本缩进1"/>
    <w:basedOn w:val="1"/>
    <w:link w:val="264"/>
    <w:qFormat/>
    <w:uiPriority w:val="0"/>
    <w:pPr>
      <w:ind w:firstLine="645"/>
    </w:pPr>
    <w:rPr>
      <w:rFonts w:ascii="楷体_GB2312" w:eastAsia="楷体_GB2312"/>
      <w:sz w:val="32"/>
      <w:szCs w:val="32"/>
    </w:rPr>
  </w:style>
  <w:style w:type="character" w:customStyle="1" w:styleId="250">
    <w:name w:val="批注文字 Char"/>
    <w:link w:val="251"/>
    <w:semiHidden/>
    <w:qFormat/>
    <w:uiPriority w:val="0"/>
    <w:rPr>
      <w:rFonts w:ascii="Times New Roman" w:hAnsi="Times New Roman" w:eastAsia="宋体" w:cs="Times New Roman"/>
      <w:szCs w:val="21"/>
    </w:rPr>
  </w:style>
  <w:style w:type="paragraph" w:customStyle="1" w:styleId="251">
    <w:name w:val="批注文字1"/>
    <w:basedOn w:val="1"/>
    <w:link w:val="250"/>
    <w:semiHidden/>
    <w:qFormat/>
    <w:uiPriority w:val="0"/>
    <w:pPr>
      <w:jc w:val="left"/>
    </w:pPr>
  </w:style>
  <w:style w:type="character" w:customStyle="1" w:styleId="252">
    <w:name w:val="正文缩进 Char"/>
    <w:link w:val="219"/>
    <w:qFormat/>
    <w:uiPriority w:val="0"/>
    <w:rPr>
      <w:rFonts w:ascii="Times New Roman" w:hAnsi="Times New Roman" w:eastAsia="宋体" w:cs="Times New Roman"/>
      <w:szCs w:val="21"/>
    </w:rPr>
  </w:style>
  <w:style w:type="character" w:customStyle="1" w:styleId="253">
    <w:name w:val="日期 Char"/>
    <w:link w:val="254"/>
    <w:qFormat/>
    <w:uiPriority w:val="0"/>
    <w:rPr>
      <w:rFonts w:ascii="Times New Roman" w:hAnsi="Times New Roman" w:eastAsia="宋体" w:cs="Times New Roman"/>
      <w:sz w:val="24"/>
      <w:szCs w:val="24"/>
    </w:rPr>
  </w:style>
  <w:style w:type="paragraph" w:customStyle="1" w:styleId="254">
    <w:name w:val="日期1"/>
    <w:basedOn w:val="1"/>
    <w:next w:val="1"/>
    <w:link w:val="253"/>
    <w:qFormat/>
    <w:uiPriority w:val="0"/>
    <w:rPr>
      <w:sz w:val="24"/>
      <w:szCs w:val="24"/>
    </w:rPr>
  </w:style>
  <w:style w:type="character" w:customStyle="1" w:styleId="255">
    <w:name w:val="要点1"/>
    <w:qFormat/>
    <w:uiPriority w:val="0"/>
    <w:rPr>
      <w:b/>
      <w:bCs/>
    </w:rPr>
  </w:style>
  <w:style w:type="character" w:customStyle="1" w:styleId="256">
    <w:name w:val="页脚 Char"/>
    <w:link w:val="257"/>
    <w:qFormat/>
    <w:uiPriority w:val="0"/>
    <w:rPr>
      <w:rFonts w:ascii="Times New Roman" w:hAnsi="Times New Roman" w:eastAsia="宋体" w:cs="Times New Roman"/>
      <w:sz w:val="18"/>
      <w:szCs w:val="18"/>
    </w:rPr>
  </w:style>
  <w:style w:type="paragraph" w:customStyle="1" w:styleId="257">
    <w:name w:val="页脚1"/>
    <w:basedOn w:val="1"/>
    <w:link w:val="256"/>
    <w:qFormat/>
    <w:uiPriority w:val="0"/>
    <w:pPr>
      <w:tabs>
        <w:tab w:val="center" w:pos="4153"/>
        <w:tab w:val="right" w:pos="8306"/>
      </w:tabs>
      <w:jc w:val="left"/>
    </w:pPr>
    <w:rPr>
      <w:sz w:val="18"/>
      <w:szCs w:val="18"/>
    </w:rPr>
  </w:style>
  <w:style w:type="character" w:customStyle="1" w:styleId="258">
    <w:name w:val="批注引用1"/>
    <w:semiHidden/>
    <w:qFormat/>
    <w:uiPriority w:val="0"/>
    <w:rPr>
      <w:sz w:val="21"/>
      <w:szCs w:val="21"/>
    </w:rPr>
  </w:style>
  <w:style w:type="character" w:customStyle="1" w:styleId="259">
    <w:name w:val="标题 5 Char"/>
    <w:link w:val="220"/>
    <w:qFormat/>
    <w:uiPriority w:val="0"/>
    <w:rPr>
      <w:rFonts w:ascii="宋体" w:hAnsi="Times New Roman" w:eastAsia="宋体" w:cs="Times New Roman"/>
      <w:color w:val="000000"/>
      <w:sz w:val="28"/>
      <w:szCs w:val="28"/>
    </w:rPr>
  </w:style>
  <w:style w:type="character" w:customStyle="1" w:styleId="260">
    <w:name w:val="文档结构图 Char"/>
    <w:link w:val="261"/>
    <w:semiHidden/>
    <w:qFormat/>
    <w:uiPriority w:val="0"/>
    <w:rPr>
      <w:rFonts w:ascii="Times New Roman" w:hAnsi="Times New Roman" w:eastAsia="宋体" w:cs="Times New Roman"/>
      <w:szCs w:val="21"/>
      <w:shd w:val="clear" w:color="auto" w:fill="000080"/>
    </w:rPr>
  </w:style>
  <w:style w:type="paragraph" w:customStyle="1" w:styleId="261">
    <w:name w:val="文档结构图1"/>
    <w:basedOn w:val="1"/>
    <w:link w:val="260"/>
    <w:semiHidden/>
    <w:qFormat/>
    <w:uiPriority w:val="0"/>
    <w:pPr>
      <w:shd w:val="clear" w:color="auto" w:fill="000080"/>
    </w:pPr>
  </w:style>
  <w:style w:type="character" w:customStyle="1" w:styleId="262">
    <w:name w:val="正文文本缩进 3 Char"/>
    <w:link w:val="263"/>
    <w:qFormat/>
    <w:uiPriority w:val="0"/>
    <w:rPr>
      <w:rFonts w:ascii="Arial" w:hAnsi="Arial" w:eastAsia="仿宋_GB2312" w:cs="Arial"/>
      <w:color w:val="FFFF00"/>
      <w:sz w:val="32"/>
      <w:szCs w:val="32"/>
    </w:rPr>
  </w:style>
  <w:style w:type="paragraph" w:customStyle="1" w:styleId="263">
    <w:name w:val="正文文本缩进 31"/>
    <w:basedOn w:val="1"/>
    <w:link w:val="262"/>
    <w:qFormat/>
    <w:uiPriority w:val="0"/>
    <w:pPr>
      <w:ind w:left="645" w:firstLine="645"/>
    </w:pPr>
    <w:rPr>
      <w:rFonts w:ascii="Arial" w:hAnsi="Arial" w:eastAsia="仿宋_GB2312" w:cs="Arial"/>
      <w:color w:val="FFFF00"/>
      <w:sz w:val="32"/>
      <w:szCs w:val="32"/>
    </w:rPr>
  </w:style>
  <w:style w:type="character" w:customStyle="1" w:styleId="264">
    <w:name w:val="正文文本缩进 Char"/>
    <w:link w:val="249"/>
    <w:qFormat/>
    <w:uiPriority w:val="0"/>
    <w:rPr>
      <w:rFonts w:ascii="楷体_GB2312" w:hAnsi="Times New Roman" w:eastAsia="楷体_GB2312" w:cs="Times New Roman"/>
      <w:sz w:val="32"/>
      <w:szCs w:val="32"/>
    </w:rPr>
  </w:style>
  <w:style w:type="character" w:customStyle="1" w:styleId="265">
    <w:name w:val="纯文本 Char"/>
    <w:link w:val="266"/>
    <w:qFormat/>
    <w:uiPriority w:val="0"/>
    <w:rPr>
      <w:rFonts w:ascii="宋体" w:hAnsi="Courier New" w:eastAsia="宋体" w:cs="Courier New"/>
      <w:szCs w:val="21"/>
    </w:rPr>
  </w:style>
  <w:style w:type="paragraph" w:customStyle="1" w:styleId="266">
    <w:name w:val="纯文本1"/>
    <w:basedOn w:val="1"/>
    <w:link w:val="265"/>
    <w:qFormat/>
    <w:uiPriority w:val="0"/>
    <w:rPr>
      <w:rFonts w:ascii="宋体" w:hAnsi="Courier New" w:cs="Courier New"/>
    </w:rPr>
  </w:style>
  <w:style w:type="character" w:customStyle="1" w:styleId="267">
    <w:name w:val="标题 9 Char"/>
    <w:link w:val="224"/>
    <w:qFormat/>
    <w:uiPriority w:val="0"/>
    <w:rPr>
      <w:rFonts w:ascii="Arial" w:hAnsi="Arial" w:eastAsia="黑体" w:cs="Times New Roman"/>
      <w:szCs w:val="21"/>
    </w:rPr>
  </w:style>
  <w:style w:type="character" w:customStyle="1" w:styleId="268">
    <w:name w:val="正文文本缩进 2 Char"/>
    <w:link w:val="269"/>
    <w:qFormat/>
    <w:uiPriority w:val="0"/>
    <w:rPr>
      <w:rFonts w:ascii="Arial" w:hAnsi="Arial" w:eastAsia="仿宋_GB2312" w:cs="Arial"/>
      <w:sz w:val="32"/>
      <w:szCs w:val="32"/>
    </w:rPr>
  </w:style>
  <w:style w:type="paragraph" w:customStyle="1" w:styleId="269">
    <w:name w:val="正文文本缩进 21"/>
    <w:basedOn w:val="1"/>
    <w:link w:val="268"/>
    <w:qFormat/>
    <w:uiPriority w:val="0"/>
    <w:pPr>
      <w:ind w:left="630" w:firstLine="645"/>
    </w:pPr>
    <w:rPr>
      <w:rFonts w:ascii="Arial" w:hAnsi="Arial" w:eastAsia="仿宋_GB2312" w:cs="Arial"/>
      <w:sz w:val="32"/>
      <w:szCs w:val="32"/>
    </w:rPr>
  </w:style>
  <w:style w:type="character" w:customStyle="1" w:styleId="270">
    <w:name w:val="正文文本 2 Char"/>
    <w:link w:val="271"/>
    <w:qFormat/>
    <w:uiPriority w:val="0"/>
    <w:rPr>
      <w:rFonts w:ascii="楷体_GB2312" w:hAnsi="Times New Roman" w:eastAsia="楷体_GB2312" w:cs="Times New Roman"/>
      <w:sz w:val="28"/>
      <w:szCs w:val="28"/>
    </w:rPr>
  </w:style>
  <w:style w:type="paragraph" w:customStyle="1" w:styleId="271">
    <w:name w:val="正文文本 21"/>
    <w:basedOn w:val="1"/>
    <w:link w:val="270"/>
    <w:qFormat/>
    <w:uiPriority w:val="0"/>
    <w:pPr>
      <w:widowControl/>
      <w:jc w:val="center"/>
    </w:pPr>
    <w:rPr>
      <w:rFonts w:ascii="楷体_GB2312" w:eastAsia="楷体_GB2312"/>
      <w:sz w:val="28"/>
      <w:szCs w:val="28"/>
    </w:rPr>
  </w:style>
  <w:style w:type="character" w:customStyle="1" w:styleId="272">
    <w:name w:val="批注主题 Char"/>
    <w:link w:val="273"/>
    <w:semiHidden/>
    <w:qFormat/>
    <w:uiPriority w:val="0"/>
    <w:rPr>
      <w:rFonts w:ascii="Times New Roman" w:hAnsi="Times New Roman" w:eastAsia="宋体" w:cs="Times New Roman"/>
      <w:b/>
      <w:bCs/>
      <w:szCs w:val="21"/>
    </w:rPr>
  </w:style>
  <w:style w:type="paragraph" w:customStyle="1" w:styleId="273">
    <w:name w:val="批注主题1"/>
    <w:basedOn w:val="251"/>
    <w:next w:val="251"/>
    <w:link w:val="272"/>
    <w:semiHidden/>
    <w:qFormat/>
    <w:uiPriority w:val="0"/>
    <w:rPr>
      <w:b/>
      <w:bCs/>
    </w:rPr>
  </w:style>
  <w:style w:type="character" w:customStyle="1" w:styleId="274">
    <w:name w:val="正文首行缩进 Char"/>
    <w:link w:val="275"/>
    <w:qFormat/>
    <w:uiPriority w:val="0"/>
    <w:rPr>
      <w:rFonts w:ascii="仿宋_GB2312" w:hAnsi="Times New Roman" w:eastAsia="仿宋_GB2312" w:cs="Times New Roman"/>
      <w:sz w:val="30"/>
      <w:szCs w:val="30"/>
    </w:rPr>
  </w:style>
  <w:style w:type="paragraph" w:customStyle="1" w:styleId="275">
    <w:name w:val="正文首行缩进1"/>
    <w:basedOn w:val="1"/>
    <w:link w:val="274"/>
    <w:qFormat/>
    <w:uiPriority w:val="0"/>
    <w:pPr>
      <w:spacing w:line="360" w:lineRule="auto"/>
      <w:ind w:firstLine="200"/>
    </w:pPr>
    <w:rPr>
      <w:rFonts w:ascii="仿宋_GB2312" w:eastAsia="仿宋_GB2312"/>
      <w:sz w:val="30"/>
      <w:szCs w:val="30"/>
    </w:rPr>
  </w:style>
  <w:style w:type="paragraph" w:customStyle="1" w:styleId="276">
    <w:name w:val="table_lines"/>
    <w:basedOn w:val="1"/>
    <w:qFormat/>
    <w:uiPriority w:val="0"/>
    <w:pPr>
      <w:widowControl/>
      <w:jc w:val="left"/>
    </w:pPr>
    <w:rPr>
      <w:sz w:val="20"/>
      <w:szCs w:val="20"/>
      <w:lang w:val="de-DE" w:eastAsia="de-DE"/>
    </w:rPr>
  </w:style>
  <w:style w:type="paragraph" w:customStyle="1" w:styleId="277">
    <w:name w:val="Char"/>
    <w:basedOn w:val="261"/>
    <w:qFormat/>
    <w:uiPriority w:val="0"/>
    <w:rPr>
      <w:rFonts w:ascii="Tahoma" w:hAnsi="Tahoma"/>
      <w:sz w:val="24"/>
      <w:szCs w:val="24"/>
    </w:rPr>
  </w:style>
  <w:style w:type="paragraph" w:customStyle="1" w:styleId="278">
    <w:name w:val="索引 11"/>
    <w:basedOn w:val="1"/>
    <w:next w:val="1"/>
    <w:semiHidden/>
    <w:qFormat/>
    <w:uiPriority w:val="0"/>
    <w:pPr>
      <w:spacing w:line="240" w:lineRule="atLeast"/>
    </w:pPr>
    <w:rPr>
      <w:b/>
      <w:bCs/>
    </w:rPr>
  </w:style>
  <w:style w:type="paragraph" w:customStyle="1" w:styleId="279">
    <w:name w:val="目录 51"/>
    <w:basedOn w:val="1"/>
    <w:next w:val="1"/>
    <w:semiHidden/>
    <w:qFormat/>
    <w:uiPriority w:val="0"/>
    <w:pPr>
      <w:ind w:left="840"/>
      <w:jc w:val="left"/>
    </w:pPr>
  </w:style>
  <w:style w:type="paragraph" w:customStyle="1" w:styleId="280">
    <w:name w:val="Char Char Char Char"/>
    <w:basedOn w:val="261"/>
    <w:qFormat/>
    <w:uiPriority w:val="0"/>
    <w:pPr>
      <w:spacing w:line="360" w:lineRule="auto"/>
    </w:pPr>
    <w:rPr>
      <w:rFonts w:ascii="Tahoma" w:hAnsi="Tahoma"/>
      <w:sz w:val="24"/>
      <w:szCs w:val="24"/>
    </w:rPr>
  </w:style>
  <w:style w:type="paragraph" w:customStyle="1" w:styleId="28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8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83">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8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目录 81"/>
    <w:basedOn w:val="1"/>
    <w:next w:val="1"/>
    <w:semiHidden/>
    <w:qFormat/>
    <w:uiPriority w:val="0"/>
    <w:pPr>
      <w:ind w:left="1470"/>
      <w:jc w:val="left"/>
    </w:pPr>
  </w:style>
  <w:style w:type="paragraph" w:customStyle="1" w:styleId="287">
    <w:name w:val="目录 91"/>
    <w:basedOn w:val="1"/>
    <w:next w:val="1"/>
    <w:semiHidden/>
    <w:qFormat/>
    <w:uiPriority w:val="0"/>
    <w:pPr>
      <w:ind w:left="1680"/>
      <w:jc w:val="left"/>
    </w:pPr>
  </w:style>
  <w:style w:type="paragraph" w:customStyle="1" w:styleId="288">
    <w:name w:val="Char1"/>
    <w:basedOn w:val="1"/>
    <w:qFormat/>
    <w:uiPriority w:val="0"/>
    <w:pPr>
      <w:tabs>
        <w:tab w:val="left" w:pos="360"/>
      </w:tabs>
      <w:ind w:firstLine="200"/>
    </w:pPr>
    <w:rPr>
      <w:sz w:val="28"/>
      <w:szCs w:val="30"/>
    </w:rPr>
  </w:style>
  <w:style w:type="paragraph" w:customStyle="1" w:styleId="28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Char Char Char Char Char Char Char Char Char Char"/>
    <w:basedOn w:val="1"/>
    <w:qFormat/>
    <w:uiPriority w:val="0"/>
    <w:pPr>
      <w:spacing w:line="360" w:lineRule="auto"/>
    </w:pPr>
    <w:rPr>
      <w:sz w:val="24"/>
      <w:szCs w:val="20"/>
    </w:rPr>
  </w:style>
  <w:style w:type="paragraph" w:customStyle="1" w:styleId="29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paragraph" w:customStyle="1" w:styleId="2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5">
    <w:name w:val="目录 31"/>
    <w:basedOn w:val="1"/>
    <w:next w:val="1"/>
    <w:semiHidden/>
    <w:qFormat/>
    <w:uiPriority w:val="0"/>
    <w:pPr>
      <w:ind w:left="420"/>
      <w:jc w:val="left"/>
    </w:pPr>
    <w:rPr>
      <w:i/>
      <w:iCs/>
      <w:szCs w:val="24"/>
    </w:rPr>
  </w:style>
  <w:style w:type="paragraph" w:customStyle="1" w:styleId="296">
    <w:name w:val="目录 61"/>
    <w:basedOn w:val="1"/>
    <w:next w:val="1"/>
    <w:semiHidden/>
    <w:qFormat/>
    <w:uiPriority w:val="0"/>
    <w:pPr>
      <w:ind w:left="1050"/>
      <w:jc w:val="left"/>
    </w:pPr>
  </w:style>
  <w:style w:type="paragraph" w:customStyle="1" w:styleId="297">
    <w:name w:val="目录 71"/>
    <w:basedOn w:val="1"/>
    <w:next w:val="1"/>
    <w:semiHidden/>
    <w:qFormat/>
    <w:uiPriority w:val="0"/>
    <w:pPr>
      <w:ind w:left="1260"/>
      <w:jc w:val="left"/>
    </w:pPr>
  </w:style>
  <w:style w:type="paragraph" w:customStyle="1" w:styleId="298">
    <w:name w:val="附录1"/>
    <w:qFormat/>
    <w:uiPriority w:val="0"/>
    <w:pPr>
      <w:numPr>
        <w:ilvl w:val="0"/>
        <w:numId w:val="4"/>
      </w:numPr>
      <w:spacing w:before="240" w:line="600" w:lineRule="atLeast"/>
    </w:pPr>
    <w:rPr>
      <w:rFonts w:ascii="Times New Roman" w:hAnsi="Times New Roman" w:eastAsia="宋体" w:cs="Times New Roman"/>
      <w:b/>
      <w:i/>
      <w:sz w:val="28"/>
      <w:lang w:val="en-US" w:eastAsia="zh-CN" w:bidi="ar-SA"/>
    </w:rPr>
  </w:style>
  <w:style w:type="paragraph" w:customStyle="1" w:styleId="29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0">
    <w:name w:val="列表 31"/>
    <w:basedOn w:val="1"/>
    <w:qFormat/>
    <w:uiPriority w:val="0"/>
    <w:pPr>
      <w:ind w:left="100" w:hanging="200"/>
    </w:pPr>
  </w:style>
  <w:style w:type="paragraph" w:customStyle="1" w:styleId="301">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0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3">
    <w:name w:val="目录 41"/>
    <w:basedOn w:val="1"/>
    <w:next w:val="1"/>
    <w:semiHidden/>
    <w:qFormat/>
    <w:uiPriority w:val="0"/>
    <w:pPr>
      <w:ind w:left="630"/>
      <w:jc w:val="left"/>
    </w:pPr>
  </w:style>
  <w:style w:type="paragraph" w:customStyle="1" w:styleId="304">
    <w:name w:val="4"/>
    <w:basedOn w:val="1"/>
    <w:next w:val="263"/>
    <w:qFormat/>
    <w:uiPriority w:val="0"/>
    <w:pPr>
      <w:spacing w:line="360" w:lineRule="auto"/>
      <w:ind w:firstLine="420"/>
    </w:pPr>
    <w:rPr>
      <w:color w:val="FF0000"/>
      <w:sz w:val="24"/>
      <w:szCs w:val="24"/>
    </w:rPr>
  </w:style>
  <w:style w:type="paragraph" w:customStyle="1" w:styleId="305">
    <w:name w:val="列表 21"/>
    <w:basedOn w:val="1"/>
    <w:qFormat/>
    <w:uiPriority w:val="0"/>
    <w:pPr>
      <w:ind w:left="100" w:hanging="200"/>
    </w:pPr>
  </w:style>
  <w:style w:type="paragraph" w:customStyle="1" w:styleId="306">
    <w:name w:val="目录 21"/>
    <w:basedOn w:val="1"/>
    <w:next w:val="1"/>
    <w:semiHidden/>
    <w:qFormat/>
    <w:uiPriority w:val="0"/>
    <w:pPr>
      <w:ind w:left="210"/>
      <w:jc w:val="left"/>
    </w:pPr>
    <w:rPr>
      <w:smallCaps/>
      <w:szCs w:val="24"/>
    </w:rPr>
  </w:style>
  <w:style w:type="paragraph" w:customStyle="1" w:styleId="307">
    <w:name w:val="Char Char Char Char1"/>
    <w:basedOn w:val="261"/>
    <w:qFormat/>
    <w:uiPriority w:val="0"/>
    <w:pPr>
      <w:spacing w:line="360" w:lineRule="auto"/>
    </w:pPr>
    <w:rPr>
      <w:rFonts w:ascii="Tahoma" w:hAnsi="Tahoma"/>
      <w:sz w:val="24"/>
      <w:szCs w:val="24"/>
    </w:rPr>
  </w:style>
  <w:style w:type="paragraph" w:customStyle="1" w:styleId="308">
    <w:name w:val="普通正文"/>
    <w:basedOn w:val="1"/>
    <w:qFormat/>
    <w:uiPriority w:val="0"/>
    <w:pPr>
      <w:spacing w:before="120" w:after="120" w:line="360" w:lineRule="auto"/>
      <w:ind w:firstLine="480"/>
      <w:jc w:val="left"/>
    </w:pPr>
    <w:rPr>
      <w:rFonts w:ascii="Arial" w:hAnsi="Arial"/>
      <w:sz w:val="24"/>
      <w:szCs w:val="24"/>
    </w:rPr>
  </w:style>
  <w:style w:type="paragraph" w:customStyle="1" w:styleId="309">
    <w:name w:val="Body Text(ch)"/>
    <w:basedOn w:val="1"/>
    <w:next w:val="232"/>
    <w:qFormat/>
    <w:uiPriority w:val="0"/>
    <w:pPr>
      <w:spacing w:after="120"/>
    </w:pPr>
    <w:rPr>
      <w:rFonts w:ascii="宋体" w:hAnsi="Arial"/>
      <w:bCs/>
      <w:iCs/>
      <w:szCs w:val="24"/>
    </w:rPr>
  </w:style>
  <w:style w:type="paragraph" w:customStyle="1" w:styleId="310">
    <w:name w:val="列表1"/>
    <w:basedOn w:val="1"/>
    <w:qFormat/>
    <w:uiPriority w:val="0"/>
    <w:pPr>
      <w:ind w:left="200" w:hanging="200"/>
    </w:pPr>
  </w:style>
  <w:style w:type="paragraph" w:customStyle="1" w:styleId="311">
    <w:name w:val="样式1"/>
    <w:basedOn w:val="1"/>
    <w:qFormat/>
    <w:uiPriority w:val="0"/>
    <w:pPr>
      <w:numPr>
        <w:ilvl w:val="0"/>
        <w:numId w:val="5"/>
      </w:numPr>
    </w:pPr>
    <w:rPr>
      <w:rFonts w:ascii="宋体" w:hAnsi="宋体"/>
    </w:rPr>
  </w:style>
  <w:style w:type="paragraph" w:customStyle="1" w:styleId="31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4">
    <w:name w:val="图表目录1"/>
    <w:basedOn w:val="1"/>
    <w:next w:val="1"/>
    <w:semiHidden/>
    <w:qFormat/>
    <w:uiPriority w:val="0"/>
    <w:pPr>
      <w:ind w:left="840" w:hanging="420"/>
    </w:pPr>
  </w:style>
  <w:style w:type="paragraph" w:customStyle="1" w:styleId="31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1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1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2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21">
    <w:name w:val="修订1"/>
    <w:semiHidden/>
    <w:qFormat/>
    <w:uiPriority w:val="99"/>
    <w:rPr>
      <w:rFonts w:ascii="Times New Roman" w:hAnsi="Times New Roman" w:eastAsia="宋体" w:cs="Times New Roman"/>
      <w:sz w:val="21"/>
      <w:szCs w:val="21"/>
      <w:lang w:val="en-US" w:eastAsia="zh-CN" w:bidi="ar-SA"/>
    </w:rPr>
  </w:style>
  <w:style w:type="paragraph" w:customStyle="1" w:styleId="322">
    <w:name w:val="正文1"/>
    <w:basedOn w:val="1"/>
    <w:next w:val="1"/>
    <w:qFormat/>
    <w:uiPriority w:val="99"/>
    <w:pPr>
      <w:spacing w:line="440" w:lineRule="exact"/>
      <w:ind w:firstLine="480"/>
    </w:pPr>
    <w:rPr>
      <w:rFonts w:ascii="微软雅黑" w:hAnsi="微软雅黑" w:eastAsia="微软雅黑"/>
      <w:sz w:val="24"/>
      <w:szCs w:val="20"/>
    </w:rPr>
  </w:style>
  <w:style w:type="table" w:customStyle="1" w:styleId="323">
    <w:name w:val="网格型1"/>
    <w:basedOn w:val="226"/>
    <w:qFormat/>
    <w:uiPriority w:val="0"/>
    <w:pPr>
      <w:widowControl w:val="0"/>
      <w:jc w:val="both"/>
    </w:pPr>
  </w:style>
  <w:style w:type="character" w:customStyle="1" w:styleId="324">
    <w:name w:val="正文文本 Char1"/>
    <w:basedOn w:val="40"/>
    <w:semiHidden/>
    <w:qFormat/>
    <w:uiPriority w:val="99"/>
    <w:rPr>
      <w:rFonts w:ascii="Times New Roman" w:hAnsi="Times New Roman"/>
      <w:sz w:val="21"/>
      <w:szCs w:val="21"/>
    </w:rPr>
  </w:style>
  <w:style w:type="paragraph" w:customStyle="1" w:styleId="325">
    <w:name w:val="正文2"/>
    <w:basedOn w:val="1"/>
    <w:qFormat/>
    <w:uiPriority w:val="0"/>
    <w:pPr>
      <w:tabs>
        <w:tab w:val="left" w:pos="6480"/>
      </w:tabs>
      <w:spacing w:line="360" w:lineRule="auto"/>
    </w:pPr>
    <w:rPr>
      <w:sz w:val="24"/>
      <w:szCs w:val="24"/>
    </w:rPr>
  </w:style>
  <w:style w:type="paragraph" w:customStyle="1" w:styleId="326">
    <w:name w:val="1 正文"/>
    <w:basedOn w:val="1"/>
    <w:qFormat/>
    <w:uiPriority w:val="0"/>
    <w:pPr>
      <w:spacing w:line="360" w:lineRule="auto"/>
      <w:ind w:firstLine="420"/>
    </w:pPr>
    <w:rPr>
      <w:rFonts w:ascii="宋体" w:hAnsi="宋体"/>
      <w:sz w:val="24"/>
      <w:szCs w:val="24"/>
    </w:rPr>
  </w:style>
  <w:style w:type="paragraph" w:customStyle="1" w:styleId="327">
    <w:name w:val="A正文"/>
    <w:basedOn w:val="1"/>
    <w:qFormat/>
    <w:uiPriority w:val="0"/>
    <w:pPr>
      <w:spacing w:line="360" w:lineRule="auto"/>
      <w:ind w:firstLine="200"/>
    </w:pPr>
    <w:rPr>
      <w:rFonts w:cs="宋体"/>
      <w:sz w:val="24"/>
      <w:szCs w:val="28"/>
      <w:lang w:eastAsia="zh-Hans"/>
    </w:rPr>
  </w:style>
  <w:style w:type="paragraph" w:customStyle="1" w:styleId="328">
    <w:name w:val="列出段落11"/>
    <w:qFormat/>
    <w:uiPriority w:val="34"/>
    <w:pPr>
      <w:widowControl w:val="0"/>
      <w:ind w:firstLine="420"/>
      <w:jc w:val="both"/>
    </w:pPr>
    <w:rPr>
      <w:rFonts w:ascii="宋体" w:hAnsi="宋体" w:eastAsia="宋体" w:cs="Times New Roman"/>
      <w:sz w:val="24"/>
      <w:szCs w:val="24"/>
      <w:lang w:val="en-US" w:eastAsia="zh-CN" w:bidi="ar-SA"/>
    </w:rPr>
  </w:style>
  <w:style w:type="paragraph" w:customStyle="1" w:styleId="329">
    <w:name w:val="列表段落1"/>
    <w:qFormat/>
    <w:uiPriority w:val="34"/>
    <w:pPr>
      <w:widowControl w:val="0"/>
      <w:ind w:firstLine="420"/>
      <w:jc w:val="both"/>
    </w:pPr>
    <w:rPr>
      <w:rFonts w:ascii="Times New Roman" w:hAnsi="Times New Roman" w:eastAsia="宋体" w:cs="Times New Roman"/>
      <w:sz w:val="21"/>
      <w:szCs w:val="24"/>
      <w:lang w:val="en-US" w:eastAsia="zh-CN" w:bidi="ar-SA"/>
    </w:rPr>
  </w:style>
  <w:style w:type="paragraph" w:customStyle="1" w:styleId="330">
    <w:name w:val="UserStyle_16"/>
    <w:qFormat/>
    <w:uiPriority w:val="0"/>
    <w:pPr>
      <w:spacing w:line="360" w:lineRule="auto"/>
      <w:ind w:firstLine="283"/>
      <w:jc w:val="both"/>
    </w:pPr>
    <w:rPr>
      <w:rFonts w:ascii="宋体" w:hAnsi="宋体" w:eastAsia="宋体" w:cs="Times New Roman"/>
      <w:sz w:val="24"/>
      <w:szCs w:val="21"/>
      <w:lang w:val="en-US" w:eastAsia="zh-CN" w:bidi="ar-SA"/>
    </w:rPr>
  </w:style>
  <w:style w:type="character" w:customStyle="1" w:styleId="331">
    <w:name w:val="UserStyle_11"/>
    <w:qFormat/>
    <w:uiPriority w:val="0"/>
    <w:rPr>
      <w:sz w:val="21"/>
      <w:szCs w:val="21"/>
      <w:lang w:val="en-US" w:eastAsia="zh-CN" w:bidi="ar-SA"/>
    </w:rPr>
  </w:style>
  <w:style w:type="character" w:customStyle="1" w:styleId="332">
    <w:name w:val="NormalCharacter"/>
    <w:qFormat/>
    <w:uiPriority w:val="0"/>
  </w:style>
  <w:style w:type="character" w:customStyle="1" w:styleId="333">
    <w:name w:val="正文缩进 字符"/>
    <w:link w:val="13"/>
    <w:qFormat/>
    <w:uiPriority w:val="0"/>
    <w:rPr>
      <w:rFonts w:ascii="Times New Roman" w:hAnsi="Times New Roman"/>
      <w:sz w:val="21"/>
      <w:szCs w:val="21"/>
    </w:rPr>
  </w:style>
  <w:style w:type="character" w:customStyle="1" w:styleId="334">
    <w:name w:val="font31"/>
    <w:qFormat/>
    <w:uiPriority w:val="0"/>
    <w:rPr>
      <w:rFonts w:hint="eastAsia" w:ascii="宋体" w:hAnsi="宋体" w:eastAsia="宋体" w:cs="宋体"/>
      <w:color w:val="000000"/>
      <w:sz w:val="24"/>
      <w:szCs w:val="24"/>
      <w:u w:val="none"/>
    </w:rPr>
  </w:style>
  <w:style w:type="character" w:customStyle="1" w:styleId="335">
    <w:name w:val="bot_zi"/>
    <w:qFormat/>
    <w:uiPriority w:val="0"/>
  </w:style>
  <w:style w:type="paragraph" w:customStyle="1" w:styleId="336">
    <w:name w:val="B2"/>
    <w:basedOn w:val="1"/>
    <w:qFormat/>
    <w:uiPriority w:val="0"/>
    <w:pPr>
      <w:tabs>
        <w:tab w:val="left" w:pos="360"/>
        <w:tab w:val="left" w:pos="1418"/>
      </w:tabs>
      <w:adjustRightInd w:val="0"/>
      <w:snapToGrid w:val="0"/>
      <w:ind w:left="1418" w:hanging="1418"/>
      <w:outlineLvl w:val="1"/>
    </w:pPr>
    <w:rPr>
      <w:rFonts w:ascii="Arial Narrow" w:hAnsi="Arial Narrow" w:eastAsia="仿宋"/>
      <w:b/>
      <w:sz w:val="24"/>
    </w:rPr>
  </w:style>
  <w:style w:type="paragraph" w:customStyle="1" w:styleId="337">
    <w:name w:val="B3"/>
    <w:basedOn w:val="336"/>
    <w:qFormat/>
    <w:uiPriority w:val="0"/>
    <w:pPr>
      <w:outlineLvl w:val="2"/>
    </w:pPr>
    <w:rPr>
      <w:b w:val="0"/>
    </w:rPr>
  </w:style>
  <w:style w:type="paragraph" w:customStyle="1" w:styleId="338">
    <w:name w:val="B4"/>
    <w:basedOn w:val="337"/>
    <w:qFormat/>
    <w:uiPriority w:val="0"/>
    <w:pPr>
      <w:outlineLvl w:val="3"/>
    </w:pPr>
  </w:style>
  <w:style w:type="character" w:customStyle="1" w:styleId="339">
    <w:name w:val="批注框文本 字符"/>
    <w:basedOn w:val="40"/>
    <w:link w:val="25"/>
    <w:semiHidden/>
    <w:qFormat/>
    <w:uiPriority w:val="99"/>
    <w:rPr>
      <w:rFonts w:ascii="Times New Roman" w:hAnsi="Times New Roman"/>
      <w:sz w:val="18"/>
      <w:szCs w:val="18"/>
    </w:rPr>
  </w:style>
  <w:style w:type="paragraph" w:customStyle="1" w:styleId="340">
    <w:name w:val="正文缩进2"/>
    <w:basedOn w:val="1"/>
    <w:qFormat/>
    <w:uiPriority w:val="0"/>
    <w:pPr>
      <w:wordWrap w:val="0"/>
      <w:jc w:val="left"/>
    </w:pPr>
    <w:rPr>
      <w:rFonts w:ascii="宋体" w:hAnsi="宋体" w:cstheme="minorBidi"/>
      <w:iCs/>
      <w:kern w:val="2"/>
      <w:sz w:val="24"/>
      <w:szCs w:val="22"/>
      <w:shd w:val="clear" w:color="auto" w:fill="FFFFFF" w:themeFill="background1"/>
      <w:lang w:val="zh-CN"/>
    </w:rPr>
  </w:style>
  <w:style w:type="character" w:customStyle="1" w:styleId="341">
    <w:name w:val="日期 字符"/>
    <w:basedOn w:val="40"/>
    <w:link w:val="23"/>
    <w:semiHidden/>
    <w:qFormat/>
    <w:uiPriority w:val="99"/>
    <w:rPr>
      <w:rFonts w:ascii="Times New Roman" w:hAnsi="Times New Roman"/>
      <w:sz w:val="21"/>
      <w:szCs w:val="21"/>
    </w:rPr>
  </w:style>
  <w:style w:type="character" w:customStyle="1" w:styleId="342">
    <w:name w:val="font11"/>
    <w:basedOn w:val="40"/>
    <w:qFormat/>
    <w:uiPriority w:val="0"/>
    <w:rPr>
      <w:rFonts w:hint="eastAsia" w:ascii="仿宋" w:hAnsi="仿宋" w:eastAsia="仿宋" w:cs="仿宋"/>
      <w:color w:val="000000"/>
      <w:sz w:val="22"/>
      <w:szCs w:val="22"/>
      <w:u w:val="none"/>
    </w:rPr>
  </w:style>
  <w:style w:type="character" w:customStyle="1" w:styleId="343">
    <w:name w:val="font161"/>
    <w:basedOn w:val="40"/>
    <w:qFormat/>
    <w:uiPriority w:val="0"/>
    <w:rPr>
      <w:rFonts w:hint="eastAsia" w:ascii="宋体" w:hAnsi="宋体" w:eastAsia="宋体" w:cs="宋体"/>
      <w:color w:val="FF0000"/>
      <w:sz w:val="20"/>
      <w:szCs w:val="20"/>
      <w:u w:val="none"/>
    </w:rPr>
  </w:style>
  <w:style w:type="character" w:customStyle="1" w:styleId="344">
    <w:name w:val="font81"/>
    <w:basedOn w:val="40"/>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4357f396-de2b-4bbc-910e-ba8141bc0fdd</errorID>
      <errorWord>(</errorWord>
      <group>L1_Format</group>
      <groupName>格式问题</groupName>
      <ability>L2_HalfPunc</ability>
      <abilityName>全半角检查</abilityName>
      <candidateList>
        <item>（</item>
      </candidateList>
      <explain>文本全半角错误。</explain>
      <paraID>25344594</paraID>
      <start>57</start>
      <end>58</end>
      <status>modified</status>
      <modifiedWord>（</modifiedWord>
      <trackRevisions>false</trackRevisions>
    </reviewItem>
    <reviewItem>
      <errorID>ce99fd2a-8be6-41be-a45f-014feefd777f</errorID>
      <errorWord>)</errorWord>
      <group>L1_Format</group>
      <groupName>格式问题</groupName>
      <ability>L2_HalfPunc</ability>
      <abilityName>全半角检查</abilityName>
      <candidateList>
        <item>）</item>
      </candidateList>
      <explain>文本全半角错误。</explain>
      <paraID>25344594</paraID>
      <start>90</start>
      <end>91</end>
      <status>modified</status>
      <modifiedWord>）</modifiedWord>
      <trackRevisions>false</trackRevisions>
    </reviewItem>
    <reviewItem>
      <errorID>da69e83d-26ed-411c-b056-1415e07966cc</errorID>
      <errorWord>苏</errorWord>
      <group>L1_Word</group>
      <groupName>字词问题</groupName>
      <ability>L2_Typo</ability>
      <abilityName>字词错误</abilityName>
      <candidateList>
        <item>苏省</item>
      </candidateList>
      <explain/>
      <paraID>7B5714FC</paraID>
      <start>38</start>
      <end>39</end>
      <status>unmodified</status>
      <modifiedWord/>
      <trackRevisions>false</trackRevisions>
    </reviewItem>
    <reviewItem>
      <errorID>994172fa-db31-4fe5-b463-84e2d8c1132b</errorID>
      <errorWord>合</errorWord>
      <group>L1_Word</group>
      <groupName>字词问题</groupName>
      <ability>L2_Typo</ability>
      <abilityName>字词错误</abilityName>
      <candidateList>
        <item>合同</item>
      </candidateList>
      <explain/>
      <paraID>18963D3A</paraID>
      <start>4</start>
      <end>6</end>
      <status>modified</status>
      <modifiedWord>合同</modifiedWord>
      <trackRevisions>false</trackRevisions>
    </reviewItem>
    <reviewItem>
      <errorID>143cd92d-a086-43dc-b80f-55f13eae289c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48988EBF</paraID>
      <start>53</start>
      <end>55</end>
      <status>modified</status>
      <modifiedWord>”“</modifiedWord>
      <trackRevisions>false</trackRevisions>
    </reviewItem>
    <reviewItem>
      <errorID>cb64ef78-8d54-4b1a-93e0-e15e5b3537d2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17D6169</paraID>
      <start>0</start>
      <end>2</end>
      <status>modified</status>
      <modifiedWord>1.</modifiedWord>
      <trackRevisions>false</trackRevisions>
    </reviewItem>
    <reviewItem>
      <errorID>4988e1ce-cd8f-4ae3-b9e3-7f7b3a2153c5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338B7C47</paraID>
      <start>0</start>
      <end>2</end>
      <status>modified</status>
      <modifiedWord>2.</modifiedWord>
      <trackRevisions>false</trackRevisions>
    </reviewItem>
    <reviewItem>
      <errorID>a841d90b-6e8f-42ad-bd56-dcaeaa4ee7b4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3BE1A395</paraID>
      <start>0</start>
      <end>2</end>
      <status>modified</status>
      <modifiedWord>3.</modifiedWord>
      <trackRevisions>false</trackRevisions>
    </reviewItem>
    <reviewItem>
      <errorID>2684ade4-4c8f-481f-be76-f51870fe5a4f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6909A4D5</paraID>
      <start>0</start>
      <end>2</end>
      <status>modified</status>
      <modifiedWord>4.</modifiedWord>
      <trackRevisions>false</trackRevisions>
    </reviewItem>
    <reviewItem>
      <errorID>cff52e8a-6047-48bc-af7e-110eef677b5f</errorID>
      <errorWord>招标招标代理</errorWord>
      <group>L1_Word</group>
      <groupName>字词问题</groupName>
      <ability>L2_Typo</ability>
      <abilityName>字词错误</abilityName>
      <candidateList>
        <item>招标代理</item>
      </candidateList>
      <explain/>
      <paraID>6D3E4CEC</paraID>
      <start>6</start>
      <end>10</end>
      <status>modified</status>
      <modifiedWord>招标代理</modifiedWord>
      <trackRevisions>false</trackRevisions>
    </reviewItem>
    <reviewItem>
      <errorID>b2d455c3-f8ef-4260-998e-e60d95415677</errorID>
      <errorWord>［2024］</errorWord>
      <group>L1_Punc</group>
      <groupName>标点问题</groupName>
      <ability>L2_Punc</ability>
      <abilityName>标点符号检查</abilityName>
      <candidateList>
        <item>〔2024〕</item>
      </candidateList>
      <explain/>
      <paraID>431AB1D2</paraID>
      <start>45</start>
      <end>51</end>
      <status>modified</status>
      <modifiedWord>〔2024〕</modifiedWord>
      <trackRevisions>false</trackRevisions>
    </reviewItem>
    <reviewItem>
      <errorID>eb65f58d-f5fe-4f71-9b97-c7158c09071c</errorID>
      <errorWord>【2020】40号</errorWord>
      <group>L1_Knowledge</group>
      <groupName>知识性问题</groupName>
      <ability>L2_Knowledge</ability>
      <abilityName>其他知识</abilityName>
      <candidateList>
        <item>〔2020〕40号</item>
      </candidateList>
      <explain>发文字号格式错误。</explain>
      <paraID>3978D2A1</paraID>
      <start>13</start>
      <end>22</end>
      <status>modified</status>
      <modifiedWord>〔2020〕40号</modifiedWord>
      <trackRevisions>false</trackRevisions>
    </reviewItem>
    <reviewItem>
      <errorID>2a6a2976-ac61-4486-821f-7846ad1393af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6FD3791F</paraID>
      <start>0</start>
      <end>2</end>
      <status>modified</status>
      <modifiedWord>5.</modifiedWord>
      <trackRevisions>false</trackRevisions>
    </reviewItem>
    <reviewItem>
      <errorID>5cfcdf64-e2c0-4773-95c1-8cc2384527c2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4769346</paraID>
      <start>0</start>
      <end>2</end>
      <status>modified</status>
      <modifiedWord>6.</modifiedWord>
      <trackRevisions>false</trackRevisions>
    </reviewItem>
    <reviewItem>
      <errorID>90ab2299-c205-45d0-83e7-4a0124f47595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38DC937A</paraID>
      <start>0</start>
      <end>2</end>
      <status>modified</status>
      <modifiedWord>7.</modifiedWord>
      <trackRevisions>false</trackRevisions>
    </reviewItem>
    <reviewItem>
      <errorID>5bcacfe3-632b-451d-9f86-cb56b4b3571c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523251C2</paraID>
      <start>0</start>
      <end>2</end>
      <status>modified</status>
      <modifiedWord>8.</modifiedWord>
      <trackRevisions>false</trackRevisions>
    </reviewItem>
    <reviewItem>
      <errorID>f8324796-9cf0-4241-8a67-dcec34bf0598</errorID>
      <errorWord>间</errorWord>
      <group>L1_Word</group>
      <groupName>字词问题</groupName>
      <ability>L2_Typo</ability>
      <abilityName>字词错误</abilityName>
      <candidateList>
        <item>间之</item>
      </candidateList>
      <explain/>
      <paraID>161B040F</paraID>
      <start>10</start>
      <end>11</end>
      <status>unmodified</status>
      <modifiedWord/>
      <trackRevisions>false</trackRevisions>
    </reviewItem>
    <reviewItem>
      <errorID>edb8e5dd-bc19-456d-88b7-e2a7ae1d180e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65EFE55D</paraID>
      <start>0</start>
      <end>2</end>
      <status>modified</status>
      <modifiedWord>9.</modifiedWord>
      <trackRevisions>false</trackRevisions>
    </reviewItem>
    <reviewItem>
      <errorID>b16ad81f-2334-445c-a888-6452cd3689e1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3292A4DE</paraID>
      <start>0</start>
      <end>3</end>
      <status>modified</status>
      <modifiedWord>10.</modifiedWord>
      <trackRevisions>false</trackRevisions>
    </reviewItem>
    <reviewItem>
      <errorID>ea7daa21-72de-41d3-a5cc-b016aa1daa93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14A78B1F</paraID>
      <start>0</start>
      <end>3</end>
      <status>modified</status>
      <modifiedWord>11.</modifiedWord>
      <trackRevisions>false</trackRevisions>
    </reviewItem>
    <reviewItem>
      <errorID>c821bb08-6953-4694-a296-4b597b87717d</errorID>
      <errorWord>法律、法规</errorWord>
      <group>L1_Word</group>
      <groupName>字词问题</groupName>
      <ability>L2_Typo</ability>
      <abilityName>字词错误</abilityName>
      <candidateList>
        <item>法律法规</item>
      </candidateList>
      <explain/>
      <paraID>2C391BC9</paraID>
      <start>11</start>
      <end>16</end>
      <status>unmodified</status>
      <modifiedWord/>
      <trackRevisions>false</trackRevisions>
    </reviewItem>
    <reviewItem>
      <errorID>0476a1fe-1d0f-4f0f-8db3-2a2a45729a39</errorID>
      <errorWord>其及</errorWord>
      <group>L1_Word</group>
      <groupName>字词问题</groupName>
      <ability>L2_Typo</ability>
      <abilityName>字词错误</abilityName>
      <candidateList>
        <item>其</item>
      </candidateList>
      <explain>词缀：极～｜尤～｜如～。</explain>
      <paraID>2C391BC9</paraID>
      <start>42</start>
      <end>44</end>
      <status>unmodified</status>
      <modifiedWord/>
      <trackRevisions>false</trackRevisions>
    </reviewItem>
    <reviewItem>
      <errorID>9b3f5bce-81a0-4614-9695-3aedeb08b4a9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358144E2</paraID>
      <start>0</start>
      <end>3</end>
      <status>modified</status>
      <modifiedWord>12.</modifiedWord>
      <trackRevisions>false</trackRevisions>
    </reviewItem>
    <reviewItem>
      <errorID>494bb2a1-49f3-49e8-9b99-e42328d73d30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2F26DF3D</paraID>
      <start>0</start>
      <end>3</end>
      <status>modified</status>
      <modifiedWord>13.</modifiedWord>
      <trackRevisions>false</trackRevisions>
    </reviewItem>
    <reviewItem>
      <errorID>1ae2a3ca-d5da-4530-a83e-42294bbfe9c2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496E4FD2</paraID>
      <start>0</start>
      <end>3</end>
      <status>modified</status>
      <modifiedWord>14.</modifiedWord>
      <trackRevisions>false</trackRevisions>
    </reviewItem>
    <reviewItem>
      <errorID>114d32fa-7332-4fb3-ad53-f0e044e19e68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A44678C</paraID>
      <start>0</start>
      <end>3</end>
      <status>modified</status>
      <modifiedWord>15.</modifiedWord>
      <trackRevisions>false</trackRevisions>
    </reviewItem>
    <reviewItem>
      <errorID>94a195c0-4e58-4408-b04c-abc746510435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2605F1E1</paraID>
      <start>0</start>
      <end>3</end>
      <status>modified</status>
      <modifiedWord>16.</modifiedWord>
      <trackRevisions>false</trackRevisions>
    </reviewItem>
    <reviewItem>
      <errorID>820f7dc3-fb9f-482c-8c03-ec738971de2c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2247E752</paraID>
      <start>0</start>
      <end>3</end>
      <status>modified</status>
      <modifiedWord>17.</modifiedWord>
      <trackRevisions>false</trackRevisions>
    </reviewItem>
    <reviewItem>
      <errorID>c0c4924e-809e-4d9a-aefb-10d61dce242d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722F964</paraID>
      <start>0</start>
      <end>3</end>
      <status>modified</status>
      <modifiedWord>18.</modifiedWord>
      <trackRevisions>false</trackRevisions>
    </reviewItem>
    <reviewItem>
      <errorID>610ec1e3-5a62-4040-a619-2e2e05b59697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61F91477</paraID>
      <start>0</start>
      <end>3</end>
      <status>modified</status>
      <modifiedWord>19.</modifiedWord>
      <trackRevisions>false</trackRevisions>
    </reviewItem>
    <reviewItem>
      <errorID>c9d15b61-be52-4556-b2f4-653b6dfb6118</errorID>
      <errorWord>充分考虑到</errorWord>
      <group>L1_Word</group>
      <groupName>字词问题</groupName>
      <ability>L2_Typo</ability>
      <abilityName>字词错误</abilityName>
      <candidateList>
        <item>充分考虑</item>
      </candidateList>
      <explain/>
      <paraID>70220A9B</paraID>
      <start>4</start>
      <end>9</end>
      <status>unmodified</status>
      <modifiedWord/>
      <trackRevisions>false</trackRevisions>
    </reviewItem>
    <reviewItem>
      <errorID>055a6b30-8a1c-454d-97d1-bab34ebe846b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591A53AE</paraID>
      <start>0</start>
      <end>3</end>
      <status>modified</status>
      <modifiedWord>20.</modifiedWord>
      <trackRevisions>false</trackRevisions>
    </reviewItem>
    <reviewItem>
      <errorID>ac8211e4-0c82-48f4-9a14-4a5318a4bc0f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161E7E67</paraID>
      <start>0</start>
      <end>3</end>
      <status>modified</status>
      <modifiedWord>21.</modifiedWord>
      <trackRevisions>false</trackRevisions>
    </reviewItem>
    <reviewItem>
      <errorID>6db19f4b-10a3-48ee-9e3c-d5dc94def962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34E7C735</paraID>
      <start>0</start>
      <end>3</end>
      <status>modified</status>
      <modifiedWord>22.</modifiedWord>
      <trackRevisions>false</trackRevisions>
    </reviewItem>
    <reviewItem>
      <errorID>8ab68166-c212-4f8b-ac5a-1604ebd1bf0f</errorID>
      <errorWord>涉及到</errorWord>
      <group>L1_Grammar</group>
      <groupName>语法问题</groupName>
      <ability>L2_Grammar</ability>
      <abilityName>语法错误</abilityName>
      <candidateList>
        <item>涉及</item>
      </candidateList>
      <explain>〈动〉牵涉到；关联到：案子～好几个人｜这个问题～面很广。</explain>
      <paraID>7AB6F473</paraID>
      <start>14</start>
      <end>17</end>
      <status>unmodified</status>
      <modifiedWord/>
      <trackRevisions>false</trackRevisions>
    </reviewItem>
    <reviewItem>
      <errorID>9849149b-7fc0-45c6-9718-b3c2cbbf3c06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76253F47</paraID>
      <start>0</start>
      <end>3</end>
      <status>modified</status>
      <modifiedWord>23.</modifiedWord>
      <trackRevisions>false</trackRevisions>
    </reviewItem>
    <reviewItem>
      <errorID>5e35d4ba-8eb9-455f-9f0f-a88c1f1c4d10</errorID>
      <errorWord>侯选人</errorWord>
      <group>L1_Word</group>
      <groupName>字词问题</groupName>
      <ability>L2_Typo</ability>
      <abilityName>字词错误</abilityName>
      <candidateList>
        <item>候选人</item>
      </candidateList>
      <explain>〈名〉在选举前预先提名作为选举对象的人。</explain>
      <paraID>24612EA8</paraID>
      <start>28</start>
      <end>31</end>
      <status>modified</status>
      <modifiedWord>候选人</modifiedWord>
      <trackRevisions>false</trackRevisions>
    </reviewItem>
    <reviewItem>
      <errorID>2bc7fd9b-a114-43bc-b123-8f546f5b2f1d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3ACF4830</paraID>
      <start>0</start>
      <end>3</end>
      <status>modified</status>
      <modifiedWord>24.</modifiedWord>
      <trackRevisions>false</trackRevisions>
    </reviewItem>
    <reviewItem>
      <errorID>388626df-6467-465b-b64d-63bffb979dab</errorID>
      <errorWord>授标</errorWord>
      <group>L1_Word</group>
      <groupName>字词问题</groupName>
      <ability>L2_Typo</ability>
      <abilityName>字词错误</abilityName>
      <candidateList>
        <item>投标</item>
      </candidateList>
      <explain/>
      <paraID>123EB42C</paraID>
      <start>28</start>
      <end>30</end>
      <status>unmodified</status>
      <modifiedWord/>
      <trackRevisions>false</trackRevisions>
    </reviewItem>
    <reviewItem>
      <errorID>9eb6258e-bbe4-438b-a046-172b9ee0507b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4536FA32</paraID>
      <start>0</start>
      <end>3</end>
      <status>modified</status>
      <modifiedWord>25.</modifiedWord>
      <trackRevisions>false</trackRevisions>
    </reviewItem>
    <reviewItem>
      <errorID>edcd430c-d11e-41ad-9f87-a4e3e1094cf5</errorID>
      <errorWord>做出</errorWord>
      <group>L1_Word</group>
      <groupName>字词问题</groupName>
      <ability>L2_Typo</ability>
      <abilityName>字词错误</abilityName>
      <candidateList>
        <item>作出</item>
      </candidateList>
      <explain/>
      <paraID>6D986CA1</paraID>
      <start>29</start>
      <end>31</end>
      <status>unmodified</status>
      <modifiedWord/>
      <trackRevisions>false</trackRevisions>
    </reviewItem>
    <reviewItem>
      <errorID>60a6d89f-0dcf-45e1-a0f2-cb3fc6a6230f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2BF317C0</paraID>
      <start>0</start>
      <end>3</end>
      <status>modified</status>
      <modifiedWord>26.</modifiedWord>
      <trackRevisions>false</trackRevisions>
    </reviewItem>
    <reviewItem>
      <errorID>59d09fe0-5c3d-4aa2-b776-44617f2db558</errorID>
      <errorWord>“</errorWord>
      <group>L1_Punc</group>
      <groupName>标点问题</groupName>
      <ability>L2_Punc</ability>
      <abilityName>标点符号检查</abilityName>
      <candidateList/>
      <explain/>
      <paraID>400765B6</paraID>
      <start>50</start>
      <end>51</end>
      <status>unmodified</status>
      <modifiedWord/>
      <trackRevisions>false</trackRevisions>
    </reviewItem>
    <reviewItem>
      <errorID>85163dde-37d6-4c6d-9bf7-1cdd7c274caa</errorID>
      <errorWord>"</errorWord>
      <group>L1_Format</group>
      <groupName>格式问题</groupName>
      <ability>L2_HalfPunc</ability>
      <abilityName>全半角检查</abilityName>
      <candidateList>
        <item>”</item>
      </candidateList>
      <explain>文本全半角错误。</explain>
      <paraID>400765B6</paraID>
      <start>58</start>
      <end>59</end>
      <status>unmodified</status>
      <modifiedWord/>
      <trackRevisions>false</trackRevisions>
    </reviewItem>
    <reviewItem>
      <errorID>8ae3baed-9752-4d65-afd1-f6b1d7a21166</errorID>
      <errorWord>)</errorWord>
      <group>L1_Format</group>
      <groupName>格式问题</groupName>
      <ability>L2_HalfPunc</ability>
      <abilityName>全半角检查</abilityName>
      <candidateList>
        <item>）</item>
      </candidateList>
      <explain>文本全半角错误。</explain>
      <paraID>400765B6</paraID>
      <start>75</start>
      <end>76</end>
      <status>modified</status>
      <modifiedWord>）</modifiedWord>
      <trackRevisions>false</trackRevisions>
    </reviewItem>
    <reviewItem>
      <errorID>e93f0803-a065-4a99-b7bf-664d2a824423</errorID>
      <errorWord>,</errorWord>
      <group>L1_Format</group>
      <groupName>格式问题</groupName>
      <ability>L2_HalfPunc</ability>
      <abilityName>全半角检查</abilityName>
      <candidateList>
        <item>，</item>
      </candidateList>
      <explain>文本全半角错误。</explain>
      <paraID>3E45EDFC</paraID>
      <start>54</start>
      <end>55</end>
      <status>modified</status>
      <modifiedWord>，</modifiedWord>
      <trackRevisions>false</trackRevisions>
    </reviewItem>
    <reviewItem>
      <errorID>d2d52efc-d0de-4683-8779-f1c4df498be5</errorID>
      <errorWord>不</errorWord>
      <group>L1_Word</group>
      <groupName>字词问题</groupName>
      <ability>L2_Typo</ability>
      <abilityName>字词错误</abilityName>
      <candidateList>
        <item>不符</item>
      </candidateList>
      <explain/>
      <paraID>4C32FBF8</paraID>
      <start>47</start>
      <end>48</end>
      <status>unmodified</status>
      <modifiedWord/>
      <trackRevisions>false</trackRevisions>
    </reviewItem>
    <reviewItem>
      <errorID>37e7f30a-03a6-4f77-b1d9-e0968348bcee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73E578F6</paraID>
      <start>52</start>
      <end>54</end>
      <status>unmodified</status>
      <modifiedWord/>
      <trackRevisions>false</trackRevisions>
    </reviewItem>
    <reviewItem>
      <errorID>3e978b8d-623b-4b88-9904-36871d9186b4</errorID>
      <errorWord>保持通讯畅通</errorWord>
      <group>L1_Word</group>
      <groupName>字词问题</groupName>
      <ability>L2_Typo</ability>
      <abilityName>字词错误</abilityName>
      <candidateList>
        <item>保持通信畅通</item>
      </candidateList>
      <explain/>
      <paraID>4528F9FE</paraID>
      <start>18</start>
      <end>24</end>
      <status>unmodified</status>
      <modifiedWord/>
      <trackRevisions>false</trackRevisions>
    </reviewItem>
    <reviewItem>
      <errorID>929c4549-4a9f-4e50-be84-5511dcf5ff9c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6883306B</paraID>
      <start>0</start>
      <end>3</end>
      <status>modified</status>
      <modifiedWord>27.</modifiedWord>
      <trackRevisions>false</trackRevisions>
    </reviewItem>
    <reviewItem>
      <errorID>7a7aa896-74e4-40d1-b5b9-79a560bb27c9</errorID>
      <errorWord>“</errorWord>
      <group>L1_Punc</group>
      <groupName>标点问题</groupName>
      <ability>L2_Punc</ability>
      <abilityName>标点符号检查</abilityName>
      <candidateList/>
      <explain/>
      <paraID>32CB8A3C</paraID>
      <start>65</start>
      <end>66</end>
      <status>unmodified</status>
      <modifiedWord/>
      <trackRevisions>false</trackRevisions>
    </reviewItem>
    <reviewItem>
      <errorID>bc825fbf-ffce-4801-b9e1-5d98955df4f9</errorID>
      <errorWord>"</errorWord>
      <group>L1_Format</group>
      <groupName>格式问题</groupName>
      <ability>L2_HalfPunc</ability>
      <abilityName>全半角检查</abilityName>
      <candidateList>
        <item>”</item>
      </candidateList>
      <explain>文本全半角错误。</explain>
      <paraID>32CB8A3C</paraID>
      <start>73</start>
      <end>74</end>
      <status>modified</status>
      <modifiedWord>”</modifiedWord>
      <trackRevisions>false</trackRevisions>
    </reviewItem>
    <reviewItem>
      <errorID>02e02937-6cec-4a76-907f-c73fb02c79de</errorID>
      <errorWord>)</errorWord>
      <group>L1_Format</group>
      <groupName>格式问题</groupName>
      <ability>L2_HalfPunc</ability>
      <abilityName>全半角检查</abilityName>
      <candidateList>
        <item>）</item>
      </candidateList>
      <explain>文本全半角错误。</explain>
      <paraID>32CB8A3C</paraID>
      <start>90</start>
      <end>91</end>
      <status>modified</status>
      <modifiedWord>）</modifiedWord>
      <trackRevisions>false</trackRevisions>
    </reviewItem>
    <reviewItem>
      <errorID>be4e8aa0-3d32-423d-8d73-07b6b30b80df</errorID>
      <errorWord>法律、法规</errorWord>
      <group>L1_Word</group>
      <groupName>字词问题</groupName>
      <ability>L2_Typo</ability>
      <abilityName>字词错误</abilityName>
      <candidateList>
        <item>法律法规</item>
      </candidateList>
      <explain/>
      <paraID>64C47BFD</paraID>
      <start>10</start>
      <end>15</end>
      <status>unmodified</status>
      <modifiedWord/>
      <trackRevisions>false</trackRevisions>
    </reviewItem>
    <reviewItem>
      <errorID>eb2d2673-0735-475b-bbc9-57c2e0c16bdd</errorID>
      <errorWord>属</errorWord>
      <group>L1_Word</group>
      <groupName>字词问题</groupName>
      <ability>L2_Typo</ability>
      <abilityName>字词错误</abilityName>
      <candidateList>
        <item>属于</item>
      </candidateList>
      <explain/>
      <paraID>64C47BFD</paraID>
      <start>24</start>
      <end>26</end>
      <status>modified</status>
      <modifiedWord>属于</modifiedWord>
      <trackRevisions>false</trackRevisions>
    </reviewItem>
    <reviewItem>
      <errorID>5f59d2bc-4e24-4f71-ab26-33c9a86084d9</errorID>
      <errorWord>系统系统故障</errorWord>
      <group>L1_Word</group>
      <groupName>字词问题</groupName>
      <ability>L2_Typo</ability>
      <abilityName>字词错误</abilityName>
      <candidateList>
        <item>系统故障</item>
      </candidateList>
      <explain/>
      <paraID>7BFBF3AF</paraID>
      <start>11</start>
      <end>15</end>
      <status>modified</status>
      <modifiedWord>系统故障</modifiedWord>
      <trackRevisions>false</trackRevisions>
    </reviewItem>
    <reviewItem>
      <errorID>f5258741-c4d3-49df-9020-c503c0af61ca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182478A3</paraID>
      <start>0</start>
      <end>3</end>
      <status>modified</status>
      <modifiedWord>28.</modifiedWord>
      <trackRevisions>false</trackRevisions>
    </reviewItem>
    <reviewItem>
      <errorID>81f049c9-90ce-4259-a696-24e1f2281859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23A2F865</paraID>
      <start>21</start>
      <end>23</end>
      <status>modified</status>
      <modifiedWord>”“</modifiedWord>
      <trackRevisions>false</trackRevisions>
    </reviewItem>
    <reviewItem>
      <errorID>9170233f-1d1f-495d-97dd-1044a255f77c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31EFFB44</paraID>
      <start>0</start>
      <end>3</end>
      <status>modified</status>
      <modifiedWord>29.</modifiedWord>
      <trackRevisions>false</trackRevisions>
    </reviewItem>
    <reviewItem>
      <errorID>b9c3dcca-1b7f-4eb8-ba6b-b05232ff01b9</errorID>
      <errorWord>,</errorWord>
      <group>L1_Format</group>
      <groupName>格式问题</groupName>
      <ability>L2_HalfPunc</ability>
      <abilityName>全半角检查</abilityName>
      <candidateList>
        <item>，</item>
      </candidateList>
      <explain>文本全半角错误。</explain>
      <paraID>1F3100BF</paraID>
      <start>25</start>
      <end>26</end>
      <status>modified</status>
      <modifiedWord>，</modifiedWord>
      <trackRevisions>false</trackRevisions>
    </reviewItem>
    <reviewItem>
      <errorID>491d8b0e-cbaf-4ce1-b71f-9f495bf69e4f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1FE81F4E</paraID>
      <start>0</start>
      <end>3</end>
      <status>modified</status>
      <modifiedWord>30.</modifiedWord>
      <trackRevisions>false</trackRevisions>
    </reviewItem>
    <reviewItem>
      <errorID>72c9f341-3d59-4dab-aee9-adcc298bbd88</errorID>
      <errorWord>,</errorWord>
      <group>L1_Format</group>
      <groupName>格式问题</groupName>
      <ability>L2_HalfPunc</ability>
      <abilityName>全半角检查</abilityName>
      <candidateList>
        <item>，</item>
      </candidateList>
      <explain>文本全半角错误。</explain>
      <paraID>133FC6C1</paraID>
      <start>52</start>
      <end>53</end>
      <status>modified</status>
      <modifiedWord>，</modifiedWord>
      <trackRevisions>false</trackRevisions>
    </reviewItem>
    <reviewItem>
      <errorID>73c63ed8-0295-407d-8db5-c7efcef155c0</errorID>
      <errorWord>,</errorWord>
      <group>L1_Format</group>
      <groupName>格式问题</groupName>
      <ability>L2_HalfPunc</ability>
      <abilityName>全半角检查</abilityName>
      <candidateList>
        <item>，</item>
      </candidateList>
      <explain>文本全半角错误。</explain>
      <paraID>133FC6C1</paraID>
      <start>125</start>
      <end>126</end>
      <status>modified</status>
      <modifiedWord>，</modifiedWord>
      <trackRevisions>false</trackRevisions>
    </reviewItem>
    <reviewItem>
      <errorID>97b18307-e561-4c61-b077-874f0b95c26f</errorID>
      <errorWord>签定</errorWord>
      <group>L1_Word</group>
      <groupName>字词问题</groupName>
      <ability>L2_Typo</ability>
      <abilityName>字词错误</abilityName>
      <candidateList>
        <item>签订</item>
      </candidateList>
      <explain>存在发音相同字词的误用。</explain>
      <paraID>2378E1B3</paraID>
      <start>6</start>
      <end>8</end>
      <status>modified</status>
      <modifiedWord>签订</modifiedWord>
      <trackRevisions>false</trackRevisions>
    </reviewItem>
    <reviewItem>
      <errorID>fdc362d7-81bc-496b-967a-4a36298dd203</errorID>
      <errorWord>(</errorWord>
      <group>L1_Format</group>
      <groupName>格式问题</groupName>
      <ability>L2_HalfPunc</ability>
      <abilityName>全半角检查</abilityName>
      <candidateList>
        <item>（</item>
      </candidateList>
      <explain>文本全半角错误。</explain>
      <paraID>6D4B64EA</paraID>
      <start>25</start>
      <end>26</end>
      <status>modified</status>
      <modifiedWord>（</modifiedWord>
      <trackRevisions>false</trackRevisions>
    </reviewItem>
    <reviewItem>
      <errorID>26779773-48ed-42a5-864f-d802345c31f5</errorID>
      <errorWord>)</errorWord>
      <group>L1_Format</group>
      <groupName>格式问题</groupName>
      <ability>L2_HalfPunc</ability>
      <abilityName>全半角检查</abilityName>
      <candidateList>
        <item>）</item>
      </candidateList>
      <explain>文本全半角错误。</explain>
      <paraID>6D4B64EA</paraID>
      <start>36</start>
      <end>37</end>
      <status>modified</status>
      <modifiedWord>）</modifiedWord>
      <trackRevisions>false</trackRevisions>
    </reviewItem>
    <reviewItem>
      <errorID>2550639a-42ef-4385-a0da-1d55218b8ced</errorID>
      <errorWord>金额的</errorWord>
      <group>L1_Word</group>
      <groupName>字词问题</groupName>
      <ability>L2_Typo</ability>
      <abilityName>字词错误</abilityName>
      <candidateList>
        <item>金额</item>
      </candidateList>
      <explain/>
      <paraID>797F737A</paraID>
      <start>52</start>
      <end>55</end>
      <status>unmodified</status>
      <modifiedWord/>
      <trackRevisions>false</trackRevisions>
    </reviewItem>
    <reviewItem>
      <errorID>0ada41c3-db7c-499a-b857-4d1971cdb023</errorID>
      <errorWord>方</errorWord>
      <group>L1_Word</group>
      <groupName>字词问题</groupName>
      <ability>L2_Typo</ability>
      <abilityName>字词错误</abilityName>
      <candidateList>
        <item>方在</item>
      </candidateList>
      <explain/>
      <paraID>4B3D9B09</paraID>
      <start>18</start>
      <end>19</end>
      <status>unmodified</status>
      <modifiedWord/>
      <trackRevisions>false</trackRevisions>
    </reviewItem>
    <reviewItem>
      <errorID>522cdd80-b73a-48bd-93bd-4af19ded427e</errorID>
      <errorWord>上述的</errorWord>
      <group>L1_Word</group>
      <groupName>字词问题</groupName>
      <ability>L2_Typo</ability>
      <abilityName>字词错误</abilityName>
      <candidateList>
        <item>上述</item>
      </candidateList>
      <explain>〈形〉属性词。上面所说的：～各条，望切实执行。</explain>
      <paraID>17F39705</paraID>
      <start>4</start>
      <end>7</end>
      <status>unmodified</status>
      <modifiedWord/>
      <trackRevisions>false</trackRevisions>
    </reviewItem>
    <reviewItem>
      <errorID>3e880816-469f-4d7e-9c5d-f23fb7ad1d74</errorID>
      <errorWord>终生维修</errorWord>
      <group>L1_Word</group>
      <groupName>字词问题</groupName>
      <ability>L2_Typo</ability>
      <abilityName>字词错误</abilityName>
      <candidateList>
        <item>终身维修</item>
      </candidateList>
      <explain/>
      <paraID>17F39705</paraID>
      <start>66</start>
      <end>70</end>
      <status>modified</status>
      <modifiedWord>终身维修</modifiedWord>
      <trackRevisions>false</trackRevisions>
    </reviewItem>
    <reviewItem>
      <errorID>49447e62-fb6a-4b79-a564-3e0b9bf3ed18</errorID>
      <errorWord>,</errorWord>
      <group>L1_Format</group>
      <groupName>格式问题</groupName>
      <ability>L2_HalfPunc</ability>
      <abilityName>全半角检查</abilityName>
      <candidateList>
        <item>，</item>
      </candidateList>
      <explain>文本全半角错误。</explain>
      <paraID> 9090CAF</paraID>
      <start>58</start>
      <end>59</end>
      <status>modified</status>
      <modifiedWord>，</modifiedWord>
      <trackRevisions>false</trackRevisions>
    </reviewItem>
    <reviewItem>
      <errorID>a802e58c-bab8-43ec-bf0b-9682d9918f96</errorID>
      <errorWord>,</errorWord>
      <group>L1_Format</group>
      <groupName>格式问题</groupName>
      <ability>L2_HalfPunc</ability>
      <abilityName>全半角检查</abilityName>
      <candidateList>
        <item>，</item>
      </candidateList>
      <explain>文本全半角错误。</explain>
      <paraID> 9090CAF</paraID>
      <start>96</start>
      <end>97</end>
      <status>modified</status>
      <modifiedWord>，</modifiedWord>
      <trackRevisions>false</trackRevisions>
    </reviewItem>
    <reviewItem>
      <errorID>682dcdc8-c517-4f49-b516-a451d1c3a634</errorID>
      <errorWord>,</errorWord>
      <group>L1_Format</group>
      <groupName>格式问题</groupName>
      <ability>L2_HalfPunc</ability>
      <abilityName>全半角检查</abilityName>
      <candidateList>
        <item>，</item>
      </candidateList>
      <explain>文本全半角错误。</explain>
      <paraID> 9090CAF</paraID>
      <start>106</start>
      <end>107</end>
      <status>modified</status>
      <modifiedWord>，</modifiedWord>
      <trackRevisions>false</trackRevisions>
    </reviewItem>
    <reviewItem>
      <errorID>b56b1128-72dd-4753-a4b0-65e17864e40a</errorID>
      <errorWord>,</errorWord>
      <group>L1_Format</group>
      <groupName>格式问题</groupName>
      <ability>L2_HalfPunc</ability>
      <abilityName>全半角检查</abilityName>
      <candidateList>
        <item>，</item>
      </candidateList>
      <explain>文本全半角错误。</explain>
      <paraID> 9090CAF</paraID>
      <start>125</start>
      <end>126</end>
      <status>modified</status>
      <modifiedWord>，</modifiedWord>
      <trackRevisions>false</trackRevisions>
    </reviewItem>
    <reviewItem>
      <errorID>a1e610be-5828-4928-a186-822f8e7ff695</errorID>
      <errorWord>,</errorWord>
      <group>L1_Format</group>
      <groupName>格式问题</groupName>
      <ability>L2_HalfPunc</ability>
      <abilityName>全半角检查</abilityName>
      <candidateList>
        <item>，</item>
      </candidateList>
      <explain>文本全半角错误。</explain>
      <paraID>4FA737DF</paraID>
      <start>12</start>
      <end>13</end>
      <status>modified</status>
      <modifiedWord>，</modifiedWord>
      <trackRevisions>false</trackRevisions>
    </reviewItem>
    <reviewItem>
      <errorID>dcfe52aa-1587-400e-88b9-de8198e13f6e</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4FA737DF</paraID>
      <start>86</start>
      <end>89</end>
      <status>unmodified</status>
      <modifiedWord/>
      <trackRevisions>false</trackRevisions>
    </reviewItem>
    <reviewItem>
      <errorID>98eaca95-b3fa-4de5-95ec-14b9a5052bb6</errorID>
      <errorWord>,</errorWord>
      <group>L1_Format</group>
      <groupName>格式问题</groupName>
      <ability>L2_HalfPunc</ability>
      <abilityName>全半角检查</abilityName>
      <candidateList>
        <item>，</item>
      </candidateList>
      <explain>文本全半角错误。</explain>
      <paraID>4FA737DF</paraID>
      <start>118</start>
      <end>119</end>
      <status>modified</status>
      <modifiedWord>，</modifiedWord>
      <trackRevisions>false</trackRevisions>
    </reviewItem>
    <reviewItem>
      <errorID>29588e92-a90d-4dfc-bc76-7f64164feb6a</errorID>
      <errorWord>,</errorWord>
      <group>L1_Format</group>
      <groupName>格式问题</groupName>
      <ability>L2_HalfPunc</ability>
      <abilityName>全半角检查</abilityName>
      <candidateList>
        <item>，</item>
      </candidateList>
      <explain>文本全半角错误。</explain>
      <paraID>2BFE8C58</paraID>
      <start>23</start>
      <end>24</end>
      <status>modified</status>
      <modifiedWord>，</modifiedWord>
      <trackRevisions>false</trackRevisions>
    </reviewItem>
    <reviewItem>
      <errorID>3c72aafb-cd5a-49c9-a747-240a53cedb45</errorID>
      <errorWord>》</errorWord>
      <group>L1_Word</group>
      <groupName>字词问题</groupName>
      <ability>L2_Typo</ability>
      <abilityName>字词错误</abilityName>
      <candidateList>
        <item>》等</item>
      </candidateList>
      <explain/>
      <paraID>4030B5E6</paraID>
      <start>39</start>
      <end>40</end>
      <status>unmodified</status>
      <modifiedWord/>
      <trackRevisions>false</trackRevisions>
    </reviewItem>
    <reviewItem>
      <errorID>77a34be1-afb0-4a19-8eea-773d681ef4b9</errorID>
      <errorWord>医院医院</errorWord>
      <group>L1_Word</group>
      <groupName>字词问题</groupName>
      <ability>L2_Typo</ability>
      <abilityName>字词错误</abilityName>
      <candidateList>
        <item>医院</item>
      </candidateList>
      <explain/>
      <paraID>6943500E</paraID>
      <start>73</start>
      <end>75</end>
      <status>modified</status>
      <modifiedWord>医院</modifiedWord>
      <trackRevisions>false</trackRevisions>
    </reviewItem>
    <reviewItem>
      <errorID>4b167908-b66a-4047-8ff8-d29dcdab00f4</errorID>
      <errorWord>方</errorWord>
      <group>L1_Word</group>
      <groupName>字词问题</groupName>
      <ability>L2_Typo</ability>
      <abilityName>字词错误</abilityName>
      <candidateList>
        <item>方在</item>
      </candidateList>
      <explain/>
      <paraID>7C7E9DA6</paraID>
      <start>27</start>
      <end>28</end>
      <status>unmodified</status>
      <modifiedWord/>
      <trackRevisions>false</trackRevisions>
    </reviewItem>
    <reviewItem>
      <errorID>c7b8a269-8250-4c87-9afa-48cbab2f8e0e</errorID>
      <errorWord>计</errorWord>
      <group>L1_Word</group>
      <groupName>字词问题</groupName>
      <ability>L2_Typo</ability>
      <abilityName>字词错误</abilityName>
      <candidateList>
        <item>计算</item>
      </candidateList>
      <explain/>
      <paraID>6D6E6ECB</paraID>
      <start>52</start>
      <end>53</end>
      <status>unmodified</status>
      <modifiedWord/>
      <trackRevisions>false</trackRevisions>
    </reviewItem>
    <reviewItem>
      <errorID>92d7a076-ce8d-4d5e-bc13-fc12cb6f6c12</errorID>
      <errorWord>力</errorWord>
      <group>L1_Word</group>
      <groupName>字词问题</groupName>
      <ability>L2_Typo</ability>
      <abilityName>字词错误</abilityName>
      <candidateList>
        <item>力和</item>
      </candidateList>
      <explain/>
      <paraID>79756577</paraID>
      <start>36</start>
      <end>37</end>
      <status>unmodified</status>
      <modifiedWord/>
      <trackRevisions>false</trackRevisions>
    </reviewItem>
    <reviewItem>
      <errorID>91316940-146c-427a-8c71-c21871d5edd2</errorID>
      <errorWord>进行实施</errorWord>
      <group>L1_Word</group>
      <groupName>字词问题</groupName>
      <ability>L2_Typo</ability>
      <abilityName>字词错误</abilityName>
      <candidateList>
        <item>实施</item>
      </candidateList>
      <explain>〈动〉实行（法令、政策等）：付诸～｜～细则｜～新的办法。</explain>
      <paraID>79756577</paraID>
      <start>55</start>
      <end>59</end>
      <status>unmodified</status>
      <modifiedWord/>
      <trackRevisions>false</trackRevisions>
    </reviewItem>
    <reviewItem>
      <errorID>15959ba2-83ca-4769-b404-5028c17fae0b</errorID>
      <errorWord>,</errorWord>
      <group>L1_Format</group>
      <groupName>格式问题</groupName>
      <ability>L2_HalfPunc</ability>
      <abilityName>全半角检查</abilityName>
      <candidateList>
        <item>，</item>
      </candidateList>
      <explain>文本全半角错误。</explain>
      <paraID>79756577</paraID>
      <start>79</start>
      <end>80</end>
      <status>modified</status>
      <modifiedWord>，</modifiedWord>
      <trackRevisions>false</trackRevisions>
    </reviewItem>
    <reviewItem>
      <errorID>72560e2b-c3bb-47f5-864f-333a39384990</errorID>
      <errorWord>为的</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4CF1B777</paraID>
      <start>103</start>
      <end>105</end>
      <status>unmodified</status>
      <modifiedWord/>
      <trackRevisions>false</trackRevisions>
    </reviewItem>
    <reviewItem>
      <errorID>9c02b6e9-736b-448c-ab93-88b6d3acb789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3BF3C9F6</paraID>
      <start>0</start>
      <end>2</end>
      <status>modified</status>
      <modifiedWord>1.</modifiedWord>
      <trackRevisions>false</trackRevisions>
    </reviewItem>
    <reviewItem>
      <errorID>73c4c084-45d0-4431-9c9d-4ca3c96a8d6b</errorID>
      <errorWord>[2011]300号</errorWord>
      <group>L1_Knowledge</group>
      <groupName>知识性问题</groupName>
      <ability>L2_Knowledge</ability>
      <abilityName>其他知识</abilityName>
      <candidateList>
        <item>〔2011〕300号</item>
      </candidateList>
      <explain>发文字号格式错误。</explain>
      <paraID>3930CE9C</paraID>
      <start>36</start>
      <end>46</end>
      <status>modified</status>
      <modifiedWord>〔2011〕300号</modifiedWord>
      <trackRevisions>false</trackRevisions>
    </reviewItem>
    <reviewItem>
      <errorID>30428d8a-16bb-4ca7-9c3e-fe25c669321b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40574DE1</paraID>
      <start>0</start>
      <end>2</end>
      <status>modified</status>
      <modifiedWord>2.</modifiedWord>
      <trackRevisions>false</trackRevisions>
    </reviewItem>
    <reviewItem>
      <errorID>4cdd917c-1500-49a2-9e40-c5fb854d107a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4FA90BB4</paraID>
      <start>26</start>
      <end>29</end>
      <status>unmodified</status>
      <modifiedWord/>
      <trackRevisions>false</trackRevisions>
    </reviewItem>
    <reviewItem>
      <errorID>a78e3143-e5bd-4be1-92d7-6441b73132df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6D1E41B9</paraID>
      <start>0</start>
      <end>2</end>
      <status>modified</status>
      <modifiedWord>3.</modifiedWord>
      <trackRevisions>false</trackRevisions>
    </reviewItem>
    <reviewItem>
      <errorID>f6fa1662-42a9-4d8d-951c-48b3fe226932</errorID>
      <errorWord>(</errorWord>
      <group>L1_Format</group>
      <groupName>格式问题</groupName>
      <ability>L2_HalfPunc</ability>
      <abilityName>全半角检查</abilityName>
      <candidateList>
        <item>（</item>
      </candidateList>
      <explain>文本全半角错误。</explain>
      <paraID> F4B1188</paraID>
      <start>36</start>
      <end>37</end>
      <status>modified</status>
      <modifiedWord>（</modifiedWord>
      <trackRevisions>false</trackRevisions>
    </reviewItem>
    <reviewItem>
      <errorID>d9d0d501-b604-4931-b936-6b63db3797da</errorID>
      <errorWord>)</errorWord>
      <group>L1_Format</group>
      <groupName>格式问题</groupName>
      <ability>L2_HalfPunc</ability>
      <abilityName>全半角检查</abilityName>
      <candidateList>
        <item>）</item>
      </candidateList>
      <explain>文本全半角错误。</explain>
      <paraID> F4B1188</paraID>
      <start>46</start>
      <end>47</end>
      <status>modified</status>
      <modifiedWord>）</modifiedWord>
      <trackRevisions>false</trackRevisions>
    </reviewItem>
    <reviewItem>
      <errorID>e7086c10-3655-4755-9fd2-21526dc70446</errorID>
      <errorWord>[2014]68号</errorWord>
      <group>L1_Knowledge</group>
      <groupName>知识性问题</groupName>
      <ability>L2_Knowledge</ability>
      <abilityName>其他知识</abilityName>
      <candidateList>
        <item>〔2014〕68号</item>
      </candidateList>
      <explain>发文字号格式错误。</explain>
      <paraID>741CDDEC</paraID>
      <start>38</start>
      <end>47</end>
      <status>modified</status>
      <modifiedWord>〔2014〕68号</modifiedWord>
      <trackRevisions>false</trackRevisions>
    </reviewItem>
    <reviewItem>
      <errorID>c3c912d8-6a5a-4864-b809-d42367e910ad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3BD6502E</paraID>
      <start>0</start>
      <end>2</end>
      <status>modified</status>
      <modifiedWord>4.</modifiedWord>
      <trackRevisions>false</trackRevisions>
    </reviewItem>
    <reviewItem>
      <errorID>b89de050-999c-4659-aebd-d04f63694f59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22BC2E1C</paraID>
      <start>0</start>
      <end>2</end>
      <status>modified</status>
      <modifiedWord>5.</modifiedWord>
      <trackRevisions>false</trackRevisions>
    </reviewItem>
    <reviewItem>
      <errorID>4e58b8d5-d6b7-4cdb-a9ad-bd8ef39973cb</errorID>
      <errorWord>,</errorWord>
      <group>L1_Format</group>
      <groupName>格式问题</groupName>
      <ability>L2_HalfPunc</ability>
      <abilityName>全半角检查</abilityName>
      <candidateList>
        <item>，</item>
      </candidateList>
      <explain>文本全半角错误。</explain>
      <paraID>22BC2E1C</paraID>
      <start>21</start>
      <end>22</end>
      <status>modified</status>
      <modifiedWord>，</modifiedWord>
      <trackRevisions>false</trackRevisions>
    </reviewItem>
    <reviewItem>
      <errorID>5bae1051-64f7-4588-a0b2-f2b9ee3816e5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7077820D</paraID>
      <start>0</start>
      <end>2</end>
      <status>modified</status>
      <modifiedWord>6.</modifiedWord>
      <trackRevisions>false</trackRevisions>
    </reviewItem>
    <reviewItem>
      <errorID>086eb27a-024f-4504-ba16-3ae5d3b49c7f</errorID>
      <errorWord>法律、法规</errorWord>
      <group>L1_Word</group>
      <groupName>字词问题</groupName>
      <ability>L2_Typo</ability>
      <abilityName>字词错误</abilityName>
      <candidateList>
        <item>法律法规</item>
      </candidateList>
      <explain/>
      <paraID>1D54EA28</paraID>
      <start>10</start>
      <end>15</end>
      <status>unmodified</status>
      <modifiedWord/>
      <trackRevisions>false</trackRevisions>
    </reviewItem>
    <reviewItem>
      <errorID>9ddefb6f-4d2b-43ec-9803-56967a1d5219</errorID>
      <errorWord>(</errorWord>
      <group>L1_Format</group>
      <groupName>格式问题</groupName>
      <ability>L2_HalfPunc</ability>
      <abilityName>全半角检查</abilityName>
      <candidateList>
        <item>（</item>
      </candidateList>
      <explain>文本全半角错误。</explain>
      <paraID>512FB8F2</paraID>
      <start>26</start>
      <end>27</end>
      <status>unmodified</status>
      <modifiedWord/>
      <trackRevisions>false</trackRevisions>
    </reviewItem>
    <reviewItem>
      <errorID>f8213e7d-8d7d-4f5a-a376-1e7bf6808afe</errorID>
      <errorWord>:</errorWord>
      <group>L1_Format</group>
      <groupName>格式问题</groupName>
      <ability>L2_HalfPunc</ability>
      <abilityName>全半角检查</abilityName>
      <candidateList>
        <item>：</item>
      </candidateList>
      <explain>文本全半角错误。</explain>
      <paraID>512FB8F2</paraID>
      <start>31</start>
      <end>32</end>
      <status>unmodified</status>
      <modifiedWord/>
      <trackRevisions>false</trackRevisions>
    </reviewItem>
    <reviewItem>
      <errorID>58bc49d6-75bd-4a0b-a1c9-054d9c7599dd</errorID>
      <errorWord>)</errorWord>
      <group>L1_Format</group>
      <groupName>格式问题</groupName>
      <ability>L2_HalfPunc</ability>
      <abilityName>全半角检查</abilityName>
      <candidateList>
        <item>）</item>
      </candidateList>
      <explain>文本全半角错误。</explain>
      <paraID>512FB8F2</paraID>
      <start>137</start>
      <end>138</end>
      <status>unmodified</status>
      <modifiedWord/>
      <trackRevisions>false</trackRevisions>
    </reviewItem>
    <reviewItem>
      <errorID>d117611c-76e9-443f-a624-67cccaecbb7d</errorID>
      <errorWord>(</errorWord>
      <group>L1_Format</group>
      <groupName>格式问题</groupName>
      <ability>L2_HalfPunc</ability>
      <abilityName>全半角检查</abilityName>
      <candidateList>
        <item>（</item>
      </candidateList>
      <explain>文本全半角错误。</explain>
      <paraID>6B2F8420</paraID>
      <start>26</start>
      <end>27</end>
      <status>unmodified</status>
      <modifiedWord/>
      <trackRevisions>false</trackRevisions>
    </reviewItem>
    <reviewItem>
      <errorID>7b00ff0b-14c0-4149-a558-9bc0c1ad6339</errorID>
      <errorWord>:</errorWord>
      <group>L1_Format</group>
      <groupName>格式问题</groupName>
      <ability>L2_HalfPunc</ability>
      <abilityName>全半角检查</abilityName>
      <candidateList>
        <item>：</item>
      </candidateList>
      <explain>文本全半角错误。</explain>
      <paraID>6B2F8420</paraID>
      <start>31</start>
      <end>32</end>
      <status>unmodified</status>
      <modifiedWord/>
      <trackRevisions>false</trackRevisions>
    </reviewItem>
    <reviewItem>
      <errorID>727a30a9-ed5c-4bce-8557-d388095f0aeb</errorID>
      <errorWord>)</errorWord>
      <group>L1_Format</group>
      <groupName>格式问题</groupName>
      <ability>L2_HalfPunc</ability>
      <abilityName>全半角检查</abilityName>
      <candidateList>
        <item>）</item>
      </candidateList>
      <explain>文本全半角错误。</explain>
      <paraID>6B2F8420</paraID>
      <start>137</start>
      <end>138</end>
      <status>unmodified</status>
      <modifiedWord/>
      <trackRevisions>false</trackRevisions>
    </reviewItem>
    <reviewItem>
      <errorID>5c332cd6-a0bb-45db-bf10-eee20c846f0d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BDC7247</paraID>
      <start>0</start>
      <end>2</end>
      <status>unmodified</status>
      <modifiedWord/>
      <trackRevisions>false</trackRevisions>
    </reviewItem>
    <reviewItem>
      <errorID>f3c208ae-6083-4ea8-83f6-6c180b647d4c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5B3A821E</paraID>
      <start>0</start>
      <end>2</end>
      <status>unmodified</status>
      <modifiedWord/>
      <trackRevisions>false</trackRevisions>
    </reviewItem>
    <reviewItem>
      <errorID>22e88995-fe12-4eb0-83cc-1f1d590db5af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684CE2E6</paraID>
      <start>0</start>
      <end>2</end>
      <status>unmodified</status>
      <modifiedWord/>
      <trackRevisions>false</trackRevisions>
    </reviewItem>
    <reviewItem>
      <errorID>4758585e-062b-407e-ac38-d9b024b9ca94</errorID>
      <errorWord>(</errorWord>
      <group>L1_Format</group>
      <groupName>格式问题</groupName>
      <ability>L2_HalfPunc</ability>
      <abilityName>全半角检查</abilityName>
      <candidateList>
        <item>（</item>
      </candidateList>
      <explain>文本全半角错误。</explain>
      <paraID>684CE2E6</paraID>
      <start>18</start>
      <end>19</end>
      <status>unmodified</status>
      <modifiedWord/>
      <trackRevisions>false</trackRevisions>
    </reviewItem>
    <reviewItem>
      <errorID>3753e388-4ade-4ff6-9924-363bc8e40e6a</errorID>
      <errorWord>)</errorWord>
      <group>L1_Format</group>
      <groupName>格式问题</groupName>
      <ability>L2_HalfPunc</ability>
      <abilityName>全半角检查</abilityName>
      <candidateList>
        <item>）</item>
      </candidateList>
      <explain>文本全半角错误。</explain>
      <paraID>684CE2E6</paraID>
      <start>22</start>
      <end>23</end>
      <status>unmodified</status>
      <modifiedWord/>
      <trackRevisions>false</trackRevisions>
    </reviewItem>
    <reviewItem>
      <errorID>3bf874a6-22f3-4882-b6d9-7f25536be461</errorID>
      <errorWord>,</errorWord>
      <group>L1_Format</group>
      <groupName>格式问题</groupName>
      <ability>L2_HalfPunc</ability>
      <abilityName>全半角检查</abilityName>
      <candidateList>
        <item>，</item>
      </candidateList>
      <explain>文本全半角错误。</explain>
      <paraID>684CE2E6</paraID>
      <start>34</start>
      <end>35</end>
      <status>unmodified</status>
      <modifiedWord/>
      <trackRevisions>false</trackRevisions>
    </reviewItem>
    <reviewItem>
      <errorID>fc64c576-014f-4656-973c-bb64b8eed73d</errorID>
      <errorWord>(</errorWord>
      <group>L1_Format</group>
      <groupName>格式问题</groupName>
      <ability>L2_HalfPunc</ability>
      <abilityName>全半角检查</abilityName>
      <candidateList>
        <item>（</item>
      </candidateList>
      <explain>文本全半角错误。</explain>
      <paraID>684CE2E6</paraID>
      <start>48</start>
      <end>49</end>
      <status>unmodified</status>
      <modifiedWord/>
      <trackRevisions>false</trackRevisions>
    </reviewItem>
    <reviewItem>
      <errorID>20fd4527-5d7a-498d-94d9-19516e554faa</errorID>
      <errorWord>)</errorWord>
      <group>L1_Format</group>
      <groupName>格式问题</groupName>
      <ability>L2_HalfPunc</ability>
      <abilityName>全半角检查</abilityName>
      <candidateList>
        <item>）</item>
      </candidateList>
      <explain>文本全半角错误。</explain>
      <paraID>684CE2E6</paraID>
      <start>52</start>
      <end>53</end>
      <status>unmodified</status>
      <modifiedWord/>
      <trackRevisions>false</trackRevisions>
    </reviewItem>
    <reviewItem>
      <errorID>344dd097-7589-4295-8206-bca3a532e05e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31EDA4B1</paraID>
      <start>0</start>
      <end>2</end>
      <status>unmodified</status>
      <modifiedWord/>
      <trackRevisions>false</trackRevisions>
    </reviewItem>
    <reviewItem>
      <errorID>77ba8ba7-673b-4b54-9cee-5299222a1b90</errorID>
      <errorWord>(</errorWord>
      <group>L1_Format</group>
      <groupName>格式问题</groupName>
      <ability>L2_HalfPunc</ability>
      <abilityName>全半角检查</abilityName>
      <candidateList>
        <item>（</item>
      </candidateList>
      <explain>文本全半角错误。</explain>
      <paraID>31EDA4B1</paraID>
      <start>19</start>
      <end>20</end>
      <status>unmodified</status>
      <modifiedWord/>
      <trackRevisions>false</trackRevisions>
    </reviewItem>
    <reviewItem>
      <errorID>c6a3720b-90de-4cf6-a558-2571ca84198e</errorID>
      <errorWord>)</errorWord>
      <group>L1_Format</group>
      <groupName>格式问题</groupName>
      <ability>L2_HalfPunc</ability>
      <abilityName>全半角检查</abilityName>
      <candidateList>
        <item>）</item>
      </candidateList>
      <explain>文本全半角错误。</explain>
      <paraID>31EDA4B1</paraID>
      <start>24</start>
      <end>25</end>
      <status>unmodified</status>
      <modifiedWord/>
      <trackRevisions>false</trackRevisions>
    </reviewItem>
    <reviewItem>
      <errorID>2451a3f0-1be5-4349-923a-9be7d71c8bb1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B622915</paraID>
      <start>0</start>
      <end>2</end>
      <status>unmodified</status>
      <modifiedWord/>
      <trackRevisions>false</trackRevisions>
    </reviewItem>
    <reviewItem>
      <errorID>145f4131-a804-4e85-a733-c0c5ac396bc2</errorID>
      <errorWord>项</errorWord>
      <group>L1_Knowledge</group>
      <groupName>知识性问题</groupName>
      <ability>L2_Knowledge</ability>
      <abilityName>其他知识</abilityName>
      <candidateList>
        <item>种</item>
      </candidateList>
      <explain>（種）zhònɡ〈动〉种植：～田｜～麦子｜～棉花◇～牛痘。</explain>
      <paraID> CB67D65</paraID>
      <start>8</start>
      <end>9</end>
      <status>unmodified</status>
      <modifiedWord/>
      <trackRevisions>false</trackRevisions>
    </reviewItem>
    <reviewItem>
      <errorID>f65cea13-87f1-471c-bc32-68474dad50e4</errorID>
      <errorWord>个</errorWord>
      <group>L1_Knowledge</group>
      <groupName>知识性问题</groupName>
      <ability>L2_Knowledge</ability>
      <abilityName>其他知识</abilityName>
      <candidateList>
        <item>份</item>
      </candidateList>
      <explain>请检查“个”是否为量词使用错误，建议修改为“份”。</explain>
      <paraID>21469053</paraID>
      <start>47</start>
      <end>48</end>
      <status>unmodified</status>
      <modifiedWord/>
      <trackRevisions>false</trackRevisions>
    </reviewItem>
    <reviewItem>
      <errorID>11ad891e-4904-4d74-8147-38716309a3e2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76E4650A</paraID>
      <start>0</start>
      <end>2</end>
      <status>unmodified</status>
      <modifiedWord/>
      <trackRevisions>false</trackRevisions>
    </reviewItem>
    <reviewItem>
      <errorID>9c99b671-0ddf-4f6b-a018-5543ecc61fc4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4F2B2698</paraID>
      <start>0</start>
      <end>2</end>
      <status>unmodified</status>
      <modifiedWord/>
      <trackRevisions>false</trackRevisions>
    </reviewItem>
    <reviewItem>
      <errorID>72e07b2a-c0ae-4c5a-9118-31e96d68de2e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35C353F0</paraID>
      <start>0</start>
      <end>2</end>
      <status>unmodified</status>
      <modifiedWord/>
      <trackRevisions>false</trackRevisions>
    </reviewItem>
    <reviewItem>
      <errorID>c64e63de-0c28-422a-8648-37879c6384aa</errorID>
      <errorWord>：.</errorWord>
      <group>L1_Punc</group>
      <groupName>标点问题</groupName>
      <ability>L2_Punc</ability>
      <abilityName>标点符号检查</abilityName>
      <candidateList>
        <item>：</item>
      </candidateList>
      <explain/>
      <paraID>5A8E6E11</paraID>
      <start>1</start>
      <end>2</end>
      <status>modified</status>
      <modifiedWord>：</modifiedWord>
      <trackRevisions>false</trackRevisions>
    </reviewItem>
    <reviewItem>
      <errorID>119cafcd-c157-4675-976c-2ef7859fcc5f</errorID>
      <errorWord>(</errorWord>
      <group>L1_Format</group>
      <groupName>格式问题</groupName>
      <ability>L2_HalfPunc</ability>
      <abilityName>全半角检查</abilityName>
      <candidateList>
        <item>（</item>
      </candidateList>
      <explain>文本全半角错误。</explain>
      <paraID>435B1F20</paraID>
      <start>95</start>
      <end>96</end>
      <status>modified</status>
      <modifiedWord>（</modifiedWord>
      <trackRevisions>false</trackRevisions>
    </reviewItem>
    <reviewItem>
      <errorID>a75d1a90-cc78-40d9-9856-673781961328</errorID>
      <errorWord>)</errorWord>
      <group>L1_Format</group>
      <groupName>格式问题</groupName>
      <ability>L2_HalfPunc</ability>
      <abilityName>全半角检查</abilityName>
      <candidateList>
        <item>）</item>
      </candidateList>
      <explain>文本全半角错误。</explain>
      <paraID>435B1F20</paraID>
      <start>98</start>
      <end>99</end>
      <status>modified</status>
      <modifiedWord>）</modifiedWord>
      <trackRevisions>false</trackRevisions>
    </reviewItem>
    <reviewItem>
      <errorID>3a72c566-7b39-4d20-a075-5a1d93fe64f0</errorID>
      <errorWord>,</errorWord>
      <group>L1_Format</group>
      <groupName>格式问题</groupName>
      <ability>L2_HalfPunc</ability>
      <abilityName>全半角检查</abilityName>
      <candidateList>
        <item>，</item>
      </candidateList>
      <explain>文本全半角错误。</explain>
      <paraID> 299E242</paraID>
      <start>8</start>
      <end>9</end>
      <status>modified</status>
      <modifiedWord>，</modifiedWord>
      <trackRevisions>false</trackRevisions>
    </reviewItem>
    <reviewItem>
      <errorID>f9333479-1260-4494-b5f6-e30294be3e26</errorID>
      <errorWord>,</errorWord>
      <group>L1_Format</group>
      <groupName>格式问题</groupName>
      <ability>L2_HalfPunc</ability>
      <abilityName>全半角检查</abilityName>
      <candidateList>
        <item>，</item>
      </candidateList>
      <explain>文本全半角错误。</explain>
      <paraID> 299E242</paraID>
      <start>34</start>
      <end>35</end>
      <status>modified</status>
      <modifiedWord>，</modifiedWord>
      <trackRevisions>false</trackRevisions>
    </reviewItem>
    <reviewItem>
      <errorID>d46459d1-48a0-453f-9132-a6c9246b9413</errorID>
      <errorWord>间</errorWord>
      <group>L1_Word</group>
      <groupName>字词问题</groupName>
      <ability>L2_Typo</ability>
      <abilityName>字词错误</abilityName>
      <candidateList>
        <item>间内</item>
      </candidateList>
      <explain/>
      <paraID> 299E242</paraID>
      <start>47</start>
      <end>48</end>
      <status>unmodified</status>
      <modifiedWord/>
      <trackRevisions>false</trackRevisions>
    </reviewItem>
    <reviewItem>
      <errorID>cd6a425f-c02b-4483-9a8f-723d8b2431af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434F0B6F</paraID>
      <start>0</start>
      <end>2</end>
      <status>modified</status>
      <modifiedWord>1.</modifiedWord>
      <trackRevisions>false</trackRevisions>
    </reviewItem>
    <reviewItem>
      <errorID>9d3ace93-0401-48f3-a25a-6171a86e4b2b</errorID>
      <errorWord>【2020】46号</errorWord>
      <group>L1_Knowledge</group>
      <groupName>知识性问题</groupName>
      <ability>L2_Knowledge</ability>
      <abilityName>其他知识</abilityName>
      <candidateList>
        <item>〔2020〕46号</item>
      </candidateList>
      <explain>发文字号格式错误。</explain>
      <paraID>434F0B6F</paraID>
      <start>49</start>
      <end>58</end>
      <status>modified</status>
      <modifiedWord>〔2020〕46号</modifiedWord>
      <trackRevisions>false</trackRevisions>
    </reviewItem>
    <reviewItem>
      <errorID>5083afdf-5fdc-466e-88d3-00a0312c417f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697D5C17</paraID>
      <start>0</start>
      <end>2</end>
      <status>modified</status>
      <modifiedWord>2.</modifiedWord>
      <trackRevisions>false</trackRevisions>
    </reviewItem>
    <reviewItem>
      <errorID>49886b1f-cf1e-48de-93c6-46f817422e70</errorID>
      <errorWord>[2011]300号</errorWord>
      <group>L1_Knowledge</group>
      <groupName>知识性问题</groupName>
      <ability>L2_Knowledge</ability>
      <abilityName>其他知识</abilityName>
      <candidateList>
        <item>〔2011〕300号</item>
      </candidateList>
      <explain>发文字号格式错误。</explain>
      <paraID>5FD45033</paraID>
      <start>35</start>
      <end>45</end>
      <status>modified</status>
      <modifiedWord>〔2011〕300号</modifiedWord>
      <trackRevisions>false</trackRevisions>
    </reviewItem>
    <reviewItem>
      <errorID>63e9e784-618e-4049-8b55-f0e4b4720124</errorID>
      <errorWord>须</errorWord>
      <group>L1_Word</group>
      <groupName>字词问题</groupName>
      <ability>L2_Typo</ability>
      <abilityName>字词错误</abilityName>
      <candidateList>
        <item>需</item>
      </candidateList>
      <explain>存在发音相同字词的误用。</explain>
      <paraID>5FD45033</paraID>
      <start>82</start>
      <end>83</end>
      <status>unmodified</status>
      <modifiedWord/>
      <trackRevisions>false</trackRevisions>
    </reviewItem>
    <reviewItem>
      <errorID>8bf624b5-0da3-41c4-a929-f3806df92c20</errorID>
      <errorWord>:</errorWord>
      <group>L1_Format</group>
      <groupName>格式问题</groupName>
      <ability>L2_HalfPunc</ability>
      <abilityName>全半角检查</abilityName>
      <candidateList>
        <item>：</item>
      </candidateList>
      <explain>文本全半角错误。</explain>
      <paraID>70261F6D</paraID>
      <start>98</start>
      <end>99</end>
      <status>modified</status>
      <modifiedWord>：</modifiedWord>
      <trackRevisions>false</trackRevisions>
    </reviewItem>
    <reviewItem>
      <errorID>79bcf390-8be7-4b81-99d2-3a635e9629de</errorID>
      <errorWord>法律、法规</errorWord>
      <group>L1_Word</group>
      <groupName>字词问题</groupName>
      <ability>L2_Typo</ability>
      <abilityName>字词错误</abilityName>
      <candidateList>
        <item>法律法规</item>
      </candidateList>
      <explain/>
      <paraID>5ED249B6</paraID>
      <start>8</start>
      <end>13</end>
      <status>unmodified</status>
      <modifiedWord/>
      <trackRevisions>false</trackRevisions>
    </reviewItem>
    <reviewItem>
      <errorID>53df9b0c-e3d9-4db9-9b4c-482a8c4edd10</errorID>
      <errorWord>;</errorWord>
      <group>L1_Format</group>
      <groupName>格式问题</groupName>
      <ability>L2_HalfPunc</ability>
      <abilityName>全半角检查</abilityName>
      <candidateList>
        <item>；</item>
      </candidateList>
      <explain>文本全半角错误。</explain>
      <paraID>5ED249B6</paraID>
      <start>74</start>
      <end>75</end>
      <status>modified</status>
      <modifiedWord>；</modifiedWord>
      <trackRevisions>false</trackRevisions>
    </reviewItem>
    <reviewItem>
      <errorID>d71d1863-5bdf-440b-acea-21f3483f365f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377BB61B</paraID>
      <start>0</start>
      <end>2</end>
      <status>modified</status>
      <modifiedWord>1.</modifiedWord>
      <trackRevisions>false</trackRevisions>
    </reviewItem>
    <reviewItem>
      <errorID>ec4bdc8c-e485-4f1b-8972-0e11f0b77115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4902846</paraID>
      <start>0</start>
      <end>2</end>
      <status>modified</status>
      <modifiedWord>2.</modifiedWord>
      <trackRevisions>false</trackRevisions>
    </reviewItem>
    <reviewItem>
      <errorID>ff7f3cf4-e3e9-4811-9e22-52eb876bd467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A59DDF8</paraID>
      <start>0</start>
      <end>2</end>
      <status>modified</status>
      <modifiedWord>3.</modifiedWord>
      <trackRevisions>false</trackRevisions>
    </reviewItem>
    <reviewItem>
      <errorID>35ca9e19-040e-4365-8f59-fe588af9c940</errorID>
      <errorWord>(</errorWord>
      <group>L1_Format</group>
      <groupName>格式问题</groupName>
      <ability>L2_HalfPunc</ability>
      <abilityName>全半角检查</abilityName>
      <candidateList>
        <item>（</item>
      </candidateList>
      <explain>文本全半角错误。</explain>
      <paraID>2BC4B451</paraID>
      <start>2</start>
      <end>3</end>
      <status>modified</status>
      <modifiedWord>（</modifiedWord>
      <trackRevisions>false</trackRevisions>
    </reviewItem>
    <reviewItem>
      <errorID>7614316b-0f57-4251-9612-4650bb8a953c</errorID>
      <errorWord>)</errorWord>
      <group>L1_Format</group>
      <groupName>格式问题</groupName>
      <ability>L2_HalfPunc</ability>
      <abilityName>全半角检查</abilityName>
      <candidateList>
        <item>）</item>
      </candidateList>
      <explain>文本全半角错误。</explain>
      <paraID>2BC4B451</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EACABD-A083-4588-B5C2-E280E4559DB0}">
  <ds:schemaRefs/>
</ds:datastoreItem>
</file>

<file path=customXml/itemProps3.xml><?xml version="1.0" encoding="utf-8"?>
<ds:datastoreItem xmlns:ds="http://schemas.openxmlformats.org/officeDocument/2006/customXml" ds:itemID="{73351C12-86C9-43E2-824A-2952801CF338}">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51</Pages>
  <Words>26362</Words>
  <Characters>29177</Characters>
  <Lines>689</Lines>
  <Paragraphs>898</Paragraphs>
  <TotalTime>47</TotalTime>
  <ScaleCrop>false</ScaleCrop>
  <LinksUpToDate>false</LinksUpToDate>
  <CharactersWithSpaces>30121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2025-09-08T08:16:00Z</dcterms:created>
  <dc:creator>赵国</dc:creator>
  <cp:lastModifiedBy>Pajamas</cp:lastModifiedBy>
  <cp:lastPrinted>2026-03-26T09:59:27Z</cp:lastPrinted>
  <dcterms:modified xsi:type="dcterms:W3CDTF">2026-03-26T09:59:41Z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3CFDB270FAE040FD8865F3B924D58702_13</vt:lpwstr>
  </property>
  <property fmtid="{D5CDD505-2E9C-101B-9397-08002B2CF9AE}" pid="4" name="KSOTemplateDocerSaveRecord">
    <vt:lpwstr>eyJoZGlkIjoiODYwNDdjZDY5MTAxYzM2ZGY5NjliYmMwOWMyNTA4MDgiLCJ1c2VySWQiOiI0NDY4NTA3MTkifQ==</vt:lpwstr>
  </property>
</Properties>
</file>