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right"/>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ab/>
      </w:r>
      <w:r>
        <w:rPr>
          <w:rFonts w:hint="eastAsia" w:ascii="宋体" w:hAnsi="宋体" w:cs="宋体"/>
          <w:b/>
          <w:bCs/>
          <w:color w:val="auto"/>
          <w:sz w:val="36"/>
          <w:highlight w:val="none"/>
          <w:lang w:eastAsia="zh-CN"/>
        </w:rPr>
        <w:t xml:space="preserve">JSZC-321000-YZLZ-G2026-0004</w:t>
      </w:r>
      <w:r>
        <w:rPr>
          <w:rFonts w:hint="eastAsia" w:ascii="宋体" w:hAnsi="宋体" w:eastAsia="宋体" w:cs="宋体"/>
          <w:b/>
          <w:bCs/>
          <w:color w:val="auto"/>
          <w:sz w:val="36"/>
          <w:highlight w:val="none"/>
        </w:rPr>
        <w:t xml:space="preserve">号</w:t>
      </w:r>
      <w:r/>
    </w:p>
    <w:p>
      <w:pPr>
        <w:jc w:val="right"/>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扬州市沿运涵闸流量监测设施建设项目</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公开招标文件</w:t>
      </w:r>
      <w:r/>
    </w:p>
    <w:p>
      <w:pPr>
        <w:jc w:val="center"/>
        <w:tabs>
          <w:tab w:val="left" w:pos="4620" w:leader="none"/>
        </w:tabs>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left"/>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207000" cy="3474720"/>
                <wp:effectExtent l="0" t="0" r="0" b="508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descr="IMG_256"/>
                        <pic:cNvPicPr>
                          <a:picLocks noChangeAspect="1"/>
                        </pic:cNvPicPr>
                        <pic:nvPr/>
                      </pic:nvPicPr>
                      <pic:blipFill>
                        <a:blip r:embed="rId19"/>
                        <a:stretch/>
                      </pic:blipFill>
                      <pic:spPr bwMode="auto">
                        <a:xfrm>
                          <a:off x="0" y="0"/>
                          <a:ext cx="5207000" cy="3474720"/>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0.0pt;height:273.6pt;mso-wrap-distance-left:0.0pt;mso-wrap-distance-top:0.0pt;mso-wrap-distance-right:0.0pt;mso-wrap-distance-bottom:0.0pt;" stroked="f" strokeweight="0.75pt">
                <v:path textboxrect="0,0,0,0"/>
                <v:imagedata r:id="rId19" o:title=""/>
              </v:shape>
            </w:pict>
          </mc:Fallback>
        </mc:AlternateContent>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采 购 人：扬州市水利局</w:t>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采购代理机构(章)：扬州览众建设工程咨询服务有限公司</w:t>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发放日期：</w:t>
      </w:r>
      <w:bookmarkStart w:id="0" w:name="EB59c3faf64f2a4bd092a206fb1d0c3c03"/>
      <w:r>
        <w:rPr>
          <w:rFonts w:hint="eastAsia" w:ascii="宋体" w:hAnsi="宋体" w:eastAsia="宋体" w:cs="宋体"/>
          <w:b/>
          <w:bCs/>
          <w:color w:val="auto"/>
          <w:sz w:val="30"/>
          <w:szCs w:val="30"/>
          <w:highlight w:val="none"/>
        </w:rPr>
        <w:t xml:space="preserve">2026年4月</w:t>
      </w:r>
      <w:bookmarkEnd w:id="0"/>
      <w:r>
        <w:rPr>
          <w:rFonts w:hint="eastAsia" w:ascii="宋体" w:hAnsi="宋体" w:eastAsia="宋体" w:cs="宋体"/>
          <w:b/>
          <w:bCs/>
          <w:color w:val="auto"/>
          <w:sz w:val="30"/>
          <w:szCs w:val="30"/>
          <w:highlight w:val="none"/>
          <w:lang w:val="en-US" w:eastAsia="zh-CN"/>
        </w:rPr>
        <w:t xml:space="preserve">24</w:t>
      </w:r>
      <w:r>
        <w:rPr>
          <w:rFonts w:hint="eastAsia" w:ascii="宋体" w:hAnsi="宋体" w:eastAsia="宋体" w:cs="宋体"/>
          <w:b/>
          <w:bCs/>
          <w:color w:val="auto"/>
          <w:sz w:val="30"/>
          <w:szCs w:val="30"/>
          <w:highlight w:val="none"/>
        </w:rPr>
        <w:t xml:space="preserve">日</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目 录</w:t>
      </w:r>
      <w:r/>
    </w:p>
    <w:p>
      <w:pPr>
        <w:pStyle w:val="89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t xml:space="preserve">3</w:t>
      </w:r>
      <w:r/>
    </w:p>
    <w:p>
      <w:pPr>
        <w:pStyle w:val="89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6</w:t>
      </w:r>
      <w:r/>
    </w:p>
    <w:p>
      <w:pPr>
        <w:pStyle w:val="89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t xml:space="preserve">16</w:t>
      </w:r>
      <w:r/>
    </w:p>
    <w:p>
      <w:pPr>
        <w:pStyle w:val="89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eastAsia="宋体" w:cs="宋体"/>
          <w:color w:val="auto"/>
          <w:highlight w:val="none"/>
        </w:rPr>
        <w:t xml:space="preserve">21</w:t>
      </w:r>
      <w:r/>
    </w:p>
    <w:p>
      <w:pPr>
        <w:pStyle w:val="89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r>
        <w:rPr>
          <w:rFonts w:hint="eastAsia" w:ascii="宋体" w:hAnsi="宋体" w:eastAsia="宋体" w:cs="宋体"/>
          <w:color w:val="auto"/>
          <w:highlight w:val="none"/>
        </w:rPr>
        <w:tab/>
      </w:r>
      <w:r>
        <w:rPr>
          <w:rFonts w:hint="eastAsia" w:ascii="宋体" w:hAnsi="宋体" w:eastAsia="宋体" w:cs="宋体"/>
          <w:color w:val="auto"/>
          <w:highlight w:val="none"/>
        </w:rPr>
        <w:t xml:space="preserve">49</w:t>
      </w:r>
      <w:r/>
    </w:p>
    <w:p>
      <w:pPr>
        <w:pStyle w:val="898"/>
        <w:spacing w:line="360" w:lineRule="auto"/>
        <w:tabs>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t xml:space="preserve">54</w:t>
      </w:r>
      <w:r/>
    </w:p>
    <w:p>
      <w:pPr>
        <w:jc w:val="center"/>
        <w:spacing w:line="360" w:lineRule="auto"/>
        <w:rPr>
          <w:rFonts w:hint="eastAsia" w:ascii="宋体" w:hAnsi="宋体" w:eastAsia="宋体" w:cs="宋体"/>
          <w:color w:val="auto"/>
          <w:sz w:val="28"/>
          <w:highlight w:val="non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auto"/>
          <w:sz w:val="28"/>
          <w:highlight w:val="none"/>
        </w:rPr>
        <w:fldChar w:fldCharType="end"/>
      </w:r>
      <w:r/>
    </w:p>
    <w:p>
      <w:pPr>
        <w:pStyle w:val="866"/>
        <w:jc w:val="center"/>
        <w:spacing w:line="360" w:lineRule="auto"/>
        <w:rPr>
          <w:rFonts w:hint="eastAsia" w:ascii="宋体" w:hAnsi="宋体" w:eastAsia="宋体" w:cs="宋体"/>
          <w:color w:val="auto"/>
          <w:sz w:val="36"/>
          <w:highlight w:val="none"/>
        </w:rPr>
      </w:pPr>
      <w:r/>
      <w:bookmarkStart w:id="1" w:name="OLE_LINK1"/>
      <w:r/>
      <w:bookmarkStart w:id="2" w:name="_Toc497133090"/>
      <w:r>
        <w:rPr>
          <w:rFonts w:hint="eastAsia" w:ascii="宋体" w:hAnsi="宋体" w:eastAsia="宋体" w:cs="宋体"/>
          <w:color w:val="auto"/>
          <w:sz w:val="36"/>
          <w:highlight w:val="none"/>
        </w:rPr>
        <w:t xml:space="preserve">第一章 招标公告</w:t>
      </w:r>
      <w:bookmarkEnd w:id="1"/>
      <w:r/>
      <w:bookmarkEnd w:id="2"/>
      <w:r/>
      <w:r/>
    </w:p>
    <w:p>
      <w:pPr>
        <w:ind w:firstLine="420"/>
        <w:keepLines w:val="0"/>
        <w:keepNext w:val="0"/>
        <w:pageBreakBefore w:val="0"/>
        <w:spacing w:line="380" w:lineRule="exact"/>
        <w:tabs>
          <w:tab w:val="left" w:pos="266" w:leader="none"/>
        </w:tabs>
        <w:rPr>
          <w:rFonts w:hint="eastAsia" w:ascii="宋体" w:hAnsi="宋体" w:eastAsia="宋体" w:cs="宋体"/>
          <w:color w:val="auto"/>
          <w:szCs w:val="21"/>
          <w:highlight w:val="none"/>
        </w:rPr>
      </w:pPr>
      <w:r/>
      <w:bookmarkStart w:id="3" w:name="_Toc497133091"/>
      <w:r/>
      <w:bookmarkStart w:id="40" w:name="_GoBack"/>
      <w:r>
        <w:rPr>
          <w:rFonts w:hint="eastAsia" w:ascii="宋体" w:hAnsi="宋体" w:eastAsia="宋体" w:cs="宋体"/>
          <w:color w:val="auto"/>
          <w:highlight w:val="none"/>
        </w:rPr>
        <w:t xml:space="preserve">受扬州市水利局的委托，扬州览众建设工程咨询服务有限公司就扬州市沿运涵闸流量监测设施建设项目进行公开招标采购，欢迎符合条件的供应商投标。</w:t>
      </w:r>
      <w:r/>
    </w:p>
    <w:p>
      <w:pPr>
        <w:ind w:firstLine="422"/>
        <w:keepLines w:val="0"/>
        <w:keepNext w:val="0"/>
        <w:pageBreakBefore w:val="0"/>
        <w:spacing w:line="380" w:lineRule="exact"/>
        <w:tabs>
          <w:tab w:val="center" w:pos="4153" w:leader="none"/>
        </w:tabs>
        <w:rPr>
          <w:rFonts w:hint="eastAsia" w:ascii="宋体" w:hAnsi="宋体"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highlight w:val="none"/>
        </w:rPr>
        <w:t xml:space="preserve">项目概况</w:t>
      </w:r>
      <w:r>
        <w:tab/>
      </w:r>
      <w:r/>
    </w:p>
    <w:p>
      <w:pPr>
        <w:ind w:firstLine="420"/>
        <w:keepLines w:val="0"/>
        <w:keepNext w:val="0"/>
        <w:pageBreakBefore w:val="0"/>
        <w:spacing w:line="380" w:lineRule="exact"/>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highlight w:val="none"/>
          <w:u w:val="single"/>
        </w:rPr>
        <w:t xml:space="preserve">扬州市沿运涵闸流量监测设施建设项目 </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u w:val="single"/>
        </w:rPr>
        <w:t xml:space="preserve">“扬州市政府采购网”、“江苏省政府采购网”、“中国政府采购网”自行免费下载</w:t>
      </w:r>
      <w:r>
        <w:rPr>
          <w:rFonts w:hint="eastAsia" w:ascii="宋体" w:hAnsi="宋体" w:eastAsia="宋体" w:cs="宋体"/>
          <w:color w:val="auto"/>
          <w:highlight w:val="none"/>
        </w:rPr>
        <w:t xml:space="preserve">招标文件，并于</w:t>
      </w:r>
      <w:r>
        <w:rPr>
          <w:rFonts w:hint="eastAsia" w:ascii="宋体" w:hAnsi="宋体" w:eastAsia="宋体" w:cs="宋体"/>
          <w:color w:val="auto"/>
          <w:szCs w:val="21"/>
          <w:highlight w:val="none"/>
          <w:u w:val="single"/>
        </w:rPr>
        <w:t xml:space="preserve">2026年</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月</w:t>
      </w:r>
      <w:r>
        <w:rPr>
          <w:rFonts w:hint="eastAsia" w:ascii="宋体" w:hAnsi="宋体" w:eastAsia="宋体" w:cs="宋体"/>
          <w:color w:val="auto"/>
          <w:szCs w:val="21"/>
          <w:highlight w:val="none"/>
          <w:u w:val="single"/>
          <w:lang w:val="en-US" w:eastAsia="zh-CN"/>
        </w:rPr>
        <w:t xml:space="preserve">15</w:t>
      </w:r>
      <w:r>
        <w:rPr>
          <w:rFonts w:hint="eastAsia" w:ascii="宋体" w:hAnsi="宋体" w:eastAsia="宋体" w:cs="宋体"/>
          <w:color w:val="auto"/>
          <w:szCs w:val="21"/>
          <w:highlight w:val="none"/>
          <w:u w:val="single"/>
        </w:rPr>
        <w:t xml:space="preserve">日14点30分</w:t>
      </w:r>
      <w:r>
        <w:rPr>
          <w:rFonts w:hint="eastAsia" w:ascii="宋体" w:hAnsi="宋体" w:eastAsia="宋体" w:cs="宋体"/>
          <w:bCs/>
          <w:color w:val="auto"/>
          <w:highlight w:val="none"/>
          <w:u w:val="single"/>
        </w:rPr>
        <w:t xml:space="preserve">（</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keepLines w:val="0"/>
        <w:keepNext w:val="0"/>
        <w:pageBreakBefore w:val="0"/>
        <w:spacing w:line="380" w:lineRule="exact"/>
        <w:tabs>
          <w:tab w:val="left" w:pos="266" w:leader="none"/>
        </w:tabs>
        <w:rPr>
          <w:rFonts w:hint="eastAsia" w:ascii="宋体" w:hAnsi="宋体" w:eastAsia="宋体" w:cs="宋体"/>
          <w:b/>
          <w:bCs/>
          <w:color w:val="auto"/>
          <w:highlight w:val="none"/>
        </w:rPr>
      </w:pPr>
      <w:r/>
      <w:bookmarkStart w:id="4" w:name="_Toc38985263"/>
      <w:r>
        <w:rPr>
          <w:rFonts w:hint="eastAsia" w:ascii="宋体" w:hAnsi="宋体" w:eastAsia="宋体" w:cs="宋体"/>
          <w:b/>
          <w:bCs/>
          <w:color w:val="auto"/>
          <w:highlight w:val="none"/>
        </w:rPr>
        <w:t xml:space="preserve">一、项目基本情况</w:t>
      </w:r>
      <w:bookmarkEnd w:id="4"/>
      <w:r/>
      <w:r/>
    </w:p>
    <w:p>
      <w:pPr>
        <w:ind w:firstLine="420"/>
        <w:keepLines w:val="0"/>
        <w:keepNext w:val="0"/>
        <w:pageBreakBefore w:val="0"/>
        <w:spacing w:line="380" w:lineRule="exact"/>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 xml:space="preserve">1.项目编号：</w:t>
      </w:r>
      <w:r>
        <w:rPr>
          <w:rFonts w:hint="eastAsia" w:ascii="宋体" w:hAnsi="宋体" w:cs="宋体"/>
          <w:color w:val="auto"/>
          <w:highlight w:val="none"/>
          <w:lang w:eastAsia="zh-CN"/>
        </w:rPr>
        <w:t xml:space="preserve">JSZC-321000-YZLZ-G2026-0004</w:t>
      </w:r>
      <w:r/>
    </w:p>
    <w:p>
      <w:pPr>
        <w:ind w:firstLine="420"/>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2.项目名称：扬州市沿运涵闸流量监测设施建设项目</w:t>
      </w:r>
      <w:r/>
    </w:p>
    <w:p>
      <w:pPr>
        <w:ind w:firstLine="420"/>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3.预算金额：170</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t xml:space="preserve">。</w:t>
      </w:r>
      <w:r/>
    </w:p>
    <w:p>
      <w:pPr>
        <w:ind w:firstLine="420"/>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4.本项目设置最高限价：165万元。报价超过最高限价作无效响应文件处理。</w:t>
      </w:r>
      <w:r/>
    </w:p>
    <w:p>
      <w:pPr>
        <w:ind w:firstLine="420"/>
        <w:keepLines w:val="0"/>
        <w:keepNext w:val="0"/>
        <w:pageBreakBefore w:val="0"/>
        <w:spacing w:line="3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5.采购需求：详见招标文件。</w:t>
      </w:r>
      <w:r/>
    </w:p>
    <w:p>
      <w:pPr>
        <w:ind w:firstLine="420"/>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6.供货期：签订合同后90天内交付使用</w:t>
      </w:r>
      <w:bookmarkStart w:id="5" w:name="_Toc38985264"/>
      <w:r>
        <w:rPr>
          <w:rFonts w:hint="eastAsia" w:ascii="宋体" w:hAnsi="宋体" w:eastAsia="宋体" w:cs="宋体"/>
          <w:color w:val="auto"/>
          <w:highlight w:val="none"/>
        </w:rPr>
        <w:t xml:space="preserve">。</w:t>
      </w:r>
      <w:r/>
    </w:p>
    <w:p>
      <w:pPr>
        <w:ind w:firstLine="420"/>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7.本项目</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联合体投标。</w:t>
      </w:r>
      <w:r/>
    </w:p>
    <w:p>
      <w:pPr>
        <w:keepLines w:val="0"/>
        <w:keepNext w:val="0"/>
        <w:pageBreakBefore w:val="0"/>
        <w:spacing w:line="380" w:lineRule="exact"/>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二、申请人的资格要求：</w:t>
      </w:r>
      <w:bookmarkEnd w:id="5"/>
      <w:r/>
      <w:r/>
    </w:p>
    <w:p>
      <w:pPr>
        <w:ind w:firstLine="420"/>
        <w:keepLines w:val="0"/>
        <w:keepNext w:val="0"/>
        <w:pageBreakBefore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1.满足《中华人民共和国政府采购法》第二十二条规定，并提供下列材料：</w:t>
      </w:r>
      <w:r/>
    </w:p>
    <w:p>
      <w:pPr>
        <w:ind w:firstLine="420"/>
        <w:keepLines w:val="0"/>
        <w:keepNext w:val="0"/>
        <w:pageBreakBefore w:val="0"/>
        <w:spacing w:line="380" w:lineRule="exact"/>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80" w:lineRule="exact"/>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依法缴纳职工社会保障资金的证明材料(税务、银行或社会保险基金管理部门出具的提交投标响应文件截止时间前一年内至少一个月缴纳职工社会保障资金的缴款凭证或缴款证明)</w:t>
      </w:r>
      <w:r>
        <w:rPr>
          <w:rFonts w:hint="eastAsia" w:ascii="宋体" w:hAnsi="宋体" w:eastAsia="宋体" w:cs="宋体"/>
          <w:b/>
          <w:bCs/>
          <w:i/>
          <w:iCs/>
          <w:color w:val="auto"/>
          <w:szCs w:val="21"/>
          <w:highlight w:val="none"/>
          <w:u w:val="single"/>
        </w:rPr>
        <w:t xml:space="preserve">（投标人依法享受缓缴、免缴的提供证明材料）</w:t>
      </w:r>
      <w:r/>
    </w:p>
    <w:p>
      <w:pPr>
        <w:ind w:firstLine="420"/>
        <w:keepLines w:val="0"/>
        <w:keepNext w:val="0"/>
        <w:pageBreakBefore w:val="0"/>
        <w:spacing w:line="380" w:lineRule="exact"/>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提交投标响应文件截止时间前一年内至少一个月依法纳税的缴款凭证</w:t>
      </w:r>
      <w:r>
        <w:rPr>
          <w:rFonts w:hint="eastAsia" w:ascii="宋体" w:hAnsi="宋体" w:eastAsia="宋体" w:cs="宋体"/>
          <w:b/>
          <w:bCs/>
          <w:i/>
          <w:iCs/>
          <w:color w:val="auto"/>
          <w:szCs w:val="21"/>
          <w:highlight w:val="none"/>
          <w:u w:val="single"/>
        </w:rPr>
        <w:t xml:space="preserve">（投标人依法享受缓缴、免缴的提供证明材料）</w:t>
      </w:r>
      <w:r/>
    </w:p>
    <w:p>
      <w:pPr>
        <w:ind w:firstLine="420"/>
        <w:keepLines w:val="0"/>
        <w:keepNext w:val="0"/>
        <w:pageBreakBefore w:val="0"/>
        <w:spacing w:line="380" w:lineRule="exact"/>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上一年度的财务报告情况（</w:t>
      </w:r>
      <w:r>
        <w:rPr>
          <w:rFonts w:hint="eastAsia" w:ascii="宋体" w:hAnsi="宋体" w:eastAsia="宋体" w:cs="宋体"/>
          <w:b/>
          <w:bCs/>
          <w:i/>
          <w:iCs/>
          <w:color w:val="auto"/>
          <w:szCs w:val="21"/>
          <w:highlight w:val="none"/>
          <w:u w:val="single"/>
        </w:rPr>
        <w:t xml:space="preserve">成立不满一年不需提供）</w:t>
      </w:r>
      <w:r/>
    </w:p>
    <w:p>
      <w:pPr>
        <w:ind w:firstLine="420"/>
        <w:keepLines w:val="0"/>
        <w:keepNext w:val="0"/>
        <w:pageBreakBefore w:val="0"/>
        <w:spacing w:line="380" w:lineRule="exact"/>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具备履行合同所必需的设备和专业技术能力的证明材料</w:t>
      </w:r>
      <w:r/>
    </w:p>
    <w:p>
      <w:pPr>
        <w:ind w:firstLine="420"/>
        <w:keepLines w:val="0"/>
        <w:keepNext w:val="0"/>
        <w:pageBreakBefore w:val="0"/>
        <w:spacing w:line="380" w:lineRule="exact"/>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参加本次政府采购活动前3年内在经营活动中没有重大违法记录的书面声明</w:t>
      </w:r>
      <w:r/>
    </w:p>
    <w:p>
      <w:pPr>
        <w:ind w:firstLine="420"/>
        <w:keepLines w:val="0"/>
        <w:keepNext w:val="0"/>
        <w:pageBreakBefore w:val="0"/>
        <w:spacing w:line="380" w:lineRule="exact"/>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80" w:lineRule="exact"/>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1.8</w:t>
      </w:r>
      <w:r>
        <w:rPr>
          <w:rFonts w:hint="eastAsia" w:ascii="宋体" w:hAnsi="宋体" w:cs="宋体"/>
          <w:i/>
          <w:iCs/>
          <w:color w:val="auto"/>
          <w:szCs w:val="21"/>
          <w:highlight w:val="none"/>
          <w:u w:val="single"/>
          <w:lang w:val="en-US" w:eastAsia="zh-CN"/>
        </w:rPr>
        <w:t xml:space="preserve">投标人</w:t>
      </w:r>
      <w:r>
        <w:rPr>
          <w:rFonts w:hint="eastAsia" w:ascii="宋体" w:hAnsi="宋体" w:eastAsia="宋体" w:cs="宋体"/>
          <w:i/>
          <w:iCs/>
          <w:color w:val="auto"/>
          <w:szCs w:val="21"/>
          <w:highlight w:val="none"/>
          <w:u w:val="single"/>
        </w:rPr>
        <w:t xml:space="preserve">信用承诺函</w:t>
      </w:r>
      <w:r/>
    </w:p>
    <w:p>
      <w:pPr>
        <w:ind w:firstLine="420"/>
        <w:keepLines w:val="0"/>
        <w:keepNext w:val="0"/>
        <w:pageBreakBefore w:val="0"/>
        <w:spacing w:line="380" w:lineRule="exact"/>
        <w:rPr>
          <w:rFonts w:hint="eastAsia" w:ascii="宋体" w:hAnsi="宋体" w:eastAsia="宋体" w:cs="宋体"/>
          <w:bCs/>
          <w:iCs/>
          <w:color w:val="auto"/>
          <w:szCs w:val="21"/>
          <w:highlight w:val="none"/>
        </w:rPr>
      </w:pPr>
      <w:r>
        <w:rPr>
          <w:rFonts w:hint="eastAsia" w:ascii="宋体" w:hAnsi="宋体" w:eastAsia="宋体" w:cs="宋体"/>
          <w:color w:val="auto"/>
          <w:szCs w:val="21"/>
          <w:highlight w:val="none"/>
        </w:rPr>
        <w:t xml:space="preserve">2.落实政府采购政策需满足的资格要求：无</w:t>
      </w:r>
      <w:r/>
    </w:p>
    <w:p>
      <w:pPr>
        <w:ind w:firstLine="420"/>
        <w:keepLines w:val="0"/>
        <w:keepNext w:val="0"/>
        <w:pageBreakBefore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3.本项目的特定资格要求：无</w:t>
      </w:r>
      <w:r/>
    </w:p>
    <w:p>
      <w:pPr>
        <w:keepLines w:val="0"/>
        <w:keepNext w:val="0"/>
        <w:pageBreakBefore w:val="0"/>
        <w:spacing w:line="380" w:lineRule="exact"/>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r/>
    </w:p>
    <w:p>
      <w:pPr>
        <w:ind w:firstLine="420"/>
        <w:keepLines w:val="0"/>
        <w:keepNext w:val="0"/>
        <w:pageBreakBefore w:val="0"/>
        <w:spacing w:line="380" w:lineRule="exact"/>
        <w:rPr>
          <w:rFonts w:hint="eastAsia" w:ascii="宋体" w:hAnsi="宋体" w:eastAsia="宋体" w:cs="宋体"/>
          <w:color w:val="auto"/>
          <w:highlight w:val="none"/>
        </w:rPr>
      </w:pPr>
      <w:r/>
      <w:bookmarkStart w:id="6" w:name="_Toc38985266"/>
      <w:r>
        <w:rPr>
          <w:rFonts w:hint="eastAsia" w:ascii="宋体" w:hAnsi="宋体"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2.获取方式：</w:t>
      </w:r>
      <w:r>
        <w:rPr>
          <w:rFonts w:hint="eastAsia" w:ascii="宋体" w:hAnsi="宋体" w:eastAsia="宋体" w:cs="宋体"/>
          <w:color w:val="auto"/>
          <w:szCs w:val="21"/>
          <w:highlight w:val="none"/>
        </w:rPr>
        <w:t xml:space="preserve">本项目采用网上注册登记方式。</w:t>
      </w:r>
      <w:r/>
    </w:p>
    <w:p>
      <w:pPr>
        <w:ind w:firstLine="422"/>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3.潜在投标人访问</w:t>
      </w:r>
      <w:r>
        <w:rPr>
          <w:rFonts w:hint="eastAsia" w:ascii="宋体" w:hAnsi="宋体" w:eastAsia="宋体" w:cs="宋体"/>
          <w:color w:val="auto"/>
          <w:szCs w:val="21"/>
          <w:highlight w:val="none"/>
        </w:rPr>
        <w:t xml:space="preserve">政府采购管理交易系统（苏采云）</w:t>
      </w:r>
      <w:r>
        <w:rPr>
          <w:rFonts w:hint="eastAsia" w:ascii="宋体" w:hAnsi="宋体" w:eastAsia="宋体" w:cs="宋体"/>
          <w:color w:val="auto"/>
          <w:highlight w:val="none"/>
        </w:rPr>
        <w:t xml:space="preserve">的网络地址和方法：</w:t>
      </w:r>
      <w:r/>
    </w:p>
    <w:p>
      <w:pPr>
        <w:ind w:firstLine="422"/>
        <w:keepLines w:val="0"/>
        <w:keepNext w:val="0"/>
        <w:pageBreakBefore w:val="0"/>
        <w:spacing w:line="380" w:lineRule="exact"/>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80" w:lineRule="exact"/>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keepLines w:val="0"/>
        <w:keepNext w:val="0"/>
        <w:pageBreakBefore w:val="0"/>
        <w:spacing w:line="380" w:lineRule="exact"/>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（3）“CA数字证书”的办理材料以及供应商操作手册详见：http：//zfcg.yangzhou.gov.cn/zfcg/xzzx/202309/4d7de1f7865f4a2894fc22bc452f94d8.shtml。</w:t>
      </w:r>
      <w:r/>
    </w:p>
    <w:p>
      <w:pPr>
        <w:ind w:firstLine="422"/>
        <w:jc w:val="left"/>
        <w:keepLines w:val="0"/>
        <w:keepNext w:val="0"/>
        <w:pageBreakBefore w:val="0"/>
        <w:spacing w:line="380" w:lineRule="exact"/>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（4）潜在供应商访问“苏采云”系统的网络地址和方法：“苏采云”系统的网址：http：//jszfcg.jsczt.cn/。</w:t>
      </w:r>
      <w:r/>
    </w:p>
    <w:p>
      <w:pPr>
        <w:ind w:firstLine="422"/>
        <w:keepLines w:val="0"/>
        <w:keepNext w:val="0"/>
        <w:pageBreakBefore w:val="0"/>
        <w:spacing w:line="380" w:lineRule="exact"/>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80" w:lineRule="exact"/>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80" w:lineRule="exact"/>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（7）苏采云系统使用谷歌浏览器参与不见面开标。</w:t>
      </w:r>
      <w:r/>
    </w:p>
    <w:p>
      <w:pPr>
        <w:keepLines w:val="0"/>
        <w:keepNext w:val="0"/>
        <w:pageBreakBefore w:val="0"/>
        <w:spacing w:line="380" w:lineRule="exact"/>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四、提交投标文件截止时间、开标时间和地点</w:t>
      </w:r>
      <w:bookmarkEnd w:id="6"/>
      <w:r/>
      <w:r/>
    </w:p>
    <w:p>
      <w:pPr>
        <w:ind w:firstLine="420"/>
        <w:keepLines w:val="0"/>
        <w:keepNext w:val="0"/>
        <w:pageBreakBefore w:val="0"/>
        <w:spacing w:line="380" w:lineRule="exact"/>
        <w:rPr>
          <w:rFonts w:hint="eastAsia" w:ascii="宋体" w:hAnsi="宋体" w:eastAsia="宋体" w:cs="宋体"/>
          <w:bCs/>
          <w:color w:val="auto"/>
          <w:szCs w:val="21"/>
          <w:highlight w:val="none"/>
          <w:u w:val="single"/>
        </w:rPr>
      </w:pPr>
      <w:r>
        <w:rPr>
          <w:rFonts w:hint="eastAsia" w:ascii="宋体" w:hAnsi="宋体" w:eastAsia="宋体" w:cs="宋体"/>
          <w:color w:val="auto"/>
          <w:highlight w:val="none"/>
        </w:rPr>
        <w:t xml:space="preserve">1.时间：</w:t>
      </w:r>
      <w:r>
        <w:rPr>
          <w:rFonts w:hint="eastAsia" w:ascii="宋体" w:hAnsi="宋体" w:eastAsia="宋体" w:cs="宋体"/>
          <w:color w:val="auto"/>
          <w:szCs w:val="21"/>
          <w:highlight w:val="none"/>
          <w:u w:val="single"/>
        </w:rPr>
        <w:t xml:space="preserve">2026年</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月</w:t>
      </w:r>
      <w:r>
        <w:rPr>
          <w:rFonts w:hint="eastAsia" w:ascii="宋体" w:hAnsi="宋体" w:eastAsia="宋体" w:cs="宋体"/>
          <w:color w:val="auto"/>
          <w:szCs w:val="21"/>
          <w:highlight w:val="none"/>
          <w:u w:val="single"/>
          <w:lang w:val="en-US" w:eastAsia="zh-CN"/>
        </w:rPr>
        <w:t xml:space="preserve">15</w:t>
      </w:r>
      <w:r>
        <w:rPr>
          <w:rFonts w:hint="eastAsia" w:ascii="宋体" w:hAnsi="宋体" w:eastAsia="宋体" w:cs="宋体"/>
          <w:color w:val="auto"/>
          <w:szCs w:val="21"/>
          <w:highlight w:val="none"/>
          <w:u w:val="single"/>
        </w:rPr>
        <w:t xml:space="preserve">日14点30分</w:t>
      </w:r>
      <w:r>
        <w:rPr>
          <w:rFonts w:hint="eastAsia" w:ascii="宋体" w:hAnsi="宋体" w:eastAsia="宋体" w:cs="宋体"/>
          <w:bCs/>
          <w:color w:val="auto"/>
          <w:highlight w:val="none"/>
        </w:rPr>
        <w:t xml:space="preserve">（北京时间）</w:t>
      </w:r>
      <w:r/>
    </w:p>
    <w:p>
      <w:pPr>
        <w:ind w:firstLine="420"/>
        <w:keepLines w:val="0"/>
        <w:keepNext w:val="0"/>
        <w:pageBreakBefore w:val="0"/>
        <w:spacing w:line="380" w:lineRule="exact"/>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2.开标地点：</w:t>
      </w:r>
      <w:r>
        <w:rPr>
          <w:rFonts w:hint="eastAsia" w:ascii="宋体" w:hAnsi="宋体" w:eastAsia="宋体" w:cs="宋体"/>
          <w:bCs/>
          <w:color w:val="auto"/>
          <w:szCs w:val="21"/>
          <w:highlight w:val="none"/>
        </w:rPr>
        <w:t xml:space="preserve">“苏采云”系统（网址：http：//jszfcg.jsczt.cn/）“开标大厅”</w:t>
      </w:r>
      <w:r/>
    </w:p>
    <w:p>
      <w:pPr>
        <w:keepLines w:val="0"/>
        <w:keepNext w:val="0"/>
        <w:pageBreakBefore w:val="0"/>
        <w:spacing w:line="380" w:lineRule="exact"/>
        <w:tabs>
          <w:tab w:val="left" w:pos="266" w:leader="none"/>
        </w:tabs>
        <w:rPr>
          <w:rFonts w:hint="eastAsia" w:ascii="宋体" w:hAnsi="宋体" w:eastAsia="宋体" w:cs="宋体"/>
          <w:b/>
          <w:bCs/>
          <w:color w:val="auto"/>
          <w:highlight w:val="none"/>
        </w:rPr>
      </w:pPr>
      <w:r/>
      <w:bookmarkStart w:id="7" w:name="_Toc38985267"/>
      <w:r>
        <w:rPr>
          <w:rFonts w:hint="eastAsia" w:ascii="宋体" w:hAnsi="宋体" w:eastAsia="宋体" w:cs="宋体"/>
          <w:b/>
          <w:bCs/>
          <w:color w:val="auto"/>
          <w:highlight w:val="none"/>
        </w:rPr>
        <w:t xml:space="preserve">五、公告期限</w:t>
      </w:r>
      <w:bookmarkEnd w:id="7"/>
      <w:r/>
      <w:r/>
    </w:p>
    <w:p>
      <w:pPr>
        <w:ind w:firstLine="420"/>
        <w:keepLines w:val="0"/>
        <w:keepNext w:val="0"/>
        <w:pageBreakBefore w:val="0"/>
        <w:spacing w:line="380" w:lineRule="exact"/>
        <w:rPr>
          <w:rFonts w:hint="eastAsia" w:ascii="宋体" w:hAnsi="宋体" w:eastAsia="宋体" w:cs="宋体"/>
          <w:color w:val="auto"/>
          <w:highlight w:val="none"/>
        </w:rPr>
      </w:pPr>
      <w:r/>
      <w:bookmarkStart w:id="8" w:name="_Toc38985268"/>
      <w:r>
        <w:rPr>
          <w:rFonts w:hint="eastAsia" w:ascii="宋体" w:hAnsi="宋体" w:eastAsia="宋体" w:cs="宋体"/>
          <w:color w:val="auto"/>
          <w:highlight w:val="none"/>
        </w:rPr>
        <w:t xml:space="preserve">招标公告及招标文件公告期限为自本公告发布之日起5个工作日。</w:t>
      </w:r>
      <w:bookmarkEnd w:id="8"/>
      <w:r/>
      <w:r/>
    </w:p>
    <w:p>
      <w:pPr>
        <w:keepLines w:val="0"/>
        <w:keepNext w:val="0"/>
        <w:pageBreakBefore w:val="0"/>
        <w:spacing w:line="380" w:lineRule="exact"/>
        <w:tabs>
          <w:tab w:val="left" w:pos="266" w:leader="none"/>
        </w:tabs>
        <w:rPr>
          <w:rFonts w:hint="eastAsia" w:ascii="宋体" w:hAnsi="宋体" w:eastAsia="宋体" w:cs="宋体"/>
          <w:b/>
          <w:bCs/>
          <w:color w:val="auto"/>
          <w:highlight w:val="none"/>
        </w:rPr>
      </w:pPr>
      <w:r/>
      <w:bookmarkStart w:id="9" w:name="_Toc28359087"/>
      <w:r/>
      <w:bookmarkStart w:id="10" w:name="_Toc28359010"/>
      <w:r>
        <w:rPr>
          <w:rFonts w:hint="eastAsia" w:ascii="宋体" w:hAnsi="宋体" w:eastAsia="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中标供应商可凭政府采购合同办理融资贷款，详见江苏政府采购网“政采贷”专栏。</w:t>
      </w:r>
      <w:bookmarkEnd w:id="9"/>
      <w:r/>
      <w:bookmarkEnd w:id="10"/>
      <w:r/>
      <w:r/>
    </w:p>
    <w:p>
      <w:pPr>
        <w:keepLines w:val="0"/>
        <w:keepNext w:val="0"/>
        <w:pageBreakBefore w:val="0"/>
        <w:spacing w:line="38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七、其他</w:t>
      </w:r>
      <w:r/>
    </w:p>
    <w:p>
      <w:pPr>
        <w:ind w:firstLine="422"/>
        <w:keepLines w:val="0"/>
        <w:keepNext w:val="0"/>
        <w:pageBreakBefore w:val="0"/>
        <w:spacing w:line="380" w:lineRule="exact"/>
        <w:rPr>
          <w:rFonts w:hint="eastAsia" w:ascii="宋体" w:hAnsi="宋体" w:eastAsia="宋体" w:cs="宋体"/>
          <w:color w:val="auto"/>
          <w:szCs w:val="21"/>
          <w:highlight w:val="none"/>
        </w:rPr>
      </w:pPr>
      <w:r/>
      <w:bookmarkStart w:id="11" w:name="_Toc38985269"/>
      <w:r>
        <w:rPr>
          <w:rFonts w:hint="eastAsia" w:ascii="宋体" w:hAnsi="宋体" w:eastAsia="宋体" w:cs="宋体"/>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keepLines w:val="0"/>
        <w:keepNext w:val="0"/>
        <w:pageBreakBefore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3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3.严格执行政府采购关于支持节能</w:t>
      </w:r>
      <w:r>
        <w:rPr>
          <w:rFonts w:hint="eastAsia" w:ascii="宋体" w:hAnsi="宋体" w:eastAsia="宋体" w:cs="宋体"/>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keepLines w:val="0"/>
        <w:keepNext w:val="0"/>
        <w:pageBreakBefore w:val="0"/>
        <w:spacing w:line="380" w:lineRule="exact"/>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4.供应商对于投标产品的包装应按照“财办库[2020]123号《关于印发《商品包装政府采购需求标准（试行）》、《快递包装政府采购需求标准（试行）的通知》”执行。</w:t>
      </w:r>
      <w:r/>
    </w:p>
    <w:p>
      <w:pPr>
        <w:ind w:firstLine="422"/>
        <w:jc w:val="left"/>
        <w:keepLines w:val="0"/>
        <w:keepNext w:val="0"/>
        <w:pageBreakBefore w:val="0"/>
        <w:spacing w:line="3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5.潜在供应商对采购文件项目需求部分的询问、质疑请向采购人提出，由采购人负责答复。</w:t>
      </w:r>
      <w:r/>
    </w:p>
    <w:p>
      <w:pPr>
        <w:ind w:firstLine="420"/>
        <w:keepLines w:val="0"/>
        <w:keepNext w:val="0"/>
        <w:pageBreakBefore w:val="0"/>
        <w:spacing w:line="380" w:lineRule="exact"/>
        <w:rPr>
          <w:rFonts w:hint="eastAsia" w:ascii="宋体" w:hAnsi="宋体" w:eastAsia="宋体" w:cs="宋体"/>
          <w:bCs/>
          <w:color w:val="auto"/>
          <w:highlight w:val="none"/>
        </w:rPr>
      </w:pPr>
      <w:r>
        <w:rPr>
          <w:rFonts w:hint="eastAsia" w:ascii="宋体" w:hAnsi="宋体" w:eastAsia="宋体" w:cs="宋体"/>
          <w:bCs/>
          <w:color w:val="auto"/>
          <w:szCs w:val="21"/>
          <w:highlight w:val="none"/>
        </w:rPr>
        <w:t xml:space="preserve">6.</w:t>
      </w:r>
      <w:r>
        <w:rPr>
          <w:rFonts w:hint="eastAsia" w:ascii="宋体" w:hAnsi="宋体" w:eastAsia="宋体" w:cs="宋体"/>
          <w:color w:val="auto"/>
          <w:highlight w:val="none"/>
        </w:rPr>
        <w:t xml:space="preserve">本次招标不收取投标保证金。</w:t>
      </w:r>
      <w:r/>
    </w:p>
    <w:p>
      <w:pPr>
        <w:ind w:firstLine="420"/>
        <w:keepLines w:val="0"/>
        <w:keepNext w:val="0"/>
        <w:pageBreakBefore w:val="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7.有关本次招标的事项若存在变动或修改，敬请及时关注“扬州市政府采购网”、“江苏省政府采购网”、“中国政府采购网”发布的信息。</w:t>
      </w:r>
      <w:r/>
    </w:p>
    <w:p>
      <w:pPr>
        <w:ind w:firstLine="422"/>
        <w:jc w:val="left"/>
        <w:keepLines w:val="0"/>
        <w:keepNext w:val="0"/>
        <w:pageBreakBefore w:val="0"/>
        <w:spacing w:line="380" w:lineRule="exact"/>
        <w:rPr>
          <w:rFonts w:hint="eastAsia" w:ascii="宋体" w:hAnsi="宋体" w:eastAsia="宋体" w:cs="宋体"/>
          <w:b/>
          <w:bCs/>
          <w:i/>
          <w:color w:val="auto"/>
          <w:szCs w:val="21"/>
          <w:highlight w:val="none"/>
          <w:u w:val="single"/>
        </w:rPr>
      </w:pPr>
      <w:r>
        <w:rPr>
          <w:rFonts w:hint="eastAsia" w:ascii="宋体" w:hAnsi="宋体" w:eastAsia="宋体" w:cs="宋体"/>
          <w:b/>
          <w:bCs/>
          <w:i/>
          <w:color w:val="auto"/>
          <w:szCs w:val="21"/>
          <w:highlight w:val="none"/>
          <w:u w:val="single"/>
        </w:rPr>
        <w:t xml:space="preserve">8.本项目招标文件中所有斜体下划线部分为实质性条款，如不满足，则为无效投标。</w:t>
      </w:r>
      <w:r/>
    </w:p>
    <w:p>
      <w:pPr>
        <w:ind w:firstLine="420"/>
        <w:jc w:val="left"/>
        <w:keepLines w:val="0"/>
        <w:keepNext w:val="0"/>
        <w:pageBreakBefore w:val="0"/>
        <w:spacing w:line="38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9.如在开标时间发生系统崩溃等不可预见的情况，造成开评标活动无法正常进行的，将延迟开评标，具体开评标时间另行通知。</w:t>
      </w:r>
      <w:r/>
    </w:p>
    <w:p>
      <w:pPr>
        <w:ind w:firstLine="422"/>
        <w:keepLines w:val="0"/>
        <w:keepNext w:val="0"/>
        <w:pageBreakBefore w:val="0"/>
        <w:spacing w:line="380" w:lineRule="exact"/>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八、本次招标联系方式</w:t>
      </w:r>
      <w:bookmarkEnd w:id="11"/>
      <w:r/>
      <w:r/>
    </w:p>
    <w:p>
      <w:pPr>
        <w:ind w:firstLine="420"/>
        <w:jc w:val="left"/>
        <w:keepLines w:val="0"/>
        <w:keepNext w:val="0"/>
        <w:pageBreakBefore w:val="0"/>
        <w:spacing w:line="380" w:lineRule="exact"/>
        <w:widowControl/>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1.采购人信息</w:t>
      </w:r>
      <w:r/>
    </w:p>
    <w:p>
      <w:pPr>
        <w:pStyle w:val="1111"/>
        <w:ind w:firstLine="420"/>
        <w:jc w:val="left"/>
        <w:keepLines w:val="0"/>
        <w:keepNext w:val="0"/>
        <w:pageBreakBefore w:val="0"/>
        <w:spacing w:line="380" w:lineRule="exact"/>
        <w:rPr>
          <w:rFonts w:hint="eastAsia" w:ascii="宋体" w:hAnsi="宋体" w:eastAsia="宋体" w:cs="宋体"/>
          <w:color w:val="auto"/>
          <w:szCs w:val="21"/>
          <w:highlight w:val="none"/>
        </w:rPr>
      </w:pPr>
      <w:r/>
      <w:bookmarkStart w:id="12" w:name="_Toc28359009"/>
      <w:r/>
      <w:bookmarkStart w:id="13" w:name="_Toc28359086"/>
      <w:r>
        <w:rPr>
          <w:rFonts w:hint="eastAsia" w:ascii="宋体" w:hAnsi="宋体" w:eastAsia="宋体" w:cs="宋体"/>
          <w:color w:val="auto"/>
          <w:szCs w:val="21"/>
          <w:highlight w:val="none"/>
        </w:rPr>
        <w:t xml:space="preserve">名    称：扬州市水利局</w:t>
      </w:r>
      <w:r/>
    </w:p>
    <w:p>
      <w:pPr>
        <w:ind w:firstLine="420"/>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地    址：</w:t>
      </w:r>
      <w:r>
        <w:rPr>
          <w:rFonts w:hint="eastAsia" w:ascii="宋体" w:hAnsi="宋体" w:eastAsia="宋体" w:cs="宋体"/>
          <w:color w:val="auto"/>
          <w:highlight w:val="none"/>
        </w:rPr>
        <w:t xml:space="preserve">广陵区文昌中路460号</w:t>
      </w:r>
      <w:r/>
    </w:p>
    <w:p>
      <w:pPr>
        <w:ind w:firstLine="420"/>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 系 人：朱先生</w:t>
      </w:r>
      <w:r/>
    </w:p>
    <w:p>
      <w:pPr>
        <w:ind w:firstLine="420"/>
        <w:keepLines w:val="0"/>
        <w:keepNext w:val="0"/>
        <w:pageBreakBefore w:val="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联系方式：0514--87209412</w:t>
      </w:r>
      <w:r/>
    </w:p>
    <w:p>
      <w:pPr>
        <w:ind w:firstLine="420"/>
        <w:jc w:val="left"/>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12"/>
      <w:r/>
      <w:bookmarkEnd w:id="13"/>
      <w:r/>
      <w:r/>
    </w:p>
    <w:p>
      <w:pPr>
        <w:ind w:firstLine="420"/>
        <w:jc w:val="left"/>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名    称：扬州览众建设工程咨询服务有限公司</w:t>
      </w:r>
      <w:r/>
    </w:p>
    <w:p>
      <w:pPr>
        <w:pStyle w:val="1111"/>
        <w:ind w:firstLine="422"/>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　  址：扬州市邗江区玉箫路18号瘦西湖名苑商业配套用房3楼</w:t>
      </w:r>
      <w:r/>
    </w:p>
    <w:p>
      <w:pPr>
        <w:ind w:firstLine="420"/>
        <w:jc w:val="left"/>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 系 人：阚明佳</w:t>
      </w:r>
      <w:r/>
    </w:p>
    <w:p>
      <w:pPr>
        <w:ind w:firstLine="420"/>
        <w:jc w:val="left"/>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联系方式：18952513130</w:t>
      </w:r>
      <w:bookmarkEnd w:id="40"/>
      <w:r/>
      <w:r/>
    </w:p>
    <w:p>
      <w:pPr>
        <w:pStyle w:val="866"/>
        <w:jc w:val="center"/>
        <w:spacing w:line="24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rPr>
          <w:rFonts w:hint="eastAsia" w:ascii="宋体" w:hAnsi="宋体" w:eastAsia="宋体" w:cs="宋体"/>
          <w:color w:val="auto"/>
          <w:sz w:val="36"/>
          <w:highlight w:val="none"/>
        </w:rPr>
        <w:t xml:space="preserve">第二章 投标人须知</w:t>
      </w:r>
      <w:bookmarkEnd w:id="3"/>
      <w:r/>
      <w:r/>
    </w:p>
    <w:p>
      <w:pPr>
        <w:ind w:firstLine="422"/>
        <w:spacing w:line="360" w:lineRule="auto"/>
        <w:rPr>
          <w:rFonts w:hint="eastAsia" w:ascii="宋体" w:hAnsi="宋体" w:eastAsia="宋体" w:cs="宋体"/>
          <w:b/>
          <w:color w:val="auto"/>
          <w:szCs w:val="21"/>
          <w:highlight w:val="none"/>
        </w:rPr>
      </w:pPr>
      <w:r/>
      <w:bookmarkStart w:id="14" w:name="_Toc497133092"/>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JSZC-321000-YZLZ-G2026-0004</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4.2本次采购由中标人在领取中标通知书前分别根据国家计委印发的《招标代理服务收费管理暂行办法》(计价格【2002】1980号文)货物类标准一次性支付给代理机构代理服务费。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代理服务费开户银行：江苏银行扬州梅岭支行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开户名称：扬州览众建设工程咨询服务有限公司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开户帐号：90080188000101605</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招标文件有以下部分组成：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rPr>
          <w:rFonts w:hint="eastAsia" w:ascii="宋体" w:hAnsi="宋体" w:eastAsia="宋体" w:cs="宋体"/>
          <w:color w:val="auto"/>
          <w:highlight w:val="none"/>
        </w:rPr>
        <w:tab/>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 在投标截止时间前，代理机构可以对招标文件进行修改。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15" w:name="_Toc16938541"/>
      <w:r/>
      <w:bookmarkStart w:id="16" w:name="_Toc20823297"/>
      <w:r/>
      <w:bookmarkStart w:id="17" w:name="_Toc462564084"/>
      <w:r/>
      <w:bookmarkStart w:id="18" w:name="_Toc513029225"/>
      <w:r>
        <w:rPr>
          <w:rFonts w:hint="eastAsia" w:ascii="宋体" w:hAnsi="宋体" w:eastAsia="宋体" w:cs="宋体"/>
          <w:b/>
          <w:color w:val="auto"/>
          <w:szCs w:val="21"/>
          <w:highlight w:val="none"/>
        </w:rPr>
        <w:t xml:space="preserve">17、投标文件</w:t>
      </w:r>
      <w:bookmarkEnd w:id="15"/>
      <w:r/>
      <w:bookmarkEnd w:id="16"/>
      <w:r/>
      <w:bookmarkEnd w:id="17"/>
      <w:r/>
      <w:bookmarkEnd w:id="18"/>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9" w:name="_Toc20823298"/>
      <w:r/>
      <w:bookmarkStart w:id="20" w:name="_Toc16938542"/>
      <w:r/>
      <w:bookmarkStart w:id="21"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9"/>
      <w:r/>
      <w:bookmarkEnd w:id="20"/>
      <w:r/>
      <w:bookmarkEnd w:id="21"/>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22" w:name="_Toc513029227"/>
      <w:r/>
      <w:bookmarkStart w:id="23" w:name="_Toc20823299"/>
      <w:r/>
      <w:bookmarkStart w:id="24" w:name="_Toc16938543"/>
      <w:r>
        <w:rPr>
          <w:rFonts w:hint="eastAsia" w:ascii="宋体" w:hAnsi="宋体" w:eastAsia="宋体" w:cs="宋体"/>
          <w:b/>
          <w:color w:val="auto"/>
          <w:szCs w:val="21"/>
          <w:highlight w:val="none"/>
        </w:rPr>
        <w:t xml:space="preserve">19、投标文件</w:t>
      </w:r>
      <w:bookmarkEnd w:id="22"/>
      <w:r/>
      <w:bookmarkEnd w:id="23"/>
      <w:r/>
      <w:bookmarkEnd w:id="24"/>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25" w:name="_Toc20823300"/>
      <w:r/>
      <w:bookmarkStart w:id="26" w:name="_Toc16938544"/>
      <w:r/>
      <w:bookmarkStart w:id="27" w:name="_Toc513029228"/>
      <w:r>
        <w:rPr>
          <w:rFonts w:hint="eastAsia" w:ascii="宋体" w:hAnsi="宋体" w:eastAsia="宋体" w:cs="宋体"/>
          <w:b/>
          <w:color w:val="auto"/>
          <w:szCs w:val="21"/>
          <w:highlight w:val="none"/>
        </w:rPr>
        <w:t xml:space="preserve">20、投标文件的撤回和修改</w:t>
      </w:r>
      <w:bookmarkEnd w:id="25"/>
      <w:r/>
      <w:bookmarkEnd w:id="26"/>
      <w:r/>
      <w:bookmarkEnd w:id="27"/>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2"/>
        <w:spacing w:line="360" w:lineRule="auto"/>
        <w:rPr>
          <w:rFonts w:hint="eastAsia" w:ascii="宋体" w:hAnsi="宋体" w:eastAsia="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Cs w:val="21"/>
          <w:highlight w:val="none"/>
        </w:rPr>
        <w:t xml:space="preserve">26.1.10 异常低价投标（响应）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26.1.10.3投标（响应）报价低于采购项目最高限价45%的，即投标（响应）报价&lt;采购项目最高限价×45%；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26.1.10.4 评审委员会认定的供应商报价过低、有可能影响产品质量或者不能诚信履约的其他情形。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26.1.10.5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27.3代理机构将在“扬州市政府采购网”、“江苏省政府采购网”、“中国政府采购网”发布中标公告，公告期限为1个工作日。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866"/>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rPr>
          <w:rFonts w:hint="eastAsia" w:ascii="宋体" w:hAnsi="宋体" w:eastAsia="宋体" w:cs="宋体"/>
          <w:color w:val="auto"/>
          <w:sz w:val="36"/>
          <w:highlight w:val="none"/>
        </w:rPr>
        <w:t xml:space="preserve">第三章 合同条款及格式</w:t>
      </w:r>
      <w:bookmarkEnd w:id="14"/>
      <w:r/>
      <w:r/>
    </w:p>
    <w:p>
      <w:pPr>
        <w:pStyle w:val="891"/>
        <w:ind w:firstLine="420"/>
        <w:spacing w:line="360" w:lineRule="auto"/>
        <w:rPr>
          <w:rFonts w:hint="eastAsia" w:ascii="宋体" w:hAnsi="宋体" w:eastAsia="宋体" w:cs="宋体"/>
          <w:color w:val="auto"/>
          <w:sz w:val="21"/>
          <w:highlight w:val="none"/>
        </w:rPr>
      </w:pPr>
      <w:r/>
      <w:bookmarkStart w:id="28" w:name="_Hlt16619369"/>
      <w:r/>
      <w:bookmarkEnd w:id="28"/>
      <w:r>
        <w:rPr>
          <w:rFonts w:hint="eastAsia" w:ascii="宋体" w:hAnsi="宋体" w:eastAsia="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9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1"/>
        <w:ind w:firstLine="422"/>
        <w:jc w:val="center"/>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 </w:t>
      </w:r>
      <w:r/>
    </w:p>
    <w:p>
      <w:pPr>
        <w:pStyle w:val="8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项目名称：扬州市沿运涵闸流量监测设施建设项目                       </w:t>
      </w:r>
      <w:r/>
    </w:p>
    <w:p>
      <w:pPr>
        <w:pStyle w:val="8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编号：</w:t>
      </w:r>
      <w:r>
        <w:rPr>
          <w:rFonts w:hint="eastAsia" w:hAnsi="宋体" w:cs="宋体"/>
          <w:color w:val="auto"/>
          <w:highlight w:val="none"/>
          <w:lang w:eastAsia="zh-CN"/>
        </w:rPr>
        <w:t xml:space="preserve">JSZC-321000-YZLZ-G2026-0004</w:t>
      </w:r>
      <w:r>
        <w:rPr>
          <w:rFonts w:hint="eastAsia" w:ascii="宋体" w:hAnsi="宋体" w:eastAsia="宋体" w:cs="宋体"/>
          <w:color w:val="auto"/>
          <w:sz w:val="21"/>
          <w:highlight w:val="none"/>
        </w:rPr>
        <w:t xml:space="preserve">号</w:t>
      </w:r>
      <w:r/>
    </w:p>
    <w:p>
      <w:pPr>
        <w:pStyle w:val="8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甲方（采购人/买方）：扬州市水利局       </w:t>
      </w:r>
      <w:r/>
    </w:p>
    <w:p>
      <w:pPr>
        <w:pStyle w:val="8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乙方（供应商/卖方）：</w:t>
      </w:r>
      <w:r>
        <w:rPr>
          <w:rFonts w:hint="eastAsia" w:ascii="宋体" w:hAnsi="宋体" w:eastAsia="宋体" w:cs="宋体"/>
          <w:color w:val="auto"/>
          <w:sz w:val="21"/>
          <w:highlight w:val="none"/>
          <w:u w:val="single"/>
        </w:rPr>
        <w:t xml:space="preserve">            </w:t>
      </w:r>
      <w:r/>
    </w:p>
    <w:p>
      <w:pPr>
        <w:pStyle w:val="8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见证方：扬州览众建设工程咨询服务有限公司</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根据《中华人民共和国政府采购法》、《中华人民共和国民法典》等法律法规的规定，甲乙双方按照扬州览众建设工程咨询服务有限公司关于本项目招标结果签订本合同。</w:t>
      </w:r>
      <w:r/>
    </w:p>
    <w:p>
      <w:pPr>
        <w:pStyle w:val="891"/>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1、合同标的</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乙方根据甲方需求，提供下列货物：</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w:t>
      </w:r>
      <w:r/>
    </w:p>
    <w:p>
      <w:pPr>
        <w:pStyle w:val="891"/>
        <w:ind w:firstLine="420"/>
        <w:spacing w:line="360" w:lineRule="auto"/>
        <w:rPr>
          <w:rFonts w:hint="eastAsia" w:ascii="宋体" w:hAnsi="宋体" w:eastAsia="宋体" w:cs="宋体"/>
          <w:b/>
          <w:color w:val="auto"/>
          <w:sz w:val="21"/>
          <w:highlight w:val="none"/>
        </w:rPr>
      </w:pPr>
      <w:r>
        <w:rPr>
          <w:rFonts w:hint="eastAsia" w:ascii="宋体" w:hAnsi="宋体" w:eastAsia="宋体" w:cs="宋体"/>
          <w:color w:val="auto"/>
          <w:sz w:val="21"/>
          <w:highlight w:val="none"/>
        </w:rPr>
        <w:t xml:space="preserve">货物名称、规格及数量等要求详见招投标文件。</w:t>
      </w:r>
      <w:r/>
    </w:p>
    <w:p>
      <w:pPr>
        <w:pStyle w:val="891"/>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2、合同总金额</w:t>
      </w:r>
      <w:r/>
    </w:p>
    <w:p>
      <w:pPr>
        <w:pStyle w:val="891"/>
        <w:ind w:firstLine="422"/>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本合同金额为（大写）：________元人民币（¥_____元）。</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2.3 在招标文件未列明，而乙方认为履行本合同必需的费用也包含在合同总金额中。</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2.4 本合同总金额还包含乙方提供的伴随服务/售后服务费用。</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91"/>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3、组成本合同的有关文件</w:t>
      </w:r>
      <w:r/>
    </w:p>
    <w:p>
      <w:pPr>
        <w:pStyle w:val="891"/>
        <w:ind w:firstLine="422"/>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3.1乙方应按招标文件规定的时间向甲方提供使用货物的有关技术资料。</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91"/>
        <w:ind w:hanging="359"/>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（1）投标响应文件；               （2）投标产品配置与报价文件；</w:t>
      </w:r>
      <w:r/>
    </w:p>
    <w:p>
      <w:pPr>
        <w:pStyle w:val="891"/>
        <w:ind w:hanging="359"/>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（3）供货一览表；                 （4）技术参数响应表；</w:t>
      </w:r>
      <w:r/>
    </w:p>
    <w:p>
      <w:pPr>
        <w:pStyle w:val="891"/>
        <w:ind w:hanging="359"/>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（5）服务承诺；                   （6）中标通知书；</w:t>
      </w:r>
      <w:r/>
    </w:p>
    <w:p>
      <w:pPr>
        <w:pStyle w:val="891"/>
        <w:ind w:hanging="359"/>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（7）甲乙双方补充协议；           （8）乙方投标时提供的响应文件。</w:t>
      </w:r>
      <w:r/>
    </w:p>
    <w:p>
      <w:pPr>
        <w:pStyle w:val="891"/>
        <w:ind w:left="420" w:firstLine="63"/>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4、知识产权保证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91"/>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5、产权保证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乙方保证所交付的货物的所有权无任何抵押、查封等权利瑕疵。</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6、履约保证金</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本项目不收取履约保证金。</w:t>
      </w:r>
      <w:r/>
    </w:p>
    <w:p>
      <w:pPr>
        <w:pStyle w:val="891"/>
        <w:ind w:firstLine="42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7、转包或分包</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 本合同禁止转包，本合同范围的货物，应由乙方直接供应的，不得转让他人供应。</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经甲方同意，乙方可以依法采取分包方式履行合同，但是分包方式履行的，乙方应就采购项目向甲方负全责。</w:t>
      </w:r>
      <w:r>
        <w:rPr>
          <w:rFonts w:hint="eastAsia" w:ascii="宋体" w:hAnsi="宋体" w:eastAsia="宋体" w:cs="宋体"/>
          <w:color w:val="auto"/>
          <w:sz w:val="21"/>
          <w:highlight w:val="none"/>
        </w:rPr>
        <w:tab/>
      </w:r>
      <w:r/>
    </w:p>
    <w:p>
      <w:pPr>
        <w:pStyle w:val="891"/>
        <w:ind w:firstLine="42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8、质保期</w:t>
      </w:r>
      <w:r/>
    </w:p>
    <w:p>
      <w:pPr>
        <w:pStyle w:val="891"/>
        <w:ind w:firstLine="420"/>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质保期：</w:t>
      </w:r>
      <w:r>
        <w:rPr>
          <w:rFonts w:hint="eastAsia" w:ascii="宋体" w:hAnsi="宋体" w:eastAsia="宋体" w:cs="宋体"/>
          <w:bCs/>
          <w:color w:val="auto"/>
          <w:sz w:val="21"/>
          <w:highlight w:val="none"/>
          <w:u w:val="single"/>
        </w:rPr>
        <w:t xml:space="preserve"> 2 年</w:t>
      </w:r>
      <w:r>
        <w:rPr>
          <w:rFonts w:hint="eastAsia" w:ascii="宋体" w:hAnsi="宋体" w:eastAsia="宋体" w:cs="宋体"/>
          <w:bCs/>
          <w:color w:val="auto"/>
          <w:sz w:val="21"/>
          <w:highlight w:val="none"/>
        </w:rPr>
        <w:t xml:space="preserve">。（自交货验收合格之日起计）。</w:t>
      </w:r>
      <w:r/>
    </w:p>
    <w:p>
      <w:pPr>
        <w:pStyle w:val="891"/>
        <w:ind w:firstLine="420"/>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9、交货期、交货方式及交货地点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9.1 交货期：自合同签订之日起90日内供货。</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9.2 交货方式：甲方指定方式</w:t>
      </w:r>
      <w:r/>
    </w:p>
    <w:p>
      <w:pPr>
        <w:pStyle w:val="891"/>
        <w:ind w:firstLine="420"/>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9.3 交货地点：甲方指定地点</w:t>
      </w:r>
      <w:r/>
    </w:p>
    <w:p>
      <w:pPr>
        <w:pStyle w:val="891"/>
        <w:ind w:firstLine="420"/>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10、货款支付</w:t>
      </w:r>
      <w:r/>
    </w:p>
    <w:p>
      <w:pPr>
        <w:pStyle w:val="891"/>
        <w:ind w:firstLine="420"/>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10.1 本合同项下所有款项均以人民币支付。 </w:t>
      </w:r>
      <w:r/>
    </w:p>
    <w:p>
      <w:pPr>
        <w:pStyle w:val="891"/>
        <w:ind w:firstLine="420"/>
        <w:spacing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10.2 本合同项下的采购资金由甲方支付，付款前乙方向甲方开具发票。</w:t>
      </w:r>
      <w:r/>
    </w:p>
    <w:p>
      <w:pPr>
        <w:ind w:firstLine="420"/>
        <w:spacing w:line="360" w:lineRule="auto"/>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10.3 付款方式：</w:t>
      </w:r>
      <w:r>
        <w:rPr>
          <w:rFonts w:hint="eastAsia" w:ascii="宋体" w:hAnsi="宋体" w:eastAsia="宋体" w:cs="宋体"/>
          <w:bCs/>
          <w:color w:val="auto"/>
          <w:szCs w:val="21"/>
          <w:highlight w:val="none"/>
          <w:u w:val="single"/>
        </w:rPr>
        <w:t xml:space="preserve">合同签订后，甲方自收到发票之日起10个工作日内支付乙方合同总价30%的预付款，完成全部内容并通过验收后支付尾款。</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11、税费</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本合同执行中相关的一切税费均由乙方负担。</w:t>
      </w:r>
      <w:r/>
    </w:p>
    <w:p>
      <w:pPr>
        <w:pStyle w:val="891"/>
        <w:ind w:firstLine="42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12、质量保证及售后服务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⑶退货处理：乙方应退还甲方支付的合同款，同时应承担该货物的直接费用（运输、保险、检验、货款利息及银行手续费等）。</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如在使用过程中发生质量问题，乙方在接到甲方通知后在24小时内到达甲方现场，48小时内完成维修。</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 在质保期内，乙方应对货物出现的质量及安全问题负责处理解决并承担一切费用。</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12.6上述的货物免费保修期为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年，因人为因素出现的故障不在免费保修范围内。超过保修期的机器设备，终生维修，维修时只收部件成本费。</w:t>
      </w:r>
      <w:r/>
    </w:p>
    <w:p>
      <w:pPr>
        <w:pStyle w:val="891"/>
        <w:ind w:firstLine="42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13、交货、调试和验收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13.1乙方应当在合同生效后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 货到甲方后，甲、乙双方须在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工作日内初验收，</w:t>
      </w:r>
      <w:r>
        <w:rPr>
          <w:rFonts w:hint="eastAsia" w:ascii="宋体" w:hAnsi="宋体" w:eastAsia="宋体" w:cs="宋体"/>
          <w:color w:val="auto"/>
          <w:highlight w:val="none"/>
        </w:rPr>
        <w:t xml:space="preserve">乙方按照招标文件要求负责</w:t>
      </w:r>
      <w:r>
        <w:rPr>
          <w:rFonts w:hint="eastAsia" w:ascii="宋体" w:hAnsi="宋体" w:eastAsia="宋体" w:cs="宋体"/>
          <w:bCs/>
          <w:color w:val="auto"/>
          <w:highlight w:val="none"/>
        </w:rPr>
        <w:t xml:space="preserve">系统集成、联通完毕</w:t>
      </w:r>
      <w:r>
        <w:rPr>
          <w:rFonts w:hint="eastAsia" w:ascii="宋体" w:hAnsi="宋体" w:eastAsia="宋体" w:cs="宋体"/>
          <w:color w:val="auto"/>
          <w:highlight w:val="none"/>
        </w:rPr>
        <w:t xml:space="preserve">并培训甲方的使用操作人员，乙方在甲方使用前进行调试，调试直到符合技术要求的甲方才做最终验收</w:t>
      </w:r>
      <w:r>
        <w:rPr>
          <w:rFonts w:hint="eastAsia" w:ascii="宋体" w:hAnsi="宋体" w:eastAsia="宋体" w:cs="宋体"/>
          <w:color w:val="auto"/>
          <w:szCs w:val="21"/>
          <w:highlight w:val="none"/>
        </w:rPr>
        <w:t xml:space="preserve">，初步验收不合格的不予签收。</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13.4 甲乙双方关于调试和验收的其他约定：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14、货物包装、发运及运输</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 货物在交付甲方前发生的风险均由乙方负责。</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货物在规定的交付期限内由乙方送达甲方指定的地点，经初步验收即视为货物交付。</w:t>
      </w:r>
      <w:r/>
    </w:p>
    <w:p>
      <w:pPr>
        <w:pStyle w:val="891"/>
        <w:ind w:firstLine="42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15、违约责任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甲方无正当理由拒绝初验收和终验收货物的，甲方应按未付货款金额每日万分之五向乙方支付违约金。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 甲方无故逾期验收和无故逾期办理货款支付手续的,甲方应按逾期付款金额每日万分之五向乙方支付违约金。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赔偿金。</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16、不可抗力事件处理</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91"/>
        <w:ind w:firstLine="42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17、争议解决</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ascii="宋体" w:hAnsi="宋体" w:eastAsia="宋体" w:cs="宋体"/>
          <w:color w:val="auto"/>
          <w:sz w:val="21"/>
          <w:highlight w:val="none"/>
          <w:u w:val="single"/>
        </w:rPr>
        <w:t xml:space="preserve">（1）</w:t>
      </w:r>
      <w:r>
        <w:rPr>
          <w:rFonts w:hint="eastAsia" w:ascii="宋体" w:hAnsi="宋体" w:eastAsia="宋体" w:cs="宋体"/>
          <w:color w:val="auto"/>
          <w:sz w:val="21"/>
          <w:highlight w:val="none"/>
        </w:rPr>
        <w:t xml:space="preserve">种方式解决争议：</w:t>
      </w:r>
      <w:r/>
    </w:p>
    <w:p>
      <w:pPr>
        <w:pStyle w:val="891"/>
        <w:ind w:firstLine="31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（1）向甲方所在地有管辖权的人民法院提起诉讼，适用中华人民共和国法律；</w:t>
      </w:r>
      <w:r/>
    </w:p>
    <w:p>
      <w:pPr>
        <w:pStyle w:val="891"/>
        <w:ind w:hanging="105"/>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（2）向扬州仲裁委员会按其仲裁规则申请仲裁。</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17.3 若甲乙双方任何一方都没有选择解除合同的，为避免扩大损失，在诉讼或仲裁期间，双方应继续履行。</w:t>
      </w:r>
      <w:r/>
    </w:p>
    <w:p>
      <w:pPr>
        <w:pStyle w:val="891"/>
        <w:ind w:firstLine="420"/>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18、合同其它</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18.1 乙方应诚实信用，严格按照招标文件要求和投标承诺履行合同，不向甲方进行商业贿赂或者提供不正当利益。</w:t>
      </w:r>
      <w:r/>
    </w:p>
    <w:p>
      <w:pPr>
        <w:pStyle w:val="891"/>
        <w:ind w:firstLine="420"/>
        <w:spacing w:line="360" w:lineRule="auto"/>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18.2 合同经双方法定代表人或授权代表签字并加盖单位公章，并经扬州览众建设工程咨询服务有限公司见证盖章后生效。</w:t>
      </w:r>
      <w:r/>
    </w:p>
    <w:p>
      <w:pPr>
        <w:pStyle w:val="891"/>
        <w:ind w:firstLine="420"/>
        <w:spacing w:line="360" w:lineRule="auto"/>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18.2本合同未尽事宜，遵照《中华人民共和国民法典》有关条文执行。</w:t>
      </w:r>
      <w:r/>
    </w:p>
    <w:p>
      <w:pPr>
        <w:pStyle w:val="891"/>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18.3 本合同正本一式伍份，具有同等法律效力，甲方、乙方各执贰份、见证方执壹份。</w:t>
      </w:r>
      <w:r/>
    </w:p>
    <w:p>
      <w:pPr>
        <w:pStyle w:val="891"/>
        <w:ind w:hanging="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891"/>
        <w:ind w:left="21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甲方：扬州市水利局                       乙方： </w:t>
      </w:r>
      <w:r/>
    </w:p>
    <w:p>
      <w:pPr>
        <w:pStyle w:val="8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地址：</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 xml:space="preserve">                   地址： </w:t>
      </w:r>
      <w:r/>
    </w:p>
    <w:p>
      <w:pPr>
        <w:pStyle w:val="8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法定代表人或授权代表：                   法定代表人或授权代表：</w:t>
      </w:r>
      <w:r/>
    </w:p>
    <w:p>
      <w:pPr>
        <w:pStyle w:val="8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联系电话：                               联系电话：</w:t>
      </w:r>
      <w:r/>
    </w:p>
    <w:p>
      <w:pPr>
        <w:pStyle w:val="8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891"/>
        <w:ind w:firstLine="21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见证方：扬州览众建设工程咨询服务有限公司</w:t>
      </w:r>
      <w:r/>
    </w:p>
    <w:p>
      <w:pPr>
        <w:pStyle w:val="891"/>
        <w:ind w:firstLine="21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项目经办人：</w:t>
      </w:r>
      <w:r/>
    </w:p>
    <w:p>
      <w:pPr>
        <w:pStyle w:val="891"/>
        <w:ind w:firstLine="21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jc w:val="center"/>
        <w:keepLines/>
        <w:keepNext/>
        <w:spacing w:before="340" w:after="330" w:line="578"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auto"/>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r/>
    </w:p>
    <w:p>
      <w:pPr>
        <w:pStyle w:val="866"/>
        <w:numPr>
          <w:ilvl w:val="0"/>
          <w:numId w:val="7"/>
        </w:numPr>
        <w:jc w:val="center"/>
        <w:spacing w:line="24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项目需求</w:t>
      </w:r>
      <w:r/>
    </w:p>
    <w:p>
      <w:pPr>
        <w:pStyle w:val="867"/>
        <w:numPr>
          <w:ilvl w:val="1"/>
          <w:numId w:val="0"/>
        </w:numPr>
        <w:ind w:firstLine="422"/>
        <w:spacing w:before="0" w:after="0" w:line="360" w:lineRule="auto"/>
        <w:rPr>
          <w:rFonts w:hint="eastAsia" w:ascii="宋体" w:hAnsi="宋体" w:eastAsia="宋体" w:cs="宋体"/>
          <w:color w:val="auto"/>
          <w:sz w:val="21"/>
          <w:szCs w:val="21"/>
          <w:highlight w:val="none"/>
        </w:rPr>
      </w:pPr>
      <w:r/>
      <w:bookmarkStart w:id="29" w:name="_Toc497133122"/>
      <w:r>
        <w:rPr>
          <w:rFonts w:hint="eastAsia" w:ascii="宋体" w:hAnsi="宋体" w:eastAsia="宋体" w:cs="宋体"/>
          <w:color w:val="auto"/>
          <w:sz w:val="21"/>
          <w:szCs w:val="21"/>
          <w:highlight w:val="none"/>
        </w:rPr>
        <w:t xml:space="preserve">一、项目背景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为全面提升沿运涵闸流</w:t>
      </w:r>
      <w:r>
        <w:rPr>
          <w:rFonts w:hint="eastAsia" w:ascii="宋体" w:hAnsi="宋体" w:eastAsia="宋体" w:cs="宋体"/>
          <w:color w:val="auto"/>
          <w:szCs w:val="21"/>
          <w:highlight w:val="none"/>
        </w:rPr>
        <w:t xml:space="preserve">量监测能力，实现监测全域覆盖、数据精准可靠、传输稳定高效，强化现场可视化管理，保障防汛抗旱、水资源科学调度和应急决策工作有序开展，依据省、市相关工作要求，拟实施本项目。本项目通过对运河沿线30座涵闸进行全面智能化改造，系统开展自动化监测设备的采购与标准化安装，主要包括上下游水位计、闸位计、视频监控等关键监测传感设备；同步推进物联网感知网络建设，通过部署高效的数据同步与传输机制，实现水位、流量、闸门开度等多源信息的实时汇聚与融合处理，最终依托市级智慧水利调度中心平台，完成数据的统一接入、集成分析与可视化展示。</w:t>
      </w:r>
      <w:r/>
    </w:p>
    <w:p>
      <w:pPr>
        <w:pStyle w:val="867"/>
        <w:numPr>
          <w:ilvl w:val="1"/>
          <w:numId w:val="0"/>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二、现场情况</w:t>
      </w:r>
      <w:r/>
    </w:p>
    <w:p>
      <w:pPr>
        <w:pStyle w:val="868"/>
        <w:numPr>
          <w:ilvl w:val="2"/>
          <w:numId w:val="0"/>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（一）江都区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为保障江都灌区水利工程安全稳定运行，提升闸站自动化监测与调度管理水平，现将各点位现状说明如下：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1、昭关闸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昭关闸为江都地区最大灌区干渠进水闸口，承担区域灌溉、排水及水量调度核心任务，是灌区水利安全运行的关键控制性工程。该闸站现有电气及自动化柜设备已连续运行15 年，设备老化严重、技术性能落后，运行稳定性显著下降，已无法满足当前高效、安全、智能化运行管理要求。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2、玉带洞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玉带洞站点现场供电基础设施完善，具备稳定可靠的供电条件，可直接就近接入电源，满足各类监测设备的用电需求。该站点河道上下游均未布设水位计、闸位计等监测设备，也未安装任何监控设施。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3、肖桥洞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肖桥洞站点供电保障能力薄弱，供电模式为临时供电，仅在闸门开启运行及汛期等特殊时段供电，常态情况下无稳定供电保障，现场就近取电存在困难。该站点河道上下游已布设监控设备，可实现基础视频监测，但未安装水位计、闸位计，无法满足水位、闸位的实时监测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4、谈庄洞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谈庄洞站点供电保障情况与肖桥洞一致，仅在闸门开启及汛期期间提供临时供电，日常运行状态下无稳定电源支撑。经现场核实，该站点河道上下游已由水文部门安装雷达水位计，水位监测功能基本完善，但未配备闸位计及监控设备，闸位监测和现场可视化管控存在缺失。</w:t>
      </w:r>
      <w:r/>
    </w:p>
    <w:p>
      <w:pPr>
        <w:pStyle w:val="868"/>
        <w:numPr>
          <w:ilvl w:val="2"/>
          <w:numId w:val="0"/>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（二）高邮市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共11处涵闸，在灌区水资源管理工作中发挥着关键作用。除八里松洞外，河湖调度闸</w:t>
      </w:r>
      <w:r>
        <w:rPr>
          <w:rFonts w:hint="eastAsia" w:ascii="宋体" w:hAnsi="宋体" w:eastAsia="宋体" w:cs="宋体"/>
          <w:color w:val="auto"/>
          <w:szCs w:val="21"/>
          <w:highlight w:val="none"/>
        </w:rPr>
        <w:t xml:space="preserve">、车逻洞、车逻闸、南关洞、头闸、周山洞、界首小闸、子婴闸、南水关洞、琵琶洞等10处涵闸，已通过多期灌区改造项目逐步配备了先进的自动化设备，实现了现场控制功能，有效提升了操作效率与精度。当前，随着现代化管理要求的不断提高，亟需进一步加强远程测流能力建设，以实现实时数据监测与远程决策支持。为此，必须在现有自动化基础上，扎实推进PLC系统升级及部分硬件设备更新改造工作，包括传感器、通信模块的更换与系统调试，以确保远程测流功能稳定集成和高效运行。本分项是补齐该区域远程监测短板，为实现将来全市智慧水利覆盖的关键环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1、头闸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该闸站为新建闸，目前正处于建设阶段，预计今年完工。现场规划配备全新水情、工情监测设备及高清摄像头，相关设备尚未完成安装调试，暂未开展数据采集与传输相关工作。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2、八里松洞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该闸站规模较小，开闸运行时流量较小。现场仅设有1个控制闸门的挂柜，上下游均无水位计；控制柜模块设备老化现象严重，运行状态不佳。</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3、南水关洞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该站点目前正处于施工阶段，所有监控、水位计、自动化设备均临时放置于琵琶洞。因该区域属于古城保护范围，城管局禁止飞线布线，现场布线需符合古城保护相关要求。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4、琵琶洞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该站点监控、水位计、闸位计、PLC等设备配置齐全，管理区可正常查看现场监控，上下游均已布设水位计、闸位计，控制柜配套触摸屏运行正常，能清晰显示水位值、开度值。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5、河湖调度闸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站点上下游均已布设水位计、闸位计，控制柜配套触摸屏运行正常，能清晰显示水位值、开度值。其中，上下游雷达水位计数据不准确，配套水尺数据亦不准确，现场采用4G物联网卡进行数据传输，已安装监控设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6、车逻闸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该站点上下游均已布设水位计、闸位计，控制柜配套触摸屏运行正常，能清晰显示水位值、开度值。上下游均安装监控。</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7、车逻洞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该站点现场设备齐全，PLC触摸屏显示的水位、开度数据正常，监控视频可在管理处查看。上游测井存在淤积堵塞问题，无法正常使用；下游布设投入式水位计，该设备已投入使用多年各类设备整体较为陈旧。</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8、南关洞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该站点上下游均已布设水位计、闸位计，控制柜配套触摸屏运行正常，相关监测数据可在现场直观查看。现场虽有水位计，但PLC触摸屏无水位、开度数据显示。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9、周山洞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站点上下游均已布设水位计、闸位计，控制柜配套触摸屏运行正常，能清晰显示水位值、开度值，相关监测数据可在现场直观查看。上下游采用投入式水位计，PLC数据显示正常，但上游水位计被船只撞坏，可能存在数据不准的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10、界首小闸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站点上下游均已布设水位计、闸位计，控制柜配套触摸屏运行正常，能清晰显示水位值、开度值，相关监测数据可在现场直观查看。上下游为浮子式水位计，上游水尺数据不准确，内河已安装监控设备，触摸屏数据显示正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11、子婴闸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该站点上下游均已布设水位计、闸位计，控制柜配套触摸屏运行正常，能清晰显示水位值、开度值，相关监测数据可在现场直观查看。下游设有球机监控，上下游均有水位计，现场设备齐全。</w:t>
      </w:r>
      <w:r/>
    </w:p>
    <w:p>
      <w:pPr>
        <w:pStyle w:val="868"/>
        <w:numPr>
          <w:ilvl w:val="2"/>
          <w:numId w:val="0"/>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（三）宝应县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1、朱马闸、新民闸、大兴洞、八浅洞、泾河洞、泾河小涵洞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6处涵闸目前尚未配备相应自动化设备与水位采集设备，需在本次建设中全新增设自动化控制系统，以实现整体水闸运行的统一智能化管理。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2、总渠进水洞、丰收洞、永安洞、胡成洞、张成洞、郎儿洞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6处涵闸在多期灌区改造项目中已配备自动化设备及水位监测设备，具备现场控制功能，相关监测数据可在现场直观查看。</w:t>
      </w:r>
      <w:r/>
    </w:p>
    <w:p>
      <w:pPr>
        <w:pStyle w:val="87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3、头引河涵闸、跃龙关、跃进洞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3处涵闸现场只有闸门控制柜，无水位监测设备与视频监控。</w:t>
      </w:r>
      <w:r/>
    </w:p>
    <w:p>
      <w:pPr>
        <w:pStyle w:val="867"/>
        <w:numPr>
          <w:ilvl w:val="1"/>
          <w:numId w:val="0"/>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三、项目总体要求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聚焦现场感知设备更新、数据远程传输、中心平台功能集成及现场视频监控设施增设四大核心任务，坚持“实用可靠、技术先进、经济合理、可扩展性强”的原则，全面提升沿运涵闸流量监测能力，实现全域覆盖，强化数据溯源与可视化管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过项目实施，彻底解决现有闸站监测设备老化、缺失、不兼容等问题，实现江都区、高邮市、宝应县沿运涵闸流量监测全域覆盖；构建稳定、高效的数据传输网络，实现监测数据实时采集、远程传输；完成市级中心点平台集成，实现数据标准化推送与共享；增设视频监控设施，强化现场可视化管理，实现水位数据溯源清晰、校核便捷；为水利管理工作提供精准、及时的数据支撑和影像支撑。</w:t>
      </w:r>
      <w:r/>
    </w:p>
    <w:p>
      <w:pPr>
        <w:pStyle w:val="868"/>
        <w:numPr>
          <w:ilvl w:val="2"/>
          <w:numId w:val="0"/>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（一）基础设施建设要求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本项目涉及江都区、高邮市、宝应县，各区域闸站基础条件、设备现状差异显著，施工方须结合各区域实际情况，实施差异化建设，严格按照以下技术要求开展施工，确保建设质量达标。</w:t>
      </w:r>
      <w:r/>
    </w:p>
    <w:p>
      <w:pPr>
        <w:pStyle w:val="86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1.感知及控制设备建设要求</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1.1江都区（4处涵闸）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江都区主要施工内容为新建闸位计3套，自动化监测挂柜1套（昭关闸1套），水位站6套，视频监控点3处。具体技术要求如下：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昭关闸：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1.1.1更新自动化监测柜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保留原有自动化监测柜体结构，不对柜体进行整体更换。针对柜内已连续运行15年、老化失效的电源模块、CPU 模块、输入输出模块、通信模块、继电器、接线端子等关键硬件进行更换、升级与调试，优化柜内布线，完善防雷、抗干扰、散热与防护措施，确保改造后系统运行稳定、数据采集准确、通信可靠，与现场既有设备及市级智慧水利调度平台无缝对接、兼容适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1.1.2建设激光水位站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依托原有旧测井新建激光水位站，该水位站需具备高精度测量能力，测量误差≤±1mm，可实时采集水位数据，具备数据存储、异常报警功能。安装位置需科学合理，便于后期日常维护及设备检修。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1.1.3改造闸位计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对原有闸位计实施全面改造，重点提升测量精度，确保闸位数据采集准确、实时。改造后的闸位计须与自动化监测柜无缝对接，实现闸位数据远程传输，保障数据实时上传、可追溯。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1.1.4实现远程测流功能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通过设备更新与改造，完善昭关闸远程测流体系，流量计算精度须严格符合行业标准。待数据准确性确认后，由水文局重新开展流量率定工作，率定完成后，依据最新流量曲线计算流量，并同步上传至中心点。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1.1.5增设视频监控点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在昭关闸增设1处视频监控点，镜头需对准水尺刻度（如有）或闸门及周边参照物，实时记录涵闸下游水位变化情况，为水位数据校核、异常情况追溯提供坚实影像支撑。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余3处涵闸：闸位计选用高精度产品，安装规范，实现闸位数据实时采集与远程传输，为后续流量监测奠定基础；每处涵闸各增设1处视频监控点，共计3处，按照视频监控统一技术要求安装调试，实现现场可视化监测。</w:t>
      </w:r>
      <w:r/>
    </w:p>
    <w:p>
      <w:pPr>
        <w:ind w:firstLine="420"/>
        <w:spacing w:line="360" w:lineRule="auto"/>
        <w:rPr>
          <w:rFonts w:hint="eastAsia" w:ascii="宋体" w:hAnsi="宋体" w:eastAsia="宋体" w:cs="宋体"/>
          <w:color w:val="auto"/>
          <w:szCs w:val="21"/>
          <w:highlight w:val="none"/>
        </w:rPr>
        <w:outlineLvl w:val="4"/>
      </w:pPr>
      <w:r>
        <w:rPr>
          <w:rFonts w:hint="eastAsia" w:ascii="宋体" w:hAnsi="宋体" w:eastAsia="宋体" w:cs="宋体"/>
          <w:color w:val="auto"/>
          <w:szCs w:val="21"/>
          <w:highlight w:val="none"/>
        </w:rPr>
        <w:t xml:space="preserve">1.2 高邮市（11处涵闸）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高邮市主要施工内容为新建闸位计1套，自动化监测挂柜1套，水位站3套，视频监控点8处；同时对10处闸站开展自动化系统远程测流适应性改造，完成PLC编程、4G远程终端和工业级交换机安装。具体要求如下：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1.2.1涵闸开展自动化适应性改造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合各涵闸现有设备现状，优化设备配置，对老化、损坏的部件进行更换，对不兼容的设备进行调试，确保实现基础自动化监测功能，能够实时采集水位、闸位数据，支持远程传输；对1处八里松洞新建全套监测设施，包括自动化监测挂柜、水位站、闸位计等，确保监测设备齐全、功能完善，实现流量监测、数据传输全流程自动化；所有涵闸改造完成后，确认数据准确，由水文局重新进行流量率定，率定完成后根据最新流量曲线计算流量并上传至中心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1.2.2兼容性</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针对高邮市部分闸站设备协议、接口不兼容的问题，施工方须开展协议转换开发或加装采集单元，确保新建、改造设备与原有设备无缝对接，数据能够正常采集、传输，保障系统兼容性。</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1.2.3视频监控增设</w:t>
      </w:r>
      <w:r/>
    </w:p>
    <w:p>
      <w:pPr>
        <w:pStyle w:val="88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8处涵闸各增设1个视频监控点，共计8处，对于设有水尺的断面，镜头直接对准水尺刻度，为自动采集的水位数据提供直观的视觉比对依据；对于无水尺的断面，则对准闸门及周边参照物，通过拍摄闸门开度及水流形态，为后期数据异常追溯、人工校核提供影像支撑。</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 宝应县（15处涵闸）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宝应县主要施工内容为新建闸位计9套，自动化监测挂柜6套，水位站18套，视频监控点15处（每处涵闸1处）；同时对6处闸站开展自动化系统远程测流适应性改造，完成PLC编程、4G远程终端和工业级交换机安装。具体技术要求如下：</w:t>
      </w:r>
      <w:r/>
    </w:p>
    <w:p>
      <w:pPr>
        <w:pStyle w:val="871"/>
        <w:ind w:left="1150" w:hanging="73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1.3.1分类建设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对9处涵闸新建自动化监</w:t>
      </w:r>
      <w:r>
        <w:rPr>
          <w:rFonts w:hint="eastAsia" w:ascii="宋体" w:hAnsi="宋体" w:eastAsia="宋体" w:cs="宋体"/>
          <w:color w:val="auto"/>
          <w:szCs w:val="21"/>
          <w:highlight w:val="none"/>
        </w:rPr>
        <w:t xml:space="preserve">测挂柜、水位站、闸位计，确保监测设备齐全、功能达标；自动化监测挂柜须按照项目统一标准配置，水位站根据现场供电条件，分为可接电和无法接电两种类型，可接电水位站采用市电供电，无法接电水位站配套太阳能供电系统，确保供电稳定；闸位计选用高精度产品，实现闸位数据精准采集。对6处已建涵闸开展远程测流适应性改造，优化数据采集效率，对原有设备进行调试、升级，确保实现远程测流功能，流量数据采集、传输实时、准确；所有涵闸建设、改造完成后，确认数据准确，由水文局重新进行流量率定，率定完成后根据最新流量曲线计算流量并上传至中心点。</w:t>
      </w:r>
      <w:r/>
    </w:p>
    <w:p>
      <w:pPr>
        <w:pStyle w:val="871"/>
        <w:ind w:left="1150" w:hanging="73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1.3.2视频监控增设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15处涵闸各增设1处视频监控点，共计15处，严格按照视频监控统一技术要求安装，根据现场是否有水尺，合理调整镜头对准方向，确保能够实时记录涵闸下游水位变化、闸门开度及水流形态，为数据校核、异常追溯提供有力支撑；偏远区域视频监控须配套稳定供电设施，确保全天候正常工作。</w:t>
      </w:r>
      <w:r/>
    </w:p>
    <w:p>
      <w:pPr>
        <w:pStyle w:val="868"/>
        <w:numPr>
          <w:ilvl w:val="2"/>
          <w:numId w:val="0"/>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（二）施工要求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为规范项目施工行为，保障施工安全、质量与进度，减少施工对周边环境、原有水利设施及水利运行的影响，结合项目实际，制定本施工要求，投标人须严格遵照执行。</w:t>
      </w:r>
      <w:r/>
    </w:p>
    <w:p>
      <w:pPr>
        <w:pStyle w:val="870"/>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2.1施工组织与现场管理要求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合理规划施工路线，统筹调配施工人员、设备，优化施工流程，提高施工效率；针对作业点位分散的特点，强化现场统筹管理，确保各施工点位质量、安全均达到标准。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施工过程中须严格遵守水利工程施工规范，严控施工质量与安全，确保施工进度符合项目总体要求；做好施工人员安全保障工作，落实安全防护措施，防范安全事故发生。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规范现场施工管理，做好施工设备保护与现场围挡设置，减少施工对周边环境及水利运行的影响；施工结束后，须及时清理施工现场，恢复场地原貌。</w:t>
      </w:r>
      <w:r/>
    </w:p>
    <w:p>
      <w:pPr>
        <w:pStyle w:val="870"/>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2.2视频监控与监测设备施工要求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视频监控点位选择须科学合理，确保拍摄范围全面覆盖目标区域，设备安装牢固、防护到位，有效规避环境干扰，保障监控效果。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视频监控安装须与监测设备改造、施工同步推进、同步调试，确保线路布局合理、防护到位，避免与其他设备相互干扰，实现功能协同联动。</w:t>
      </w:r>
      <w:r/>
    </w:p>
    <w:p>
      <w:pPr>
        <w:pStyle w:val="868"/>
        <w:numPr>
          <w:ilvl w:val="2"/>
          <w:numId w:val="0"/>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（三）专项功能建设要求</w:t>
      </w:r>
      <w:r/>
    </w:p>
    <w:p>
      <w:pPr>
        <w:pStyle w:val="86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3.1数据采集要求</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3.1.1采集范围与对象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覆盖江都区、高邮市、宝应县沿运河30个涵闸全部监测点位，采集对象包含各涵闸水位、闸门开度的监测数据。</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3.1.2设备适配与接入要求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支持多品牌、多型号自动化监测设备（水位计、闸位计、PLC 控制柜等）的无缝接入，适配江都区、高邮市、宝应县现有及新建的各类监测设备，包括老旧设备、不同协议标准设备，解决设备协议不兼容、品牌差异等对接问题。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针对高邮市 10 处、宝应县 6 处涵闸已建 PLC 系统，在无损接入前提下完成采集设备对接，不影响现场PLC系统正常运行，对程序加密、无点位表的设备，需通过技术手段破解或现场实测获取点位信息，确保数据采集通道畅通。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采集设备均选用工业级产品，具备抗干扰、防雷击、适应户外高温、潮湿或暴雨等恶劣环境的能力，与项目整体系统兼容，采集精度符合行业标准（如激光水位站测量误差≤±1mm）。</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3.1.3采集功能与精度要求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采集频率不低于每 5 分钟 1 次，且可根据防汛抗旱、日常调度等实际需求灵活配置，汛期等特殊时段支持调增至更高采集频率，保障数据更新的实时性。</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不同区域涵闸差异化现状，制定分级采集策略：对新建自动化设备的涵闸实现全参数自动采集；对改造升级的涵闸优化采集逻辑，提升数据采集效率；对偏远无市电涵闸，配合太阳能供电系统实现采集设备低功耗、不间断采集。</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3.1.4采集过程管理要求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实现采集过程全日志记录，记录每一次数据采集的时间、设备编号、采集数值等信息，日志数据可追溯、可查询，便于后期故障排查、数据核验。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具备设备状态实时监测功能，采集数据的同时同步监测采集设备、传输设备的运行状态（正常、离线、故障），设备出现异常时自动触发平台报警，及时提醒运维人员处理，避免采集中断。</w:t>
      </w:r>
      <w:r/>
    </w:p>
    <w:p>
      <w:pPr>
        <w:pStyle w:val="86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3.2数据传输与共享要求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针对数据传输共享标准高、部分区域信号覆盖不确定</w:t>
      </w:r>
      <w:r>
        <w:rPr>
          <w:rFonts w:hint="eastAsia" w:ascii="宋体" w:hAnsi="宋体" w:eastAsia="宋体" w:cs="宋体"/>
          <w:color w:val="auto"/>
          <w:szCs w:val="21"/>
          <w:highlight w:val="none"/>
        </w:rPr>
        <w:t xml:space="preserve">，且需传输视频影像的问题，施工方须满足以下技术要求：一是严格按照水利行业数据传输标准，规范数据格式、传输协议，确保数据传输标准化、规范化；二是对物联专网进行全面优化，提升带宽容量，针对偏僻区域信号覆盖问题，进行现场勘察，按需加装天线或更换高成本通信方式；三是加强数据传输安全防护，采用加密传输、身份认证等技术，防止数据及视频影像泄露、篡改、丢失；四是按照《数字孪生流域共建共享管理办法（试行）》要求，统一结构化数据接口标准与非结构化数据格式，实现与“智慧水利中心”平台及其他水利管理系统的数据共享，确保数据互通。</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3.2.1物联专网建设要求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构建稳定、安全的物联专网，覆盖江都区、高邮市、宝应县所有监测涵闸，实现监测数据实时传输；专网须具备高带宽、低延迟、高可靠性，支持多终端接入，具备网络安全防护功能，防止数据泄露、篡改；针对部分偏僻区域物联网卡信号覆盖不确定的问题，施工方须进行现场勘察，按需加装天线或更换高成本通信方式，确保专网信号全覆盖、传输稳定，满足视频影像高清传输需求。</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3.2.2数据推送开发要求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开发高效的数据推送服务，实现对各区域涵闸监测数据（水位、流量、闸位开度等）及视频监控影像的实时采集、汇总、处理；数据推送须符合《水利监测数据传输规约第1部分：总则》（SL/T 812.1-2021）要求，实现向现有“智慧水利中心”平台或指定服务器的标准化推送，推送频率不低于每五分钟1次，确保数据实时性；开发的数据同步程序须采用稳定的传输协议和异常处理机制，具备平台报文解析、数据校核、数据推送等功能，确保数据推送的可靠性和一致性，实现数据及视频影像在GIS一张图系统中集成显示。</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3.2.3接口开发要求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为后续业务应用提供统一数据接口，接口设计须遵循《水利数据目录服务规范》（SL/T 799-2020）、《水利空间数据交换协议》（SL/T 797-2020）标准，具备开放性和可扩展性，支持与其他水利管理系统对接；接口须具备数据加密、身份认证功能，确保数据及视频影像传输安全；同时，对数据库结构、推送服务器接口做前瞻性冗余与开放性设计，兼顾当下需求与未来拓展。</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3.2.4平台稳定性要求</w:t>
      </w:r>
      <w:r/>
    </w:p>
    <w:p>
      <w:pPr>
        <w:pStyle w:val="111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数据采集与推送服务须具备高稳定性，支持7×24小时不间断运行；平台数据库须采用稳定、高效的数据库管理系统。</w:t>
      </w:r>
      <w:r/>
    </w:p>
    <w:p>
      <w:pPr>
        <w:pStyle w:val="86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PLC对接与数据融合要求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针对PLC对接过程中存在的多品牌、多协议适配，部分设备程序加密的实际现状，施工单位须严格落实以下技术措施，确保各项工作规范有序推进、达到预期标准。</w:t>
      </w:r>
      <w:r/>
    </w:p>
    <w:p>
      <w:pPr>
        <w:pStyle w:val="960"/>
        <w:ind w:left="0"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多品牌、多协议PLC设备，开发适配的对接程序，有效解决协议不兼容问题，保障设备间互联互通；对程序加密、无点位表的设备，通过合规技术手段破解或现场实测校验等方式，精准获取点位信息，确保对接工作顺利开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在不影响现场PLC系统正常运行的前提下，规范接入数据采集设备，全面排查接入过程中可能出现的干扰问题，及时整改优化，确保PLC系统及采集设备稳定运行、无异常波动。</w:t>
      </w:r>
      <w:r>
        <w:rPr>
          <w:rFonts w:hint="eastAsia" w:ascii="宋体" w:hAnsi="宋体" w:eastAsia="宋体" w:cs="宋体"/>
          <w:b/>
          <w:bCs/>
          <w:i/>
          <w:iCs/>
          <w:color w:val="auto"/>
          <w:szCs w:val="21"/>
          <w:highlight w:val="none"/>
          <w:u w:val="single"/>
        </w:rPr>
        <w:t xml:space="preserve">本次项目新建 PLC 处理器须满足项目整体数据采集架构要求，支持原生工业实时以太网协议，具备完善的开放式通信机制，可直接与平台侧采集服务建立稳定连接，无需额外加装协议转换模块，便于平台统一解析、采集与存储，保证数据交互的一致性与兼容性，实现统一协议对接、数据格式兼容、稳定上传交互，确保全站采集数据规范一致、无缝接入平台。（须提供承诺书，并加盖投标人公章，扫描上传）</w:t>
      </w:r>
      <w:r/>
    </w:p>
    <w:p>
      <w:pPr>
        <w:pStyle w:val="960"/>
        <w:ind w:left="0"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对新旧传感数据进行全面交叉校准，确保视频监控数据与PLC传感数据融合规范、成果可靠，满足后续应用需求。</w:t>
      </w:r>
      <w:r/>
    </w:p>
    <w:p>
      <w:pPr>
        <w:pStyle w:val="960"/>
        <w:ind w:left="0"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16处站点（其中高邮市10处、宝应县6处）实施自动化系统远程测流适应性改造，严格按照相关标准要求，完成PLC编程、4G远程终端及工业级交换机的安装调试工作，确保改造后远程测流功能正常实现，系统运行稳定。</w:t>
      </w:r>
      <w:r/>
    </w:p>
    <w:p>
      <w:pPr>
        <w:pStyle w:val="86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3.4推送软件要求</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3.4.1数据采集与传输软件要求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发适配各类自动化监测设备（含水位计、流量计、闸位计等）的专用采集软件，具备良好的设备兼容性和适配性，可精准、实时采集宝应县、高邮市、江都区沿运30处涵闸的水位、流量、闸门开度三类核心监测数据，支持多品牌、多型号监测设备同步接入，实现多参数并行采集。采集过程中需嵌入数据预处理功能，对采集到的原始数据进行初步校验，剔除异常无效数据，确保数据采集的全面性、实时性和准确性；采集频率可根据防汛抗旱、日常调度等实际需求灵活配置，每5分钟采集1次，保障数据更新及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搭建稳定高效、安全可控的数据传输通道，依托政务专网、4G/5G无线网络等多种可靠网络资源，实现采集数据向智慧水利调度中心平台的安全、快速传输。嵌入数据加密传输机制，采用AES加密算法对传输数据进行全程加密处理，防止数据在传输过程中被窃取、篡改；具备断点续传、抗干扰、数据重传等能力.针对网络波动导致的数据传输失败问题，可自动触发重传机制，杜绝数据丢失、泄露或传输延迟，保障数据传输的安全性、可靠性和及时性，确保调度中心能够实时获取现场监测数据。</w:t>
      </w:r>
      <w:r/>
    </w:p>
    <w:p>
      <w:pPr>
        <w:pStyle w:val="870"/>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3.4.2数据处理要求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发高效、稳定、可扩展的数据同步程序，支持多源监测数据（含现场采集数据、第三方平台共享数据等）实时推送至“智慧水利中心”平台数据库，确保数据来源全面。程序需采用行业通用的稳定传输协议（如MQTT、HTTPs等），保障数据同步的稳定性。</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现监测数据实时更新，优化数据同步链路，将平台数据库数据与现场实际数据的同步延迟时间控制在5分钟以内，确保数据的时效性；将所有监测数据（水位、流量、闸门开度等）在GIS一张图系统中集成显示，精准标注30个涵闸的地理位置、设备分布情况，清晰呈现各涵闸实时监测数据、历史数据趋势、设备运行状态（正常、异常、离线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软件部分建设需严格遵循《水利信息化标准体系》《智慧水利建设指南》等水利行业相关标准规范，确保软件功能、数据格式、接口规范与现有智慧水利调度中心平台、GIS系统、移动APP等系统兼容互通，避免出现系统脱节、数据无法共享等问题。同时，软件需具备良好的扩展性、可维护性和安全性，预留后续功能升级、设备扩容接口，支持新增监测点位、监测参数的快速接入；建立完善的软件运维机制，支持远程运维、故障排查，确保软件长期稳定运行，满足后续水利信息化建设持续升级需求。</w:t>
      </w:r>
      <w:r/>
    </w:p>
    <w:p>
      <w:pPr>
        <w:pStyle w:val="86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3.5流量计算要求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流量数据采用流量查算表进行计算，鉴于流量查算表年代久远，流量数据失准。为确保宝应县、高邮市、江都区沿运河30处涵闸流量数据的准确性、规范性和权威性，为防汛抗旱、水资源调度及应急决策提供可靠的流量数据支撑，结合水利监测工作实际，现就流量相关需求明确如下，规范流量率定、查算、计算及数据推送全流程，保障流量数据精准可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严格按照经确认的水位流量关系曲线，结合沿运河30处涵闸自动化监测设备采集的实时水位、闸门开度数据，开展流量计算工作。开发专用的流量计算模块，嵌入查算表核心逻辑，实现流量自动计算，并将计算数据与实际数据做对比，确保数据准确性；同时，记录每一次流量计算的相关信息（如计算时间、输入参数、计算结果等），形成计算日志，便于后续核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流量计算完成后，需通过专用数据传输通道，将计算得出的实时流量数据精准、及时推送至“智慧水利中心”平台数据库，推送过程需遵循前文明确的数据传输标准，采用稳定的传输协议（如MQTT、HTTPs等），嵌入数据加密、断点续传、异常处理等功能，确保流量数据推送的安全性、可靠性和及时性，杜绝数据丢失、篡改或推送延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为确保运河沿线30处站点流量监测数据长期稳定、连续准确、可追溯，中标人须提供全周期流量持续性校准服务。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校准范围：覆盖所有</w:t>
      </w:r>
      <w:r>
        <w:rPr>
          <w:rFonts w:hint="eastAsia" w:ascii="宋体" w:hAnsi="宋体" w:eastAsia="宋体" w:cs="宋体"/>
          <w:color w:val="auto"/>
          <w:szCs w:val="21"/>
          <w:highlight w:val="none"/>
          <w:lang w:eastAsia="zh-CN"/>
        </w:rPr>
        <w:t xml:space="preserve">涵闸</w:t>
      </w:r>
      <w:r>
        <w:rPr>
          <w:rFonts w:hint="eastAsia" w:ascii="宋体" w:hAnsi="宋体" w:eastAsia="宋体" w:cs="宋体"/>
          <w:color w:val="auto"/>
          <w:szCs w:val="21"/>
          <w:highlight w:val="none"/>
        </w:rPr>
        <w:t xml:space="preserve">流量计算单元及数据采集传输设备，确保流量监测精度可控。</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校准机制：实行季度常规校准、汛期专项校准、年度全面复核三级校准制度；出现数据漂移、异常波动、设备更换后，须24小时内启动应急校准。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校准内容：开展现场水位比对、闸位精度校验、流量关系曲线复核、数据传输延迟修正；同步配合水文部门完成流量率定及曲线动态更新。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成果要求：每次校准形成完整记录，包含校准时间、点位、数据、偏差、处理措施、责任人，建立电子台账，实现校准全过程可查、可验、可追溯。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服务保障：校准期间不得中断</w:t>
      </w:r>
      <w:r>
        <w:rPr>
          <w:rFonts w:hint="eastAsia" w:ascii="宋体" w:hAnsi="宋体" w:eastAsia="宋体" w:cs="宋体"/>
          <w:color w:val="auto"/>
          <w:szCs w:val="21"/>
          <w:highlight w:val="none"/>
          <w:lang w:eastAsia="zh-CN"/>
        </w:rPr>
        <w:t xml:space="preserve">涵闸</w:t>
      </w:r>
      <w:r>
        <w:rPr>
          <w:rFonts w:hint="eastAsia" w:ascii="宋体" w:hAnsi="宋体" w:eastAsia="宋体" w:cs="宋体"/>
          <w:color w:val="auto"/>
          <w:szCs w:val="21"/>
          <w:highlight w:val="none"/>
        </w:rPr>
        <w:t xml:space="preserve">正常监测与数据上传，确保流量数据连续不间断、精准不失真。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推送至数据库的流量数据，需与水位、闸门开度等其他监测数据实现联动，同步更新至GIS一张图系统及移动APP端，支持工作人员实时调阅、查询、分析，为区域防汛抗旱指挥、水资源优化调度、涵闸运行管理及应急处置决策提供精准、可靠的流量数据支撑，进一步提升智慧水利调度管理的精细化、科学化水平。</w:t>
      </w:r>
      <w:r/>
    </w:p>
    <w:p>
      <w:pPr>
        <w:pStyle w:val="869"/>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3.6水位校准要求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确保本项目江都、高邮、宝应各区域涵闸水位数据采集的准确性、可靠性，保障后续流量计算、远程监测及系统运行质量，投标人须严格按照以下要求开展水位校准相关工作，全面落实校准责任，规范校准流程，确保校准成果符合项目标准及相关规范。</w:t>
      </w:r>
      <w:r/>
    </w:p>
    <w:p>
      <w:pPr>
        <w:pStyle w:val="870"/>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3.6.1校准范围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水位校准覆盖本项目所有监测站点，涵盖现场所有已安装水位计（含各类传感式水位计），包括新建安装设备及原有在用设备，确保无遗漏、无死角，全面覆盖涵闸上下游监测断面及关键水位监测点位。</w:t>
      </w:r>
      <w:r/>
    </w:p>
    <w:p>
      <w:pPr>
        <w:pStyle w:val="870"/>
        <w:ind w:firstLine="422"/>
        <w:spacing w:before="0" w:after="0"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3.6.2校准标准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严格遵循国家及行业相关规范，结合本项目涵闸监测实际需求，明确水位校准精度须达到±1mm，校准误差不得超出设备出厂标准及项目设计要求。</w:t>
      </w:r>
      <w:r/>
    </w:p>
    <w:p>
      <w:pPr>
        <w:pStyle w:val="870"/>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3.6.3校准流程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1、校准准备：投标人须提前制定详细的校准作业计划，明确各站点校准时间、校准人员、校准设备、作业流程及安全保障措施。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现场校准：校准人员须抵达各涵闸现场，对照水位计安装位置示意图，采用标准水位尺与现场水位计进行比对校准，详细记录校准数据、环境参数（如气温、湿度、水流工况）及校准过程；针对校准偏差超出允许范围的设备，须及时进行调试、校准，直至符合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3、数据整理：校准完成后，对校准数据进行分类整理，形成校准记录台账，明确每台水位计的校准日期、校准结果、偏差数值、调试情况及校准人员签字，同步绘制校准数据对比分析图表，直观呈现校准效果。</w:t>
      </w:r>
      <w:r/>
    </w:p>
    <w:p>
      <w:pPr>
        <w:pStyle w:val="870"/>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3.6.4校准周期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制定常态化校准计划，明确日常校准与定期校准要求：日常校准须在水位计安装调试完成后、正式投入使用前开展1次全面校准；定期校准按季度开展1次，每年开展1次全面复核校准；遇汛期、极端天气（如暴雨、高温）或水位数据出现异常波动时，须及时开展临时校准，确保水位数据持续准确。</w:t>
      </w:r>
      <w:r/>
    </w:p>
    <w:p>
      <w:pPr>
        <w:pStyle w:val="867"/>
        <w:numPr>
          <w:ilvl w:val="1"/>
          <w:numId w:val="0"/>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四、其他要求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工期3个月；质保（服务）期2年，自项目验收合格之日起计。投标人须提供7×24小时应急响应服务，接到设备故障、系统异常、视频故障等报修信息后，须在2小时内响应，4小时给出解决方案，如需要至现场处理须24小时内到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人提供产品必须确保全新、随货提供出厂产品合格证、质保书和产品使用说明书等相关资料，产品质量和各种技术指标，经验收达不到规范要求、招标文件要求和响应文件承诺的，必须更换设备，并按国家有关规定进行处罚，直至赔偿采购人的一切损失。如发现使用假冒伪劣产品、三无产品、翻新产品，一经查实，立即终止合同，所有款项一律不付、不退，并将来货封存，交由质量监督部门处理，并按其处罚意见，处以罚款。</w:t>
      </w:r>
      <w:r/>
    </w:p>
    <w:p>
      <w:pPr>
        <w:pStyle w:val="127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3、验收标准：项目实施完成后，设备安装调试完毕后并交付使用后方可申请验收。中标人应按招标人验收管理要求提供的相关验收文档。如不符合要求，将按国家相关法律法规对中标人进行处理。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项目建设完毕后，中标人应为甲方技术人员提供免费技术培训，培训内容包括设备操作、系统维护、数据校准、流量率定配合、视频监控操作、故障处理等，确保甲方技术人员能够独立完成设备操作、日常维护及简单故障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5、现场调试及现场联调，中标人应针对水位数据校准、流量计算、</w:t>
      </w:r>
      <w:r>
        <w:rPr>
          <w:rFonts w:hint="eastAsia" w:ascii="宋体" w:hAnsi="宋体" w:eastAsia="宋体" w:cs="宋体"/>
          <w:color w:val="auto"/>
          <w:szCs w:val="21"/>
          <w:highlight w:val="none"/>
        </w:rPr>
        <w:t xml:space="preserve">PLC对接、视频监控角度校准等关键环节，开展现场调试，确保数据校准准确、流量计算精准、PLC对接顺畅、视频监控拍摄范围达标；现场调试过程中，须邀请甲方技术人员全程参与，及时解决调试过程中出现的问题；配合水文局完成流量率定工作，确保流量数据准确上传。单机调试合格后，需开展系统联调，测试设备之间的对接情况、数据及视频影像传输情况等；包括重点测试数据采集、传输、推送的实时性、准确性，PLC对接与数据融合的稳定性，平台接口的兼容性，视频影像的实时预览、历史回放功能等；系统联调合格后，填写系统联调报告，提交甲方审核。</w:t>
      </w:r>
      <w:r/>
    </w:p>
    <w:p>
      <w:pPr>
        <w:pStyle w:val="867"/>
        <w:numPr>
          <w:ilvl w:val="1"/>
          <w:numId w:val="0"/>
        </w:numPr>
        <w:ind w:firstLine="422"/>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五、采购清单</w:t>
      </w:r>
      <w:r/>
    </w:p>
    <w:tbl>
      <w:tblPr>
        <w:tblStyle w:val="876"/>
        <w:tblW w:w="50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039"/>
        <w:gridCol w:w="5145"/>
        <w:gridCol w:w="368"/>
        <w:gridCol w:w="531"/>
      </w:tblGrid>
      <w:tr>
        <w:trPr>
          <w:trHeight w:val="480"/>
        </w:trPr>
        <w:tc>
          <w:tcPr>
            <w:tcW w:w="303" w:type="pct"/>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序号</w:t>
            </w:r>
            <w:r/>
          </w:p>
        </w:tc>
        <w:tc>
          <w:tcPr>
            <w:tcW w:w="1185" w:type="pct"/>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项目名称</w:t>
            </w:r>
            <w:r/>
          </w:p>
        </w:tc>
        <w:tc>
          <w:tcPr>
            <w:tcW w:w="2990" w:type="pct"/>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规格参数</w:t>
            </w:r>
            <w:r/>
          </w:p>
        </w:tc>
        <w:tc>
          <w:tcPr>
            <w:tcW w:w="214" w:type="pct"/>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单位</w:t>
            </w:r>
            <w:r/>
          </w:p>
        </w:tc>
        <w:tc>
          <w:tcPr>
            <w:tcW w:w="306" w:type="pct"/>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数量</w:t>
            </w:r>
            <w:r/>
          </w:p>
        </w:tc>
      </w:tr>
      <w:tr>
        <w:trPr>
          <w:trHeight w:val="90"/>
        </w:trPr>
        <w:tc>
          <w:tcPr>
            <w:tcW w:w="303" w:type="pct"/>
            <w:vAlign w:val="center"/>
            <w:textDirection w:val="lrTb"/>
            <w:noWrap w:val="false"/>
          </w:tcPr>
          <w:p>
            <w:pPr>
              <w:jc w:val="center"/>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一、</w:t>
            </w:r>
            <w:r/>
          </w:p>
        </w:tc>
        <w:tc>
          <w:tcPr>
            <w:gridSpan w:val="4"/>
            <w:tcW w:w="4696" w:type="pct"/>
            <w:vAlign w:val="center"/>
            <w:textDirection w:val="lrTb"/>
            <w:noWrap w:val="false"/>
          </w:tcPr>
          <w:p>
            <w:pPr>
              <w:jc w:val="left"/>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rPr>
              <w:t xml:space="preserve">江都区流量监测设备</w:t>
            </w:r>
            <w:r/>
          </w:p>
        </w:tc>
      </w:tr>
      <w:tr>
        <w:trPr>
          <w:trHeight w:val="27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自动化监测柜更新（江都昭关闸）</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输出电压：24 V DC（稳定，防开路保护）</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6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CPU模块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工作存储器：100 KB</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装载存储器：2 MB（内置）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存储卡扩展：支持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位运算速度：0.08 µs/指令</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高速计数器：6 个（最高 100 kHz）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脉冲输出：支持 PTO/PWM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PROFINET：2 × RJ45（100 Mbit/s）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扩展通信：最多 3 个通信模块（CM）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信号模块（SM）：最多 8 个</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信号板（SB）：1 个</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 I/O 点数：2048 点</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4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数字量输入模块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类型：漏型/源型（IEC 1类漏型）</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滤波时间：0.2,0.4,0.8,1.6,3.2,6.4,和128Ms</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数字量输出模块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类型：固态-MOSFET</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电流：0.5A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开关延时：断开到接通最长50us接通到断开最长200us</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模拟量输入模块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类型：电压或电流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范围:±10V、±5V、±2.5V或0-20mA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精度：12位+符号位</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RTD模块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类型：模块参考接地热电阻</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范围;Pt、Cu、Ni、LG-Ni或电阻</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精度：0.1℃\0.1℉，15位+符号位</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110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终端继电器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输出通道数：≥32路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继电器类型：</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14路：常开触点（Form A，NO）</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2路：转换触点（Form C，NO/NC）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触点容量：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阻性负载：2A @ 30VDC / 125VAC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最小负载：10mA @ 5VDC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最大输出电流：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每通道：1A（连续）</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每模块：16A（总和，25°C）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高温降额：60°C时每通道0.8A，8通道同时工作</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w:t>
            </w:r>
            <w:r/>
          </w:p>
        </w:tc>
      </w:tr>
      <w:tr>
        <w:trPr>
          <w:trHeight w:val="4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机柜及附件</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不低于800×600×2200mm机柜，包括可编程控制器配件、接线端子、钢化玻璃门、开关电源、按钮、信号灯、加热器以及其他附件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　</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52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工业级交换机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Style w:val="1155"/>
                <w:rFonts w:hint="eastAsia" w:ascii="宋体" w:hAnsi="宋体" w:eastAsia="宋体" w:cs="宋体"/>
                <w:color w:val="auto"/>
                <w:szCs w:val="21"/>
                <w:highlight w:val="none"/>
                <w:lang w:bidi="ar"/>
              </w:rPr>
              <w:t xml:space="preserve">★背板带宽检验 ：换机背板带宽≥20Gbps；包转发率 ≥11.904Mpps </w:t>
            </w:r>
            <w:r>
              <w:rPr>
                <w:rStyle w:val="1170"/>
                <w:rFonts w:hint="eastAsia" w:ascii="宋体" w:hAnsi="宋体" w:eastAsia="宋体" w:cs="宋体"/>
                <w:b/>
                <w:bCs/>
                <w:color w:val="auto"/>
                <w:szCs w:val="21"/>
                <w:highlight w:val="none"/>
                <w:lang w:bidi="ar"/>
              </w:rPr>
              <w:t xml:space="preserve">（需提供CMA认证的机构出具的检测报告，并加盖投标人公章，扫描上传）</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单端口包转发率 ≥1Mpps </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单端口吞吐量 ≥2000Mbps</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平均时延 ≤3.5μs 3.2μs </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★丢包率 0% 符合要求</w:t>
            </w:r>
            <w:r>
              <w:rPr>
                <w:rStyle w:val="1170"/>
                <w:rFonts w:hint="eastAsia" w:ascii="宋体" w:hAnsi="宋体" w:eastAsia="宋体" w:cs="宋体"/>
                <w:b/>
                <w:bCs/>
                <w:color w:val="auto"/>
                <w:szCs w:val="21"/>
                <w:highlight w:val="none"/>
                <w:lang w:bidi="ar"/>
              </w:rPr>
              <w:t xml:space="preserve">（需提供CMA认证的机构出具的检测报告，并加盖投标人公章，扫描上传） </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★工作温度 -40℃ ~ +85℃ </w:t>
            </w:r>
            <w:r>
              <w:rPr>
                <w:rStyle w:val="1170"/>
                <w:rFonts w:hint="eastAsia" w:ascii="宋体" w:hAnsi="宋体" w:eastAsia="宋体" w:cs="宋体"/>
                <w:b/>
                <w:bCs/>
                <w:color w:val="auto"/>
                <w:szCs w:val="21"/>
                <w:highlight w:val="none"/>
                <w:lang w:bidi="ar"/>
              </w:rPr>
              <w:t xml:space="preserve">（需提供CMA认证的机构出具的检测报告，并加盖投标人公章，扫描上传）</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存储湿度 40℃/5%-96%RH </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低气压 70KPa</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冗余电源 DC12~57V双冗余 </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抗电强度 4KVAC/3min </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防雷击/浪涌保护</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静电放电 ±8kV</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绝缘电阻 ≥200MΩ（常温）</w:t>
            </w:r>
            <w:r>
              <w:rPr>
                <w:rStyle w:val="1155"/>
                <w:rFonts w:hint="eastAsia" w:ascii="宋体" w:hAnsi="宋体" w:eastAsia="宋体" w:cs="宋体"/>
                <w:color w:val="auto"/>
                <w:szCs w:val="21"/>
                <w:highlight w:val="none"/>
                <w:lang w:bidi="ar"/>
              </w:rPr>
              <w:br/>
            </w:r>
            <w:r>
              <w:rPr>
                <w:rStyle w:val="1155"/>
                <w:rFonts w:hint="eastAsia" w:ascii="宋体" w:hAnsi="宋体" w:eastAsia="宋体" w:cs="宋体"/>
                <w:color w:val="auto"/>
                <w:szCs w:val="21"/>
                <w:highlight w:val="none"/>
                <w:lang w:bidi="ar"/>
              </w:rPr>
              <w:t xml:space="preserve">端口检测： 交换机采用模块化接口设计，可自由选择光口及电口数量，</w:t>
            </w:r>
            <w:r>
              <w:rPr>
                <w:rStyle w:val="1155"/>
                <w:rFonts w:hint="eastAsia" w:ascii="宋体" w:hAnsi="宋体" w:eastAsia="宋体" w:cs="宋体"/>
                <w:b/>
                <w:bCs/>
                <w:color w:val="auto"/>
                <w:szCs w:val="21"/>
                <w:highlight w:val="none"/>
                <w:lang w:bidi="ar"/>
              </w:rPr>
              <w:br/>
            </w:r>
            <w:r>
              <w:rPr>
                <w:rStyle w:val="1155"/>
                <w:rFonts w:hint="eastAsia" w:ascii="宋体" w:hAnsi="宋体" w:eastAsia="宋体" w:cs="宋体"/>
                <w:color w:val="auto"/>
                <w:szCs w:val="21"/>
                <w:highlight w:val="none"/>
                <w:lang w:bidi="ar"/>
              </w:rPr>
              <w:t xml:space="preserve">单机单端口吞吐量检验：10/100/1000M自适应RJ45 网络接口</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1.10</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4G远程终端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支持同时与3个PLC通讯，上传流量，水位，闸位等数据，支持APN网络，Modbus TCP、OPC UA等协议，并与平台方对接测试，避免现场联调时出现协议不匹配，并支持LORA远程模块，与智能采集终端通讯。</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1.11</w:t>
            </w:r>
            <w:r/>
          </w:p>
        </w:tc>
        <w:tc>
          <w:tcPr>
            <w:tcW w:w="1185" w:type="pct"/>
            <w:vAlign w:val="center"/>
            <w:textDirection w:val="lrTb"/>
            <w:noWrap/>
          </w:tcPr>
          <w:p>
            <w:pPr>
              <w:ind w:firstLine="84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辅材</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配套辅材</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系统集成服务</w:t>
            </w:r>
            <w:r/>
          </w:p>
        </w:tc>
        <w:tc>
          <w:tcPr>
            <w:tcW w:w="2990"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提供配套系统集成服务（安装调试）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激光水位站（昭关闸上下游）</w:t>
            </w:r>
            <w:r/>
          </w:p>
        </w:tc>
      </w:tr>
      <w:tr>
        <w:trPr>
          <w:trHeight w:val="4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激光水位传感器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精度：+/-3mm,量程：0.2-30M,水位上报间隔：5分钟（可定制）,RS485,包含固定用安装配件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智能采集终端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Arm9芯片、支持本地存储、支持4G/5G物联网模块、RJ45网口（支持TCP/IP协议、IP地址自定义）、嵌入式linux系统开发环境、支持modbus tcp及modbus rtu协议。</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国标纯铜，RVVP4*0.75</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国标纯铜，RVV2*1.0</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不锈钢浮子</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直径50cm</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胶体蓄电池(换新)</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化学类型：胶体蓄电池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电压：DC12V</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容量：55AH</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太阳能充电保护器(换新)</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12V/24V自动识别系统电压，最大充放电电流10A。具有过充、过放、过载保护以及电子短路保护与防反接保护。</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无线传输终端</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采用罗拉芯片组网通信</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2.9</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37"/>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雷达水位站（玉带洞上下游）</w:t>
            </w:r>
            <w:r/>
          </w:p>
        </w:tc>
      </w:tr>
      <w:tr>
        <w:trPr>
          <w:trHeight w:val="38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雷达水位传感器</w:t>
            </w:r>
            <w:r/>
          </w:p>
        </w:tc>
        <w:tc>
          <w:tcPr>
            <w:tcW w:w="2990" w:type="pct"/>
            <w:vAlign w:val="center"/>
            <w:textDirection w:val="lrTb"/>
            <w:noWrap w:val="false"/>
          </w:tcPr>
          <w:p>
            <w:pPr>
              <w:jc w:val="left"/>
              <w:widowControl/>
              <w:rPr>
                <w:rStyle w:val="1170"/>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发射频率 76GHz~81GHz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测量范围 0.1 m ~30m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测量精度 ±1mm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波束角 6°</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天线类型 透镜天线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推荐线缆 7*0.3mm²</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w:t>
            </w:r>
            <w:r>
              <w:rPr>
                <w:rStyle w:val="1170"/>
                <w:rFonts w:hint="eastAsia" w:ascii="宋体" w:hAnsi="宋体" w:eastAsia="宋体" w:cs="宋体"/>
                <w:color w:val="auto"/>
                <w:szCs w:val="21"/>
                <w:highlight w:val="none"/>
                <w:lang w:bidi="ar"/>
              </w:rPr>
              <w:t xml:space="preserve">防护等级 IP68</w:t>
            </w:r>
            <w:r>
              <w:rPr>
                <w:rStyle w:val="1170"/>
                <w:rFonts w:hint="eastAsia" w:ascii="宋体" w:hAnsi="宋体" w:eastAsia="宋体" w:cs="宋体"/>
                <w:b/>
                <w:bCs/>
                <w:color w:val="auto"/>
                <w:szCs w:val="21"/>
                <w:highlight w:val="none"/>
                <w:lang w:bidi="ar"/>
              </w:rPr>
              <w:t xml:space="preserve">（需提供CMA认证的机构出具的检测报告，并加盖投标人公章，扫描上传）</w:t>
            </w:r>
            <w:r/>
          </w:p>
          <w:p>
            <w:pPr>
              <w:jc w:val="left"/>
              <w:widowControl/>
              <w:rPr>
                <w:rStyle w:val="1170"/>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供电范围 3.6~5 VDC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通讯方式 TTL/NB/485</w:t>
            </w:r>
            <w:r>
              <w:rPr>
                <w:rStyle w:val="1170"/>
                <w:rFonts w:hint="eastAsia" w:ascii="宋体" w:hAnsi="宋体" w:eastAsia="宋体" w:cs="宋体"/>
                <w:color w:val="auto"/>
                <w:szCs w:val="21"/>
                <w:highlight w:val="none"/>
                <w:lang w:bidi="ar"/>
              </w:rPr>
              <w:br/>
            </w:r>
            <w:r>
              <w:rPr>
                <w:rStyle w:val="1170"/>
                <w:rFonts w:hint="eastAsia" w:ascii="宋体" w:hAnsi="宋体" w:eastAsia="宋体" w:cs="宋体"/>
                <w:color w:val="auto"/>
                <w:szCs w:val="21"/>
                <w:highlight w:val="none"/>
                <w:lang w:bidi="ar"/>
              </w:rPr>
              <w:t xml:space="preserve">★支持485传输信号</w:t>
            </w:r>
            <w:r>
              <w:rPr>
                <w:rStyle w:val="1170"/>
                <w:rFonts w:hint="eastAsia" w:ascii="宋体" w:hAnsi="宋体" w:eastAsia="宋体" w:cs="宋体"/>
                <w:b/>
                <w:bCs/>
                <w:color w:val="auto"/>
                <w:szCs w:val="21"/>
                <w:highlight w:val="none"/>
                <w:lang w:bidi="ar"/>
              </w:rPr>
              <w:t xml:space="preserve">（需提供CMA认证的机构出具的检测报告，并加盖投标人公章，扫描上传）</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工作温度 -40~85℃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外壳材质 铝合金</w:t>
            </w:r>
            <w:r>
              <w:rPr>
                <w:rStyle w:val="1170"/>
                <w:rFonts w:hint="eastAsia" w:ascii="宋体" w:hAnsi="宋体" w:eastAsia="宋体" w:cs="宋体"/>
                <w:color w:val="auto"/>
                <w:szCs w:val="21"/>
                <w:highlight w:val="none"/>
                <w:lang w:bidi="ar"/>
              </w:rPr>
              <w:br/>
            </w:r>
            <w:r>
              <w:rPr>
                <w:rStyle w:val="1170"/>
                <w:rFonts w:hint="eastAsia" w:ascii="宋体" w:hAnsi="宋体" w:eastAsia="宋体" w:cs="宋体"/>
                <w:color w:val="auto"/>
                <w:szCs w:val="21"/>
                <w:highlight w:val="none"/>
                <w:lang w:bidi="ar"/>
              </w:rPr>
              <w:t xml:space="preserve">★防浪涌，抗干扰</w:t>
            </w:r>
            <w:r>
              <w:rPr>
                <w:rStyle w:val="1170"/>
                <w:rFonts w:hint="eastAsia" w:ascii="宋体" w:hAnsi="宋体" w:eastAsia="宋体" w:cs="宋体"/>
                <w:b/>
                <w:bCs/>
                <w:color w:val="auto"/>
                <w:szCs w:val="21"/>
                <w:highlight w:val="none"/>
                <w:lang w:bidi="ar"/>
              </w:rPr>
              <w:t xml:space="preserve">（需提供CMA认证的机构出具的检测报告，并加盖投标人公章，扫描上传）</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防水控制箱 </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定制（含空开、电源插排、电源适配器）</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二合一防雷器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含电源防雷和信号防雷</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120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智能采集终端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Arm9芯片、内置128MB DDR2,王频高达454MHz，自带5路AUART、2路USB OTG、最高2路CAN-bus、2路以太网等工业控制通讯接口，支持本地SQL数据库存储(每15分钟数据)、支持4G/5G物联网模块、RJ45网口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(支持TCP/IP协议、IP地址自定义)、嵌入式linux系统开发环境、支持modbus tcp及modbus rtu协议，并支持LORA远程模块。</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水位计电缆、保护管及辅材</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2*1.0防水电缆、直径20PVC管等配件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3.6</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立杆、支架及基础及接地</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立杆高2.5米，直径10cm;横杆3.5米，直径60cm;地笼80cm；</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取电施工</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施工垃圾清运传电源接入以及破路恢复</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系统集成服务</w:t>
            </w:r>
            <w:r/>
          </w:p>
        </w:tc>
        <w:tc>
          <w:tcPr>
            <w:tcW w:w="2990"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提供配套系统集成服务（安装调试）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9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雷达水位站（肖桥洞）</w:t>
            </w:r>
            <w:r/>
          </w:p>
        </w:tc>
      </w:tr>
      <w:tr>
        <w:trPr>
          <w:trHeight w:val="9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雷达水位传感器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发射频率 76GHz~81GHz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测量范围 0.1 m ~30m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测量精度 ±1mm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波束角 6°</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供电范围 3.6~5 VDC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通讯方式 TTL/NB/485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 -40~85℃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外壳材质 铝合金</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天线类型 透镜天线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推荐线缆 7*0.3mm²</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防护等级 IP68</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支持485传输信号</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防浪涌，抗干扰</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箱体防尘防水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安装方式 支架包含安装配件,毫米级高精度</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防水控制箱 </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定制（含空开、电源插排、电源适配器）</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120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智能采集终端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Arm9芯片、内置128MB DDR2,王频高达454MHz，自带5路AUART、2路USB OTG、最高2路CAN-bus、2路以太网等工业控制通讯接口，支持本地SQL数据库存储(每15分钟数据)、支持4G/5G物联网模块、RJ45网口(支持TCP/IP协议、IP地址自定义)、嵌入式linux系统开发环境、支持modbus tcp及modbus rtu协议，并支持LORA远程模块。</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国标纯铜，RVVP4*0.75</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国标纯铜，RVV2*1.0</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4.6</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太阳能电池板及支架</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120W，支架定制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96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4.7</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胶体蓄电池</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化学类型：胶体蓄电池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电压：DC12V</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容量：55AH</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太阳能充电保护器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12V/24V自动识别系统电压，最大充放电电流10A。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具有过充、过放、过载保护以及电子短路保护与防反接保护。</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4.9</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无线传输终端</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采用罗拉芯片组网通信</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4.10</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立杆、支架及基础及接地</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立杆高2.5米，直径10cm;横杆3.5米，直径60cm;地笼80cm；</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9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闸位计</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编码器</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多圈角度旋转绝对值编码器</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行程开关</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防护等级IP52，环境温度-5°C~+40°C，额定电压AC-15:380V DC-13: 220V</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支架</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定制</w:t>
            </w:r>
            <w:r/>
          </w:p>
        </w:tc>
        <w:tc>
          <w:tcPr>
            <w:tcW w:w="21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gridSpan w:val="4"/>
            <w:tcW w:w="4696"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监控站点</w:t>
            </w:r>
            <w:r/>
          </w:p>
        </w:tc>
      </w:tr>
      <w:tr>
        <w:trPr>
          <w:trHeight w:val="276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球机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400万6寸网络高清球型摄像机</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支持IP66，抗干扰能力强，适用于严酷的电磁环境，符合GB/T17626.2/3/4/5/6四级标准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最大支持256GB microSD卡存储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支持主流厂家SDK，开放型网络视频接口，ISAPI，GB/T28181，ISUP</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支持定时任务，一键守望，一键巡航功能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支持定时抓图与事件抓图功能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支持3D数字降噪，支持120dB宽动态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支持三码流技术，每路码流可独立配置分辨率及帧率</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支持23倍光学变倍，16倍数字变倍</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支持超低照度，0.005Lux@F1.6(彩色)，0.001Lux@F1.6(黑白)，0 Lux with IR</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内置加热玻璃，有效除雾</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9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枪机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400万臻全彩筒型网络摄像机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智能侦测：支持越界侦测，区域入侵侦测</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固定焦距4mm/6mm/8mm焦距可选</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30米白光补光 1个内置麦克风，高清拾音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分辨率2560 × 1440 @25 fps  </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直径140,壁厚0.25，高3米，白色；含立杆基础及接地</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监控箱</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300mm*400mm*200mm户外防水防锈箱体,内含空开插座等配件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电缆RVV2*1.0</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6.6</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硅芯管</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直径30</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6.7</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敷设安装</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含线路敷设、硅芯管下埋等</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处</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r>
      <w:tr>
        <w:trPr>
          <w:trHeight w:val="240"/>
        </w:trPr>
        <w:tc>
          <w:tcPr>
            <w:gridSpan w:val="5"/>
            <w:tcW w:w="5000"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二、宝应县沿运</w:t>
            </w:r>
            <w:r>
              <w:rPr>
                <w:rFonts w:hint="eastAsia" w:ascii="宋体" w:hAnsi="宋体" w:eastAsia="宋体" w:cs="宋体"/>
                <w:b/>
                <w:bCs/>
                <w:color w:val="auto"/>
                <w:szCs w:val="21"/>
                <w:highlight w:val="none"/>
                <w:lang w:eastAsia="zh-CN" w:bidi="ar"/>
              </w:rPr>
              <w:t xml:space="preserve">涵闸</w:t>
            </w:r>
            <w:r>
              <w:rPr>
                <w:rFonts w:hint="eastAsia" w:ascii="宋体" w:hAnsi="宋体" w:eastAsia="宋体" w:cs="宋体"/>
                <w:b/>
                <w:bCs/>
                <w:color w:val="auto"/>
                <w:szCs w:val="21"/>
                <w:highlight w:val="none"/>
                <w:lang w:bidi="ar"/>
              </w:rPr>
              <w:t xml:space="preserve">流量监测设备 </w:t>
            </w:r>
            <w:r/>
          </w:p>
        </w:tc>
      </w:tr>
      <w:tr>
        <w:trPr>
          <w:trHeight w:val="255"/>
        </w:trPr>
        <w:tc>
          <w:tcPr>
            <w:tcW w:w="303"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p>
        </w:tc>
        <w:tc>
          <w:tcPr>
            <w:gridSpan w:val="4"/>
            <w:tcW w:w="4696" w:type="pct"/>
            <w:vAlign w:val="center"/>
            <w:textDirection w:val="lrTb"/>
            <w:noWrap w:val="false"/>
          </w:tcPr>
          <w:p>
            <w:pPr>
              <w:jc w:val="center"/>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自动化监测挂柜</w:t>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 xml:space="preserve">（新建朱马闸、新民闸、大兴洞、八浅洞、泾河洞、泾河小涵洞6处）</w:t>
            </w:r>
            <w:r/>
          </w:p>
        </w:tc>
      </w:tr>
      <w:tr>
        <w:trPr>
          <w:trHeight w:val="255"/>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输出电压：24 V DC（稳定，防开路保护）</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150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CPU模块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工作存储器：100 KB</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装载存储器：2 MB（内置）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存储卡扩展：支持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位运算速度：0.08 µs/指令</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高速计数器：6 个（最高 100 kHz）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脉冲输出：支持 PTO/PWM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PROFINET：2 × RJ45（100 Mbit/s）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扩展通信：最多 3 个通信模块（CM）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信号模块（SM）：最多 8 个</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信号板（SB）：1 个</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 I/O 点数：2048 点</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4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数字量输入模块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类型：漏型/源型（IEC 1类漏型）</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滤波时间：0.2,0.4,0.8,1.6,3.2,6.4,和128Ms</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数字量输出模块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类型：固态-MOSFET</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电流：0.5A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开关延时：断开到接通最长50us接通到断开最长200us</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模拟量输入模块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类型：电压或电流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范围:±10V、±5V、±2.5V或0-20mA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精度：12位+符号位</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RTD模块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类型：模块参考接地热电阻</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范围;Pt、Cu、Ni、LG-Ni或电阻</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精度：0.1℃\0.1℉，15位+符号位</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r>
      <w:tr>
        <w:trPr>
          <w:trHeight w:val="240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触摸屏</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10.4英寸人机界面（HMI）/ 触摸屏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显示技术：TFT 彩色 LCD 显示屏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触摸屏类型：4线电阻式触摸屏，处理器：32位 ARM 处理器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内存：≥128 MB DDR2 RAM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闪存：≥128 MB（用于程序存储）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存储扩展：SD 卡插槽（支持最大 32GB），编程方式：拖放式图形化编程</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协议支持：300余种工业协议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同步转换：≥最多6种协议同时转换</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主要协议：Modbus RTU/ASCII/TCP、EtherNet/IP、DF1、DNP 3.0、PROFINET、EtherCAT、CANopen、DeviceNet等</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596"/>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终端继电器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输出通道数：32路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继电器类型：</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14路：常开触点（Form A，NO）</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2路：转换触点（Form C，NO/NC）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触点容量：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阻性负载：2A @ 30VDC / 125VAC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最小负载：10mA @ 5VDC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最大输出电流：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每通道：1A（连续）</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每模块：16A（总和，25°C）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高温降额：60°C时每通道0.8A，8通道同时工作</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192</w:t>
            </w:r>
            <w:r/>
          </w:p>
        </w:tc>
      </w:tr>
      <w:tr>
        <w:trPr>
          <w:trHeight w:val="4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机柜及附件</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800×600×200mm挂柜，包括可编程控制器配件、接线端子开关电源、按钮、信号灯、加热器以及其他附件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　</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1527"/>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1.10</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工业级交换机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背板带宽 ≥20Gbps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包转发率 ≥11.904Mpps 符合要求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单端口包转发率 ≥1Mpps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单端口吞吐量 ≥2000Mbps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平均时延 ≤3.5μs 3.2μs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丢包率 0% 符合要求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 -40℃ ~ +85℃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存储湿度 40℃/5%-96%RH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低气压 70KPa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冗余电源 DC12~57V双冗余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抗电强度 4KVAC/3min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防雷击/浪涌保护</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静电放电 ±8kV</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绝缘电阻 ≥200MΩ（常温）</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端口检测： 交换机采用模块化接口设计，可自由选择光口及电口数量，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背板带宽检验 ：换机背板带宽≥20Gbps；包转发率 ≥11.904Mpps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单机单端口吞吐量检验：10/100/1000M自适应RJ45 网络接口</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4G远程终端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支持同时与3个PLC通讯，上传流量，水位，闸位等数据，支持APN网络，Modbus TCP、OPC UA等协议，并与平台方对接测试，避免现场联调时出现协议不匹配，并支持LORA远程模块，与智能采集终端通讯。</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PLC编程软件授权</w:t>
            </w:r>
            <w:r/>
          </w:p>
        </w:tc>
        <w:tc>
          <w:tcPr>
            <w:tcW w:w="2990"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配套授权</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4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gridSpan w:val="4"/>
            <w:tcW w:w="4696" w:type="pct"/>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雷达水位站</w:t>
            </w:r>
            <w:r/>
          </w:p>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（朱马闸、新民闸、大兴洞、八浅洞、泾河洞、泾河小涵洞上游水位站 ）</w:t>
            </w:r>
            <w:r/>
          </w:p>
        </w:tc>
      </w:tr>
      <w:tr>
        <w:trPr>
          <w:trHeight w:val="546"/>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雷达水位传感器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发射频率 76GHz~81GHz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测量范围 0.1 m ~30m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测量精度 ±1mm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波束角 6°</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供电范围 3.6~5 VDC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通讯方式 TTL/NB/485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 -40~85℃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外壳材质 铝合金</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天线类型 透镜天线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推荐线缆 7*0.3mm²</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防护等级 IP68</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支持485传输信号</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防浪涌，抗干扰</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箱体防尘防水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安装方式 支架包含安装配件,毫米级高精度</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防水控制箱</w:t>
            </w:r>
            <w:r>
              <w:rPr>
                <w:rStyle w:val="1279"/>
                <w:rFonts w:hint="eastAsia" w:ascii="宋体" w:hAnsi="宋体" w:eastAsia="宋体" w:cs="宋体"/>
                <w:color w:val="auto"/>
                <w:szCs w:val="21"/>
                <w:highlight w:val="none"/>
                <w:lang w:bidi="ar"/>
              </w:rPr>
              <w:t xml:space="preserve"> </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定制（含空开、电源插排、电源适配器）</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二合一防雷器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含电源防雷和信号防雷</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水位计电缆、保护管及辅材</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2*1.0防水电缆、直径20PVC管等配件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立杆、支架及基础及接地</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立杆高2.5米，直径10cm;横杆3.5米，直径60cm;地笼80cm；</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取电施工</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施工垃圾清运传电源接入以及破路恢复</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9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朱马闸、新民闸、大兴洞、八浅洞、泾河洞、泾河小涵洞下游水位站、头引河涵洞、跃龙关、跃进洞上下游水位站</w:t>
            </w:r>
            <w:r/>
          </w:p>
        </w:tc>
      </w:tr>
      <w:tr>
        <w:trPr>
          <w:trHeight w:val="360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雷达水位传感器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发射频率 76GHz~81GHz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测量范围 0.1 m ~30m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测量精度 ±1mm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波束角 6°</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供电范围 3.6~5 VDC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通讯方式 TTL/NB/485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 -40~85℃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外壳材质 铝合金</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天线类型 透镜天线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推荐线缆 7*0.3mm²</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防护等级 IP68</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支持485传输信号</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防浪涌，抗干扰</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箱体防尘防水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安装方式 支架包含安装配件,毫米级高精度</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防水控制箱</w:t>
            </w:r>
            <w:r>
              <w:rPr>
                <w:rStyle w:val="1279"/>
                <w:rFonts w:hint="eastAsia" w:ascii="宋体" w:hAnsi="宋体" w:eastAsia="宋体" w:cs="宋体"/>
                <w:color w:val="auto"/>
                <w:szCs w:val="21"/>
                <w:highlight w:val="none"/>
                <w:lang w:bidi="ar"/>
              </w:rPr>
              <w:t xml:space="preserve"> </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定制（含空开、电源插排、电源适配器）</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6</w:t>
            </w:r>
            <w:r/>
          </w:p>
        </w:tc>
      </w:tr>
      <w:tr>
        <w:trPr>
          <w:trHeight w:val="120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智能采集终端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Arm9芯片、内置128MB DDR2,王频高达454MHz，自带5路AUART、2路USB OTG、最高2路CAN-bus、2路以太网等工业控制通讯接口，支持本地SQL数据库存储(每15分钟数据)、支持4G/5G物联网模块、RJ45网口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(支持TCP/IP协议、IP地址自定义)、嵌入式linux系统开发环境、支持modbus tcp及modbus rtu协议，并支持LORA远程模块。</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9</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国标纯铜，RVVP4*0.75</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120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国标纯铜，RVV2*1.0</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120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3.6</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太阳能电池板及支架</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120W，支架定制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12</w:t>
            </w:r>
            <w:r/>
          </w:p>
        </w:tc>
      </w:tr>
      <w:tr>
        <w:trPr>
          <w:trHeight w:val="4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胶体蓄电池</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化学类型：胶体蓄，电池电压：DC12V容量：55AH</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12</w:t>
            </w:r>
            <w:r/>
          </w:p>
        </w:tc>
      </w:tr>
      <w:tr>
        <w:trPr>
          <w:trHeight w:val="4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太阳能充电保护器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12V/24V自动识别系统电压，最大充放电电流10A。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具有过充、过放、过载保护以及电子短路保护与防反接保护。</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3.9</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无线传输终端</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采用罗拉芯片组网通信</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6</w:t>
            </w:r>
            <w:r/>
          </w:p>
        </w:tc>
      </w:tr>
      <w:tr>
        <w:trPr>
          <w:trHeight w:val="3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3.10</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立杆、支架及基础及接地</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立杆高2.5米，直径10cm;横杆3.5米，直径60cm;地笼80cm；</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9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gridSpan w:val="4"/>
            <w:tcW w:w="4696"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闸位计（朱马闸、新民闸、大兴洞、八浅洞、泾河洞、泾河小涵洞、头引河涵洞、跃龙关、跃进洞共9套）</w:t>
            </w:r>
            <w:r/>
          </w:p>
        </w:tc>
      </w:tr>
      <w:tr>
        <w:trPr>
          <w:trHeight w:val="27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磁致闸位传感器</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直线测距电子尺，3m量程。10微米级精度</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9</w:t>
            </w:r>
            <w:r/>
          </w:p>
        </w:tc>
      </w:tr>
      <w:tr>
        <w:trPr>
          <w:trHeight w:val="27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行程开关</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防护等级IP52，环境温度-5°C~+40°C，额定电压AC-15:380V DC-13: 220V</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18</w:t>
            </w:r>
            <w:r/>
          </w:p>
        </w:tc>
      </w:tr>
      <w:tr>
        <w:trPr>
          <w:trHeight w:val="27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支架</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定制</w:t>
            </w:r>
            <w:r/>
          </w:p>
        </w:tc>
        <w:tc>
          <w:tcPr>
            <w:tcW w:w="21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9</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 w:val="20"/>
                <w:szCs w:val="20"/>
                <w:highlight w:val="none"/>
                <w:lang w:bidi="ar"/>
              </w:rPr>
              <w:t xml:space="preserve">1</w:t>
            </w:r>
            <w:r/>
          </w:p>
        </w:tc>
      </w:tr>
      <w:tr>
        <w:trPr>
          <w:trHeight w:val="31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自动化系统远程测流适应性改造</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PLC编程</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在PLC中进行编程实现流量计算。代入流量曲线率定公式，通过算法代入上下游水位水势差、闸门宽度、闸门开高等参数进行实时计算流量，验证后实时报送远方防汛中心服务器。</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4G远程终端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支持同时与3个PLC通讯，上传流量，水位，闸位等数据，支持APN网络，Modbus TCP、OPC UA等协议，并与平台方对接测试，避免现场联调时出现协议不匹配，并支持LORA远程模块，与智能采集终端通讯。</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43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工业级交换机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背板带宽 ≥20Gbps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包转发率 ≥11.904Mpps 符合要求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单端口包转发率 ≥1Mpps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单端口吞吐量 ≥2000Mbps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平均时延 ≤3.5μs 3.2μs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丢包率 0% 符合要求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 -40℃ ~ +85℃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存储湿度 40℃/5%-96%RH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低气压 70KPa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冗余电源 DC12~57V双冗余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抗电强度 4KVAC/3min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防雷击/浪涌保护</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静电放电 ±8kV</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绝缘电阻 ≥200MΩ（常温）</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端口检测： 交换机采用模块化接口设计，可自由选择光口及电口数量，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背板带宽检验 ：换机背板带宽≥20Gbps；包转发率 ≥11.904Mpps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单机单端口吞吐量检验：10/100/1000M自适应RJ45 网络接口</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机柜整理</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含现有PLC柜整改、标识、重新理线、更换老化线路等。</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数据校验</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包括但不限于现有上下游水位值、闸位数值有效性校验，稳定性评估。</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382"/>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gridSpan w:val="4"/>
            <w:tcW w:w="4696"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监控站点</w:t>
            </w:r>
            <w:r/>
          </w:p>
        </w:tc>
      </w:tr>
      <w:tr>
        <w:trPr>
          <w:trHeight w:val="9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球机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400万6寸网络高清球型摄像机IP66，抗干扰能力强，适用于严酷的电磁环境，符合GB/T17626.2/3/4/5/6四级标准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最大支持256GB microSD卡存储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支持主流厂家SDK，开放型网络视频接口，ISAPI，GB/T28181，ISUP</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支持定时任务，一键守望，一键巡航功能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支持定时抓图与事件抓图功能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支持3D数字降噪，支持120dB宽动态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支持三码流技术，每路码流可独立配置分辨率及帧率</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支持23倍光学变倍，16倍数字变倍</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支持超低照度，0.005Lux@F1.6(彩色)，0.001Lux@F1.6(黑白)，0 Lux with IR</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内置加热玻璃，有效除雾</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枪机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400万臻全彩筒型网络摄像机 智能侦测：支持越界侦测，区域入侵侦测 固定焦距4mm/6mm/8mm焦距可选 30米白光补光 1个内置麦克风，高清拾音 分辨率2560 × 1440 @25 fps  </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直径140,壁厚0.25，高3米，白色；含立杆基础及接地</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监控箱</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300mm*400mm*200mm户外防水防锈箱体,内含空开插座等配件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电缆RVV2*1.0</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750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6.6</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硅芯管</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直径30</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750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6.7</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敷设安装</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含线路敷设、硅芯管下埋等</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处</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r>
      <w:tr>
        <w:trPr>
          <w:trHeight w:val="240"/>
        </w:trPr>
        <w:tc>
          <w:tcPr>
            <w:gridSpan w:val="5"/>
            <w:tcW w:w="5000"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三、高邮市沿运</w:t>
            </w:r>
            <w:r>
              <w:rPr>
                <w:rFonts w:hint="eastAsia" w:ascii="宋体" w:hAnsi="宋体" w:eastAsia="宋体" w:cs="宋体"/>
                <w:b/>
                <w:bCs/>
                <w:color w:val="auto"/>
                <w:szCs w:val="21"/>
                <w:highlight w:val="none"/>
                <w:lang w:eastAsia="zh-CN" w:bidi="ar"/>
              </w:rPr>
              <w:t xml:space="preserve">涵闸</w:t>
            </w:r>
            <w:r>
              <w:rPr>
                <w:rFonts w:hint="eastAsia" w:ascii="宋体" w:hAnsi="宋体" w:eastAsia="宋体" w:cs="宋体"/>
                <w:b/>
                <w:bCs/>
                <w:color w:val="auto"/>
                <w:szCs w:val="21"/>
                <w:highlight w:val="none"/>
                <w:lang w:bidi="ar"/>
              </w:rPr>
              <w:t xml:space="preserve">流量监测设备</w:t>
            </w:r>
            <w:r/>
          </w:p>
        </w:tc>
      </w:tr>
      <w:tr>
        <w:trPr>
          <w:trHeight w:val="758"/>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自动化监测挂柜（八里松洞）</w:t>
            </w:r>
            <w:r/>
          </w:p>
        </w:tc>
      </w:tr>
      <w:tr>
        <w:trPr>
          <w:trHeight w:val="439"/>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输出电压：24 V DC（稳定，防开路保护）</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805"/>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CPU模块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工作存储器：100 KB</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装载存储器：2 MB（内置）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存储卡扩展：支持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位运算速度：0.08 µs/指令</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高速计数器：6 个（最高 100 kHz）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脉冲输出：支持 PTO/PWM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PROFINET：2 × RJ45（100 Mbit/s）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扩展通信：最多 3 个通信模块（CM）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信号模块（SM）：最多 8 个</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信号板（SB）：1 个</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 I/O 点数：2048 点</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4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数字量输入模块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类型：漏型/源型（IEC 1类漏型）</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滤波时间：0.2,0.4,0.8,1.6,3.2,6.4,和128Ms</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数字量输出模块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类型：固态-MOSFET</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电流：0.5A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开关延时：断开到接通最长50us接通到断开最长200us</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模拟量输入模块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类型：电压或电流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范围:±10V、±5V、±2.5V或0-20mA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精度：12位+符号位</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RTD模块</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类型：模块参考接地热电阻</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范围;Pt、Cu、Ni、LG-Ni或电阻</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精度：0.1℃\0.1℉，15位+符号位</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8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触摸屏</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10.4英寸人机界面（HMI）/ 触摸屏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显示技术：TFT 彩色 LCD 显示屏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触摸屏类型：4线电阻式触摸屏，处理器：32位 ARM 处理器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内存：128 MB DDR2 RAM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闪存：128 MB（用于程序存储）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存储扩展：SD 卡插槽（支持最大 32GB），编程方式：拖放式图形化编程</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协议支持：300余种工业协议</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同步转换：最多6种协议同时转换</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主要协议：Modbus RTU/ASCII/TCP、EtherNet/IP、DF1、DNP 3.0、PROFINET、EtherCAT、CANopen、DeviceNet等</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439"/>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终端继电器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输出通道数：32路</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继电器类型：</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14路：常开触点（Form A，NO）</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2路：转换触点（Form C，NO/NC）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触点容量：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阻性负载：2A @ 30VDC / 125VAC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最小负载：10mA @ 5VDC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最大输出电流：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每通道：1A（连续）</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每模块：16A（总和，25°C）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高温降额：60°C时每通道0.8A，8通道同时工作</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w:t>
            </w:r>
            <w:r/>
          </w:p>
        </w:tc>
      </w:tr>
      <w:tr>
        <w:trPr>
          <w:trHeight w:val="702"/>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机柜及附件</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800×600×200mm挂柜，包括可编程控制器配件、接线端子开关电源、按钮、信号灯、加热器以及其他附件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　</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8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1.10</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工业级交换机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背板带宽 ≥20Gbps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包转发率 ≥11.904Mpps 符合要求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单端口包转发率 ≥1Mpps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单端口吞吐量 ≥2000Mbps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平均时延 ≤3.5μs 3.2μs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丢包率 0% 符合要求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 -40℃ ~ +85℃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存储湿度 40℃/5%-96%RH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低气压 70KPa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冗余电源 DC12~57V双冗余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抗电强度 4KVAC/3min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防雷击/浪涌保护</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静电放电 ±8kV</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绝缘电阻 ≥200MΩ（常温）</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端口检测： 交换机采用模块化接口设计，可自由选择光口及电口数量，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背板带宽检验 ：换机背板带宽≥20Gbps；包转发率 ≥11.904Mpps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单机单端口吞吐量检验：10/100/1000M自适应RJ45 网络接口</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4G远程终端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支持同时与3个PLC通讯，上传流量，水位，闸位等数据，支持APN网络，Modbus TCP、OPC UA等协议，并与平台方对接测试，避免现场联调时出现协议不匹配，并支持LORA远程模块，与智能采集终端通讯。</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439"/>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w:t>
            </w:r>
            <w:r>
              <w:rPr>
                <w:rFonts w:hint="eastAsia" w:ascii="宋体" w:hAnsi="宋体" w:eastAsia="宋体" w:cs="宋体"/>
                <w:color w:val="auto"/>
                <w:szCs w:val="21"/>
                <w:highlight w:val="none"/>
              </w:rPr>
              <w:t xml:space="preserve">提供系统集成服务（安装调试）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559"/>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雷达水位站（八里松洞上游、车逻洞上游）</w:t>
            </w:r>
            <w:r/>
          </w:p>
        </w:tc>
      </w:tr>
      <w:tr>
        <w:trPr>
          <w:trHeight w:val="20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雷达水位传感器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发射频率 76GHz~81GHz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测量范围 0.1 m ~30m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测量精度 ±1mm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波束角 6°</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供电范围 3.6~5 VDC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通讯方式 TTL/NB/485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 -40~85℃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外壳材质 铝合金</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天线类型 透镜天线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推荐线缆 7*0.3mm²</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防护等级 IP68</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支持485传输信号</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防浪涌，抗干扰</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箱体防尘防水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安装方式 支架包含安装配件,毫米级高精度</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防水控制箱</w:t>
            </w:r>
            <w:r>
              <w:rPr>
                <w:rStyle w:val="1159"/>
                <w:rFonts w:hint="eastAsia" w:ascii="宋体" w:hAnsi="宋体" w:eastAsia="宋体" w:cs="宋体"/>
                <w:color w:val="auto"/>
                <w:szCs w:val="21"/>
                <w:highlight w:val="none"/>
                <w:lang w:bidi="ar"/>
              </w:rPr>
              <w:t xml:space="preserve"> </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定制（含空开、电源插排、电源适配器）</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二合一防雷器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含电源防雷和信号防雷</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522"/>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智能采集终端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Arm9芯片、内置128MB DDR2,王频高达454MHz，自带5路AUART、2路USB OTG、最高2路CAN-bus、2路以太网等工业控制通讯接口，支持本地SQL数据库存储(每15分钟数据)、支持4G/5G物联网模块、RJ45网口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(支持TCP/IP协议、IP地址自定义)、嵌入式linux系统开发环境、支持modbus tcp及modbus rtu协议，并支持LORA远程模块。</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水位计电缆、保护管及辅材</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2*1.0防水电缆、直径20PVC管等配件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立杆、支架及基础及接地</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立杆高2.5米，直径10cm;横杆3.5米，直径60cm;地笼80cm；</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取电施工</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保障水位站的持续稳定供电</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施工垃圾清运传电源接入以及破路恢复</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60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雷达水位站（八里松洞下游）</w:t>
            </w:r>
            <w:r/>
          </w:p>
        </w:tc>
      </w:tr>
      <w:tr>
        <w:trPr>
          <w:trHeight w:val="90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雷达水位传感器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发射频率 76GHz~81GHz</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测量范围 0.1 m ~30m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测量精度 ±1mm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波束角 6°</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供电范围 3.6~5 VDC</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通讯方式 TTL/NB/485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 -40~85℃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外壳材质 铝合金</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天线类型 透镜天线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推荐线缆 7*0.3mm²</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防护等级 IP68</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支持485传输信号</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防浪涌，抗干扰</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箱体防尘防水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安装方式 支架包含安装配件,毫米级高精度</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439"/>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防水控制箱</w:t>
            </w:r>
            <w:r>
              <w:rPr>
                <w:rStyle w:val="1159"/>
                <w:rFonts w:hint="eastAsia" w:ascii="宋体" w:hAnsi="宋体" w:eastAsia="宋体" w:cs="宋体"/>
                <w:color w:val="auto"/>
                <w:szCs w:val="21"/>
                <w:highlight w:val="none"/>
                <w:lang w:bidi="ar"/>
              </w:rPr>
              <w:t xml:space="preserve"> </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定制（含空开、电源插排、电源适配器）</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439"/>
        </w:trPr>
        <w:tc>
          <w:tcPr>
            <w:tcW w:w="303"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3.3</w:t>
            </w:r>
            <w:r/>
          </w:p>
        </w:tc>
        <w:tc>
          <w:tcPr>
            <w:tcW w:w="1185"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智能采集终端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Arm9芯片、内置128MB DDR2,王频高达454MHz，自带5路AUART、2路USB OTG、最高2路CAN-bus、2路以</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太网等工业控制通讯接口，支持本地SQL数据库存储(每15分钟数据)、支持4G/5G物联网模块、RJ45网口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(支持TCP/IP协议、IP地址自定义)、嵌入式linux系统开发环境、支持modbus tcp及modbus rtu协议，</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并支持LORA远程模块。</w:t>
            </w:r>
            <w:r/>
          </w:p>
        </w:tc>
        <w:tc>
          <w:tcPr>
            <w:tcW w:w="214"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信号线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国标纯铜，RVVP4*0.75</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国标纯铜，RVV2*1.0</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3.6</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太阳能电池板及支架</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120W，支架定制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胶体蓄电池</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化学类型：胶体蓄电池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电压：DC12V</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容量：55AH</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太阳能充电保护器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12V/24V自动识别系统电压，最大充放电电流10A。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具有过充、过放、过载保护以及电子短路保护与防反接保护。</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3.9</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无线传输终端</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采用罗拉芯片组网通信</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3.10</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立杆、支架及基础及接地</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立杆高2.5米，直径10cm;横杆3.5米，直径60cm;地笼80cm；</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w:t>
            </w:r>
            <w:r>
              <w:rPr>
                <w:rFonts w:hint="eastAsia" w:ascii="宋体" w:hAnsi="宋体" w:eastAsia="宋体" w:cs="宋体"/>
                <w:color w:val="auto"/>
                <w:szCs w:val="21"/>
                <w:highlight w:val="none"/>
              </w:rPr>
              <w:t xml:space="preserve">提供系统集成服务（安装调试）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799"/>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gridSpan w:val="4"/>
            <w:tcW w:w="4696"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闸位计（八里松洞1套）</w:t>
            </w:r>
            <w:r/>
          </w:p>
        </w:tc>
      </w:tr>
      <w:tr>
        <w:trPr>
          <w:trHeight w:val="96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磁致闸位传感器</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一种直线测距电子尺，具备 3 米量程以及 10 微米级的高精度。</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行程开关</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防护等级IP52，环境温度-5°C~+40°C，额定电压AC-15:380V DC-13: 220V</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7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支架</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定制</w:t>
            </w:r>
            <w:r/>
          </w:p>
        </w:tc>
        <w:tc>
          <w:tcPr>
            <w:tcW w:w="21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系统集成服务</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w:t>
            </w:r>
            <w:r>
              <w:rPr>
                <w:rFonts w:hint="eastAsia" w:ascii="宋体" w:hAnsi="宋体" w:eastAsia="宋体" w:cs="宋体"/>
                <w:color w:val="auto"/>
                <w:szCs w:val="21"/>
                <w:highlight w:val="none"/>
              </w:rPr>
              <w:t xml:space="preserve">提供系统集成服务（安装调试）</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9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gridSpan w:val="4"/>
            <w:tcW w:w="4696" w:type="pct"/>
            <w:vAlign w:val="center"/>
            <w:textDirection w:val="lrTb"/>
            <w:noWrap w:val="false"/>
          </w:tcPr>
          <w:p>
            <w:pPr>
              <w:jc w:val="center"/>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自动化系统远程测流适应性改造</w:t>
            </w:r>
            <w:r/>
          </w:p>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（河湖调度闸、车逻洞、车逻闸、南关洞、头闸、周山洞、界首小闸、子婴闸、南水关洞、琵琶洞共10处</w:t>
            </w:r>
            <w:r>
              <w:rPr>
                <w:rFonts w:hint="eastAsia" w:ascii="宋体" w:hAnsi="宋体" w:eastAsia="宋体" w:cs="宋体"/>
                <w:b/>
                <w:bCs/>
                <w:color w:val="auto"/>
                <w:szCs w:val="21"/>
                <w:highlight w:val="none"/>
                <w:lang w:eastAsia="zh-CN" w:bidi="ar"/>
              </w:rPr>
              <w:t xml:space="preserve">涵闸</w:t>
            </w:r>
            <w:r>
              <w:rPr>
                <w:rFonts w:hint="eastAsia" w:ascii="宋体" w:hAnsi="宋体" w:eastAsia="宋体" w:cs="宋体"/>
                <w:b/>
                <w:bCs/>
                <w:color w:val="auto"/>
                <w:szCs w:val="21"/>
                <w:highlight w:val="none"/>
                <w:lang w:bidi="ar"/>
              </w:rPr>
              <w:t xml:space="preserve">）</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PLC编程</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在PLC中进行编程实现流量计算。代入流量曲线率定公式，通过算法代入上下游水位水势差、闸门宽度、闸门开高等参数进行实时计算流量，验证后实时报送远方防汛中心服务器。</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r>
      <w:tr>
        <w:trPr>
          <w:trHeight w:val="28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工业级交换机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背板带宽 ≥20Gbps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包转发率 ≥11.904Mpps 符合要求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单端口包转发率 ≥1Mpps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单端口吞吐量 ≥2000Mbps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平均时延 ≤3.5μs 3.2μs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丢包率 0% 符合要求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工作温度 -40℃ ~ +85℃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存储湿度 40℃/5%-96%RH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低气压 70KPa</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冗余电源 DC12~57V双冗余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抗电强度 4KVAC/3min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防雷击/浪涌保护</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静电放电 ±8kV</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绝缘电阻 ≥200MΩ（常温）</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端口检测： 交换机采用模块化接口设计，可自由选择光口及电口数量，</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背板带宽检验 ：换机背板带宽≥20Gbps；包转发率 ≥11.904Mpps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单机单端口吞吐量检验：10/100/1000M自适应RJ45 网络接口</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4G远程终端</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与PLC通讯，上传流量等数据，支持APN网络</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机柜整理</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含现有PLC柜整改、标识、重新理线。还含更换老化线路等。</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数据校验</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包括但不限于现有上下游水位值、闸位数值有效性校验，稳定性评估。</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监控站点</w:t>
            </w:r>
            <w:r/>
          </w:p>
        </w:tc>
        <w:tc>
          <w:tcPr>
            <w:tcW w:w="2990" w:type="pct"/>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06"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28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6.1</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球机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400万6寸网络高清球型摄像机IP66，抗干扰能力强，适用于严酷的电磁环境，符合GB/T17626.2/3/4/5/6四级标准</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最大支持256GB microSD卡存储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支持主流厂家SDK，开放型网络视频接口，ISAPI，GB/T28181，ISUP</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支持定时任务，一键守望，一键巡航功能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支持定时抓图与事件抓图功能</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支持3D数字降噪，支持120dB宽动态</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支持三码流技术，每路码流可独立配置分辨率及帧率</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支持23倍光学变倍，16倍数字变倍</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支持超低照度，0.005Lux@F1.6(彩色)，0.001Lux@F1.6(黑白)，0 Lux with IR</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内置加热玻璃，有效除雾</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6.2</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枪机</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 400万臻全彩筒型网络摄像机 智能侦测：支持越界侦测，区域入侵侦测 固定焦距4mm/6mm/8mm焦距可选 30米白光补光 1个内置麦克风，高清拾音 分辨率2560 × 1440 @25 fps  </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6.3</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立杆</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直径140,壁厚0.25，高3米，白色；含立杆基础及接地</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6.4</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监控箱</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300mm*400mm*200mm户外防水防锈箱体,内含空开插座等配件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6.5</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电源线</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电缆RVV2*1.0</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6.6</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硅芯管</w:t>
            </w:r>
            <w:r/>
          </w:p>
        </w:tc>
        <w:tc>
          <w:tcPr>
            <w:tcW w:w="299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直径30</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米</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450</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6.7</w:t>
            </w:r>
            <w:r/>
          </w:p>
        </w:tc>
        <w:tc>
          <w:tcPr>
            <w:tcW w:w="1185"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敷设安装</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含线路敷设、硅芯管下埋等</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处</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r>
      <w:tr>
        <w:trPr>
          <w:trHeight w:val="560"/>
        </w:trPr>
        <w:tc>
          <w:tcPr>
            <w:gridSpan w:val="5"/>
            <w:tcW w:w="5000"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四、市防办沿运闸站监测数据平台中心点建设 </w:t>
            </w:r>
            <w:r/>
          </w:p>
        </w:tc>
      </w:tr>
      <w:tr>
        <w:trPr>
          <w:trHeight w:val="247"/>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gridSpan w:val="4"/>
            <w:tcW w:w="469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软件平台建设</w:t>
            </w:r>
            <w:r/>
          </w:p>
        </w:tc>
      </w:tr>
      <w:tr>
        <w:trPr>
          <w:trHeight w:val="96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平台通信接口</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在与</w:t>
            </w:r>
            <w:r>
              <w:rPr>
                <w:rStyle w:val="1175"/>
                <w:rFonts w:hint="eastAsia" w:ascii="宋体" w:hAnsi="宋体" w:eastAsia="宋体" w:cs="宋体"/>
                <w:color w:val="auto"/>
                <w:szCs w:val="21"/>
                <w:highlight w:val="none"/>
                <w:lang w:bidi="ar"/>
              </w:rPr>
              <w:t xml:space="preserve">30</w:t>
            </w:r>
            <w:r>
              <w:rPr>
                <w:rStyle w:val="1155"/>
                <w:rFonts w:hint="eastAsia" w:ascii="宋体" w:hAnsi="宋体" w:eastAsia="宋体" w:cs="宋体"/>
                <w:color w:val="auto"/>
                <w:szCs w:val="21"/>
                <w:highlight w:val="none"/>
                <w:lang w:bidi="ar"/>
              </w:rPr>
              <w:t xml:space="preserve">个</w:t>
            </w:r>
            <w:r>
              <w:rPr>
                <w:rStyle w:val="1155"/>
                <w:rFonts w:hint="eastAsia" w:ascii="宋体" w:hAnsi="宋体" w:eastAsia="宋体" w:cs="宋体"/>
                <w:color w:val="auto"/>
                <w:szCs w:val="21"/>
                <w:highlight w:val="none"/>
                <w:lang w:eastAsia="zh-CN" w:bidi="ar"/>
              </w:rPr>
              <w:t xml:space="preserve">涵闸</w:t>
            </w:r>
            <w:r>
              <w:rPr>
                <w:rStyle w:val="1155"/>
                <w:rFonts w:hint="eastAsia" w:ascii="宋体" w:hAnsi="宋体" w:eastAsia="宋体" w:cs="宋体"/>
                <w:color w:val="auto"/>
                <w:szCs w:val="21"/>
                <w:highlight w:val="none"/>
                <w:lang w:bidi="ar"/>
              </w:rPr>
              <w:t xml:space="preserve">通过自动化监测设备完成实时数据采集之后，必须将这些采集到的数据通过4G远程终端进行高效传输，以确保中心平台能够与PLC（可编程逻辑控制器）建立稳定且可靠的通信连接，从而实现远程监控、数据交换和自动化控制功能，提升整个系统的智能化和响应效率。</w:t>
            </w:r>
            <w:r/>
          </w:p>
        </w:tc>
        <w:tc>
          <w:tcPr>
            <w:tcW w:w="21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平台报文解析</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解析4G远程终端TCP/IP协议报文，通过深度解析数据链路层、网络层及传输层的协议结构，提取关键字段信息，并将其转换为高可用性的实时数据流，实现远程设备运行状态的动态监测与可视化展示。</w:t>
            </w:r>
            <w:r/>
          </w:p>
        </w:tc>
        <w:tc>
          <w:tcPr>
            <w:tcW w:w="21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数据校核</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实现针对</w:t>
            </w:r>
            <w:r>
              <w:rPr>
                <w:rStyle w:val="1175"/>
                <w:rFonts w:hint="eastAsia" w:ascii="宋体" w:hAnsi="宋体" w:eastAsia="宋体" w:cs="宋体"/>
                <w:color w:val="auto"/>
                <w:szCs w:val="21"/>
                <w:highlight w:val="none"/>
                <w:lang w:bidi="ar"/>
              </w:rPr>
              <w:t xml:space="preserve">30</w:t>
            </w:r>
            <w:r>
              <w:rPr>
                <w:rStyle w:val="1149"/>
                <w:rFonts w:hint="eastAsia" w:ascii="宋体" w:hAnsi="宋体" w:eastAsia="宋体" w:cs="宋体"/>
                <w:color w:val="auto"/>
                <w:szCs w:val="21"/>
                <w:highlight w:val="none"/>
                <w:lang w:bidi="ar"/>
              </w:rPr>
              <w:t xml:space="preserve">个</w:t>
            </w:r>
            <w:r>
              <w:rPr>
                <w:rStyle w:val="1149"/>
                <w:rFonts w:hint="eastAsia" w:ascii="宋体" w:hAnsi="宋体" w:eastAsia="宋体" w:cs="宋体"/>
                <w:color w:val="auto"/>
                <w:szCs w:val="21"/>
                <w:highlight w:val="none"/>
                <w:lang w:eastAsia="zh-CN" w:bidi="ar"/>
              </w:rPr>
              <w:t xml:space="preserve">涵闸</w:t>
            </w:r>
            <w:r>
              <w:rPr>
                <w:rStyle w:val="1149"/>
                <w:rFonts w:hint="eastAsia" w:ascii="宋体" w:hAnsi="宋体" w:eastAsia="宋体" w:cs="宋体"/>
                <w:color w:val="auto"/>
                <w:szCs w:val="21"/>
                <w:highlight w:val="none"/>
                <w:lang w:bidi="ar"/>
              </w:rPr>
              <w:t xml:space="preserve">的流量、闸门开度、闸前水位及闸后水位数据的自动校核功能，通过数据验证算法确保监测数据的准确性、一致性和可靠性，并支持异常检测与报告机制。</w:t>
            </w:r>
            <w:r/>
          </w:p>
        </w:tc>
        <w:tc>
          <w:tcPr>
            <w:tcW w:w="21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72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数据配置文件</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实现配置文件功能，用于存储和修改系统配置参数，包括4G远程终端的连接设置、数据库IP地址、数据校核规则等相关信息，支持通过图形界面或配置文件编辑进行管理，确保配置的灵活性和可维护性。</w:t>
            </w:r>
            <w:r/>
          </w:p>
        </w:tc>
        <w:tc>
          <w:tcPr>
            <w:tcW w:w="21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96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数据推送</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与“智慧水利平台”数据库实现全面对接，支持实时采集并存储</w:t>
            </w:r>
            <w:r>
              <w:rPr>
                <w:rStyle w:val="1175"/>
                <w:rFonts w:hint="eastAsia" w:ascii="宋体" w:hAnsi="宋体" w:eastAsia="宋体" w:cs="宋体"/>
                <w:color w:val="auto"/>
                <w:szCs w:val="21"/>
                <w:highlight w:val="none"/>
                <w:lang w:bidi="ar"/>
              </w:rPr>
              <w:t xml:space="preserve">30个</w:t>
            </w:r>
            <w:r>
              <w:rPr>
                <w:rStyle w:val="1149"/>
                <w:rFonts w:hint="eastAsia" w:ascii="宋体" w:hAnsi="宋体" w:eastAsia="宋体" w:cs="宋体"/>
                <w:color w:val="auto"/>
                <w:szCs w:val="21"/>
                <w:highlight w:val="none"/>
                <w:lang w:eastAsia="zh-CN" w:bidi="ar"/>
              </w:rPr>
              <w:t xml:space="preserve">涵闸</w:t>
            </w:r>
            <w:r>
              <w:rPr>
                <w:rStyle w:val="1149"/>
                <w:rFonts w:hint="eastAsia" w:ascii="宋体" w:hAnsi="宋体" w:eastAsia="宋体" w:cs="宋体"/>
                <w:color w:val="auto"/>
                <w:szCs w:val="21"/>
                <w:highlight w:val="none"/>
                <w:lang w:bidi="ar"/>
              </w:rPr>
              <w:t xml:space="preserve">的流量数据、闸门开度信息，以及闸前水位和闸后水位等多维度监测数据，通过高效的数据传输机制，确保监测信息及时、准确地推送至中心管理系统，为水利调度与防汛决策提供可靠的数据支撑。</w:t>
            </w:r>
            <w:r/>
          </w:p>
        </w:tc>
        <w:tc>
          <w:tcPr>
            <w:tcW w:w="21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48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GIS平台增加点位</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在“智慧水利”一张图平台中，计划新增接入30个</w:t>
            </w:r>
            <w:r>
              <w:rPr>
                <w:rStyle w:val="1155"/>
                <w:rFonts w:hint="eastAsia" w:ascii="宋体" w:hAnsi="宋体" w:eastAsia="宋体" w:cs="宋体"/>
                <w:color w:val="auto"/>
                <w:szCs w:val="21"/>
                <w:highlight w:val="none"/>
                <w:lang w:bidi="ar"/>
              </w:rPr>
              <w:t xml:space="preserve">关键</w:t>
            </w:r>
            <w:r>
              <w:rPr>
                <w:rStyle w:val="1155"/>
                <w:rFonts w:hint="eastAsia" w:ascii="宋体" w:hAnsi="宋体" w:eastAsia="宋体" w:cs="宋体"/>
                <w:color w:val="auto"/>
                <w:szCs w:val="21"/>
                <w:highlight w:val="none"/>
                <w:lang w:eastAsia="zh-CN" w:bidi="ar"/>
              </w:rPr>
              <w:t xml:space="preserve">涵闸</w:t>
            </w:r>
            <w:r>
              <w:rPr>
                <w:rStyle w:val="1155"/>
                <w:rFonts w:hint="eastAsia" w:ascii="宋体" w:hAnsi="宋体" w:eastAsia="宋体" w:cs="宋体"/>
                <w:color w:val="auto"/>
                <w:szCs w:val="21"/>
                <w:highlight w:val="none"/>
                <w:lang w:bidi="ar"/>
              </w:rPr>
              <w:t xml:space="preserve">的实时监测数据，具体包括水位动态变化、实时流量信息以及闸门开度的精确数值。</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APP增加点位</w:t>
            </w:r>
            <w:r/>
          </w:p>
        </w:tc>
        <w:tc>
          <w:tcPr>
            <w:tcW w:w="299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在“智慧水利”APP中增加30个</w:t>
            </w:r>
            <w:r>
              <w:rPr>
                <w:rStyle w:val="1155"/>
                <w:rFonts w:hint="eastAsia" w:ascii="宋体" w:hAnsi="宋体" w:eastAsia="宋体" w:cs="宋体"/>
                <w:color w:val="auto"/>
                <w:szCs w:val="21"/>
                <w:highlight w:val="none"/>
                <w:lang w:eastAsia="zh-CN" w:bidi="ar"/>
              </w:rPr>
              <w:t xml:space="preserve">涵闸</w:t>
            </w:r>
            <w:r>
              <w:rPr>
                <w:rStyle w:val="1155"/>
                <w:rFonts w:hint="eastAsia" w:ascii="宋体" w:hAnsi="宋体" w:eastAsia="宋体" w:cs="宋体"/>
                <w:color w:val="auto"/>
                <w:szCs w:val="21"/>
                <w:highlight w:val="none"/>
                <w:lang w:bidi="ar"/>
              </w:rPr>
              <w:t xml:space="preserve">水位、流量、闸门开度数据</w:t>
            </w:r>
            <w:r/>
          </w:p>
        </w:tc>
        <w:tc>
          <w:tcPr>
            <w:tcW w:w="214"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1.8</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防火墙</w:t>
            </w:r>
            <w:r/>
          </w:p>
        </w:tc>
        <w:tc>
          <w:tcPr>
            <w:tcW w:w="299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1U标准机架设备，单电源；设备配置8个千兆自适应电口，2个千兆Combo口；</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整机吞吐量不小于3Gbps，最大TCP并发连接数不小于60万，每秒新建TCP连接数不小于2万；</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★支持对数据库协议查询语句内容的敏感信息检测</w:t>
            </w:r>
            <w:r>
              <w:rPr>
                <w:rFonts w:hint="eastAsia" w:ascii="宋体" w:hAnsi="宋体" w:eastAsia="宋体" w:cs="宋体"/>
                <w:b/>
                <w:bCs/>
                <w:color w:val="auto"/>
                <w:szCs w:val="21"/>
                <w:highlight w:val="none"/>
                <w:lang w:bidi="ar"/>
              </w:rPr>
              <w:t xml:space="preserve">（需提供CMA认证的机构出具的检测报告，</w:t>
            </w:r>
            <w:r>
              <w:rPr>
                <w:rStyle w:val="1170"/>
                <w:rFonts w:hint="eastAsia" w:ascii="宋体" w:hAnsi="宋体" w:eastAsia="宋体" w:cs="宋体"/>
                <w:b/>
                <w:bCs/>
                <w:color w:val="auto"/>
                <w:szCs w:val="21"/>
                <w:highlight w:val="none"/>
                <w:lang w:bidi="ar"/>
              </w:rPr>
              <w:t xml:space="preserve">并加盖投标人公章，扫描上传</w:t>
            </w:r>
            <w:r>
              <w:rPr>
                <w:rFonts w:hint="eastAsia" w:ascii="宋体" w:hAnsi="宋体" w:eastAsia="宋体" w:cs="宋体"/>
                <w:b/>
                <w:bCs/>
                <w:color w:val="auto"/>
                <w:szCs w:val="21"/>
                <w:highlight w:val="none"/>
                <w:lang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支持多操作系统，可在Web界面完成系统备份、系统恢复、指定默认启动系统；</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w:t>
            </w:r>
            <w:r>
              <w:rPr>
                <w:rFonts w:hint="eastAsia" w:ascii="宋体" w:hAnsi="宋体" w:eastAsia="宋体" w:cs="宋体"/>
                <w:color w:val="auto"/>
                <w:szCs w:val="21"/>
                <w:highlight w:val="none"/>
              </w:rPr>
              <w:t xml:space="preserve">通过抗雷击浪涌测试</w:t>
            </w:r>
            <w:r>
              <w:rPr>
                <w:rFonts w:hint="eastAsia" w:ascii="宋体" w:hAnsi="宋体" w:eastAsia="宋体" w:cs="宋体"/>
                <w:b/>
                <w:bCs/>
                <w:color w:val="auto"/>
                <w:szCs w:val="21"/>
                <w:highlight w:val="none"/>
                <w:lang w:bidi="ar"/>
              </w:rPr>
              <w:t xml:space="preserve">（提供第三方权威机构出具的检测报告，</w:t>
            </w:r>
            <w:r>
              <w:rPr>
                <w:rStyle w:val="1170"/>
                <w:rFonts w:hint="eastAsia" w:ascii="宋体" w:hAnsi="宋体" w:eastAsia="宋体" w:cs="宋体"/>
                <w:b/>
                <w:bCs/>
                <w:color w:val="auto"/>
                <w:szCs w:val="21"/>
                <w:highlight w:val="none"/>
                <w:lang w:bidi="ar"/>
              </w:rPr>
              <w:t xml:space="preserve">并加盖投标人公章，扫描上传</w:t>
            </w:r>
            <w:r>
              <w:rPr>
                <w:rFonts w:hint="eastAsia" w:ascii="宋体" w:hAnsi="宋体" w:eastAsia="宋体" w:cs="宋体"/>
                <w:b/>
                <w:bCs/>
                <w:color w:val="auto"/>
                <w:szCs w:val="21"/>
                <w:highlight w:val="none"/>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支持路由、透明、链路聚合、trunk、虚拟线、虚拟网桥、虚拟防火墙引用、拨号、旁路、混合等工作模式，满足复杂的网络应用环境的接入需求；</w:t>
            </w:r>
            <w:r/>
          </w:p>
          <w:p>
            <w:pPr>
              <w:jc w:val="left"/>
              <w:widowControl/>
              <w:rPr>
                <w:rFonts w:hint="eastAsia" w:ascii="宋体" w:hAnsi="宋体" w:eastAsia="宋体" w:cs="宋体"/>
                <w:b/>
                <w:bCs/>
                <w:color w:val="auto"/>
                <w:szCs w:val="21"/>
                <w:highlight w:val="none"/>
                <w:lang w:bidi="ar"/>
              </w:rPr>
            </w:pPr>
            <w:r>
              <w:rPr>
                <w:rFonts w:hint="eastAsia" w:ascii="宋体" w:hAnsi="宋体" w:eastAsia="宋体" w:cs="宋体"/>
                <w:color w:val="auto"/>
                <w:szCs w:val="21"/>
                <w:highlight w:val="none"/>
                <w:lang w:bidi="ar"/>
              </w:rPr>
              <w:t xml:space="preserve">★支持链路聚合功能，支持802.3ad、静态、轮询、热备等多种模式，支持SMAC、DMAC、SMAC+DMAC、SIP、DIP、SIP+DIP、SPORT、DPORT、SPORT+DPORT、SMAC+DMAC+SIP+DIP、SMAC+DMAC+SPORT+DPORT、SIP+DIP+SPORT+DPORT、5-TUPLE等多种负载均衡算法</w:t>
            </w:r>
            <w:r>
              <w:rPr>
                <w:rFonts w:hint="eastAsia" w:ascii="宋体" w:hAnsi="宋体" w:eastAsia="宋体" w:cs="宋体"/>
                <w:b/>
                <w:bCs/>
                <w:color w:val="auto"/>
                <w:szCs w:val="21"/>
                <w:highlight w:val="none"/>
                <w:lang w:bidi="ar"/>
              </w:rPr>
              <w:t xml:space="preserve">（提供产品功能截图，</w:t>
            </w:r>
            <w:r>
              <w:rPr>
                <w:rStyle w:val="1170"/>
                <w:rFonts w:hint="eastAsia" w:ascii="宋体" w:hAnsi="宋体" w:eastAsia="宋体" w:cs="宋体"/>
                <w:b/>
                <w:bCs/>
                <w:color w:val="auto"/>
                <w:szCs w:val="21"/>
                <w:highlight w:val="none"/>
                <w:lang w:bidi="ar"/>
              </w:rPr>
              <w:t xml:space="preserve">并加盖投标人公章</w:t>
            </w:r>
            <w:r>
              <w:rPr>
                <w:rFonts w:hint="eastAsia" w:ascii="宋体" w:hAnsi="宋体" w:eastAsia="宋体" w:cs="宋体"/>
                <w:b/>
                <w:bCs/>
                <w:color w:val="auto"/>
                <w:szCs w:val="21"/>
                <w:highlight w:val="none"/>
                <w:lang w:bidi="ar"/>
              </w:rPr>
              <w:t xml:space="preserve">）</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支持基于IPv4、v6协议的静态路由；</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★支持隐蔽信道防护，避免在被认为是安全的系统中，以违反系统安全策略的方式传递信息</w:t>
            </w:r>
            <w:r>
              <w:rPr>
                <w:rFonts w:hint="eastAsia" w:ascii="宋体" w:hAnsi="宋体" w:eastAsia="宋体" w:cs="宋体"/>
                <w:b/>
                <w:bCs/>
                <w:color w:val="auto"/>
                <w:szCs w:val="21"/>
                <w:highlight w:val="none"/>
                <w:lang w:bidi="ar"/>
              </w:rPr>
              <w:t xml:space="preserve">（提供产品功能截图，并加盖投标人公章）</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支持IPv6安全规则配置，并支持扩展头选项设置，包含逐跳选项报头、目的选项报头、路由报头、分段报头、认证报头、扩展头数量超出、扩展头乱序、流标签非零；</w:t>
            </w:r>
            <w:r/>
          </w:p>
        </w:tc>
        <w:tc>
          <w:tcPr>
            <w:tcW w:w="214"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台</w:t>
            </w:r>
            <w:r/>
          </w:p>
        </w:tc>
        <w:tc>
          <w:tcPr>
            <w:tcW w:w="306"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p>
        </w:tc>
      </w:tr>
      <w:tr>
        <w:trPr>
          <w:trHeight w:val="240"/>
        </w:trPr>
        <w:tc>
          <w:tcPr>
            <w:tcW w:w="303"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1.9</w:t>
            </w:r>
            <w:r/>
          </w:p>
        </w:tc>
        <w:tc>
          <w:tcPr>
            <w:tcW w:w="1185"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系统集成 </w:t>
            </w:r>
            <w:r/>
          </w:p>
        </w:tc>
        <w:tc>
          <w:tcPr>
            <w:tcW w:w="299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提供系统集成服务</w:t>
            </w:r>
            <w:r/>
          </w:p>
        </w:tc>
        <w:tc>
          <w:tcPr>
            <w:tcW w:w="214"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w:t>
            </w:r>
            <w:r/>
          </w:p>
        </w:tc>
        <w:tc>
          <w:tcPr>
            <w:tcW w:w="306"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
          <w:bCs/>
          <w:color w:val="auto"/>
          <w:highlight w:val="none"/>
        </w:rPr>
        <w:t xml:space="preserve">注：投标人须在“技术参数响应及偏离表”中逐条进行应答，列明所投产品详细技术特性说明偏离情况，否则视为负偏离扣分，不作为</w:t>
      </w:r>
      <w:r>
        <w:rPr>
          <w:rFonts w:hint="eastAsia" w:ascii="宋体" w:hAnsi="宋体" w:eastAsia="宋体" w:cs="宋体"/>
          <w:b/>
          <w:bCs/>
          <w:color w:val="auto"/>
          <w:szCs w:val="21"/>
          <w:highlight w:val="none"/>
        </w:rPr>
        <w:t xml:space="preserve">无效投标。</w:t>
      </w:r>
      <w:r>
        <w:rPr>
          <w:rFonts w:hint="eastAsia" w:ascii="宋体" w:hAnsi="宋体" w:eastAsia="宋体" w:cs="宋体"/>
          <w:b/>
          <w:bCs/>
          <w:color w:val="auto"/>
          <w:szCs w:val="21"/>
          <w:highlight w:val="none"/>
        </w:rPr>
        <w:br w:type="page" w:clear="all"/>
      </w:r>
      <w:bookmarkEnd w:id="29"/>
      <w:r/>
      <w:r/>
    </w:p>
    <w:p>
      <w:pPr>
        <w:pStyle w:val="1195"/>
        <w:ind w:left="0" w:firstLine="420"/>
        <w:jc w:val="center"/>
        <w:spacing w:line="360" w:lineRule="auto"/>
        <w:rPr>
          <w:rFonts w:hint="eastAsia" w:ascii="宋体" w:hAnsi="宋体" w:eastAsia="宋体" w:cs="宋体"/>
          <w:color w:val="auto"/>
          <w:highlight w:val="none"/>
        </w:rPr>
        <w:outlineLvl w:val="0"/>
      </w:pPr>
      <w:r/>
      <w:bookmarkStart w:id="30" w:name="_Toc497133123"/>
      <w:r>
        <w:rPr>
          <w:rFonts w:hint="eastAsia" w:ascii="宋体" w:hAnsi="宋体" w:eastAsia="宋体" w:cs="宋体"/>
          <w:b/>
          <w:bCs/>
          <w:color w:val="auto"/>
          <w:sz w:val="36"/>
          <w:highlight w:val="none"/>
        </w:rPr>
        <w:t xml:space="preserve">第五章 评标方法及评标标准</w:t>
      </w:r>
      <w:r/>
    </w:p>
    <w:p>
      <w:pPr>
        <w:pStyle w:val="1196"/>
        <w:ind w:firstLine="422"/>
        <w:jc w:val="both"/>
        <w:spacing w:before="0" w:after="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一、评标方法</w:t>
      </w:r>
      <w:r/>
    </w:p>
    <w:p>
      <w:pPr>
        <w:pStyle w:val="1196"/>
        <w:ind w:firstLine="420"/>
        <w:jc w:val="both"/>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二、政府采购政策功能落实</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1.小微型企业价格扣除</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（1）本项目对小型和微型企业产品给予20%的扣除价格，用扣除后的价格参与评审。</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（2）供应商需按照采购文件的要求提供相应的《中小企业声明函》。</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2.残疾人福利单位价格扣除</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（1）本项目对残疾人福利性单位视同小型、微型企业，给予20%的价格扣除，用扣除后的价格参与评审。</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（2）残疾人福利单位需按照采购文件的要求提供《残疾人福利性单位声明函》。</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（3）残疾人福利单位标准请参照《关于促进残疾人就业政府采购政策的通知》（财库2017〕141号）。</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3.监狱和戒毒企业价格扣除</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（1）本项目对监狱和戒毒企业（简称监狱企业）视同小型、微型企业，给予20%的价格扣除，用扣除后的价格参与评审。</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（3）监狱企业标准请参照《关于政府采购支持监狱企业发展有关问题的通知》（财库[2014]68号）。</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4.残疾人福利单位、监狱企业属于小型、微型企业的，不重复享受政策。</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6.联合体各方均为小型、微型企业（残疾人福利单位、监狱企业）的，联合体享受20%价格扣除，用扣除后的价格参与评审。</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8.采购本国产品的支持政策</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本项目政府采购活动中既有本国产品又有非本国产品参与竞争的，依法对本国产品给予价格评审优惠，对本国产品的报价给予20%的价格扣除，用扣除后的价格参与评审。</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 供应商需按照招标文件的要求提供《关于符合本国产品标准的声明函》（以下简称《声明函》），如不提供将不享受本国产品价格评审优惠。</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1196"/>
        <w:ind w:firstLine="422"/>
        <w:spacing w:before="0" w:after="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三、评标标准</w:t>
      </w:r>
      <w:bookmarkEnd w:id="30"/>
      <w:r/>
      <w:r/>
    </w:p>
    <w:tbl>
      <w:tblPr>
        <w:tblStyle w:val="876"/>
        <w:tblpPr w:horzAnchor="page" w:tblpXSpec="center" w:vertAnchor="text" w:tblpY="57" w:leftFromText="180" w:topFromText="0" w:rightFromText="180" w:bottomFromText="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0"/>
        <w:gridCol w:w="7230"/>
      </w:tblGrid>
      <w:tr>
        <w:trPr>
          <w:jc w:val="center"/>
          <w:trHeight w:val="644"/>
        </w:trPr>
        <w:tc>
          <w:tcPr>
            <w:tcW w:w="757" w:type="pct"/>
            <w:vAlign w:val="center"/>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bookmarkStart w:id="31" w:name="_Hlk157786788"/>
            <w:r>
              <w:rPr>
                <w:rFonts w:hint="eastAsia" w:ascii="宋体" w:hAnsi="宋体" w:eastAsia="宋体" w:cs="宋体"/>
                <w:color w:val="auto"/>
                <w:szCs w:val="21"/>
                <w:highlight w:val="none"/>
              </w:rPr>
              <w:t xml:space="preserve">评审因素</w:t>
            </w:r>
            <w:r/>
          </w:p>
        </w:tc>
        <w:tc>
          <w:tcPr>
            <w:tcW w:w="4243" w:type="pct"/>
            <w:vAlign w:val="center"/>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评审标准</w:t>
            </w:r>
            <w:r/>
          </w:p>
        </w:tc>
      </w:tr>
      <w:tr>
        <w:trPr>
          <w:jc w:val="center"/>
          <w:trHeight w:val="567"/>
        </w:trPr>
        <w:tc>
          <w:tcPr>
            <w:tcW w:w="757" w:type="pct"/>
            <w:vAlign w:val="center"/>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价格部分</w:t>
            </w:r>
            <w:r/>
          </w:p>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w:t>
            </w:r>
            <w:r/>
          </w:p>
        </w:tc>
        <w:tc>
          <w:tcPr>
            <w:tcW w:w="4243" w:type="pct"/>
            <w:vAlign w:val="center"/>
            <w:textDirection w:val="lrTb"/>
            <w:noWrap w:val="false"/>
          </w:tcPr>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以满足招标文件要求的最低报价为基准价，得满分30分。</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其它报价得分＝（基准价/投标报价）×30×100％（保留两位小数）</w:t>
            </w:r>
            <w:r/>
          </w:p>
        </w:tc>
      </w:tr>
      <w:tr>
        <w:trPr>
          <w:jc w:val="center"/>
          <w:trHeight w:val="567"/>
        </w:trPr>
        <w:tc>
          <w:tcPr>
            <w:tcW w:w="757" w:type="pct"/>
            <w:vAlign w:val="center"/>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技术参数（15分）</w:t>
            </w:r>
            <w:r/>
          </w:p>
        </w:tc>
        <w:tc>
          <w:tcPr>
            <w:tcW w:w="4243" w:type="pct"/>
            <w:vAlign w:val="center"/>
            <w:textDirection w:val="lrTb"/>
            <w:noWrap w:val="false"/>
          </w:tcPr>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“技术参数响应及偏离表”全部无偏离的得15分，</w:t>
            </w:r>
            <w:r>
              <w:rPr>
                <w:rFonts w:hint="eastAsia" w:ascii="宋体" w:hAnsi="宋体" w:eastAsia="宋体" w:cs="宋体"/>
                <w:color w:val="auto"/>
                <w:szCs w:val="21"/>
                <w:highlight w:val="none"/>
              </w:rPr>
              <w:t xml:space="preserve">加“★”号项目需求指标参数每有1项不满足扣1.5分，其他项目需求负偏离每有1项不满足扣1分。</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注：投标人须在“技术参数响应及偏离表”中逐条进行应答，列明所投产品详细技术特性说明偏离情况，否则视为负偏离扣分；在“技术参数响应及偏离表”里列明无偏离，</w:t>
            </w:r>
            <w:r>
              <w:rPr>
                <w:rFonts w:hint="eastAsia" w:ascii="宋体" w:hAnsi="宋体" w:eastAsia="宋体" w:cs="宋体"/>
                <w:b/>
                <w:bCs/>
                <w:color w:val="auto"/>
                <w:szCs w:val="21"/>
                <w:highlight w:val="none"/>
              </w:rPr>
              <w:t xml:space="preserve">项目需求中加“★”号指标参数需提供</w:t>
            </w:r>
            <w:r>
              <w:rPr>
                <w:rFonts w:hint="eastAsia" w:ascii="宋体" w:hAnsi="宋体" w:eastAsia="宋体" w:cs="宋体"/>
                <w:b/>
                <w:bCs/>
                <w:color w:val="auto"/>
                <w:highlight w:val="none"/>
              </w:rPr>
              <w:t xml:space="preserve">证明材料进行佐证，未能按要求提供的作为负偏离扣除相应技术得分。</w:t>
            </w:r>
            <w:r/>
          </w:p>
        </w:tc>
      </w:tr>
      <w:tr>
        <w:trPr>
          <w:jc w:val="center"/>
          <w:trHeight w:val="567"/>
        </w:trPr>
        <w:tc>
          <w:tcPr>
            <w:tcW w:w="757" w:type="pct"/>
            <w:vAlign w:val="center"/>
            <w:vMerge w:val="restart"/>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技术方案</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（35分）</w:t>
            </w:r>
            <w:r/>
          </w:p>
        </w:tc>
        <w:tc>
          <w:tcPr>
            <w:tcW w:w="4243" w:type="pct"/>
            <w:vAlign w:val="center"/>
            <w:textDirection w:val="lrTb"/>
            <w:noWrap w:val="false"/>
          </w:tcPr>
          <w:p>
            <w:pPr>
              <w:numPr>
                <w:ilvl w:val="0"/>
                <w:numId w:val="8"/>
              </w:num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现场施工方案（7分）</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投标人根据本项目背景及现状（江都、高邮、宝应各区域涵闸），提供采集设备现场安装位置图、关键工序流程图、分区域施工进度横道图的完整施工措施方案。</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方案科学、严密、合理，描述详细且具有针对性的得7分；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方案较合理、严密、描述较为详细，得4分；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方案较差、具有不合理项，描述略欠缺，得1分；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不提供不得分。</w:t>
            </w:r>
            <w:r/>
          </w:p>
        </w:tc>
      </w:tr>
      <w:tr>
        <w:trPr>
          <w:jc w:val="center"/>
          <w:trHeight w:val="567"/>
        </w:trPr>
        <w:tc>
          <w:tcPr>
            <w:tcW w:w="757" w:type="pct"/>
            <w:vAlign w:val="center"/>
            <w:vMerge w:val="continue"/>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243" w:type="pct"/>
            <w:vAlign w:val="center"/>
            <w:textDirection w:val="lrTb"/>
            <w:noWrap w:val="false"/>
          </w:tcPr>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2、PLC对接与适应性改造方案（8分）</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投标人须提供包含多品牌 PLC 协议兼容对接详细方案、无损接入技术实施方案、以及16 处站点（高邮 10 处、宝应 6 处）现场改造布线图的完整方案。</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方案科学、严密、合理，描述详细且具有针对性的得8分；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方案较合理、严密、描述较为详细，得4分；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方案较差、具有不合理项，描述略欠缺，得1分；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不提供不得分。</w:t>
            </w:r>
            <w:r/>
          </w:p>
        </w:tc>
      </w:tr>
      <w:tr>
        <w:trPr>
          <w:jc w:val="center"/>
          <w:trHeight w:val="567"/>
        </w:trPr>
        <w:tc>
          <w:tcPr>
            <w:tcW w:w="757" w:type="pct"/>
            <w:vAlign w:val="center"/>
            <w:vMerge w:val="continue"/>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243" w:type="pct"/>
            <w:vAlign w:val="center"/>
            <w:textDirection w:val="lrTb"/>
            <w:noWrap w:val="false"/>
          </w:tcPr>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3、流量计算与校准方案（5分）</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投标人提供水位与流量关系曲线校准模型的流量计算方案和流量持续性校准方案，方案中应明确流量计算、数据推送、流量关系曲线动态更新、汛期专项校准等内容。</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方案科学、严密、合理，描述详细且具有针对性的得5分；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方案较合理、严密、描述较为详细，得2分；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方案较差、具有不合理项，描述略欠缺，得1分；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不提供不得分。</w:t>
            </w:r>
            <w:r/>
          </w:p>
        </w:tc>
      </w:tr>
      <w:tr>
        <w:trPr>
          <w:jc w:val="center"/>
          <w:trHeight w:val="567"/>
        </w:trPr>
        <w:tc>
          <w:tcPr>
            <w:tcW w:w="757" w:type="pct"/>
            <w:vAlign w:val="center"/>
            <w:vMerge w:val="continue"/>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243" w:type="pct"/>
            <w:vAlign w:val="center"/>
            <w:textDirection w:val="lrTb"/>
            <w:noWrap w:val="false"/>
          </w:tcPr>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4、水位校准方案（5分）</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投标人需提供包含现场校准作业指导书、校准设备清单与精度证明的校准服务方案。方案中应明确针对江都、高邮、宝应站点制定季度/年度定期校准计划，并提供突发数据异常时的快速溯源与校准流程。</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方案科学、严密、合理，描述详细且具有针对性的得5分；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方案较合理、严密、描述较为详细，得2分；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方案较差、具有不合理项，描述略欠缺，得1分；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不提供不得分。</w:t>
            </w:r>
            <w:r/>
          </w:p>
        </w:tc>
      </w:tr>
      <w:tr>
        <w:trPr>
          <w:jc w:val="center"/>
          <w:trHeight w:val="567"/>
        </w:trPr>
        <w:tc>
          <w:tcPr>
            <w:tcW w:w="757" w:type="pct"/>
            <w:vAlign w:val="center"/>
            <w:vMerge w:val="continue"/>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243" w:type="pct"/>
            <w:vAlign w:val="center"/>
            <w:textDirection w:val="lrTb"/>
            <w:noWrap w:val="false"/>
          </w:tcPr>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5、数据采集与推送软件方案（5分）</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投标人应提供包含采集设备接线图、设备采集范围清单、软件系统架构图、数据推送流程图在内的完整实施方案，方案须明确设备采集范围、采集精度指标、数据采集传输、系统兼容对接等内容。</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方案科学、严密、合理，描述详细且具有针对性的得5分；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方案较合理、严密、描述较为详细，得2分；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方案较差、具有不合理项，描述略欠缺，得1分；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不提供不得分。</w:t>
            </w:r>
            <w:r/>
          </w:p>
        </w:tc>
      </w:tr>
      <w:tr>
        <w:trPr>
          <w:jc w:val="center"/>
          <w:trHeight w:val="567"/>
        </w:trPr>
        <w:tc>
          <w:tcPr>
            <w:tcW w:w="757" w:type="pct"/>
            <w:vAlign w:val="center"/>
            <w:vMerge w:val="continue"/>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243" w:type="pct"/>
            <w:vAlign w:val="center"/>
            <w:textDirection w:val="lrTb"/>
            <w:noWrap w:val="false"/>
          </w:tcPr>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6、数据传输与共享方案（5分）</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投标人提供包含物联专网拓扑结构图、数据传输流程图的完整方案，方案中应明确物联专网建设、数据推送开发、接口开发、平台稳定性等内容。</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方案科学、严密、合理，描述详细且具有针对性的得5分；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方案较合理、严密、描述较为详细，得2分；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方案较差、具有不合理项，描述略欠缺，得1分；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不提供不得分。</w:t>
            </w:r>
            <w:r/>
          </w:p>
        </w:tc>
      </w:tr>
      <w:tr>
        <w:trPr>
          <w:jc w:val="center"/>
          <w:trHeight w:val="567"/>
        </w:trPr>
        <w:tc>
          <w:tcPr>
            <w:tcW w:w="757" w:type="pct"/>
            <w:vAlign w:val="center"/>
            <w:textDirection w:val="lrTb"/>
            <w:noWrap w:val="false"/>
          </w:tcPr>
          <w:p>
            <w:pPr>
              <w:jc w:val="center"/>
              <w:keepLines w:val="0"/>
              <w:keepNext w:val="0"/>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综合实力</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（6分）</w:t>
            </w:r>
            <w:r/>
          </w:p>
        </w:tc>
        <w:tc>
          <w:tcPr>
            <w:tcW w:w="4243" w:type="pct"/>
            <w:vAlign w:val="center"/>
            <w:textDirection w:val="lrTb"/>
            <w:noWrap w:val="false"/>
          </w:tcPr>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1、投标人具有信息系统建设和服务能力CS5级证书的得3分，CS4级及以下的得1分，满分3分，未提供不得分。</w:t>
            </w:r>
            <w:r/>
          </w:p>
          <w:p>
            <w:pPr>
              <w:jc w:val="left"/>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2、投标人具有CNIT-SEC信息安全服务资质(安全工程）一级及以上的得3分，没有不得分。</w:t>
            </w:r>
            <w:r/>
          </w:p>
          <w:p>
            <w:pPr>
              <w:jc w:val="left"/>
              <w:keepLines w:val="0"/>
              <w:keepNext w:val="0"/>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val="zh-CN"/>
              </w:rPr>
              <w:t xml:space="preserve">提供</w:t>
            </w:r>
            <w:r>
              <w:rPr>
                <w:rFonts w:hint="eastAsia" w:ascii="宋体" w:hAnsi="宋体" w:eastAsia="宋体" w:cs="宋体"/>
                <w:b/>
                <w:bCs/>
                <w:color w:val="auto"/>
                <w:szCs w:val="21"/>
                <w:highlight w:val="none"/>
              </w:rPr>
              <w:t xml:space="preserve">证书</w:t>
            </w:r>
            <w:r>
              <w:rPr>
                <w:rFonts w:hint="eastAsia" w:ascii="宋体" w:hAnsi="宋体" w:eastAsia="宋体" w:cs="宋体"/>
                <w:b/>
                <w:bCs/>
                <w:color w:val="auto"/>
                <w:szCs w:val="21"/>
                <w:highlight w:val="none"/>
                <w:lang w:val="zh-CN"/>
              </w:rPr>
              <w:t xml:space="preserve">原件扫描上传，</w:t>
            </w:r>
            <w:r>
              <w:rPr>
                <w:rFonts w:hint="eastAsia" w:ascii="宋体" w:hAnsi="宋体" w:eastAsia="宋体" w:cs="宋体"/>
                <w:b/>
                <w:bCs/>
                <w:color w:val="auto"/>
                <w:szCs w:val="21"/>
                <w:highlight w:val="none"/>
              </w:rPr>
              <w:t xml:space="preserve">并加盖投标人公章，</w:t>
            </w:r>
            <w:r>
              <w:rPr>
                <w:rFonts w:hint="eastAsia" w:ascii="宋体" w:hAnsi="宋体" w:eastAsia="宋体" w:cs="宋体"/>
                <w:b/>
                <w:bCs/>
                <w:color w:val="auto"/>
                <w:szCs w:val="21"/>
                <w:highlight w:val="none"/>
                <w:lang w:val="zh-CN"/>
              </w:rPr>
              <w:t xml:space="preserve">否则不得分。</w:t>
            </w:r>
            <w:r/>
          </w:p>
        </w:tc>
      </w:tr>
      <w:tr>
        <w:trPr>
          <w:jc w:val="center"/>
          <w:trHeight w:val="567"/>
        </w:trPr>
        <w:tc>
          <w:tcPr>
            <w:tcW w:w="757" w:type="pct"/>
            <w:vAlign w:val="center"/>
            <w:textDirection w:val="lrTb"/>
            <w:noWrap w:val="false"/>
          </w:tcPr>
          <w:p>
            <w:pPr>
              <w:jc w:val="center"/>
              <w:keepLines w:val="0"/>
              <w:keepNext w:val="0"/>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团队成员（10分）</w:t>
            </w:r>
            <w:r/>
          </w:p>
        </w:tc>
        <w:tc>
          <w:tcPr>
            <w:tcW w:w="4243" w:type="pct"/>
            <w:vAlign w:val="center"/>
            <w:textDirection w:val="lrTb"/>
            <w:noWrap w:val="false"/>
          </w:tcPr>
          <w:p>
            <w:pPr>
              <w:numPr>
                <w:ilvl w:val="0"/>
                <w:numId w:val="0"/>
              </w:numPr>
              <w:jc w:val="left"/>
              <w:keepLines w:val="0"/>
              <w:keepNext w:val="0"/>
              <w:pageBreakBefore w:val="0"/>
              <w:spacing w:line="420" w:lineRule="exact"/>
              <w:rPr>
                <w:rFonts w:hint="eastAsia" w:ascii="宋体" w:hAnsi="宋体" w:eastAsia="宋体" w:cs="宋体"/>
                <w:color w:val="auto"/>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投标人拟派的项目经理具有系统规划与管理师、注册信息安全</w:t>
            </w:r>
            <w:r>
              <w:rPr>
                <w:rFonts w:hint="eastAsia" w:ascii="宋体" w:hAnsi="宋体" w:eastAsia="宋体" w:cs="宋体"/>
                <w:color w:val="auto"/>
                <w:szCs w:val="21"/>
                <w:highlight w:val="none"/>
              </w:rPr>
              <w:t xml:space="preserve">专业人员</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CISP）</w:t>
            </w:r>
            <w:r>
              <w:rPr>
                <w:rFonts w:hint="eastAsia" w:ascii="宋体" w:hAnsi="宋体" w:eastAsia="宋体" w:cs="宋体"/>
                <w:color w:val="auto"/>
                <w:szCs w:val="21"/>
                <w:highlight w:val="none"/>
                <w:lang w:val="zh-CN"/>
              </w:rPr>
              <w:t xml:space="preserve">证书的，有1个得</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分，满分</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分。</w:t>
            </w:r>
            <w:r/>
          </w:p>
          <w:p>
            <w:pPr>
              <w:jc w:val="left"/>
              <w:keepLines w:val="0"/>
              <w:keepNext w:val="0"/>
              <w:pageBreakBefore w:val="0"/>
              <w:spacing w:line="42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投标人拟派的</w:t>
            </w:r>
            <w:r>
              <w:rPr>
                <w:rFonts w:hint="eastAsia" w:ascii="宋体" w:hAnsi="宋体" w:eastAsia="宋体" w:cs="宋体"/>
                <w:color w:val="auto"/>
                <w:szCs w:val="21"/>
                <w:highlight w:val="none"/>
              </w:rPr>
              <w:t xml:space="preserve">技术负责人</w:t>
            </w:r>
            <w:r>
              <w:rPr>
                <w:rFonts w:hint="eastAsia" w:ascii="宋体" w:hAnsi="宋体" w:eastAsia="宋体" w:cs="宋体"/>
                <w:color w:val="auto"/>
                <w:szCs w:val="21"/>
                <w:highlight w:val="none"/>
                <w:lang w:val="zh-CN"/>
              </w:rPr>
              <w:t xml:space="preserve">具有信息系统项目管理师、IT服务工程师证书、CISAW 信息安全保障人员（</w:t>
            </w:r>
            <w:r>
              <w:rPr>
                <w:rFonts w:hint="eastAsia" w:ascii="宋体" w:hAnsi="宋体" w:eastAsia="宋体" w:cs="宋体"/>
                <w:color w:val="auto"/>
                <w:szCs w:val="21"/>
                <w:highlight w:val="none"/>
              </w:rPr>
              <w:t xml:space="preserve">安全运维</w:t>
            </w:r>
            <w:r>
              <w:rPr>
                <w:rFonts w:hint="eastAsia" w:ascii="宋体" w:hAnsi="宋体" w:eastAsia="宋体" w:cs="宋体"/>
                <w:color w:val="auto"/>
                <w:szCs w:val="21"/>
                <w:highlight w:val="none"/>
                <w:lang w:val="zh-CN"/>
              </w:rPr>
              <w:t xml:space="preserve">）证书的，有1个得</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分，满分</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分。</w:t>
            </w:r>
            <w:r/>
          </w:p>
          <w:p>
            <w:pPr>
              <w:jc w:val="left"/>
              <w:keepLines w:val="0"/>
              <w:keepNext w:val="0"/>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zh-CN"/>
              </w:rPr>
              <w:t xml:space="preserve">注：需提供证书及投标人近3个月内任意1个月为其缴纳社保的证明材料，</w:t>
            </w:r>
            <w:r>
              <w:rPr>
                <w:rFonts w:hint="eastAsia" w:ascii="宋体" w:hAnsi="宋体" w:eastAsia="宋体" w:cs="宋体"/>
                <w:b/>
                <w:bCs/>
                <w:color w:val="auto"/>
                <w:szCs w:val="21"/>
                <w:highlight w:val="none"/>
              </w:rPr>
              <w:t xml:space="preserve">并加盖投标人公章，</w:t>
            </w:r>
            <w:r>
              <w:rPr>
                <w:rFonts w:hint="eastAsia" w:ascii="宋体" w:hAnsi="宋体" w:eastAsia="宋体" w:cs="宋体"/>
                <w:b/>
                <w:bCs/>
                <w:color w:val="auto"/>
                <w:szCs w:val="21"/>
                <w:highlight w:val="none"/>
                <w:lang w:val="zh-CN"/>
              </w:rPr>
              <w:t xml:space="preserve">扫描上传。</w:t>
            </w:r>
            <w:r/>
          </w:p>
        </w:tc>
      </w:tr>
      <w:tr>
        <w:trPr>
          <w:jc w:val="center"/>
          <w:trHeight w:val="567"/>
        </w:trPr>
        <w:tc>
          <w:tcPr>
            <w:tcW w:w="757" w:type="pct"/>
            <w:vAlign w:val="center"/>
            <w:textDirection w:val="lrTb"/>
            <w:noWrap w:val="false"/>
          </w:tcPr>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p>
            <w:pPr>
              <w:jc w:val="center"/>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（4分）</w:t>
            </w:r>
            <w:bookmarkEnd w:id="31"/>
            <w:r/>
            <w:r/>
          </w:p>
        </w:tc>
        <w:tc>
          <w:tcPr>
            <w:tcW w:w="4243" w:type="pct"/>
            <w:vAlign w:val="center"/>
            <w:textDirection w:val="lrTb"/>
            <w:noWrap w:val="false"/>
          </w:tcPr>
          <w:p>
            <w:pPr>
              <w:jc w:val="left"/>
              <w:keepLines w:val="0"/>
              <w:keepNext w:val="0"/>
              <w:pageBreakBefore w:val="0"/>
              <w:spacing w:line="42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投标人自202</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年1月1日以来（以合同书签订时间为准）</w:t>
            </w:r>
            <w:r>
              <w:rPr>
                <w:rFonts w:hint="eastAsia" w:ascii="宋体" w:hAnsi="宋体" w:eastAsia="宋体" w:cs="宋体"/>
                <w:color w:val="auto"/>
                <w:szCs w:val="21"/>
                <w:highlight w:val="none"/>
              </w:rPr>
              <w:t xml:space="preserve">承担过</w:t>
            </w:r>
            <w:r>
              <w:rPr>
                <w:rFonts w:hint="eastAsia" w:ascii="宋体" w:hAnsi="宋体" w:eastAsia="宋体" w:cs="宋体"/>
                <w:color w:val="auto"/>
                <w:szCs w:val="21"/>
                <w:highlight w:val="none"/>
                <w:lang w:val="zh-CN"/>
              </w:rPr>
              <w:t xml:space="preserve">类似项目业绩，每提供一份有效业绩合同得2分，满分</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分。</w:t>
            </w:r>
            <w:r/>
          </w:p>
          <w:p>
            <w:pPr>
              <w:jc w:val="left"/>
              <w:keepLines w:val="0"/>
              <w:keepNext w:val="0"/>
              <w:pageBreakBefore w:val="0"/>
              <w:spacing w:line="420" w:lineRule="exact"/>
              <w:widowControl/>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rPr>
              <w:t xml:space="preserve">注：</w:t>
            </w:r>
            <w:r>
              <w:rPr>
                <w:rFonts w:hint="eastAsia" w:ascii="宋体" w:hAnsi="宋体" w:eastAsia="宋体" w:cs="宋体"/>
                <w:b/>
                <w:bCs/>
                <w:color w:val="auto"/>
                <w:szCs w:val="21"/>
                <w:highlight w:val="none"/>
                <w:lang w:val="zh-CN"/>
              </w:rPr>
              <w:t xml:space="preserve">提供合同</w:t>
            </w:r>
            <w:r>
              <w:rPr>
                <w:rFonts w:hint="eastAsia" w:ascii="宋体" w:hAnsi="宋体" w:eastAsia="宋体" w:cs="宋体"/>
                <w:b/>
                <w:bCs/>
                <w:color w:val="auto"/>
                <w:szCs w:val="21"/>
                <w:highlight w:val="none"/>
              </w:rPr>
              <w:t xml:space="preserve">原件扫描上传，并加盖投标人公章，否则不得分</w:t>
            </w:r>
            <w:r>
              <w:rPr>
                <w:rFonts w:hint="eastAsia" w:ascii="宋体" w:hAnsi="宋体" w:eastAsia="宋体" w:cs="宋体"/>
                <w:b/>
                <w:bCs/>
                <w:color w:val="auto"/>
                <w:szCs w:val="21"/>
                <w:highlight w:val="none"/>
                <w:lang w:val="zh-CN"/>
              </w:rPr>
              <w:t xml:space="preserve">。</w:t>
            </w:r>
            <w:r/>
          </w:p>
        </w:tc>
      </w:tr>
    </w:tbl>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sectPr>
          <w:headerReference w:type="default" r:id="rId11"/>
          <w:footerReference w:type="default" r:id="rId15"/>
          <w:footnotePr/>
          <w:endnotePr/>
          <w:type w:val="nextPage"/>
          <w:pgSz w:w="11906" w:h="16838" w:orient="portrait"/>
          <w:pgMar w:top="1440" w:right="1800" w:bottom="1440" w:left="1800" w:header="851" w:footer="992" w:gutter="0"/>
          <w:pgNumType w:start="21"/>
          <w:cols w:num="1" w:sep="0" w:space="720" w:equalWidth="1"/>
          <w:docGrid w:linePitch="360"/>
        </w:sectPr>
      </w:pPr>
      <w:r>
        <w:rPr>
          <w:rFonts w:hint="eastAsia" w:ascii="宋体" w:hAnsi="宋体" w:eastAsia="宋体" w:cs="宋体"/>
          <w:color w:val="auto"/>
          <w:highlight w:val="none"/>
        </w:rPr>
      </w:r>
      <w:r/>
    </w:p>
    <w:p>
      <w:pPr>
        <w:pStyle w:val="866"/>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投标文件格式 </w:t>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投标主要文件目录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i/>
          <w:color w:val="auto"/>
          <w:sz w:val="24"/>
          <w:highlight w:val="none"/>
          <w:u w:val="single"/>
        </w:rPr>
        <w:t xml:space="preserve">开标一览表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五、分项报价表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七、商务条款响应及偏离表</w:t>
      </w:r>
      <w:r/>
    </w:p>
    <w:p>
      <w:pPr>
        <w:ind w:firstLine="48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highlight w:val="none"/>
        </w:rPr>
        <w:t xml:space="preserve">八、其他 （投标人认为有必要提供的声明和文件，如有自拟并自行添加）</w:t>
      </w:r>
      <w:r/>
    </w:p>
    <w:p>
      <w:pPr>
        <w:contextualSpacing/>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一、资格审查响应对照表</w:t>
      </w:r>
      <w:r/>
    </w:p>
    <w:tbl>
      <w:tblPr>
        <w:tblStyle w:val="876"/>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388"/>
        </w:trPr>
        <w:tc>
          <w:tcPr>
            <w:gridSpan w:val="3"/>
            <w:tcW w:w="8251" w:type="dxa"/>
            <w:vAlign w:val="center"/>
            <w:textDirection w:val="lrTb"/>
            <w:noWrap w:val="false"/>
          </w:tcPr>
          <w:p>
            <w:pPr>
              <w:rPr>
                <w:rFonts w:hint="eastAsia" w:ascii="宋体" w:hAnsi="宋体" w:eastAsia="宋体" w:cs="宋体"/>
                <w:b/>
                <w:bCs/>
                <w:color w:val="auto"/>
                <w:szCs w:val="21"/>
                <w:highlight w:val="none"/>
              </w:rPr>
            </w:pPr>
            <w:r>
              <w:rPr>
                <w:rFonts w:hint="eastAsia"/>
                <w:b/>
                <w:bCs/>
              </w:rPr>
              <w:t xml:space="preserve">通用资格条件</w:t>
            </w:r>
            <w:r/>
          </w:p>
        </w:tc>
      </w:tr>
      <w:tr>
        <w:trPr>
          <w:trHeight w:val="826"/>
        </w:trPr>
        <w:tc>
          <w:tcPr>
            <w:tcW w:w="6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keepLines w:val="0"/>
              <w:keepNext w:val="0"/>
              <w:pageBreakBefore w:val="0"/>
              <w:spacing w:line="400" w:lineRule="exact"/>
              <w:widowControl w:val="off"/>
              <w:rPr>
                <w:rFonts w:hint="eastAsia" w:ascii="宋体" w:hAnsi="宋体" w:eastAsia="宋体" w:cs="宋体"/>
                <w:iCs/>
                <w:color w:val="auto"/>
                <w:szCs w:val="21"/>
                <w:highlight w:val="none"/>
              </w:rPr>
            </w:pPr>
            <w:r>
              <w:rPr>
                <w:rFonts w:hint="eastAsia"/>
              </w:rPr>
              <w:t xml:space="preserve">法人或者其他组织的营业执照等证明文件，自然人的身份证明（身份证为正、反面）</w:t>
            </w:r>
            <w:r/>
          </w:p>
        </w:tc>
        <w:tc>
          <w:tcPr>
            <w:tcW w:w="215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rPr>
              <w:t xml:space="preserve">依法缴纳职工社会保障资金的证明材料(税务、银行或社会保险基</w:t>
            </w:r>
            <w:r>
              <w:t xml:space="preserve">金管理部门出具的提交投标响应文件截止时间前一年内至</w:t>
            </w:r>
            <w:r>
              <w:rPr>
                <w:highlight w:val="none"/>
              </w:rPr>
              <w:t xml:space="preserve">少一个月缴纳职工社会保障资金的缴款凭证或缴款证明)</w:t>
            </w:r>
            <w:r>
              <w:rPr>
                <w:rFonts w:hint="eastAsia" w:ascii="宋体" w:hAnsi="宋体" w:eastAsia="宋体" w:cs="宋体"/>
                <w:b/>
                <w:bCs/>
                <w:color w:val="auto"/>
                <w:highlight w:val="none"/>
              </w:rPr>
              <w:t xml:space="preserve">（投标人依法享受缓缴、免缴的提供证明材料）</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6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提交投标响应文件截止时间前一年内至少一个月依法纳税的缴款凭证</w:t>
            </w:r>
            <w:r>
              <w:rPr>
                <w:rFonts w:hint="eastAsia" w:ascii="宋体" w:hAnsi="宋体" w:eastAsia="宋体" w:cs="宋体"/>
                <w:b/>
                <w:bCs/>
                <w:color w:val="auto"/>
                <w:szCs w:val="21"/>
                <w:highlight w:val="none"/>
              </w:rPr>
              <w:t xml:space="preserve">（投标人依法享受缓缴、免缴的提供证明材料）</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6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keepLines w:val="0"/>
              <w:keepNext w:val="0"/>
              <w:pageBreakBefore w:val="0"/>
              <w:spacing w:line="400" w:lineRule="exact"/>
              <w:widowControl w:val="off"/>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上一年度的财务状况情况</w:t>
            </w:r>
            <w:r>
              <w:rPr>
                <w:rFonts w:hint="eastAsia" w:ascii="宋体" w:hAnsi="宋体" w:eastAsia="宋体" w:cs="宋体"/>
                <w:b/>
                <w:bCs/>
                <w:color w:val="auto"/>
                <w:szCs w:val="21"/>
                <w:highlight w:val="none"/>
              </w:rPr>
              <w:t xml:space="preserve">（成立不满一年不需提供）</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keepLines w:val="0"/>
              <w:keepNext w:val="0"/>
              <w:pageBreakBefore w:val="0"/>
              <w:spacing w:line="400" w:lineRule="exact"/>
              <w:widowControl w:val="off"/>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5447" w:type="dxa"/>
            <w:vAlign w:val="center"/>
            <w:textDirection w:val="lrTb"/>
            <w:noWrap w:val="false"/>
          </w:tcPr>
          <w:p>
            <w:pPr>
              <w:keepLines w:val="0"/>
              <w:keepNext w:val="0"/>
              <w:pageBreakBefore w:val="0"/>
              <w:spacing w:line="400" w:lineRule="exact"/>
              <w:widowControl w:val="off"/>
              <w:rPr>
                <w:rFonts w:hint="eastAsia" w:ascii="宋体" w:hAnsi="宋体" w:eastAsia="宋体" w:cs="宋体"/>
                <w:iCs/>
                <w:color w:val="auto"/>
                <w:szCs w:val="21"/>
                <w:highlight w:val="none"/>
              </w:rPr>
            </w:pPr>
            <w:r>
              <w:rPr>
                <w:rFonts w:hint="eastAsia"/>
              </w:rPr>
              <w:t xml:space="preserve">参加本次政府采购活动前3年内在经营活动中没有重大违法记录的书面声明</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5447"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95"/>
        </w:trPr>
        <w:tc>
          <w:tcPr>
            <w:tcW w:w="6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5447"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信用承诺函</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7"/>
        </w:trPr>
        <w:tc>
          <w:tcPr>
            <w:gridSpan w:val="3"/>
            <w:tcW w:w="8251" w:type="dxa"/>
            <w:vAlign w:val="center"/>
            <w:textDirection w:val="lrTb"/>
            <w:noWrap w:val="false"/>
          </w:tcPr>
          <w:p>
            <w:pPr>
              <w:rPr>
                <w:rFonts w:hint="eastAsia" w:ascii="宋体" w:hAnsi="宋体" w:eastAsia="宋体" w:cs="宋体"/>
                <w:color w:val="auto"/>
                <w:szCs w:val="21"/>
                <w:highlight w:val="none"/>
              </w:rPr>
            </w:pPr>
            <w:r>
              <w:rPr>
                <w:rFonts w:hint="eastAsia"/>
                <w:b/>
                <w:bCs/>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9</w:t>
            </w:r>
            <w:r/>
          </w:p>
        </w:tc>
        <w:tc>
          <w:tcPr>
            <w:tcW w:w="544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无</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3"/>
        </w:trPr>
        <w:tc>
          <w:tcPr>
            <w:gridSpan w:val="3"/>
            <w:tcW w:w="8251" w:type="dxa"/>
            <w:vAlign w:val="center"/>
            <w:textDirection w:val="lrTb"/>
            <w:noWrap w:val="false"/>
          </w:tcPr>
          <w:p>
            <w:pPr>
              <w:rPr>
                <w:rFonts w:hint="eastAsia" w:ascii="宋体" w:hAnsi="宋体" w:eastAsia="宋体" w:cs="宋体"/>
                <w:color w:val="auto"/>
                <w:szCs w:val="21"/>
                <w:highlight w:val="none"/>
              </w:rPr>
            </w:pPr>
            <w:r>
              <w:rPr>
                <w:rFonts w:hint="eastAsia"/>
                <w:b/>
                <w:bCs/>
              </w:rPr>
              <w:t xml:space="preserve">特定资格条件</w:t>
            </w:r>
            <w:r/>
          </w:p>
        </w:tc>
      </w:tr>
      <w:tr>
        <w:trPr>
          <w:trHeight w:val="389"/>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5447" w:type="dxa"/>
            <w:vAlign w:val="center"/>
            <w:textDirection w:val="lrTb"/>
            <w:noWrap w:val="false"/>
          </w:tcPr>
          <w:p>
            <w:pPr>
              <w:rPr>
                <w:rFonts w:hint="eastAsia" w:ascii="宋体" w:hAnsi="宋体" w:eastAsia="宋体" w:cs="宋体"/>
                <w:iCs/>
                <w:color w:val="auto"/>
                <w:szCs w:val="21"/>
                <w:highlight w:val="none"/>
              </w:rPr>
            </w:pPr>
            <w:r>
              <w:rPr>
                <w:rFonts w:hint="eastAsia"/>
              </w:rPr>
              <w:t xml:space="preserve">无</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gridSpan w:val="3"/>
            <w:tcW w:w="8251"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w:t>
            </w:r>
            <w:r/>
          </w:p>
        </w:tc>
      </w:tr>
      <w:tr>
        <w:trPr>
          <w:trHeight w:val="40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5447" w:type="dxa"/>
            <w:vAlign w:val="center"/>
            <w:textDirection w:val="lrTb"/>
            <w:noWrap w:val="false"/>
          </w:tcPr>
          <w:p>
            <w:pPr>
              <w:jc w:val="left"/>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投标函</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5447" w:type="dxa"/>
            <w:vAlign w:val="center"/>
            <w:textDirection w:val="lrTb"/>
            <w:noWrap w:val="false"/>
          </w:tcPr>
          <w:p>
            <w:pPr>
              <w:jc w:val="left"/>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法人授权书</w:t>
            </w:r>
            <w:r/>
          </w:p>
        </w:tc>
        <w:tc>
          <w:tcPr>
            <w:tcW w:w="21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1476"/>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spacing w:line="360" w:lineRule="auto"/>
        <w:rPr>
          <w:rFonts w:hint="eastAsia" w:ascii="宋体" w:hAnsi="宋体" w:eastAsia="宋体" w:cs="宋体"/>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供应商名称（公章）：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日期：______年    月    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500" w:lineRule="exact"/>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cs="宋体"/>
          <w:b/>
          <w:color w:val="auto"/>
          <w:szCs w:val="21"/>
          <w:highlight w:val="none"/>
          <w:lang w:val="en-US" w:eastAsia="zh-CN"/>
        </w:rPr>
        <w:t xml:space="preserve">投标人</w:t>
      </w:r>
      <w:r>
        <w:rPr>
          <w:rFonts w:hint="eastAsia" w:ascii="宋体" w:hAnsi="宋体" w:eastAsia="宋体" w:cs="宋体"/>
          <w:b/>
          <w:color w:val="auto"/>
          <w:szCs w:val="21"/>
          <w:highlight w:val="none"/>
        </w:rPr>
        <w:t xml:space="preserve">信用承诺书</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承诺单位（签章）：           </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jc w:val="cente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投标函格式</w:t>
      </w:r>
      <w:r/>
    </w:p>
    <w:p>
      <w:pPr>
        <w:pStyle w:val="1196"/>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致：扬州览众建设工程咨询服务有限公司</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cs="宋体"/>
          <w:color w:val="auto"/>
          <w:szCs w:val="21"/>
          <w:highlight w:val="none"/>
          <w:lang w:eastAsia="zh-CN"/>
        </w:rPr>
        <w:t xml:space="preserve">JSZC-321000-YZLZ-G2026-0004</w:t>
      </w:r>
      <w:r>
        <w:rPr>
          <w:rFonts w:hint="eastAsia" w:ascii="宋体" w:hAnsi="宋体" w:eastAsia="宋体" w:cs="宋体"/>
          <w:color w:val="auto"/>
          <w:szCs w:val="21"/>
          <w:highlight w:val="none"/>
        </w:rPr>
        <w:t xml:space="preserve">号招标文件，正式授权下述签字人____(姓名)代表我方____________（投标人的名称），全权处理本次项目投标的有关事宜。</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据此函，__________签字人（姓名）兹宣布同意如下：</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1.按招标文件规定的各项要求，向买方提供所需货物与服务。</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1196"/>
        <w:ind w:firstLine="420"/>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1196"/>
        <w:ind w:left="425" w:firstLine="105"/>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pStyle w:val="1196"/>
        <w:ind w:firstLine="478"/>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1196"/>
        <w:ind w:firstLine="478"/>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1196"/>
        <w:ind w:firstLine="478"/>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w:t>
      </w:r>
      <w:r/>
    </w:p>
    <w:p>
      <w:pPr>
        <w:pStyle w:val="1196"/>
        <w:ind w:firstLine="478"/>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 </w:t>
      </w:r>
      <w:r/>
    </w:p>
    <w:p>
      <w:pPr>
        <w:pStyle w:val="1196"/>
        <w:ind w:firstLine="478"/>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投标人开户行：</w:t>
      </w:r>
      <w:r/>
    </w:p>
    <w:p>
      <w:pPr>
        <w:pStyle w:val="1196"/>
        <w:ind w:firstLine="478"/>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户： </w:t>
      </w:r>
      <w:r/>
    </w:p>
    <w:p>
      <w:pPr>
        <w:pStyle w:val="1196"/>
        <w:ind w:firstLine="478"/>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行 号：</w:t>
      </w:r>
      <w:r/>
    </w:p>
    <w:p>
      <w:pPr>
        <w:pStyle w:val="1196"/>
        <w:ind w:firstLine="478"/>
        <w:spacing w:before="0" w:after="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contextualSpacing/>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rPr>
        <w:t xml:space="preserve">法人授权书</w:t>
      </w:r>
      <w:r/>
    </w:p>
    <w:p>
      <w:pPr>
        <w:pStyle w:val="120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120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20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20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被授权人姓名：_______________________     </w:t>
      </w:r>
      <w:r/>
    </w:p>
    <w:p>
      <w:pPr>
        <w:pStyle w:val="1203"/>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120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单位名称：___________________________</w:t>
      </w:r>
      <w:r/>
    </w:p>
    <w:p>
      <w:pPr>
        <w:pStyle w:val="1203"/>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120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460" w:lineRule="exact"/>
        <w:rPr>
          <w:rFonts w:hint="eastAsia" w:ascii="宋体" w:hAnsi="宋体" w:eastAsia="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highlight w:val="none"/>
        </w:rPr>
        <w:t xml:space="preserve">被授权人身份证复印</w:t>
      </w:r>
      <w:r/>
    </w:p>
    <w:p>
      <w:pPr>
        <w:jc w:val="center"/>
        <w:spacing w:before="260" w:after="260" w:line="416"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二、符合性审查响应对照表</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87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05"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2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57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2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6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57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2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6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111"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57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2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111"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57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2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before="260" w:after="260" w:line="416"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三、非实质性响应对照表</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87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605"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05"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111"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575"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22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111"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57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2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111"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57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2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312"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312" w:after="312"/>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color w:val="auto"/>
          <w:highlight w:val="none"/>
          <w:u w:val="single"/>
        </w:rPr>
        <w:t xml:space="preserve">工业</w:t>
      </w:r>
      <w:r>
        <w:rPr>
          <w:rFonts w:hint="eastAsia" w:ascii="宋体" w:hAnsi="宋体" w:eastAsia="宋体" w:cs="宋体"/>
          <w:color w:val="auto"/>
          <w:highlight w:val="none"/>
          <w:u w:val="single"/>
        </w:rPr>
        <w:t xml:space="preserve">行业</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color w:val="auto"/>
          <w:highlight w:val="none"/>
          <w:u w:val="single"/>
        </w:rPr>
        <w:t xml:space="preserve">工业</w:t>
      </w:r>
      <w:r>
        <w:rPr>
          <w:rFonts w:hint="eastAsia" w:ascii="宋体" w:hAnsi="宋体" w:eastAsia="宋体" w:cs="宋体"/>
          <w:color w:val="auto"/>
          <w:highlight w:val="none"/>
          <w:u w:val="single"/>
        </w:rPr>
        <w:t xml:space="preserve">行业</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注：1、供应商如不提供此声明函，价格将不做相应扣除。</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2、企业声明函请完整填写，中标后将公示。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企业名称（盖章）：</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1从业人员、营业收入、资产总额填报上一年度数据，无上一年度数据的新成立企业可不填报。</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312" w:after="312"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rPr>
          <w:rFonts w:hint="eastAsia" w:ascii="宋体" w:hAnsi="宋体" w:eastAsia="宋体" w:cs="宋体"/>
          <w:color w:val="auto"/>
          <w:highlight w:val="none"/>
        </w:rPr>
      </w:pPr>
      <w:r>
        <w:rPr>
          <w:rFonts w:hint="eastAsia" w:ascii="宋体" w:hAnsi="宋体" w:eastAsia="宋体" w:cs="宋体"/>
          <w:b/>
          <w:bCs/>
          <w:color w:val="auto"/>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圆整（￥：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供应商全称（盖章）：</w:t>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pStyle w:val="867"/>
        <w:numPr>
          <w:ilvl w:val="0"/>
          <w:numId w:val="0"/>
        </w:numPr>
        <w:jc w:val="center"/>
        <w:spacing w:line="360" w:lineRule="auto"/>
        <w:widowControl/>
        <w:rPr>
          <w:rFonts w:hint="eastAsia" w:ascii="宋体" w:hAnsi="宋体" w:eastAsia="宋体" w:cs="宋体"/>
          <w:bCs w:val="0"/>
          <w:color w:val="auto"/>
          <w:sz w:val="21"/>
          <w:szCs w:val="21"/>
          <w:highlight w:val="none"/>
        </w:rPr>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val="0"/>
          <w:color w:val="auto"/>
          <w:sz w:val="21"/>
          <w:szCs w:val="21"/>
          <w:highlight w:val="none"/>
        </w:rPr>
      </w:r>
      <w:r/>
    </w:p>
    <w:p>
      <w:pPr>
        <w:pStyle w:val="867"/>
        <w:numPr>
          <w:ilvl w:val="0"/>
          <w:numId w:val="0"/>
        </w:num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r/>
    </w:p>
    <w:p>
      <w:pPr>
        <w:pStyle w:val="908"/>
        <w:ind w:firstLine="420"/>
        <w:spacing w:before="300" w:after="452" w:line="360" w:lineRule="auto"/>
        <w:widowControl/>
        <w:rPr>
          <w:rFonts w:hint="eastAsia" w:ascii="宋体" w:hAnsi="宋体" w:eastAsia="宋体" w:cs="宋体"/>
          <w:color w:val="auto"/>
          <w:sz w:val="21"/>
          <w:szCs w:val="21"/>
          <w:highlight w:val="none"/>
        </w:rPr>
      </w:pPr>
      <w:r>
        <w:rPr>
          <w:rStyle w:val="913"/>
          <w:rFonts w:hint="eastAsia" w:ascii="宋体" w:hAnsi="宋体" w:eastAsia="宋体" w:cs="宋体"/>
          <w:color w:val="auto"/>
          <w:sz w:val="21"/>
          <w:szCs w:val="21"/>
          <w:highlight w:val="none"/>
        </w:rPr>
        <w:t xml:space="preserve">中小微企业划型标准如下：</w:t>
      </w:r>
      <w:r/>
    </w:p>
    <w:tbl>
      <w:tblPr>
        <w:tblStyle w:val="876"/>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08"/>
              <w:jc w:val="center"/>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08"/>
              <w:spacing w:line="360" w:lineRule="auto"/>
              <w:widowControl/>
              <w:rPr>
                <w:rFonts w:hint="eastAsia" w:ascii="宋体" w:hAnsi="宋体" w:eastAsia="宋体" w:cs="宋体"/>
                <w:b/>
                <w:bCs/>
                <w:color w:val="auto"/>
                <w:sz w:val="21"/>
                <w:szCs w:val="21"/>
                <w:highlight w:val="none"/>
              </w:rPr>
            </w:pPr>
            <w:r>
              <w:rPr>
                <w:rStyle w:val="913"/>
                <w:rFonts w:hint="eastAsia" w:ascii="宋体" w:hAnsi="宋体" w:eastAsia="宋体" w:cs="宋体"/>
                <w:color w:val="auto"/>
                <w:sz w:val="21"/>
                <w:szCs w:val="21"/>
                <w:highlight w:val="none"/>
              </w:rPr>
              <w:t xml:space="preserve">X＜10</w:t>
            </w:r>
            <w:r/>
          </w:p>
        </w:tc>
      </w:tr>
    </w:tbl>
    <w:p>
      <w:pPr>
        <w:pStyle w:val="908"/>
        <w:ind w:firstLine="462"/>
        <w:spacing w:before="300" w:after="452" w:line="360" w:lineRule="auto"/>
        <w:widowControl/>
        <w:rPr>
          <w:rStyle w:val="913"/>
          <w:rFonts w:hint="eastAsia" w:ascii="宋体" w:hAnsi="宋体" w:eastAsia="宋体" w:cs="宋体"/>
          <w:color w:val="auto"/>
          <w:sz w:val="21"/>
          <w:szCs w:val="21"/>
          <w:highlight w:val="none"/>
        </w:rPr>
      </w:pPr>
      <w:r>
        <w:rPr>
          <w:rStyle w:val="913"/>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Style w:val="913"/>
          <w:rFonts w:hint="eastAsia" w:ascii="宋体" w:hAnsi="宋体" w:eastAsia="宋体" w:cs="宋体"/>
          <w:color w:val="auto"/>
          <w:sz w:val="21"/>
          <w:szCs w:val="21"/>
          <w:highlight w:val="none"/>
        </w:rPr>
      </w:pPr>
      <w:r>
        <w:rPr>
          <w:rStyle w:val="913"/>
          <w:rFonts w:hint="eastAsia" w:ascii="宋体" w:hAnsi="宋体" w:eastAsia="宋体" w:cs="宋体"/>
          <w:color w:val="auto"/>
          <w:sz w:val="21"/>
          <w:szCs w:val="21"/>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pStyle w:val="908"/>
        <w:ind w:firstLine="420"/>
        <w:spacing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8"/>
        <w:ind w:firstLine="420"/>
        <w:spacing w:line="0"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firstLine="420"/>
        <w:spacing w:before="30" w:after="30" w:line="0"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shd w:val="clear" w:color="auto" w:fill="ffffff"/>
        </w:rPr>
        <w:t xml:space="preserve">1.</w:t>
      </w:r>
      <w:r>
        <w:rPr>
          <w:rStyle w:val="917"/>
          <w:rFonts w:hint="eastAsia" w:ascii="宋体" w:hAnsi="宋体" w:eastAsia="宋体" w:cs="宋体"/>
          <w:i w:val="0"/>
          <w:color w:val="auto"/>
          <w:sz w:val="24"/>
          <w:szCs w:val="24"/>
          <w:highlight w:val="none"/>
          <w:u w:val="single"/>
          <w:shd w:val="clear" w:color="auto" w:fill="ffffff"/>
        </w:rPr>
        <w:t xml:space="preserve">（产品名称1）</w:t>
      </w:r>
      <w:r>
        <w:rPr>
          <w:rStyle w:val="917"/>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917"/>
          <w:rFonts w:hint="eastAsia" w:ascii="宋体" w:hAnsi="宋体" w:eastAsia="宋体" w:cs="宋体"/>
          <w:i w:val="0"/>
          <w:color w:val="auto"/>
          <w:sz w:val="24"/>
          <w:szCs w:val="24"/>
          <w:highlight w:val="none"/>
          <w:u w:val="single"/>
          <w:shd w:val="clear" w:color="auto" w:fill="ffffff"/>
        </w:rPr>
        <w:t xml:space="preserve">（厂名）</w:t>
      </w:r>
      <w:r>
        <w:rPr>
          <w:rStyle w:val="917"/>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917"/>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917"/>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917"/>
          <w:rFonts w:hint="eastAsia" w:ascii="宋体" w:hAnsi="宋体" w:eastAsia="宋体" w:cs="宋体"/>
          <w:i w:val="0"/>
          <w:color w:val="auto"/>
          <w:sz w:val="24"/>
          <w:szCs w:val="24"/>
          <w:highlight w:val="none"/>
          <w:u w:val="single"/>
          <w:shd w:val="clear" w:color="auto" w:fill="ffffff"/>
        </w:rPr>
        <w:t xml:space="preserve">（规定比例）</w:t>
      </w:r>
      <w:r>
        <w:rPr>
          <w:rStyle w:val="917"/>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917"/>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917"/>
          <w:rFonts w:hint="eastAsia" w:ascii="宋体" w:hAnsi="宋体" w:eastAsia="宋体" w:cs="宋体"/>
          <w:i w:val="0"/>
          <w:color w:val="auto"/>
          <w:sz w:val="24"/>
          <w:szCs w:val="24"/>
          <w:highlight w:val="none"/>
          <w:u w:val="single"/>
          <w:shd w:val="clear" w:color="auto" w:fill="ffffff"/>
        </w:rPr>
        <w:t xml:space="preserve">（关键组件）</w:t>
      </w:r>
      <w:r>
        <w:rPr>
          <w:rStyle w:val="917"/>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917"/>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917"/>
          <w:rFonts w:hint="eastAsia" w:ascii="宋体" w:hAnsi="宋体" w:eastAsia="宋体" w:cs="宋体"/>
          <w:i w:val="0"/>
          <w:color w:val="auto"/>
          <w:sz w:val="24"/>
          <w:szCs w:val="24"/>
          <w:highlight w:val="none"/>
          <w:u w:val="single"/>
          <w:shd w:val="clear" w:color="auto" w:fill="ffffff"/>
        </w:rPr>
        <w:t xml:space="preserve">（关键工序）</w:t>
      </w:r>
      <w:r>
        <w:rPr>
          <w:rStyle w:val="917"/>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pStyle w:val="908"/>
        <w:ind w:firstLine="420"/>
        <w:spacing w:before="30" w:after="30" w:line="0"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1"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Cs w:val="24"/>
          <w:highlight w:val="none"/>
          <w:shd w:val="clear" w:color="auto" w:fill="ffffff"/>
        </w:rPr>
        <w:t xml:space="preserve">2.</w:t>
      </w:r>
      <w:r>
        <w:rPr>
          <w:rStyle w:val="917"/>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，生产厂为</w:t>
      </w:r>
      <w:r>
        <w:rPr>
          <w:rStyle w:val="917"/>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Cs w:val="24"/>
          <w:highlight w:val="none"/>
          <w:shd w:val="clear" w:color="auto" w:fill="ffffff"/>
        </w:rPr>
        <w:t xml:space="preserve">，厂址为</w:t>
      </w:r>
      <w:r>
        <w:rPr>
          <w:rStyle w:val="917"/>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Style w:val="917"/>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的中国境内生产的组件成本占比≥</w:t>
      </w:r>
      <w:r>
        <w:rPr>
          <w:rStyle w:val="917"/>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Cs w:val="24"/>
          <w:highlight w:val="none"/>
          <w:shd w:val="clear" w:color="auto" w:fill="ffffff"/>
        </w:rPr>
        <w:t xml:space="preserve">。</w:t>
      </w:r>
      <w:r>
        <w:rPr>
          <w:rStyle w:val="917"/>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Cs w:val="24"/>
          <w:highlight w:val="none"/>
          <w:shd w:val="clear" w:color="auto" w:fill="ffffff"/>
        </w:rPr>
        <w:t xml:space="preserve">的</w:t>
      </w:r>
      <w:r>
        <w:rPr>
          <w:rStyle w:val="917"/>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Cs w:val="24"/>
          <w:highlight w:val="none"/>
          <w:shd w:val="clear" w:color="auto" w:fill="ffffff"/>
        </w:rPr>
        <w:t xml:space="preserve">在中国境内生产。</w:t>
      </w:r>
      <w:r>
        <w:rPr>
          <w:rStyle w:val="917"/>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917"/>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Cs w:val="24"/>
          <w:highlight w:val="none"/>
          <w:shd w:val="clear" w:color="auto" w:fill="ffffff"/>
        </w:rPr>
        <w:t xml:space="preserve">在中国境内完成。</w:t>
      </w:r>
      <w:r/>
    </w:p>
    <w:p>
      <w:pPr>
        <w:pStyle w:val="908"/>
        <w:ind w:firstLine="420"/>
        <w:spacing w:before="30" w:after="30" w:line="0"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w:t>
      </w:r>
      <w:r/>
    </w:p>
    <w:p>
      <w:pPr>
        <w:pStyle w:val="908"/>
        <w:ind w:firstLine="420"/>
        <w:spacing w:before="30" w:after="30" w:line="0"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本公司（单位）对上述声明内容的真实性负责。如有虚假，愿承担相应法律责任。</w:t>
      </w:r>
      <w:r/>
    </w:p>
    <w:p>
      <w:pPr>
        <w:pStyle w:val="908"/>
        <w:spacing w:before="30" w:after="30" w:line="0"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08"/>
        <w:ind w:right="480" w:firstLine="3720"/>
        <w:spacing w:before="30" w:after="30" w:line="0"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公司（单位）名称（盖章）：　        </w:t>
      </w:r>
      <w:r/>
    </w:p>
    <w:p>
      <w:pPr>
        <w:pStyle w:val="908"/>
        <w:jc w:val="center"/>
        <w:spacing w:before="30" w:after="30" w:line="0" w:lineRule="atLeast"/>
        <w:rPr>
          <w:rFonts w:hint="eastAsia" w:ascii="宋体" w:hAnsi="宋体" w:eastAsia="宋体" w:cs="宋体"/>
          <w:color w:val="auto"/>
          <w:highlight w:val="none"/>
        </w:rPr>
      </w:pPr>
      <w:r>
        <w:rPr>
          <w:rFonts w:hint="eastAsia" w:ascii="宋体" w:hAnsi="宋体" w:eastAsia="宋体" w:cs="宋体"/>
          <w:color w:val="auto"/>
          <w:szCs w:val="24"/>
          <w:highlight w:val="none"/>
          <w:shd w:val="clear" w:color="auto" w:fill="ffffff"/>
        </w:rPr>
        <w:t xml:space="preserve">                                日期：　   年　  月　  日    </w:t>
      </w:r>
      <w:r>
        <w:rPr>
          <w:rFonts w:hint="eastAsia" w:ascii="宋体" w:hAnsi="宋体" w:eastAsia="宋体" w:cs="宋体"/>
          <w:color w:val="auto"/>
          <w:highlight w:val="none"/>
          <w:shd w:val="clear" w:color="auto" w:fill="ffffff"/>
        </w:rPr>
        <w:t xml:space="preserve">     </w:t>
      </w:r>
      <w:r/>
    </w:p>
    <w:p>
      <w:pPr>
        <w:pStyle w:val="908"/>
        <w:spacing w:before="30" w:after="3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908"/>
        <w:spacing w:before="30" w:after="3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908"/>
        <w:spacing w:before="30" w:after="3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908"/>
        <w:spacing w:before="30" w:after="3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908"/>
        <w:spacing w:before="30" w:after="3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908"/>
        <w:spacing w:before="30" w:after="30" w:line="0" w:lineRule="atLeas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908"/>
        <w:spacing w:before="30" w:after="30" w:line="0" w:lineRule="atLeas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08"/>
        <w:ind w:firstLine="462"/>
        <w:spacing w:before="300" w:after="452" w:line="360" w:lineRule="auto"/>
        <w:widowControl/>
        <w:rPr>
          <w:rStyle w:val="91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rPr>
          <w:rFonts w:hint="eastAsia" w:ascii="宋体" w:hAnsi="宋体" w:eastAsia="宋体" w:cs="宋体"/>
          <w:color w:val="auto"/>
          <w:sz w:val="32"/>
          <w:highlight w:val="none"/>
        </w:rPr>
      </w:pPr>
      <w:r>
        <w:rPr>
          <w:rStyle w:val="913"/>
          <w:rFonts w:hint="eastAsia" w:ascii="宋体" w:hAnsi="宋体" w:eastAsia="宋体" w:cs="宋体"/>
          <w:b w:val="0"/>
          <w:bCs w:val="0"/>
          <w:color w:val="auto"/>
          <w:sz w:val="21"/>
          <w:szCs w:val="21"/>
          <w:highlight w:val="none"/>
        </w:rPr>
        <w:br w:type="page" w:clear="all"/>
      </w:r>
      <w:r>
        <w:rPr>
          <w:rFonts w:hint="eastAsia" w:ascii="宋体" w:hAnsi="宋体" w:eastAsia="宋体" w:cs="宋体"/>
          <w:b/>
          <w:color w:val="auto"/>
          <w:sz w:val="32"/>
          <w:szCs w:val="32"/>
          <w:highlight w:val="none"/>
        </w:rPr>
        <w:t xml:space="preserve">四、开标一览表</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    </w:t>
      </w:r>
      <w:r/>
    </w:p>
    <w:tbl>
      <w:tblPr>
        <w:tblStyle w:val="87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88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投标总报价</w:t>
            </w:r>
            <w:r/>
          </w:p>
        </w:tc>
      </w:tr>
      <w:tr>
        <w:trPr>
          <w:cantSplit/>
          <w:trHeight w:val="1697"/>
        </w:trPr>
        <w:tc>
          <w:tcPr>
            <w:tcW w:w="2377" w:type="dxa"/>
            <w:vAlign w:val="center"/>
            <w:textDirection w:val="lrTb"/>
            <w:noWrap w:val="false"/>
          </w:tcPr>
          <w:p>
            <w:pPr>
              <w:pStyle w:val="88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143" w:type="dxa"/>
            <w:vAlign w:val="center"/>
            <w:textDirection w:val="lrTb"/>
            <w:noWrap w:val="false"/>
          </w:tcPr>
          <w:p>
            <w:pPr>
              <w:pStyle w:val="1196"/>
              <w:ind w:firstLine="42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                       </w:t>
            </w:r>
            <w:r/>
          </w:p>
          <w:p>
            <w:pPr>
              <w:pStyle w:val="1196"/>
              <w:ind w:firstLine="42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                            （人民币：元   ）</w:t>
            </w:r>
            <w:r/>
          </w:p>
        </w:tc>
      </w:tr>
      <w:tr>
        <w:trPr>
          <w:cantSplit/>
          <w:trHeight w:val="1697"/>
        </w:trPr>
        <w:tc>
          <w:tcPr>
            <w:tcW w:w="2377" w:type="dxa"/>
            <w:vAlign w:val="center"/>
            <w:textDirection w:val="lrTb"/>
            <w:noWrap w:val="false"/>
          </w:tcPr>
          <w:p>
            <w:pPr>
              <w:pStyle w:val="885"/>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143" w:type="dxa"/>
            <w:vAlign w:val="center"/>
            <w:textDirection w:val="lrTb"/>
            <w:noWrap w:val="false"/>
          </w:tcPr>
          <w:p>
            <w:pPr>
              <w:pStyle w:val="885"/>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left="21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0"/>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color w:val="auto"/>
          <w:sz w:val="32"/>
          <w:szCs w:val="32"/>
          <w:highlight w:val="none"/>
        </w:rPr>
        <w:br w:type="page" w:clear="all"/>
      </w:r>
      <w:bookmarkStart w:id="32" w:name="_Toc113352361"/>
      <w:r>
        <w:rPr>
          <w:rFonts w:hint="eastAsia" w:ascii="宋体" w:hAnsi="宋体" w:eastAsia="宋体" w:cs="宋体"/>
          <w:b/>
          <w:color w:val="auto"/>
          <w:sz w:val="32"/>
          <w:szCs w:val="32"/>
          <w:highlight w:val="none"/>
        </w:rPr>
        <w:t xml:space="preserve">五、分项报价表</w:t>
      </w:r>
      <w:bookmarkEnd w:id="32"/>
      <w:r/>
      <w:r/>
    </w:p>
    <w:tbl>
      <w:tblPr>
        <w:tblStyle w:val="87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6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30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90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W w:w="16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230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tc>
        <w:tc>
          <w:tcPr>
            <w:tcW w:w="190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w:t>
            </w:r>
            <w:r/>
          </w:p>
        </w:tc>
      </w:tr>
      <w:tr>
        <w:trPr>
          <w:cantSplit/>
          <w:trHeight w:val="675"/>
        </w:trPr>
        <w:tc>
          <w:tcPr>
            <w:tcW w:w="265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3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3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3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75"/>
        </w:trPr>
        <w:tc>
          <w:tcPr>
            <w:tcW w:w="265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3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gridSpan w:val="3"/>
            <w:tcW w:w="5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75"/>
        </w:trPr>
        <w:tc>
          <w:tcPr>
            <w:gridSpan w:val="4"/>
            <w:tcW w:w="8519"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tc>
      </w:tr>
    </w:tbl>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六、技术参数响应及偏离表</w:t>
      </w:r>
      <w:r/>
    </w:p>
    <w:tbl>
      <w:tblPr>
        <w:tblStyle w:val="87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6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招标要求</w:t>
            </w:r>
            <w:r/>
          </w:p>
        </w:tc>
        <w:tc>
          <w:tcPr>
            <w:tcW w:w="26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w:t>
            </w:r>
            <w:r/>
          </w:p>
        </w:tc>
        <w:tc>
          <w:tcPr>
            <w:tcW w:w="121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09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91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1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1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1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1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1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1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1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65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5"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注：1、按照基本技术要求详细填列。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2、行数不够，可自行添加。</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highlight w:val="none"/>
        </w:rPr>
        <w:br w:type="page" w:clear="all"/>
      </w:r>
      <w:bookmarkStart w:id="33" w:name="_Hlt26955054"/>
      <w:r/>
      <w:bookmarkEnd w:id="33"/>
      <w:r/>
      <w:bookmarkStart w:id="34" w:name="_Toc113352363"/>
      <w:r>
        <w:rPr>
          <w:rFonts w:hint="eastAsia" w:ascii="宋体" w:hAnsi="宋体" w:eastAsia="宋体" w:cs="宋体"/>
          <w:b/>
          <w:color w:val="auto"/>
          <w:sz w:val="32"/>
          <w:szCs w:val="32"/>
          <w:highlight w:val="none"/>
        </w:rPr>
        <w:t xml:space="preserve">七、商务条款响应及偏离表</w:t>
      </w:r>
      <w:bookmarkEnd w:id="34"/>
      <w:r/>
      <w:r/>
    </w:p>
    <w:tbl>
      <w:tblPr>
        <w:tblStyle w:val="876"/>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48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880"/>
        <w:ind w:firstLine="480"/>
        <w:rPr>
          <w:rFonts w:hint="eastAsia" w:ascii="宋体" w:hAnsi="宋体" w:eastAsia="宋体" w:cs="宋体"/>
          <w:color w:val="auto"/>
          <w:sz w:val="24"/>
          <w:highlight w:val="none"/>
        </w:rPr>
      </w:pPr>
      <w:r/>
      <w:bookmarkStart w:id="35" w:name="_Hlt26955066"/>
      <w:r/>
      <w:bookmarkEnd w:id="35"/>
      <w:r/>
      <w:bookmarkStart w:id="36" w:name="_Hlt26609389"/>
      <w:r/>
      <w:bookmarkEnd w:id="36"/>
      <w:r/>
      <w:bookmarkStart w:id="37" w:name="_Hlt26671374"/>
      <w:r/>
      <w:bookmarkEnd w:id="37"/>
      <w:r/>
      <w:bookmarkStart w:id="38" w:name="_Toc462564146"/>
      <w:r/>
      <w:r/>
    </w:p>
    <w:p>
      <w:pPr>
        <w:pStyle w:val="88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8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0"/>
        <w:ind w:firstLine="643"/>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80"/>
        <w:ind w:firstLine="480"/>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br w:type="page" w:clear="all"/>
      </w:r>
      <w:bookmarkEnd w:id="38"/>
      <w:r/>
      <w:r/>
    </w:p>
    <w:p>
      <w:pPr>
        <w:pStyle w:val="88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highlight w:val="none"/>
        </w:rPr>
      </w:pPr>
      <w:r/>
      <w:bookmarkStart w:id="39" w:name="_格式2__法定代表人授权书"/>
      <w:r/>
      <w:bookmarkEnd w:id="39"/>
      <w:r>
        <w:rPr>
          <w:rFonts w:hint="eastAsia" w:ascii="宋体" w:hAnsi="宋体" w:eastAsia="宋体" w:cs="宋体"/>
          <w:b/>
          <w:color w:val="auto"/>
          <w:highlight w:val="none"/>
        </w:rPr>
        <w:t xml:space="preserve">主要标的信息（中标后将公示）</w:t>
      </w:r>
      <w:r/>
    </w:p>
    <w:p>
      <w:pPr>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投标人全称：</w:t>
      </w:r>
      <w:r/>
    </w:p>
    <w:tbl>
      <w:tblPr>
        <w:tblStyle w:val="87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c>
          <w:tcPr>
            <w:tcW w:w="4193"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服务类</w:t>
            </w:r>
            <w:r/>
          </w:p>
        </w:tc>
      </w:tr>
      <w:tr>
        <w:trPr>
          <w:trHeight w:val="567"/>
        </w:trPr>
        <w:tc>
          <w:tcPr>
            <w:tcW w:w="4327"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W w:w="4193"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服务范围：</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服务要求：</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服务时间：</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服务标准：</w:t>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Symbol">
    <w:panose1 w:val="05050102010706020507"/>
  </w:font>
  <w:font w:name="方正仿宋_GB2312">
    <w:panose1 w:val="020B0503020202020204"/>
  </w:font>
  <w:font w:name="方正楷体_GB2312">
    <w:panose1 w:val="020B0503020202020204"/>
  </w:font>
  <w:font w:name="DejaVu Math TeX Gyre">
    <w:panose1 w:val="02000503000000000000"/>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Verdana">
    <w:panose1 w:val="020B0604030504040204"/>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rPr>
        <w:rFonts w:ascii="方正楷体_GB2312" w:eastAsia="方正楷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jc w:val="center"/>
                          </w:pPr>
                          <w:r>
                            <w:rPr>
                              <w:rFonts w:ascii="方正楷体_GB2312" w:eastAsia="方正楷体_GB2312"/>
                            </w:rPr>
                            <w:fldChar w:fldCharType="begin"/>
                          </w:r>
                          <w:r>
                            <w:rPr>
                              <w:rFonts w:ascii="方正楷体_GB2312" w:eastAsia="方正楷体_GB2312"/>
                            </w:rPr>
                            <w:instrText xml:space="preserve"> Page \* MERGEFORMAT </w:instrText>
                          </w:r>
                          <w:r>
                            <w:rPr>
                              <w:rFonts w:ascii="方正楷体_GB2312" w:eastAsia="方正楷体_GB2312"/>
                            </w:rPr>
                            <w:fldChar w:fldCharType="separate"/>
                          </w:r>
                          <w:r>
                            <w:rPr>
                              <w:rFonts w:ascii="方正楷体_GB2312" w:eastAsia="方正楷体_GB2312"/>
                            </w:rPr>
                            <w:t xml:space="preserve">- 2 -</w:t>
                          </w:r>
                          <w:r>
                            <w:rPr>
                              <w:rFonts w:ascii="方正楷体_GB2312" w:eastAsia="方正楷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jc w:val="center"/>
                    </w:pPr>
                    <w:r>
                      <w:rPr>
                        <w:rFonts w:ascii="方正楷体_GB2312" w:eastAsia="方正楷体_GB2312"/>
                      </w:rPr>
                      <w:fldChar w:fldCharType="begin"/>
                    </w:r>
                    <w:r>
                      <w:rPr>
                        <w:rFonts w:ascii="方正楷体_GB2312" w:eastAsia="方正楷体_GB2312"/>
                      </w:rPr>
                      <w:instrText xml:space="preserve"> Page \* MERGEFORMAT </w:instrText>
                    </w:r>
                    <w:r>
                      <w:rPr>
                        <w:rFonts w:ascii="方正楷体_GB2312" w:eastAsia="方正楷体_GB2312"/>
                      </w:rPr>
                      <w:fldChar w:fldCharType="separate"/>
                    </w:r>
                    <w:r>
                      <w:rPr>
                        <w:rFonts w:ascii="方正楷体_GB2312" w:eastAsia="方正楷体_GB2312"/>
                      </w:rPr>
                      <w:t xml:space="preserve">- 2 -</w:t>
                    </w:r>
                    <w:r>
                      <w:rPr>
                        <w:rFonts w:ascii="方正楷体_GB2312" w:eastAsia="方正楷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5"/>
      <w:jc w:val="center"/>
      <w:rPr>
        <w:rStyle w:val="1276"/>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posOffset>2657475</wp:posOffset>
              </wp:positionH>
              <wp:positionV relativeFrom="paragraph">
                <wp:posOffset>-8890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6"/>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71552;o:allowoverlap:true;o:allowincell:true;mso-position-horizontal-relative:margin;margin-left:209.2pt;mso-position-horizontal:absolute;mso-position-vertical-relative:text;margin-top:-0.7pt;mso-position-vertical:absolute;width:144.0pt;height:144.0pt;mso-wrap-distance-left:9.0pt;mso-wrap-distance-top:0.0pt;mso-wrap-distance-right:9.0pt;mso-wrap-distance-bottom:0.0pt;v-text-anchor:top;visibility:visible;" filled="f" stroked="f" strokeweight="0.50pt">
              <v:textbox inset="0,0,0,0">
                <w:txbxContent>
                  <w:p>
                    <w:pPr>
                      <w:pStyle w:val="89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p>
    <w:pPr>
      <w:pStyle w:val="127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方正仿宋_GB2312" w:eastAsia="方正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方正仿宋_GB2312" w:eastAsia="方正仿宋_GB2312"/>
                              <w:bCs/>
                              <w:sz w:val="18"/>
                              <w:szCs w:val="18"/>
                            </w:rPr>
                            <w:fldChar w:fldCharType="begin"/>
                          </w:r>
                          <w:r>
                            <w:rPr>
                              <w:rFonts w:ascii="方正仿宋_GB2312" w:eastAsia="方正仿宋_GB2312"/>
                              <w:bCs/>
                              <w:sz w:val="18"/>
                              <w:szCs w:val="18"/>
                            </w:rPr>
                            <w:instrText xml:space="preserve">PAGE  </w:instrText>
                          </w:r>
                          <w:r>
                            <w:rPr>
                              <w:rFonts w:ascii="方正仿宋_GB2312" w:eastAsia="方正仿宋_GB2312"/>
                              <w:bCs/>
                              <w:sz w:val="18"/>
                              <w:szCs w:val="18"/>
                            </w:rPr>
                            <w:fldChar w:fldCharType="separate"/>
                          </w:r>
                          <w:r>
                            <w:rPr>
                              <w:rFonts w:ascii="方正仿宋_GB2312" w:eastAsia="方正仿宋_GB2312"/>
                              <w:bCs/>
                              <w:sz w:val="18"/>
                              <w:szCs w:val="18"/>
                            </w:rPr>
                            <w:t xml:space="preserve">- 75 -</w:t>
                          </w:r>
                          <w:r>
                            <w:rPr>
                              <w:rFonts w:ascii="方正仿宋_GB2312" w:eastAsia="方正仿宋_GB2312"/>
                              <w:bCs/>
                              <w:sz w:val="18"/>
                              <w:szCs w:val="18"/>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方正仿宋_GB2312" w:eastAsia="方正仿宋_GB2312"/>
                        <w:bCs/>
                        <w:sz w:val="18"/>
                        <w:szCs w:val="18"/>
                      </w:rPr>
                      <w:fldChar w:fldCharType="begin"/>
                    </w:r>
                    <w:r>
                      <w:rPr>
                        <w:rFonts w:ascii="方正仿宋_GB2312" w:eastAsia="方正仿宋_GB2312"/>
                        <w:bCs/>
                        <w:sz w:val="18"/>
                        <w:szCs w:val="18"/>
                      </w:rPr>
                      <w:instrText xml:space="preserve">PAGE  </w:instrText>
                    </w:r>
                    <w:r>
                      <w:rPr>
                        <w:rFonts w:ascii="方正仿宋_GB2312" w:eastAsia="方正仿宋_GB2312"/>
                        <w:bCs/>
                        <w:sz w:val="18"/>
                        <w:szCs w:val="18"/>
                      </w:rPr>
                      <w:fldChar w:fldCharType="separate"/>
                    </w:r>
                    <w:r>
                      <w:rPr>
                        <w:rFonts w:ascii="方正仿宋_GB2312" w:eastAsia="方正仿宋_GB2312"/>
                        <w:bCs/>
                        <w:sz w:val="18"/>
                        <w:szCs w:val="18"/>
                      </w:rPr>
                      <w:t xml:space="preserve">- 75 -</w:t>
                    </w:r>
                    <w:r>
                      <w:rPr>
                        <w:rFonts w:ascii="方正仿宋_GB2312" w:eastAsia="方正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rFonts w:hint="eastAsia" w:ascii="宋体" w:hAnsi="宋体" w:cs="宋体"/>
        <w:lang w:eastAsia="zh-CN"/>
      </w:rPr>
      <w:t xml:space="preserve">JSZC-321000-YZLZ-G2026-0004</w:t>
    </w:r>
    <w:r>
      <w:rPr>
        <w:rFonts w:hint="eastAsia" w:ascii="宋体" w:hAnsi="宋体" w:cs="宋体"/>
      </w:rPr>
      <w:t xml:space="preserve">号</w:t>
    </w:r>
    <w:r>
      <w:rPr>
        <w:rFonts w:hint="eastAsia"/>
      </w:rPr>
      <w:t xml:space="preserve">                    扬州览众建设工程咨询服务有限公司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rFonts w:hint="eastAsia" w:ascii="宋体" w:hAnsi="宋体" w:cs="宋体"/>
        <w:lang w:eastAsia="zh-CN"/>
      </w:rPr>
      <w:t xml:space="preserve">JSZC-321000-YZLZ-G2026-0004</w:t>
    </w:r>
    <w:r>
      <w:rPr>
        <w:rFonts w:hint="eastAsia" w:ascii="宋体" w:hAnsi="宋体" w:cs="宋体"/>
      </w:rPr>
      <w:t xml:space="preserve">号</w:t>
    </w:r>
    <w:r>
      <w:rPr>
        <w:rFonts w:hint="eastAsia"/>
      </w:rPr>
      <w:t xml:space="preserve">                      扬州览众建设工程咨询服务有限公司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Bdr>
        <w:bottom w:val="single" w:color="auto" w:sz="4" w:space="1"/>
      </w:pBdr>
    </w:pPr>
    <w:r>
      <w:rPr>
        <w:rFonts w:hint="eastAsia"/>
        <w:lang w:eastAsia="zh-CN"/>
      </w:rPr>
      <w:t xml:space="preserve">JSZC-321000-YZLZ-G2026-0004</w:t>
    </w:r>
    <w:r>
      <w:rPr>
        <w:rFonts w:hint="eastAsia"/>
      </w:rPr>
      <w:t xml:space="preserve">号                      扬州览众建设工程咨询服务有限公司</w:t>
    </w:r>
    <w:r/>
  </w:p>
  <w:p>
    <w:pPr>
      <w:pStyle w:val="89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97"/>
      <w:isLgl/>
      <w:suff w:val="tab"/>
      <w:lvlText w:val="%1.%2"/>
      <w:lvlJc w:val="left"/>
      <w:pPr>
        <w:ind w:left="0" w:firstLine="0"/>
        <w:tabs>
          <w:tab w:val="left" w:pos="851" w:leader="none"/>
        </w:tabs>
      </w:pPr>
    </w:lvl>
    <w:lvl w:ilvl="2">
      <w:start w:val="1"/>
      <w:numFmt w:val="decimal"/>
      <w:pStyle w:val="1181"/>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177"/>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95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867"/>
      <w:isLgl w:val="false"/>
      <w:suff w:val="space"/>
      <w:lvlText w:val="%1.%2"/>
      <w:lvlJc w:val="left"/>
      <w:pPr>
        <w:ind w:left="851" w:hanging="567"/>
      </w:pPr>
      <w:rPr>
        <w:rFonts w:hint="default" w:ascii="Arial" w:hAnsi="Arial" w:eastAsia="黑体"/>
        <w:b/>
        <w:i w:val="0"/>
        <w:sz w:val="28"/>
        <w:szCs w:val="28"/>
      </w:rPr>
    </w:lvl>
    <w:lvl w:ilvl="2">
      <w:start w:val="1"/>
      <w:numFmt w:val="decimal"/>
      <w:pStyle w:val="868"/>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japaneseCounting"/>
      <w:pStyle w:val="1187"/>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0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5">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4">
    <w:name w:val="TOC Heading"/>
    <w:uiPriority w:val="39"/>
    <w:unhideWhenUsed/>
  </w:style>
  <w:style w:type="paragraph" w:styleId="865" w:default="1">
    <w:name w:val="Normal"/>
    <w:next w:val="877"/>
    <w:uiPriority w:val="0"/>
    <w:qFormat/>
    <w:pPr>
      <w:jc w:val="both"/>
      <w:widowControl w:val="off"/>
    </w:pPr>
    <w:rPr>
      <w:rFonts w:ascii="Times New Roman" w:hAnsi="Times New Roman" w:eastAsia="宋体" w:cs="Times New Roman"/>
      <w:sz w:val="21"/>
      <w:szCs w:val="22"/>
      <w:lang w:val="en-US" w:eastAsia="zh-CN" w:bidi="ar-SA"/>
    </w:rPr>
  </w:style>
  <w:style w:type="paragraph" w:styleId="866">
    <w:name w:val="Heading 1"/>
    <w:basedOn w:val="865"/>
    <w:next w:val="865"/>
    <w:link w:val="1087"/>
    <w:uiPriority w:val="0"/>
    <w:qFormat/>
    <w:pPr>
      <w:keepLines/>
      <w:keepNext/>
      <w:spacing w:before="340" w:after="330" w:line="578" w:lineRule="auto"/>
      <w:outlineLvl w:val="0"/>
    </w:pPr>
    <w:rPr>
      <w:b/>
      <w:bCs/>
      <w:sz w:val="44"/>
      <w:szCs w:val="44"/>
    </w:rPr>
  </w:style>
  <w:style w:type="paragraph" w:styleId="867">
    <w:name w:val="Heading 2"/>
    <w:basedOn w:val="865"/>
    <w:next w:val="865"/>
    <w:link w:val="1088"/>
    <w:uiPriority w:val="0"/>
    <w:qFormat/>
    <w:pPr>
      <w:numPr>
        <w:ilvl w:val="1"/>
        <w:numId w:val="1"/>
      </w:numPr>
      <w:jc w:val="left"/>
      <w:keepLines/>
      <w:keepNext/>
      <w:spacing w:before="312" w:after="312"/>
      <w:outlineLvl w:val="1"/>
    </w:pPr>
    <w:rPr>
      <w:rFonts w:ascii="Arial" w:hAnsi="Arial"/>
      <w:b/>
      <w:bCs/>
      <w:sz w:val="28"/>
      <w:szCs w:val="36"/>
    </w:rPr>
  </w:style>
  <w:style w:type="paragraph" w:styleId="868">
    <w:name w:val="Heading 3"/>
    <w:basedOn w:val="865"/>
    <w:next w:val="865"/>
    <w:link w:val="1090"/>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869">
    <w:name w:val="Heading 4"/>
    <w:basedOn w:val="865"/>
    <w:next w:val="865"/>
    <w:link w:val="1091"/>
    <w:uiPriority w:val="0"/>
    <w:qFormat/>
    <w:pPr>
      <w:spacing w:before="280" w:after="290" w:line="377" w:lineRule="auto"/>
      <w:outlineLvl w:val="3"/>
    </w:pPr>
    <w:rPr>
      <w:rFonts w:ascii="Arial" w:hAnsi="Arial" w:eastAsia="黑体"/>
      <w:b/>
      <w:bCs/>
      <w:sz w:val="28"/>
      <w:szCs w:val="28"/>
    </w:rPr>
  </w:style>
  <w:style w:type="paragraph" w:styleId="870">
    <w:name w:val="Heading 5"/>
    <w:basedOn w:val="865"/>
    <w:next w:val="865"/>
    <w:link w:val="1092"/>
    <w:uiPriority w:val="0"/>
    <w:qFormat/>
    <w:pPr>
      <w:keepLines/>
      <w:keepNext/>
      <w:spacing w:before="280" w:after="290" w:line="376" w:lineRule="auto"/>
      <w:outlineLvl w:val="4"/>
    </w:pPr>
    <w:rPr>
      <w:rFonts w:ascii="Calibri" w:hAnsi="Calibri"/>
      <w:b/>
      <w:bCs/>
      <w:sz w:val="28"/>
      <w:szCs w:val="28"/>
    </w:rPr>
  </w:style>
  <w:style w:type="paragraph" w:styleId="871">
    <w:name w:val="Heading 6"/>
    <w:basedOn w:val="865"/>
    <w:next w:val="865"/>
    <w:link w:val="1093"/>
    <w:uiPriority w:val="0"/>
    <w:qFormat/>
    <w:pPr>
      <w:ind w:left="1152" w:hanging="1152"/>
      <w:keepLines/>
      <w:keepNext/>
      <w:spacing w:before="240" w:after="64" w:line="320" w:lineRule="auto"/>
      <w:outlineLvl w:val="5"/>
    </w:pPr>
    <w:rPr>
      <w:rFonts w:ascii="Cambria" w:hAnsi="Cambria"/>
      <w:b/>
      <w:bCs/>
      <w:sz w:val="24"/>
      <w:szCs w:val="24"/>
    </w:rPr>
  </w:style>
  <w:style w:type="paragraph" w:styleId="872">
    <w:name w:val="Heading 7"/>
    <w:basedOn w:val="865"/>
    <w:next w:val="865"/>
    <w:link w:val="1094"/>
    <w:uiPriority w:val="0"/>
    <w:qFormat/>
    <w:pPr>
      <w:ind w:left="1296" w:hanging="1296"/>
      <w:keepLines/>
      <w:keepNext/>
      <w:spacing w:before="240" w:after="64" w:line="320" w:lineRule="auto"/>
      <w:outlineLvl w:val="6"/>
    </w:pPr>
    <w:rPr>
      <w:b/>
      <w:bCs/>
      <w:sz w:val="24"/>
      <w:szCs w:val="24"/>
    </w:rPr>
  </w:style>
  <w:style w:type="paragraph" w:styleId="873">
    <w:name w:val="Heading 8"/>
    <w:basedOn w:val="865"/>
    <w:next w:val="865"/>
    <w:link w:val="1095"/>
    <w:uiPriority w:val="0"/>
    <w:qFormat/>
    <w:pPr>
      <w:ind w:left="1440" w:hanging="1440"/>
      <w:keepLines/>
      <w:keepNext/>
      <w:spacing w:before="240" w:after="64" w:line="320" w:lineRule="auto"/>
      <w:outlineLvl w:val="7"/>
    </w:pPr>
    <w:rPr>
      <w:rFonts w:ascii="Cambria" w:hAnsi="Cambria"/>
      <w:sz w:val="24"/>
      <w:szCs w:val="24"/>
    </w:rPr>
  </w:style>
  <w:style w:type="paragraph" w:styleId="874">
    <w:name w:val="Heading 9"/>
    <w:basedOn w:val="865"/>
    <w:next w:val="865"/>
    <w:link w:val="1096"/>
    <w:uiPriority w:val="0"/>
    <w:qFormat/>
    <w:pPr>
      <w:ind w:left="1584" w:hanging="1584"/>
      <w:keepLines/>
      <w:keepNext/>
      <w:spacing w:before="240" w:after="64" w:line="320" w:lineRule="auto"/>
      <w:outlineLvl w:val="8"/>
    </w:pPr>
    <w:rPr>
      <w:rFonts w:ascii="Cambria" w:hAnsi="Cambria"/>
      <w:sz w:val="20"/>
      <w:szCs w:val="21"/>
    </w:rPr>
  </w:style>
  <w:style w:type="character" w:styleId="875" w:default="1">
    <w:name w:val="Default Paragraph Font"/>
    <w:uiPriority w:val="1"/>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Body Text Indent"/>
    <w:basedOn w:val="865"/>
    <w:next w:val="878"/>
    <w:link w:val="1101"/>
    <w:uiPriority w:val="99"/>
    <w:qFormat/>
    <w:pPr>
      <w:ind w:left="420"/>
      <w:spacing w:after="120"/>
    </w:pPr>
    <w:rPr>
      <w:sz w:val="20"/>
      <w:szCs w:val="24"/>
    </w:rPr>
  </w:style>
  <w:style w:type="paragraph" w:styleId="878">
    <w:name w:val="envelope return"/>
    <w:basedOn w:val="865"/>
    <w:uiPriority w:val="0"/>
    <w:qFormat/>
    <w:rPr>
      <w:rFonts w:ascii="Arial" w:hAnsi="Arial"/>
    </w:rPr>
  </w:style>
  <w:style w:type="paragraph" w:styleId="879">
    <w:name w:val="toc 7"/>
    <w:basedOn w:val="865"/>
    <w:next w:val="865"/>
    <w:uiPriority w:val="39"/>
    <w:unhideWhenUsed/>
    <w:qFormat/>
    <w:pPr>
      <w:ind w:left="1701"/>
      <w:spacing w:after="57"/>
    </w:pPr>
  </w:style>
  <w:style w:type="paragraph" w:styleId="880">
    <w:name w:val="Normal Indent"/>
    <w:basedOn w:val="865"/>
    <w:link w:val="1089"/>
    <w:uiPriority w:val="0"/>
    <w:unhideWhenUsed/>
    <w:qFormat/>
    <w:pPr>
      <w:ind w:firstLine="420"/>
    </w:pPr>
  </w:style>
  <w:style w:type="paragraph" w:styleId="881">
    <w:name w:val="Caption"/>
    <w:basedOn w:val="865"/>
    <w:next w:val="865"/>
    <w:uiPriority w:val="0"/>
    <w:qFormat/>
    <w:rPr>
      <w:rFonts w:ascii="Arial" w:hAnsi="Arial" w:eastAsia="黑体"/>
      <w:sz w:val="20"/>
    </w:rPr>
  </w:style>
  <w:style w:type="paragraph" w:styleId="882">
    <w:name w:val="Document Map"/>
    <w:basedOn w:val="865"/>
    <w:link w:val="1097"/>
    <w:uiPriority w:val="0"/>
    <w:qFormat/>
    <w:rPr>
      <w:rFonts w:ascii="宋体"/>
      <w:sz w:val="18"/>
      <w:szCs w:val="18"/>
    </w:rPr>
  </w:style>
  <w:style w:type="paragraph" w:styleId="883">
    <w:name w:val="annotation text"/>
    <w:basedOn w:val="865"/>
    <w:link w:val="1098"/>
    <w:uiPriority w:val="99"/>
    <w:unhideWhenUsed/>
    <w:qFormat/>
    <w:pPr>
      <w:jc w:val="left"/>
    </w:pPr>
    <w:rPr>
      <w:sz w:val="20"/>
      <w:szCs w:val="24"/>
    </w:rPr>
  </w:style>
  <w:style w:type="paragraph" w:styleId="884">
    <w:name w:val="Body Text 3"/>
    <w:basedOn w:val="865"/>
    <w:link w:val="1099"/>
    <w:uiPriority w:val="0"/>
    <w:qFormat/>
    <w:rPr>
      <w:rFonts w:ascii="宋体"/>
      <w:sz w:val="24"/>
      <w:szCs w:val="20"/>
    </w:rPr>
  </w:style>
  <w:style w:type="paragraph" w:styleId="885">
    <w:name w:val="Body Text"/>
    <w:basedOn w:val="865"/>
    <w:next w:val="886"/>
    <w:link w:val="1100"/>
    <w:uiPriority w:val="0"/>
    <w:qFormat/>
    <w:rPr>
      <w:rFonts w:ascii="楷体_GB2312" w:hAnsi="Arial" w:eastAsia="楷体_GB2312"/>
      <w:sz w:val="28"/>
      <w:szCs w:val="28"/>
    </w:rPr>
  </w:style>
  <w:style w:type="paragraph" w:styleId="886">
    <w:name w:val="Body Text First Indent"/>
    <w:basedOn w:val="885"/>
    <w:next w:val="887"/>
    <w:uiPriority w:val="0"/>
    <w:qFormat/>
    <w:pPr>
      <w:ind w:left="300" w:firstLine="420"/>
      <w:spacing w:after="120"/>
    </w:pPr>
    <w:rPr>
      <w:rFonts w:ascii="宋体" w:hAnsi="Verdana"/>
      <w:lang w:val="en-GB"/>
    </w:rPr>
  </w:style>
  <w:style w:type="paragraph" w:styleId="887">
    <w:name w:val="toc 6"/>
    <w:basedOn w:val="865"/>
    <w:next w:val="865"/>
    <w:uiPriority w:val="39"/>
    <w:unhideWhenUsed/>
    <w:qFormat/>
    <w:pPr>
      <w:ind w:left="1417"/>
      <w:spacing w:after="57"/>
    </w:pPr>
  </w:style>
  <w:style w:type="paragraph" w:styleId="888">
    <w:name w:val="List Bullet 2"/>
    <w:basedOn w:val="865"/>
    <w:uiPriority w:val="99"/>
    <w:unhideWhenUsed/>
    <w:qFormat/>
    <w:pPr>
      <w:ind w:left="780" w:hanging="360"/>
      <w:tabs>
        <w:tab w:val="left" w:pos="780" w:leader="none"/>
      </w:tabs>
    </w:pPr>
  </w:style>
  <w:style w:type="paragraph" w:styleId="889">
    <w:name w:val="toc 5"/>
    <w:basedOn w:val="865"/>
    <w:next w:val="865"/>
    <w:uiPriority w:val="39"/>
    <w:unhideWhenUsed/>
    <w:qFormat/>
    <w:pPr>
      <w:ind w:left="1134"/>
      <w:spacing w:after="57"/>
    </w:pPr>
  </w:style>
  <w:style w:type="paragraph" w:styleId="890">
    <w:name w:val="toc 3"/>
    <w:basedOn w:val="865"/>
    <w:next w:val="865"/>
    <w:uiPriority w:val="39"/>
    <w:unhideWhenUsed/>
    <w:qFormat/>
    <w:pPr>
      <w:ind w:left="840"/>
    </w:pPr>
    <w:rPr>
      <w:rFonts w:ascii="Calibri" w:hAnsi="Calibri"/>
    </w:rPr>
  </w:style>
  <w:style w:type="paragraph" w:styleId="891">
    <w:name w:val="Plain Text"/>
    <w:basedOn w:val="865"/>
    <w:link w:val="1102"/>
    <w:uiPriority w:val="0"/>
    <w:qFormat/>
    <w:rPr>
      <w:rFonts w:ascii="宋体" w:hAnsi="Courier New"/>
      <w:sz w:val="20"/>
      <w:szCs w:val="21"/>
    </w:rPr>
  </w:style>
  <w:style w:type="paragraph" w:styleId="892">
    <w:name w:val="toc 8"/>
    <w:basedOn w:val="865"/>
    <w:next w:val="865"/>
    <w:uiPriority w:val="39"/>
    <w:unhideWhenUsed/>
    <w:qFormat/>
    <w:pPr>
      <w:ind w:left="1984"/>
      <w:spacing w:after="57"/>
    </w:pPr>
  </w:style>
  <w:style w:type="paragraph" w:styleId="893">
    <w:name w:val="Body Text Indent 2"/>
    <w:basedOn w:val="865"/>
    <w:link w:val="1103"/>
    <w:uiPriority w:val="0"/>
    <w:qFormat/>
    <w:pPr>
      <w:ind w:firstLine="562"/>
      <w:spacing w:line="480" w:lineRule="exact"/>
    </w:pPr>
    <w:rPr>
      <w:rFonts w:ascii="楷体_GB2312" w:eastAsia="楷体_GB2312"/>
      <w:b/>
      <w:bCs/>
      <w:sz w:val="28"/>
      <w:szCs w:val="24"/>
    </w:rPr>
  </w:style>
  <w:style w:type="paragraph" w:styleId="894">
    <w:name w:val="endnote text"/>
    <w:basedOn w:val="865"/>
    <w:link w:val="1078"/>
    <w:uiPriority w:val="99"/>
    <w:semiHidden/>
    <w:unhideWhenUsed/>
    <w:qFormat/>
    <w:rPr>
      <w:sz w:val="20"/>
    </w:rPr>
  </w:style>
  <w:style w:type="paragraph" w:styleId="895">
    <w:name w:val="Balloon Text"/>
    <w:basedOn w:val="865"/>
    <w:link w:val="1104"/>
    <w:uiPriority w:val="99"/>
    <w:unhideWhenUsed/>
    <w:qFormat/>
    <w:rPr>
      <w:sz w:val="18"/>
      <w:szCs w:val="18"/>
    </w:rPr>
  </w:style>
  <w:style w:type="paragraph" w:styleId="896">
    <w:name w:val="Footer"/>
    <w:basedOn w:val="865"/>
    <w:link w:val="1105"/>
    <w:uiPriority w:val="0"/>
    <w:unhideWhenUsed/>
    <w:qFormat/>
    <w:pPr>
      <w:jc w:val="left"/>
      <w:tabs>
        <w:tab w:val="center" w:pos="4153" w:leader="none"/>
        <w:tab w:val="right" w:pos="8306" w:leader="none"/>
      </w:tabs>
    </w:pPr>
    <w:rPr>
      <w:sz w:val="18"/>
      <w:szCs w:val="18"/>
    </w:rPr>
  </w:style>
  <w:style w:type="paragraph" w:styleId="897">
    <w:name w:val="Header"/>
    <w:basedOn w:val="865"/>
    <w:link w:val="110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65"/>
    <w:next w:val="865"/>
    <w:uiPriority w:val="39"/>
    <w:unhideWhenUsed/>
    <w:qFormat/>
    <w:rPr>
      <w:rFonts w:ascii="Calibri" w:hAnsi="Calibri"/>
    </w:rPr>
  </w:style>
  <w:style w:type="paragraph" w:styleId="899">
    <w:name w:val="toc 4"/>
    <w:basedOn w:val="865"/>
    <w:next w:val="865"/>
    <w:uiPriority w:val="39"/>
    <w:unhideWhenUsed/>
    <w:qFormat/>
    <w:pPr>
      <w:ind w:left="850"/>
      <w:spacing w:after="57"/>
    </w:pPr>
  </w:style>
  <w:style w:type="paragraph" w:styleId="900">
    <w:name w:val="Subtitle"/>
    <w:basedOn w:val="865"/>
    <w:next w:val="865"/>
    <w:link w:val="963"/>
    <w:uiPriority w:val="11"/>
    <w:qFormat/>
    <w:pPr>
      <w:spacing w:before="200" w:after="200"/>
    </w:pPr>
    <w:rPr>
      <w:sz w:val="24"/>
      <w:szCs w:val="24"/>
    </w:rPr>
  </w:style>
  <w:style w:type="paragraph" w:styleId="901">
    <w:name w:val="List"/>
    <w:basedOn w:val="865"/>
    <w:uiPriority w:val="99"/>
    <w:qFormat/>
    <w:pPr>
      <w:ind w:left="200" w:hanging="200"/>
    </w:pPr>
    <w:rPr>
      <w:szCs w:val="24"/>
    </w:rPr>
  </w:style>
  <w:style w:type="paragraph" w:styleId="902">
    <w:name w:val="footnote text"/>
    <w:basedOn w:val="865"/>
    <w:link w:val="1077"/>
    <w:uiPriority w:val="99"/>
    <w:semiHidden/>
    <w:unhideWhenUsed/>
    <w:qFormat/>
    <w:pPr>
      <w:spacing w:after="40"/>
    </w:pPr>
    <w:rPr>
      <w:sz w:val="18"/>
    </w:rPr>
  </w:style>
  <w:style w:type="paragraph" w:styleId="903">
    <w:name w:val="Body Text Indent 3"/>
    <w:basedOn w:val="865"/>
    <w:uiPriority w:val="0"/>
    <w:qFormat/>
    <w:pPr>
      <w:ind w:left="3599" w:hanging="3599"/>
    </w:pPr>
    <w:rPr>
      <w:szCs w:val="24"/>
    </w:rPr>
  </w:style>
  <w:style w:type="paragraph" w:styleId="904">
    <w:name w:val="table of figures"/>
    <w:basedOn w:val="865"/>
    <w:next w:val="865"/>
    <w:uiPriority w:val="0"/>
    <w:semiHidden/>
    <w:qFormat/>
    <w:pPr>
      <w:ind w:left="840" w:hanging="420"/>
      <w:spacing w:before="156" w:after="156"/>
    </w:pPr>
    <w:rPr>
      <w:sz w:val="24"/>
      <w:szCs w:val="24"/>
    </w:rPr>
  </w:style>
  <w:style w:type="paragraph" w:styleId="905">
    <w:name w:val="toc 2"/>
    <w:basedOn w:val="865"/>
    <w:next w:val="865"/>
    <w:uiPriority w:val="39"/>
    <w:unhideWhenUsed/>
    <w:qFormat/>
    <w:pPr>
      <w:ind w:left="420"/>
    </w:pPr>
    <w:rPr>
      <w:rFonts w:ascii="Calibri" w:hAnsi="Calibri"/>
    </w:rPr>
  </w:style>
  <w:style w:type="paragraph" w:styleId="906">
    <w:name w:val="toc 9"/>
    <w:basedOn w:val="865"/>
    <w:next w:val="865"/>
    <w:uiPriority w:val="0"/>
    <w:semiHidden/>
    <w:qFormat/>
    <w:pPr>
      <w:ind w:left="3360"/>
    </w:pPr>
  </w:style>
  <w:style w:type="paragraph" w:styleId="907">
    <w:name w:val="Body Text 2"/>
    <w:basedOn w:val="865"/>
    <w:uiPriority w:val="0"/>
    <w:qFormat/>
    <w:pPr>
      <w:spacing w:after="120" w:line="480" w:lineRule="auto"/>
    </w:pPr>
  </w:style>
  <w:style w:type="paragraph" w:styleId="908">
    <w:name w:val="Normal (Web)"/>
    <w:basedOn w:val="865"/>
    <w:uiPriority w:val="99"/>
    <w:unhideWhenUsed/>
    <w:qFormat/>
    <w:rPr>
      <w:sz w:val="24"/>
    </w:rPr>
  </w:style>
  <w:style w:type="paragraph" w:styleId="909">
    <w:name w:val="Title"/>
    <w:basedOn w:val="865"/>
    <w:next w:val="865"/>
    <w:link w:val="962"/>
    <w:uiPriority w:val="10"/>
    <w:qFormat/>
    <w:pPr>
      <w:contextualSpacing/>
      <w:spacing w:before="300" w:after="200"/>
    </w:pPr>
    <w:rPr>
      <w:sz w:val="48"/>
      <w:szCs w:val="48"/>
    </w:rPr>
  </w:style>
  <w:style w:type="paragraph" w:styleId="910">
    <w:name w:val="annotation subject"/>
    <w:basedOn w:val="883"/>
    <w:next w:val="883"/>
    <w:link w:val="1107"/>
    <w:uiPriority w:val="99"/>
    <w:unhideWhenUsed/>
    <w:qFormat/>
    <w:rPr>
      <w:b/>
      <w:bCs/>
      <w:szCs w:val="20"/>
    </w:rPr>
  </w:style>
  <w:style w:type="paragraph" w:styleId="911">
    <w:name w:val="Body Text First Indent 2"/>
    <w:basedOn w:val="877"/>
    <w:link w:val="1108"/>
    <w:uiPriority w:val="99"/>
    <w:qFormat/>
    <w:pPr>
      <w:ind w:firstLine="420"/>
    </w:pPr>
  </w:style>
  <w:style w:type="table" w:styleId="912">
    <w:name w:val="Table Grid"/>
    <w:basedOn w:val="876"/>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rFonts w:ascii="Tahoma" w:hAnsi="Tahoma" w:eastAsia="宋体"/>
      <w:b/>
      <w:bCs/>
      <w:spacing w:val="10"/>
      <w:sz w:val="24"/>
      <w:lang w:val="en-US" w:eastAsia="zh-CN" w:bidi="ar-SA"/>
    </w:rPr>
  </w:style>
  <w:style w:type="character" w:styleId="914">
    <w:name w:val="endnote reference"/>
    <w:basedOn w:val="875"/>
    <w:uiPriority w:val="99"/>
    <w:semiHidden/>
    <w:unhideWhenUsed/>
    <w:qFormat/>
    <w:rPr>
      <w:vertAlign w:val="superscript"/>
    </w:rPr>
  </w:style>
  <w:style w:type="character" w:styleId="915">
    <w:name w:val="page number"/>
    <w:uiPriority w:val="0"/>
    <w:qFormat/>
  </w:style>
  <w:style w:type="character" w:styleId="916">
    <w:name w:val="FollowedHyperlink"/>
    <w:uiPriority w:val="99"/>
    <w:unhideWhenUsed/>
    <w:qFormat/>
    <w:rPr>
      <w:color w:val="333333"/>
      <w:u w:val="none"/>
    </w:rPr>
  </w:style>
  <w:style w:type="character" w:styleId="917">
    <w:name w:val="Emphasis"/>
    <w:uiPriority w:val="0"/>
    <w:qFormat/>
    <w:rPr>
      <w:rFonts w:ascii="Times New Roman" w:hAnsi="Times New Roman"/>
      <w:i/>
      <w:iCs/>
      <w:sz w:val="21"/>
      <w:szCs w:val="20"/>
    </w:rPr>
  </w:style>
  <w:style w:type="character" w:styleId="918">
    <w:name w:val="HTML Definition"/>
    <w:uiPriority w:val="99"/>
    <w:unhideWhenUsed/>
    <w:qFormat/>
    <w:rPr>
      <w:i/>
    </w:rPr>
  </w:style>
  <w:style w:type="character" w:styleId="919">
    <w:name w:val="Hyperlink"/>
    <w:uiPriority w:val="99"/>
    <w:unhideWhenUsed/>
    <w:qFormat/>
    <w:rPr>
      <w:color w:val="333333"/>
      <w:u w:val="none"/>
    </w:rPr>
  </w:style>
  <w:style w:type="character" w:styleId="920">
    <w:name w:val="HTML Code"/>
    <w:uiPriority w:val="99"/>
    <w:unhideWhenUsed/>
    <w:qFormat/>
    <w:rPr>
      <w:rFonts w:ascii="Consolas" w:hAnsi="Consolas" w:eastAsia="Consolas" w:cs="Consolas"/>
      <w:color w:val="c7254e"/>
      <w:sz w:val="21"/>
      <w:szCs w:val="21"/>
      <w:shd w:val="clear" w:color="auto" w:fill="f9f2f4"/>
    </w:rPr>
  </w:style>
  <w:style w:type="character" w:styleId="921">
    <w:name w:val="annotation reference"/>
    <w:uiPriority w:val="99"/>
    <w:unhideWhenUsed/>
    <w:qFormat/>
    <w:rPr>
      <w:sz w:val="21"/>
      <w:szCs w:val="21"/>
    </w:rPr>
  </w:style>
  <w:style w:type="character" w:styleId="922">
    <w:name w:val="footnote reference"/>
    <w:basedOn w:val="875"/>
    <w:uiPriority w:val="99"/>
    <w:unhideWhenUsed/>
    <w:qFormat/>
    <w:rPr>
      <w:vertAlign w:val="superscript"/>
    </w:rPr>
  </w:style>
  <w:style w:type="character" w:styleId="923">
    <w:name w:val="HTML Keyboard"/>
    <w:uiPriority w:val="99"/>
    <w:unhideWhenUsed/>
    <w:qFormat/>
    <w:rPr>
      <w:rFonts w:hint="default" w:ascii="Consolas" w:hAnsi="Consolas" w:eastAsia="Consolas" w:cs="Consolas"/>
      <w:color w:val="ffffff"/>
      <w:sz w:val="21"/>
      <w:szCs w:val="21"/>
      <w:shd w:val="clear" w:color="auto" w:fill="333333"/>
    </w:rPr>
  </w:style>
  <w:style w:type="character" w:styleId="924">
    <w:name w:val="HTML Sample"/>
    <w:uiPriority w:val="99"/>
    <w:unhideWhenUsed/>
    <w:qFormat/>
    <w:rPr>
      <w:rFonts w:hint="default" w:ascii="Consolas" w:hAnsi="Consolas" w:eastAsia="Consolas" w:cs="Consolas"/>
      <w:sz w:val="21"/>
      <w:szCs w:val="21"/>
    </w:rPr>
  </w:style>
  <w:style w:type="character" w:styleId="925" w:customStyle="1">
    <w:name w:val="Title Char"/>
    <w:basedOn w:val="875"/>
    <w:uiPriority w:val="10"/>
    <w:qFormat/>
    <w:rPr>
      <w:sz w:val="48"/>
      <w:szCs w:val="48"/>
    </w:rPr>
  </w:style>
  <w:style w:type="character" w:styleId="926" w:customStyle="1">
    <w:name w:val="Subtitle Char"/>
    <w:basedOn w:val="875"/>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table" w:styleId="929" w:customStyle="1">
    <w:name w:val="无格式表格 11"/>
    <w:basedOn w:val="8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网格表 21"/>
    <w:basedOn w:val="8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网格表 31"/>
    <w:basedOn w:val="8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网格表 41"/>
    <w:basedOn w:val="8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网格表 5 深色1"/>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网格表 6 彩色1"/>
    <w:basedOn w:val="8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0" w:customStyle="1">
    <w:name w:val="网格表 7 彩色1"/>
    <w:basedOn w:val="8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清单表 1 浅色1"/>
    <w:basedOn w:val="87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清单表 21"/>
    <w:basedOn w:val="8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3" w:customStyle="1">
    <w:name w:val="清单表 31"/>
    <w:basedOn w:val="8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清单表 41"/>
    <w:basedOn w:val="8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清单表 5 深色1"/>
    <w:basedOn w:val="8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清单表 6 彩色1"/>
    <w:basedOn w:val="87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清单表 7 彩色1"/>
    <w:basedOn w:val="87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8" w:customStyle="1">
    <w:name w:val="Footnote Text Char"/>
    <w:uiPriority w:val="99"/>
    <w:qFormat/>
    <w:rPr>
      <w:sz w:val="18"/>
    </w:rPr>
  </w:style>
  <w:style w:type="character" w:styleId="949" w:customStyle="1">
    <w:name w:val="Endnote Text Char"/>
    <w:uiPriority w:val="99"/>
    <w:qFormat/>
    <w:rPr>
      <w:sz w:val="20"/>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paragraph" w:styleId="951" w:customStyle="1">
    <w:name w:val="ListBullet21"/>
    <w:basedOn w:val="865"/>
    <w:uiPriority w:val="0"/>
    <w:qFormat/>
    <w:pPr>
      <w:numPr>
        <w:ilvl w:val="0"/>
        <w:numId w:val="2"/>
      </w:numPr>
    </w:pPr>
  </w:style>
  <w:style w:type="character" w:styleId="952" w:customStyle="1">
    <w:name w:val="Heading 1 Char"/>
    <w:basedOn w:val="875"/>
    <w:uiPriority w:val="9"/>
    <w:qFormat/>
    <w:rPr>
      <w:rFonts w:ascii="Arial" w:hAnsi="Arial" w:eastAsia="Arial" w:cs="Arial"/>
      <w:sz w:val="40"/>
      <w:szCs w:val="40"/>
    </w:rPr>
  </w:style>
  <w:style w:type="character" w:styleId="953" w:customStyle="1">
    <w:name w:val="Heading 2 Char"/>
    <w:basedOn w:val="875"/>
    <w:uiPriority w:val="9"/>
    <w:qFormat/>
    <w:rPr>
      <w:rFonts w:ascii="Arial" w:hAnsi="Arial" w:eastAsia="Arial" w:cs="Arial"/>
      <w:sz w:val="34"/>
    </w:rPr>
  </w:style>
  <w:style w:type="character" w:styleId="954" w:customStyle="1">
    <w:name w:val="Heading 3 Char"/>
    <w:basedOn w:val="875"/>
    <w:uiPriority w:val="9"/>
    <w:qFormat/>
    <w:rPr>
      <w:rFonts w:ascii="Arial" w:hAnsi="Arial" w:eastAsia="Arial" w:cs="Arial"/>
      <w:sz w:val="30"/>
      <w:szCs w:val="30"/>
    </w:rPr>
  </w:style>
  <w:style w:type="character" w:styleId="955" w:customStyle="1">
    <w:name w:val="Heading 4 Char"/>
    <w:basedOn w:val="875"/>
    <w:uiPriority w:val="9"/>
    <w:qFormat/>
    <w:rPr>
      <w:rFonts w:ascii="Arial" w:hAnsi="Arial" w:eastAsia="Arial" w:cs="Arial"/>
      <w:b/>
      <w:bCs/>
      <w:sz w:val="26"/>
      <w:szCs w:val="26"/>
    </w:rPr>
  </w:style>
  <w:style w:type="character" w:styleId="956" w:customStyle="1">
    <w:name w:val="Heading 5 Char"/>
    <w:basedOn w:val="875"/>
    <w:uiPriority w:val="9"/>
    <w:qFormat/>
    <w:rPr>
      <w:rFonts w:ascii="Arial" w:hAnsi="Arial" w:eastAsia="Arial" w:cs="Arial"/>
      <w:b/>
      <w:bCs/>
      <w:sz w:val="24"/>
      <w:szCs w:val="24"/>
    </w:rPr>
  </w:style>
  <w:style w:type="character" w:styleId="957" w:customStyle="1">
    <w:name w:val="Heading 6 Char"/>
    <w:basedOn w:val="875"/>
    <w:uiPriority w:val="9"/>
    <w:qFormat/>
    <w:rPr>
      <w:rFonts w:ascii="Arial" w:hAnsi="Arial" w:eastAsia="Arial" w:cs="Arial"/>
      <w:b/>
      <w:bCs/>
      <w:sz w:val="22"/>
      <w:szCs w:val="22"/>
    </w:rPr>
  </w:style>
  <w:style w:type="character" w:styleId="958" w:customStyle="1">
    <w:name w:val="Heading 8 Char"/>
    <w:basedOn w:val="875"/>
    <w:uiPriority w:val="9"/>
    <w:qFormat/>
    <w:rPr>
      <w:rFonts w:ascii="Arial" w:hAnsi="Arial" w:eastAsia="Arial" w:cs="Arial"/>
      <w:i/>
      <w:iCs/>
      <w:sz w:val="22"/>
      <w:szCs w:val="22"/>
    </w:rPr>
  </w:style>
  <w:style w:type="character" w:styleId="959" w:customStyle="1">
    <w:name w:val="Heading 9 Char"/>
    <w:basedOn w:val="875"/>
    <w:uiPriority w:val="9"/>
    <w:qFormat/>
    <w:rPr>
      <w:rFonts w:ascii="Arial" w:hAnsi="Arial" w:eastAsia="Arial" w:cs="Arial"/>
      <w:i/>
      <w:iCs/>
      <w:sz w:val="21"/>
      <w:szCs w:val="21"/>
    </w:rPr>
  </w:style>
  <w:style w:type="paragraph" w:styleId="960">
    <w:name w:val="List Paragraph"/>
    <w:basedOn w:val="865"/>
    <w:uiPriority w:val="34"/>
    <w:qFormat/>
    <w:pPr>
      <w:contextualSpacing/>
      <w:ind w:left="720"/>
    </w:pPr>
  </w:style>
  <w:style w:type="paragraph" w:styleId="961">
    <w:name w:val="No Spacing"/>
    <w:uiPriority w:val="1"/>
    <w:qFormat/>
    <w:rPr>
      <w:rFonts w:ascii="Times New Roman" w:hAnsi="Times New Roman" w:eastAsia="宋体" w:cs="Times New Roman"/>
      <w:lang w:val="en-US" w:eastAsia="zh-CN" w:bidi="ar-SA"/>
    </w:rPr>
  </w:style>
  <w:style w:type="character" w:styleId="962" w:customStyle="1">
    <w:name w:val="标题 字符"/>
    <w:basedOn w:val="875"/>
    <w:link w:val="909"/>
    <w:uiPriority w:val="10"/>
    <w:qFormat/>
    <w:rPr>
      <w:sz w:val="48"/>
      <w:szCs w:val="48"/>
    </w:rPr>
  </w:style>
  <w:style w:type="character" w:styleId="963" w:customStyle="1">
    <w:name w:val="副标题 字符"/>
    <w:basedOn w:val="875"/>
    <w:link w:val="900"/>
    <w:uiPriority w:val="11"/>
    <w:qFormat/>
    <w:rPr>
      <w:sz w:val="24"/>
      <w:szCs w:val="24"/>
    </w:rPr>
  </w:style>
  <w:style w:type="paragraph" w:styleId="964">
    <w:name w:val="Quote"/>
    <w:basedOn w:val="865"/>
    <w:next w:val="865"/>
    <w:link w:val="965"/>
    <w:uiPriority w:val="29"/>
    <w:qFormat/>
    <w:pPr>
      <w:ind w:left="720" w:right="720"/>
    </w:pPr>
    <w:rPr>
      <w:i/>
    </w:rPr>
  </w:style>
  <w:style w:type="character" w:styleId="965" w:customStyle="1">
    <w:name w:val="引用 字符"/>
    <w:link w:val="964"/>
    <w:uiPriority w:val="29"/>
    <w:qFormat/>
    <w:rPr>
      <w:i/>
    </w:rPr>
  </w:style>
  <w:style w:type="paragraph" w:styleId="966">
    <w:name w:val="Intense Quote"/>
    <w:basedOn w:val="865"/>
    <w:next w:val="865"/>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明显引用 字符"/>
    <w:link w:val="966"/>
    <w:uiPriority w:val="30"/>
    <w:qFormat/>
    <w:rPr>
      <w:i/>
    </w:rPr>
  </w:style>
  <w:style w:type="character" w:styleId="968" w:customStyle="1">
    <w:name w:val="Header Char"/>
    <w:basedOn w:val="875"/>
    <w:uiPriority w:val="99"/>
    <w:qFormat/>
  </w:style>
  <w:style w:type="character" w:styleId="969" w:customStyle="1">
    <w:name w:val="Footer Char"/>
    <w:basedOn w:val="875"/>
    <w:uiPriority w:val="99"/>
    <w:qFormat/>
  </w:style>
  <w:style w:type="character" w:styleId="970" w:customStyle="1">
    <w:name w:val="Caption Char"/>
    <w:uiPriority w:val="99"/>
    <w:qFormat/>
  </w:style>
  <w:style w:type="table" w:styleId="971" w:customStyle="1">
    <w:name w:val="Table Grid Light"/>
    <w:basedOn w:val="8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2" w:customStyle="1">
    <w:name w:val="Grid Table 1 Light - Accent 1"/>
    <w:basedOn w:val="87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basedOn w:val="87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basedOn w:val="8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basedOn w:val="8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basedOn w:val="87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basedOn w:val="8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8" w:customStyle="1">
    <w:name w:val="Grid Table 2 - Accent 1"/>
    <w:basedOn w:val="87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9" w:customStyle="1">
    <w:name w:val="Grid Table 2 - Accent 2"/>
    <w:basedOn w:val="87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2 - Accent 3"/>
    <w:basedOn w:val="87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2 - Accent 4"/>
    <w:basedOn w:val="8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2 - Accent 5"/>
    <w:basedOn w:val="87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Grid Table 2 - Accent 6"/>
    <w:basedOn w:val="87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Grid Table 3 - Accent 1"/>
    <w:basedOn w:val="87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2"/>
    <w:basedOn w:val="87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3"/>
    <w:basedOn w:val="87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4"/>
    <w:basedOn w:val="8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5"/>
    <w:basedOn w:val="87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6"/>
    <w:basedOn w:val="87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4 - Accent 1"/>
    <w:basedOn w:val="87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1" w:customStyle="1">
    <w:name w:val="Grid Table 4 - Accent 2"/>
    <w:basedOn w:val="87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2" w:customStyle="1">
    <w:name w:val="Grid Table 4 - Accent 3"/>
    <w:basedOn w:val="87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3" w:customStyle="1">
    <w:name w:val="Grid Table 4 - Accent 4"/>
    <w:basedOn w:val="87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4" w:customStyle="1">
    <w:name w:val="Grid Table 4 - Accent 5"/>
    <w:basedOn w:val="87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5" w:customStyle="1">
    <w:name w:val="Grid Table 4 - Accent 6"/>
    <w:basedOn w:val="87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6" w:customStyle="1">
    <w:name w:val="Grid Table 5 Dark- Accent 1"/>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7" w:customStyle="1">
    <w:name w:val="Grid Table 5 Dark - Accent 2"/>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8" w:customStyle="1">
    <w:name w:val="Grid Table 5 Dark - Accent 3"/>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9" w:customStyle="1">
    <w:name w:val="Grid Table 5 Dark- Accent 4"/>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0" w:customStyle="1">
    <w:name w:val="Grid Table 5 Dark - Accent 5"/>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1" w:customStyle="1">
    <w:name w:val="Grid Table 5 Dark - Accent 6"/>
    <w:basedOn w:val="8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2" w:customStyle="1">
    <w:name w:val="Grid Table 6 Colorful - Accent 1"/>
    <w:basedOn w:val="87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3" w:customStyle="1">
    <w:name w:val="Grid Table 6 Colorful - Accent 2"/>
    <w:basedOn w:val="87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4" w:customStyle="1">
    <w:name w:val="Grid Table 6 Colorful - Accent 3"/>
    <w:basedOn w:val="87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5" w:customStyle="1">
    <w:name w:val="Grid Table 6 Colorful - Accent 4"/>
    <w:basedOn w:val="8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6" w:customStyle="1">
    <w:name w:val="Grid Table 6 Colorful - Accent 5"/>
    <w:basedOn w:val="87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6 Colorful - Accent 6"/>
    <w:basedOn w:val="87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8" w:customStyle="1">
    <w:name w:val="Grid Table 7 Colorful - Accent 1"/>
    <w:basedOn w:val="87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basedOn w:val="87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basedOn w:val="87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basedOn w:val="87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basedOn w:val="87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basedOn w:val="87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List Table 1 Light - Accent 1"/>
    <w:basedOn w:val="87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basedOn w:val="87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basedOn w:val="87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basedOn w:val="87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basedOn w:val="87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basedOn w:val="87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List Table 2 - Accent 1"/>
    <w:basedOn w:val="87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1" w:customStyle="1">
    <w:name w:val="List Table 2 - Accent 2"/>
    <w:basedOn w:val="87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2" w:customStyle="1">
    <w:name w:val="List Table 2 - Accent 3"/>
    <w:basedOn w:val="87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3" w:customStyle="1">
    <w:name w:val="List Table 2 - Accent 4"/>
    <w:basedOn w:val="87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4" w:customStyle="1">
    <w:name w:val="List Table 2 - Accent 5"/>
    <w:basedOn w:val="87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5" w:customStyle="1">
    <w:name w:val="List Table 2 - Accent 6"/>
    <w:basedOn w:val="87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6" w:customStyle="1">
    <w:name w:val="List Table 3 - Accent 1"/>
    <w:basedOn w:val="87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3 - Accent 2"/>
    <w:basedOn w:val="87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8" w:customStyle="1">
    <w:name w:val="List Table 3 - Accent 3"/>
    <w:basedOn w:val="87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9" w:customStyle="1">
    <w:name w:val="List Table 3 - Accent 4"/>
    <w:basedOn w:val="8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0" w:customStyle="1">
    <w:name w:val="List Table 3 - Accent 5"/>
    <w:basedOn w:val="87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1" w:customStyle="1">
    <w:name w:val="List Table 3 - Accent 6"/>
    <w:basedOn w:val="87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2" w:customStyle="1">
    <w:name w:val="List Table 4 - Accent 1"/>
    <w:basedOn w:val="87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4 - Accent 2"/>
    <w:basedOn w:val="87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4" w:customStyle="1">
    <w:name w:val="List Table 4 - Accent 3"/>
    <w:basedOn w:val="87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5" w:customStyle="1">
    <w:name w:val="List Table 4 - Accent 4"/>
    <w:basedOn w:val="87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6" w:customStyle="1">
    <w:name w:val="List Table 4 - Accent 5"/>
    <w:basedOn w:val="87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7" w:customStyle="1">
    <w:name w:val="List Table 4 - Accent 6"/>
    <w:basedOn w:val="87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8" w:customStyle="1">
    <w:name w:val="List Table 5 Dark - Accent 1"/>
    <w:basedOn w:val="87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2"/>
    <w:basedOn w:val="87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3"/>
    <w:basedOn w:val="87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4"/>
    <w:basedOn w:val="87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5"/>
    <w:basedOn w:val="87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6"/>
    <w:basedOn w:val="87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6 Colorful - Accent 1"/>
    <w:basedOn w:val="87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5" w:customStyle="1">
    <w:name w:val="List Table 6 Colorful - Accent 2"/>
    <w:basedOn w:val="87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6" w:customStyle="1">
    <w:name w:val="List Table 6 Colorful - Accent 3"/>
    <w:basedOn w:val="87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7" w:customStyle="1">
    <w:name w:val="List Table 6 Colorful - Accent 4"/>
    <w:basedOn w:val="87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8" w:customStyle="1">
    <w:name w:val="List Table 6 Colorful - Accent 5"/>
    <w:basedOn w:val="87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9" w:customStyle="1">
    <w:name w:val="List Table 6 Colorful - Accent 6"/>
    <w:basedOn w:val="87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0" w:customStyle="1">
    <w:name w:val="List Table 7 Colorful - Accent 1"/>
    <w:basedOn w:val="87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basedOn w:val="87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basedOn w:val="87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basedOn w:val="87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basedOn w:val="87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basedOn w:val="87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6" w:customStyle="1">
    <w:name w:val="Lined - Accent"/>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Lined - Accent 1"/>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Lined - Accent 2"/>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Lined - Accent 3"/>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Lined - Accent 4"/>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Lined - Accent 5"/>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Lined - Accent 6"/>
    <w:basedOn w:val="87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amp; Lined - Accent"/>
    <w:basedOn w:val="87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Bordered &amp; Lined - Accent 1"/>
    <w:basedOn w:val="87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Bordered &amp; Lined - Accent 2"/>
    <w:basedOn w:val="87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Bordered &amp; Lined - Accent 3"/>
    <w:basedOn w:val="87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Bordered &amp; Lined - Accent 4"/>
    <w:basedOn w:val="87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Bordered &amp; Lined - Accent 5"/>
    <w:basedOn w:val="87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Bordered &amp; Lined - Accent 6"/>
    <w:basedOn w:val="87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w:basedOn w:val="87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1" w:customStyle="1">
    <w:name w:val="Bordered - Accent 1"/>
    <w:basedOn w:val="87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2" w:customStyle="1">
    <w:name w:val="Bordered - Accent 2"/>
    <w:basedOn w:val="87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3" w:customStyle="1">
    <w:name w:val="Bordered - Accent 3"/>
    <w:basedOn w:val="8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4" w:customStyle="1">
    <w:name w:val="Bordered - Accent 4"/>
    <w:basedOn w:val="8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5" w:customStyle="1">
    <w:name w:val="Bordered - Accent 5"/>
    <w:basedOn w:val="87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6" w:customStyle="1">
    <w:name w:val="Bordered - Accent 6"/>
    <w:basedOn w:val="8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7" w:customStyle="1">
    <w:name w:val="脚注文本 字符"/>
    <w:link w:val="902"/>
    <w:uiPriority w:val="99"/>
    <w:qFormat/>
    <w:rPr>
      <w:sz w:val="18"/>
    </w:rPr>
  </w:style>
  <w:style w:type="character" w:styleId="1078" w:customStyle="1">
    <w:name w:val="尾注文本 字符"/>
    <w:link w:val="894"/>
    <w:uiPriority w:val="99"/>
    <w:qFormat/>
    <w:rPr>
      <w:sz w:val="20"/>
    </w:rPr>
  </w:style>
  <w:style w:type="paragraph" w:styleId="1079" w:customStyle="1">
    <w:name w:val="TOC 标题11"/>
    <w:uiPriority w:val="39"/>
    <w:unhideWhenUsed/>
    <w:qFormat/>
    <w:rPr>
      <w:rFonts w:ascii="Times New Roman" w:hAnsi="Times New Roman" w:eastAsia="宋体" w:cs="Times New Roman"/>
      <w:lang w:val="en-US" w:eastAsia="zh-CN" w:bidi="ar-SA"/>
    </w:rPr>
  </w:style>
  <w:style w:type="paragraph" w:styleId="1080" w:customStyle="1">
    <w:name w:val="正文（缩进）"/>
    <w:basedOn w:val="865"/>
    <w:next w:val="1081"/>
    <w:uiPriority w:val="0"/>
    <w:qFormat/>
    <w:pPr>
      <w:ind w:firstLine="480"/>
    </w:pPr>
  </w:style>
  <w:style w:type="paragraph" w:styleId="1081" w:customStyle="1">
    <w:name w:val="Char Char Char Char Char Char Char Char Char"/>
    <w:basedOn w:val="865"/>
    <w:next w:val="1082"/>
    <w:uiPriority w:val="99"/>
    <w:qFormat/>
    <w:pPr>
      <w:ind w:left="360" w:firstLine="5784"/>
    </w:pPr>
  </w:style>
  <w:style w:type="paragraph" w:styleId="1082" w:customStyle="1">
    <w:name w:val="正文文本 21"/>
    <w:basedOn w:val="865"/>
    <w:next w:val="1083"/>
    <w:uiPriority w:val="99"/>
    <w:qFormat/>
    <w:pPr>
      <w:ind w:left="720" w:firstLine="5680"/>
      <w:widowControl/>
    </w:pPr>
  </w:style>
  <w:style w:type="paragraph" w:styleId="1083" w:customStyle="1">
    <w:name w:val="默认段落字体 Para Char Char Char Char Char Char Char"/>
    <w:basedOn w:val="865"/>
    <w:next w:val="1084"/>
    <w:uiPriority w:val="99"/>
    <w:qFormat/>
    <w:pPr>
      <w:ind w:firstLine="200"/>
    </w:pPr>
    <w:rPr>
      <w:rFonts w:cs="Arial"/>
    </w:rPr>
  </w:style>
  <w:style w:type="paragraph" w:styleId="1084" w:customStyle="1">
    <w:name w:val="样式 首行缩进:  2 字符"/>
    <w:basedOn w:val="865"/>
    <w:next w:val="1085"/>
    <w:uiPriority w:val="99"/>
    <w:qFormat/>
    <w:pPr>
      <w:ind w:left="480" w:firstLine="5856"/>
      <w:spacing w:line="360" w:lineRule="auto"/>
    </w:pPr>
  </w:style>
  <w:style w:type="paragraph" w:styleId="1085" w:customStyle="1">
    <w:name w:val="样式 段后: 0.25 行"/>
    <w:basedOn w:val="865"/>
    <w:next w:val="1086"/>
    <w:uiPriority w:val="99"/>
    <w:qFormat/>
    <w:pPr>
      <w:ind w:left="420" w:firstLine="5796"/>
      <w:spacing w:line="300" w:lineRule="auto"/>
      <w:widowControl/>
    </w:pPr>
  </w:style>
  <w:style w:type="paragraph" w:styleId="1086" w:customStyle="1">
    <w:name w:val="正文 New New New New New New New New New New New New New New"/>
    <w:next w:val="906"/>
    <w:uiPriority w:val="99"/>
    <w:qFormat/>
    <w:pPr>
      <w:ind w:firstLine="2048"/>
      <w:jc w:val="both"/>
      <w:widowControl w:val="off"/>
    </w:pPr>
    <w:rPr>
      <w:rFonts w:ascii="Calibri" w:hAnsi="Calibri" w:eastAsia="宋体" w:cs="Times New Roman"/>
      <w:lang w:val="en-US" w:eastAsia="zh-CN" w:bidi="ar-SA"/>
    </w:rPr>
  </w:style>
  <w:style w:type="character" w:styleId="1087" w:customStyle="1">
    <w:name w:val="标题 1 字符"/>
    <w:link w:val="866"/>
    <w:uiPriority w:val="9"/>
    <w:qFormat/>
    <w:rPr>
      <w:b/>
      <w:bCs/>
      <w:sz w:val="44"/>
      <w:szCs w:val="44"/>
    </w:rPr>
  </w:style>
  <w:style w:type="character" w:styleId="1088" w:customStyle="1">
    <w:name w:val="标题 2 字符"/>
    <w:link w:val="867"/>
    <w:uiPriority w:val="9"/>
    <w:qFormat/>
    <w:rPr>
      <w:rFonts w:ascii="Arial" w:hAnsi="Arial" w:eastAsia="宋体" w:cs="Times New Roman"/>
      <w:b/>
      <w:bCs/>
      <w:sz w:val="28"/>
      <w:szCs w:val="36"/>
    </w:rPr>
  </w:style>
  <w:style w:type="character" w:styleId="1089" w:customStyle="1">
    <w:name w:val="正文缩进 字符"/>
    <w:link w:val="880"/>
    <w:uiPriority w:val="0"/>
    <w:qFormat/>
  </w:style>
  <w:style w:type="character" w:styleId="1090" w:customStyle="1">
    <w:name w:val="标题 3 字符"/>
    <w:link w:val="868"/>
    <w:uiPriority w:val="0"/>
    <w:qFormat/>
    <w:rPr>
      <w:rFonts w:ascii="Arial" w:hAnsi="Arial" w:eastAsia="黑体" w:cs="Times New Roman"/>
      <w:b/>
      <w:bCs/>
      <w:sz w:val="30"/>
      <w:szCs w:val="32"/>
    </w:rPr>
  </w:style>
  <w:style w:type="character" w:styleId="1091" w:customStyle="1">
    <w:name w:val="标题 4 字符"/>
    <w:link w:val="869"/>
    <w:uiPriority w:val="0"/>
    <w:qFormat/>
    <w:rPr>
      <w:rFonts w:ascii="Arial" w:hAnsi="Arial" w:eastAsia="黑体" w:cs="Arial"/>
      <w:b/>
      <w:bCs/>
      <w:sz w:val="28"/>
      <w:szCs w:val="28"/>
    </w:rPr>
  </w:style>
  <w:style w:type="character" w:styleId="1092" w:customStyle="1">
    <w:name w:val="标题 5 字符1"/>
    <w:link w:val="870"/>
    <w:uiPriority w:val="0"/>
    <w:qFormat/>
    <w:rPr>
      <w:rFonts w:ascii="Calibri" w:hAnsi="Calibri" w:eastAsia="宋体" w:cs="Times New Roman"/>
      <w:b/>
      <w:bCs/>
      <w:sz w:val="28"/>
      <w:szCs w:val="28"/>
    </w:rPr>
  </w:style>
  <w:style w:type="character" w:styleId="1093" w:customStyle="1">
    <w:name w:val="标题 6 字符"/>
    <w:link w:val="871"/>
    <w:uiPriority w:val="0"/>
    <w:qFormat/>
    <w:rPr>
      <w:rFonts w:ascii="Cambria" w:hAnsi="Cambria" w:eastAsia="宋体" w:cs="Times New Roman"/>
      <w:b/>
      <w:bCs/>
      <w:sz w:val="24"/>
      <w:szCs w:val="24"/>
    </w:rPr>
  </w:style>
  <w:style w:type="character" w:styleId="1094" w:customStyle="1">
    <w:name w:val="标题 7 字符"/>
    <w:link w:val="872"/>
    <w:uiPriority w:val="0"/>
    <w:qFormat/>
    <w:rPr>
      <w:rFonts w:ascii="Times New Roman" w:hAnsi="Times New Roman" w:eastAsia="宋体" w:cs="Times New Roman"/>
      <w:b/>
      <w:bCs/>
      <w:sz w:val="24"/>
      <w:szCs w:val="24"/>
    </w:rPr>
  </w:style>
  <w:style w:type="character" w:styleId="1095" w:customStyle="1">
    <w:name w:val="标题 8 字符"/>
    <w:link w:val="873"/>
    <w:uiPriority w:val="0"/>
    <w:qFormat/>
    <w:rPr>
      <w:rFonts w:ascii="Cambria" w:hAnsi="Cambria" w:eastAsia="宋体" w:cs="Times New Roman"/>
      <w:sz w:val="24"/>
      <w:szCs w:val="24"/>
    </w:rPr>
  </w:style>
  <w:style w:type="character" w:styleId="1096" w:customStyle="1">
    <w:name w:val="标题 9 字符"/>
    <w:link w:val="874"/>
    <w:uiPriority w:val="0"/>
    <w:qFormat/>
    <w:rPr>
      <w:rFonts w:ascii="Cambria" w:hAnsi="Cambria" w:eastAsia="宋体" w:cs="Times New Roman"/>
      <w:sz w:val="20"/>
      <w:szCs w:val="21"/>
    </w:rPr>
  </w:style>
  <w:style w:type="character" w:styleId="1097" w:customStyle="1">
    <w:name w:val="文档结构图 字符"/>
    <w:link w:val="882"/>
    <w:uiPriority w:val="0"/>
    <w:qFormat/>
    <w:rPr>
      <w:rFonts w:ascii="宋体" w:hAnsi="Times New Roman"/>
      <w:sz w:val="18"/>
      <w:szCs w:val="18"/>
    </w:rPr>
  </w:style>
  <w:style w:type="character" w:styleId="1098" w:customStyle="1">
    <w:name w:val="批注文字 字符"/>
    <w:link w:val="883"/>
    <w:uiPriority w:val="99"/>
    <w:qFormat/>
    <w:rPr>
      <w:rFonts w:ascii="Times New Roman" w:hAnsi="Times New Roman" w:eastAsia="宋体" w:cs="Times New Roman"/>
      <w:szCs w:val="24"/>
    </w:rPr>
  </w:style>
  <w:style w:type="character" w:styleId="1099" w:customStyle="1">
    <w:name w:val="正文文本 3 字符"/>
    <w:link w:val="884"/>
    <w:uiPriority w:val="0"/>
    <w:qFormat/>
    <w:rPr>
      <w:rFonts w:ascii="宋体" w:hAnsi="Times New Roman"/>
      <w:sz w:val="24"/>
    </w:rPr>
  </w:style>
  <w:style w:type="character" w:styleId="1100" w:customStyle="1">
    <w:name w:val="正文文本 字符"/>
    <w:link w:val="885"/>
    <w:uiPriority w:val="0"/>
    <w:qFormat/>
    <w:rPr>
      <w:rFonts w:ascii="楷体_GB2312" w:hAnsi="Arial" w:eastAsia="楷体_GB2312" w:cs="Times New Roman"/>
      <w:sz w:val="28"/>
      <w:szCs w:val="28"/>
    </w:rPr>
  </w:style>
  <w:style w:type="character" w:styleId="1101" w:customStyle="1">
    <w:name w:val="正文文本缩进 字符"/>
    <w:link w:val="877"/>
    <w:uiPriority w:val="99"/>
    <w:qFormat/>
    <w:rPr>
      <w:rFonts w:ascii="Times New Roman" w:hAnsi="Times New Roman"/>
      <w:szCs w:val="24"/>
    </w:rPr>
  </w:style>
  <w:style w:type="character" w:styleId="1102" w:customStyle="1">
    <w:name w:val="纯文本 字符"/>
    <w:link w:val="891"/>
    <w:uiPriority w:val="0"/>
    <w:qFormat/>
    <w:rPr>
      <w:rFonts w:ascii="宋体" w:hAnsi="Courier New" w:eastAsia="宋体" w:cs="Times New Roman"/>
      <w:szCs w:val="21"/>
    </w:rPr>
  </w:style>
  <w:style w:type="character" w:styleId="1103" w:customStyle="1">
    <w:name w:val="正文文本缩进 2 字符"/>
    <w:link w:val="893"/>
    <w:uiPriority w:val="0"/>
    <w:qFormat/>
    <w:rPr>
      <w:rFonts w:ascii="楷体_GB2312" w:hAnsi="Times New Roman" w:eastAsia="楷体_GB2312"/>
      <w:b/>
      <w:bCs/>
      <w:sz w:val="28"/>
      <w:szCs w:val="24"/>
    </w:rPr>
  </w:style>
  <w:style w:type="character" w:styleId="1104" w:customStyle="1">
    <w:name w:val="批注框文本 字符"/>
    <w:link w:val="895"/>
    <w:uiPriority w:val="99"/>
    <w:qFormat/>
    <w:rPr>
      <w:sz w:val="18"/>
      <w:szCs w:val="18"/>
    </w:rPr>
  </w:style>
  <w:style w:type="character" w:styleId="1105" w:customStyle="1">
    <w:name w:val="页脚 字符"/>
    <w:link w:val="896"/>
    <w:uiPriority w:val="0"/>
    <w:qFormat/>
    <w:rPr>
      <w:rFonts w:ascii="Times New Roman" w:hAnsi="Times New Roman" w:eastAsia="宋体" w:cs="Times New Roman"/>
      <w:sz w:val="18"/>
      <w:szCs w:val="18"/>
    </w:rPr>
  </w:style>
  <w:style w:type="character" w:styleId="1106" w:customStyle="1">
    <w:name w:val="页眉 字符"/>
    <w:link w:val="897"/>
    <w:uiPriority w:val="0"/>
    <w:qFormat/>
    <w:rPr>
      <w:rFonts w:ascii="Times New Roman" w:hAnsi="Times New Roman" w:eastAsia="宋体" w:cs="Times New Roman"/>
      <w:sz w:val="18"/>
      <w:szCs w:val="18"/>
    </w:rPr>
  </w:style>
  <w:style w:type="character" w:styleId="1107" w:customStyle="1">
    <w:name w:val="批注主题 字符"/>
    <w:link w:val="910"/>
    <w:uiPriority w:val="99"/>
    <w:qFormat/>
    <w:rPr>
      <w:b/>
      <w:bCs/>
    </w:rPr>
  </w:style>
  <w:style w:type="character" w:styleId="1108" w:customStyle="1">
    <w:name w:val="正文文本首行缩进 2 字符"/>
    <w:link w:val="911"/>
    <w:uiPriority w:val="99"/>
    <w:qFormat/>
    <w:rPr>
      <w:szCs w:val="24"/>
    </w:rPr>
  </w:style>
  <w:style w:type="paragraph" w:styleId="1109" w:customStyle="1">
    <w:name w:val="ListBullet2"/>
    <w:basedOn w:val="865"/>
    <w:uiPriority w:val="0"/>
    <w:qFormat/>
    <w:pPr>
      <w:numPr>
        <w:ilvl w:val="0"/>
        <w:numId w:val="3"/>
      </w:numPr>
    </w:pPr>
  </w:style>
  <w:style w:type="paragraph" w:styleId="1110" w:customStyle="1">
    <w:name w:val="正文1"/>
    <w:basedOn w:val="1111"/>
    <w:next w:val="1115"/>
    <w:link w:val="1120"/>
    <w:uiPriority w:val="99"/>
    <w:qFormat/>
    <w:pPr>
      <w:ind w:firstLine="480"/>
      <w:spacing w:line="440" w:lineRule="exact"/>
    </w:pPr>
    <w:rPr>
      <w:rFonts w:ascii="微软雅黑" w:hAnsi="微软雅黑" w:eastAsia="微软雅黑"/>
      <w:sz w:val="24"/>
      <w:szCs w:val="20"/>
    </w:rPr>
  </w:style>
  <w:style w:type="paragraph" w:styleId="1111" w:customStyle="1">
    <w:name w:val="正文11"/>
    <w:next w:val="1112"/>
    <w:uiPriority w:val="0"/>
    <w:qFormat/>
    <w:pPr>
      <w:jc w:val="both"/>
      <w:widowControl w:val="off"/>
    </w:pPr>
    <w:rPr>
      <w:rFonts w:ascii="Times New Roman" w:hAnsi="Times New Roman" w:eastAsia="宋体" w:cs="Times New Roman"/>
      <w:sz w:val="21"/>
      <w:szCs w:val="22"/>
      <w:lang w:val="en-US" w:eastAsia="zh-CN" w:bidi="ar-SA"/>
    </w:rPr>
  </w:style>
  <w:style w:type="paragraph" w:styleId="1112" w:customStyle="1">
    <w:name w:val="正文首行缩进 21"/>
    <w:basedOn w:val="1113"/>
    <w:next w:val="865"/>
    <w:uiPriority w:val="0"/>
    <w:qFormat/>
    <w:pPr>
      <w:ind w:firstLine="420"/>
    </w:pPr>
  </w:style>
  <w:style w:type="paragraph" w:styleId="1113" w:customStyle="1">
    <w:name w:val="正文文本缩进1"/>
    <w:basedOn w:val="865"/>
    <w:next w:val="1114"/>
    <w:uiPriority w:val="99"/>
    <w:unhideWhenUsed/>
    <w:qFormat/>
    <w:pPr>
      <w:ind w:firstLine="540"/>
      <w:spacing w:line="400" w:lineRule="exact"/>
    </w:pPr>
    <w:rPr>
      <w:sz w:val="24"/>
    </w:rPr>
  </w:style>
  <w:style w:type="paragraph" w:styleId="1114" w:customStyle="1">
    <w:name w:val="寄信人地址1"/>
    <w:basedOn w:val="865"/>
    <w:uiPriority w:val="0"/>
    <w:qFormat/>
    <w:rPr>
      <w:rFonts w:ascii="Arial" w:hAnsi="Arial"/>
    </w:rPr>
  </w:style>
  <w:style w:type="paragraph" w:styleId="1115" w:customStyle="1">
    <w:name w:val="正文文本1"/>
    <w:basedOn w:val="1110"/>
    <w:next w:val="1116"/>
    <w:uiPriority w:val="0"/>
    <w:qFormat/>
    <w:pPr>
      <w:spacing w:after="120"/>
    </w:pPr>
    <w:rPr>
      <w:lang w:eastAsia="en-US"/>
    </w:rPr>
  </w:style>
  <w:style w:type="paragraph" w:styleId="1116" w:customStyle="1">
    <w:name w:val="一级条标题"/>
    <w:basedOn w:val="1117"/>
    <w:next w:val="11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7" w:customStyle="1">
    <w:name w:val="章标题"/>
    <w:next w:val="86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18" w:customStyle="1">
    <w:name w:val="段"/>
    <w:next w:val="865"/>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119" w:customStyle="1">
    <w:name w:val="标题 31"/>
    <w:basedOn w:val="865"/>
    <w:next w:val="1111"/>
    <w:uiPriority w:val="0"/>
    <w:qFormat/>
    <w:pPr>
      <w:keepLines/>
      <w:keepNext/>
      <w:spacing w:before="260" w:after="260" w:line="416" w:lineRule="auto"/>
      <w:outlineLvl w:val="2"/>
    </w:pPr>
    <w:rPr>
      <w:b/>
      <w:bCs/>
      <w:sz w:val="32"/>
      <w:szCs w:val="32"/>
    </w:rPr>
  </w:style>
  <w:style w:type="character" w:styleId="1120" w:customStyle="1">
    <w:name w:val="正文1 Char Char"/>
    <w:link w:val="1110"/>
    <w:uiPriority w:val="99"/>
    <w:qFormat/>
    <w:rPr>
      <w:rFonts w:ascii="微软雅黑" w:hAnsi="微软雅黑" w:eastAsia="微软雅黑"/>
      <w:sz w:val="24"/>
    </w:rPr>
  </w:style>
  <w:style w:type="character" w:styleId="1121" w:customStyle="1">
    <w:name w:val="ca-161"/>
    <w:uiPriority w:val="0"/>
    <w:qFormat/>
    <w:rPr>
      <w:rFonts w:hint="eastAsia" w:ascii="宋体" w:hAnsi="宋体" w:eastAsia="宋体"/>
      <w:spacing w:val="0"/>
      <w:sz w:val="21"/>
      <w:szCs w:val="21"/>
    </w:rPr>
  </w:style>
  <w:style w:type="character" w:styleId="1122" w:customStyle="1">
    <w:name w:val="列出段落 Char"/>
    <w:link w:val="1123"/>
    <w:uiPriority w:val="0"/>
    <w:qFormat/>
    <w:rPr>
      <w:rFonts w:ascii="Calibri" w:hAnsi="Calibri" w:eastAsia="宋体" w:cs="Times New Roman"/>
    </w:rPr>
  </w:style>
  <w:style w:type="paragraph" w:styleId="1123" w:customStyle="1">
    <w:name w:val="列出段落1"/>
    <w:basedOn w:val="865"/>
    <w:link w:val="1122"/>
    <w:uiPriority w:val="0"/>
    <w:qFormat/>
    <w:pPr>
      <w:ind w:firstLine="200"/>
    </w:pPr>
    <w:rPr>
      <w:rFonts w:ascii="Calibri" w:hAnsi="Calibri"/>
      <w:sz w:val="20"/>
      <w:szCs w:val="20"/>
    </w:rPr>
  </w:style>
  <w:style w:type="character" w:styleId="1124" w:customStyle="1">
    <w:name w:val="表格文字 Char"/>
    <w:link w:val="1125"/>
    <w:uiPriority w:val="0"/>
    <w:qFormat/>
    <w:rPr>
      <w:szCs w:val="21"/>
    </w:rPr>
  </w:style>
  <w:style w:type="paragraph" w:styleId="1125" w:customStyle="1">
    <w:name w:val="表格文字"/>
    <w:basedOn w:val="865"/>
    <w:link w:val="1124"/>
    <w:uiPriority w:val="0"/>
    <w:qFormat/>
    <w:pPr>
      <w:jc w:val="left"/>
    </w:pPr>
    <w:rPr>
      <w:sz w:val="20"/>
      <w:szCs w:val="21"/>
    </w:rPr>
  </w:style>
  <w:style w:type="character" w:styleId="1126" w:customStyle="1">
    <w:name w:val="标题 5 字符"/>
    <w:uiPriority w:val="0"/>
    <w:semiHidden/>
    <w:qFormat/>
    <w:rPr>
      <w:rFonts w:ascii="Calibri" w:hAnsi="Calibri"/>
      <w:b/>
      <w:bCs/>
      <w:sz w:val="28"/>
      <w:szCs w:val="28"/>
    </w:rPr>
  </w:style>
  <w:style w:type="character" w:styleId="1127" w:customStyle="1">
    <w:name w:val="文档结构图 Char1"/>
    <w:uiPriority w:val="99"/>
    <w:semiHidden/>
    <w:qFormat/>
    <w:rPr>
      <w:rFonts w:ascii="宋体"/>
      <w:sz w:val="18"/>
      <w:szCs w:val="18"/>
    </w:rPr>
  </w:style>
  <w:style w:type="character" w:styleId="1128" w:customStyle="1">
    <w:name w:val="font201"/>
    <w:uiPriority w:val="0"/>
    <w:qFormat/>
    <w:rPr>
      <w:rFonts w:hint="default" w:ascii="Times New Roman" w:hAnsi="Times New Roman" w:cs="Times New Roman"/>
      <w:color w:val="000000"/>
      <w:sz w:val="20"/>
      <w:szCs w:val="20"/>
      <w:u w:val="none"/>
    </w:rPr>
  </w:style>
  <w:style w:type="character" w:styleId="1129" w:customStyle="1">
    <w:name w:val="_Style 86"/>
    <w:uiPriority w:val="19"/>
    <w:qFormat/>
    <w:rPr>
      <w:rFonts w:ascii="Times New Roman" w:hAnsi="Times New Roman"/>
      <w:i/>
      <w:iCs/>
      <w:color w:val="808080"/>
      <w:sz w:val="21"/>
      <w:szCs w:val="20"/>
    </w:rPr>
  </w:style>
  <w:style w:type="character" w:styleId="1130" w:customStyle="1">
    <w:name w:val="H2 Char"/>
    <w:uiPriority w:val="0"/>
    <w:qFormat/>
    <w:rPr>
      <w:rFonts w:ascii="Arial" w:hAnsi="Arial" w:eastAsia="黑体" w:cs="Times New Roman"/>
      <w:b/>
      <w:bCs/>
      <w:sz w:val="32"/>
      <w:szCs w:val="32"/>
    </w:rPr>
  </w:style>
  <w:style w:type="character" w:styleId="1131" w:customStyle="1">
    <w:name w:val="font41"/>
    <w:uiPriority w:val="0"/>
    <w:qFormat/>
    <w:rPr>
      <w:rFonts w:hint="eastAsia" w:ascii="宋体" w:hAnsi="宋体" w:eastAsia="宋体"/>
      <w:color w:val="000000"/>
      <w:sz w:val="32"/>
      <w:szCs w:val="32"/>
      <w:u w:val="none"/>
    </w:rPr>
  </w:style>
  <w:style w:type="character" w:styleId="1132" w:customStyle="1">
    <w:name w:val="font191"/>
    <w:uiPriority w:val="0"/>
    <w:qFormat/>
    <w:rPr>
      <w:rFonts w:ascii="Wingdings 2" w:hAnsi="Wingdings 2" w:eastAsia="Wingdings 2" w:cs="Wingdings 2"/>
      <w:color w:val="000000"/>
      <w:sz w:val="20"/>
      <w:szCs w:val="20"/>
      <w:u w:val="none"/>
    </w:rPr>
  </w:style>
  <w:style w:type="character" w:styleId="1133" w:customStyle="1">
    <w:name w:val="font231"/>
    <w:uiPriority w:val="0"/>
    <w:qFormat/>
    <w:rPr>
      <w:rFonts w:hint="eastAsia" w:ascii="宋体" w:hAnsi="宋体" w:eastAsia="宋体" w:cs="宋体"/>
      <w:color w:val="000000"/>
      <w:sz w:val="20"/>
      <w:szCs w:val="20"/>
      <w:u w:val="none"/>
    </w:rPr>
  </w:style>
  <w:style w:type="character" w:styleId="1134" w:customStyle="1">
    <w:name w:val="font241"/>
    <w:uiPriority w:val="0"/>
    <w:qFormat/>
    <w:rPr>
      <w:rFonts w:hint="eastAsia" w:ascii="宋体" w:hAnsi="宋体" w:eastAsia="宋体" w:cs="宋体"/>
      <w:color w:val="000000"/>
      <w:sz w:val="20"/>
      <w:szCs w:val="20"/>
      <w:u w:val="none"/>
    </w:rPr>
  </w:style>
  <w:style w:type="character" w:styleId="1135" w:customStyle="1">
    <w:name w:val="Char Char9"/>
    <w:uiPriority w:val="0"/>
    <w:qFormat/>
    <w:rPr>
      <w:rFonts w:ascii="等线 Light" w:hAnsi="等线 Light" w:eastAsia="等线 Light" w:cs="Times New Roman"/>
      <w:b/>
      <w:bCs/>
      <w:sz w:val="28"/>
      <w:szCs w:val="28"/>
    </w:rPr>
  </w:style>
  <w:style w:type="character" w:styleId="1136" w:customStyle="1">
    <w:name w:val="Char Char10"/>
    <w:uiPriority w:val="0"/>
    <w:qFormat/>
    <w:rPr>
      <w:rFonts w:ascii="Arial" w:hAnsi="Arial" w:eastAsia="黑体" w:cs="Times New Roman"/>
      <w:b/>
      <w:bCs/>
      <w:sz w:val="30"/>
      <w:szCs w:val="32"/>
    </w:rPr>
  </w:style>
  <w:style w:type="character" w:styleId="1137" w:customStyle="1">
    <w:name w:val="表格样式居左 Char"/>
    <w:link w:val="1138"/>
    <w:uiPriority w:val="0"/>
    <w:qFormat/>
    <w:rPr>
      <w:rFonts w:eastAsia="方正仿宋_GB2312"/>
      <w:bCs/>
      <w:color w:val="000000"/>
      <w:sz w:val="21"/>
      <w:szCs w:val="44"/>
      <w:lang w:val="en-US" w:eastAsia="zh-CN" w:bidi="ar-SA"/>
    </w:rPr>
  </w:style>
  <w:style w:type="paragraph" w:styleId="1138" w:customStyle="1">
    <w:name w:val="表格样式居左"/>
    <w:link w:val="1137"/>
    <w:uiPriority w:val="0"/>
    <w:qFormat/>
    <w:pPr>
      <w:spacing w:line="360" w:lineRule="exact"/>
    </w:pPr>
    <w:rPr>
      <w:rFonts w:ascii="Times New Roman" w:hAnsi="Times New Roman" w:eastAsia="方正仿宋_GB2312" w:cs="Times New Roman"/>
      <w:bCs/>
      <w:color w:val="000000"/>
      <w:sz w:val="21"/>
      <w:szCs w:val="44"/>
      <w:lang w:val="en-US" w:eastAsia="zh-CN" w:bidi="ar-SA"/>
    </w:rPr>
  </w:style>
  <w:style w:type="character" w:styleId="1139" w:customStyle="1">
    <w:name w:val="font101"/>
    <w:uiPriority w:val="0"/>
    <w:qFormat/>
    <w:rPr>
      <w:rFonts w:hint="eastAsia" w:ascii="宋体" w:hAnsi="宋体" w:eastAsia="宋体" w:cs="宋体"/>
      <w:b/>
      <w:color w:val="000000"/>
      <w:sz w:val="18"/>
      <w:szCs w:val="18"/>
      <w:u w:val="none"/>
    </w:rPr>
  </w:style>
  <w:style w:type="character" w:styleId="1140" w:customStyle="1">
    <w:name w:val="段落 Char1"/>
    <w:link w:val="1141"/>
    <w:uiPriority w:val="0"/>
    <w:qFormat/>
    <w:rPr>
      <w:rFonts w:eastAsia="方正仿宋_GB2312"/>
      <w:sz w:val="32"/>
      <w:szCs w:val="32"/>
      <w:lang w:val="en-US" w:eastAsia="zh-CN" w:bidi="ar-SA"/>
    </w:rPr>
  </w:style>
  <w:style w:type="paragraph" w:styleId="1141" w:customStyle="1">
    <w:name w:val="段落"/>
    <w:link w:val="1140"/>
    <w:uiPriority w:val="0"/>
    <w:qFormat/>
    <w:pPr>
      <w:ind w:firstLine="640"/>
      <w:jc w:val="both"/>
      <w:spacing w:before="120" w:after="120" w:line="360" w:lineRule="auto"/>
    </w:pPr>
    <w:rPr>
      <w:rFonts w:ascii="Times New Roman" w:hAnsi="Times New Roman" w:eastAsia="方正仿宋_GB2312" w:cs="Times New Roman"/>
      <w:sz w:val="32"/>
      <w:szCs w:val="32"/>
      <w:lang w:val="en-US" w:eastAsia="zh-CN" w:bidi="ar-SA"/>
    </w:rPr>
  </w:style>
  <w:style w:type="character" w:styleId="1142" w:customStyle="1">
    <w:name w:val="font131"/>
    <w:uiPriority w:val="0"/>
    <w:qFormat/>
    <w:rPr>
      <w:rFonts w:ascii="Wingdings 2" w:hAnsi="Wingdings 2" w:eastAsia="Wingdings 2" w:cs="Wingdings 2"/>
      <w:color w:val="000000"/>
      <w:sz w:val="20"/>
      <w:szCs w:val="20"/>
      <w:u w:val="none"/>
    </w:rPr>
  </w:style>
  <w:style w:type="character" w:styleId="1143" w:customStyle="1">
    <w:name w:val="一级缩进 Char"/>
    <w:link w:val="1144"/>
    <w:uiPriority w:val="0"/>
    <w:qFormat/>
    <w:rPr>
      <w:rFonts w:eastAsia="方正仿宋_GB2312"/>
      <w:sz w:val="32"/>
      <w:szCs w:val="32"/>
      <w:lang w:val="en-US" w:eastAsia="zh-CN" w:bidi="ar-SA"/>
    </w:rPr>
  </w:style>
  <w:style w:type="paragraph" w:styleId="1144" w:customStyle="1">
    <w:name w:val="一级缩进"/>
    <w:link w:val="1143"/>
    <w:uiPriority w:val="0"/>
    <w:qFormat/>
    <w:pPr>
      <w:ind w:left="987"/>
      <w:jc w:val="both"/>
      <w:spacing w:before="120" w:after="120" w:line="360" w:lineRule="auto"/>
      <w:tabs>
        <w:tab w:val="left" w:pos="720" w:leader="none"/>
      </w:tabs>
    </w:pPr>
    <w:rPr>
      <w:rFonts w:ascii="Times New Roman" w:hAnsi="Times New Roman" w:eastAsia="方正仿宋_GB2312" w:cs="Times New Roman"/>
      <w:sz w:val="32"/>
      <w:szCs w:val="32"/>
      <w:lang w:val="en-US" w:eastAsia="zh-CN" w:bidi="ar-SA"/>
    </w:rPr>
  </w:style>
  <w:style w:type="character" w:styleId="1145" w:customStyle="1">
    <w:name w:val="正文文本 3 Char1"/>
    <w:uiPriority w:val="99"/>
    <w:semiHidden/>
    <w:qFormat/>
    <w:rPr>
      <w:sz w:val="16"/>
      <w:szCs w:val="16"/>
    </w:rPr>
  </w:style>
  <w:style w:type="character" w:styleId="1146" w:customStyle="1">
    <w:name w:val="apple-style-span"/>
    <w:uiPriority w:val="0"/>
    <w:qFormat/>
  </w:style>
  <w:style w:type="character" w:styleId="1147" w:customStyle="1">
    <w:name w:val="批注框文本 Char1"/>
    <w:uiPriority w:val="99"/>
    <w:semiHidden/>
    <w:qFormat/>
    <w:rPr>
      <w:rFonts w:ascii="Times New Roman" w:hAnsi="Times New Roman"/>
      <w:sz w:val="18"/>
      <w:szCs w:val="18"/>
    </w:rPr>
  </w:style>
  <w:style w:type="character" w:styleId="1148" w:customStyle="1">
    <w:name w:val="font221"/>
    <w:uiPriority w:val="0"/>
    <w:qFormat/>
    <w:rPr>
      <w:rFonts w:hint="eastAsia" w:ascii="宋体" w:hAnsi="宋体" w:eastAsia="宋体" w:cs="宋体"/>
      <w:b/>
      <w:color w:val="000000"/>
      <w:sz w:val="20"/>
      <w:szCs w:val="20"/>
      <w:u w:val="none"/>
    </w:rPr>
  </w:style>
  <w:style w:type="character" w:styleId="1149" w:customStyle="1">
    <w:name w:val="font61"/>
    <w:basedOn w:val="875"/>
    <w:uiPriority w:val="0"/>
    <w:qFormat/>
    <w:rPr>
      <w:rFonts w:hint="eastAsia" w:ascii="宋体" w:hAnsi="宋体" w:eastAsia="宋体" w:cs="宋体"/>
      <w:color w:val="000000"/>
      <w:sz w:val="20"/>
      <w:szCs w:val="20"/>
      <w:u w:val="none"/>
    </w:rPr>
  </w:style>
  <w:style w:type="character" w:styleId="1150" w:customStyle="1">
    <w:name w:val="top_title1"/>
    <w:uiPriority w:val="0"/>
    <w:qFormat/>
    <w:rPr>
      <w:b/>
      <w:bCs/>
      <w:color w:val="333333"/>
      <w:sz w:val="24"/>
      <w:szCs w:val="24"/>
    </w:rPr>
  </w:style>
  <w:style w:type="character" w:styleId="1151" w:customStyle="1">
    <w:name w:val="font81"/>
    <w:uiPriority w:val="0"/>
    <w:qFormat/>
    <w:rPr>
      <w:rFonts w:ascii="Symbol" w:hAnsi="Symbol" w:cs="Symbol"/>
      <w:color w:val="000000"/>
      <w:sz w:val="20"/>
      <w:szCs w:val="20"/>
      <w:u w:val="none"/>
    </w:rPr>
  </w:style>
  <w:style w:type="character" w:styleId="1152" w:customStyle="1">
    <w:name w:val="font141"/>
    <w:uiPriority w:val="0"/>
    <w:qFormat/>
    <w:rPr>
      <w:rFonts w:hint="eastAsia" w:ascii="宋体" w:hAnsi="宋体" w:eastAsia="宋体" w:cs="宋体"/>
      <w:color w:val="ff0000"/>
      <w:sz w:val="20"/>
      <w:szCs w:val="20"/>
      <w:u w:val="none"/>
      <w:vertAlign w:val="superscript"/>
    </w:rPr>
  </w:style>
  <w:style w:type="character" w:styleId="1153" w:customStyle="1">
    <w:name w:val="正文文本缩进 Char1"/>
    <w:uiPriority w:val="99"/>
    <w:semiHidden/>
    <w:qFormat/>
  </w:style>
  <w:style w:type="character" w:styleId="1154" w:customStyle="1">
    <w:name w:val="正文缩进 Char1"/>
    <w:uiPriority w:val="0"/>
    <w:qFormat/>
    <w:rPr>
      <w:rFonts w:ascii="Times New Roman" w:hAnsi="Times New Roman" w:eastAsia="宋体" w:cs="Times New Roman"/>
      <w:szCs w:val="20"/>
    </w:rPr>
  </w:style>
  <w:style w:type="character" w:styleId="1155" w:customStyle="1">
    <w:name w:val="font11"/>
    <w:basedOn w:val="875"/>
    <w:uiPriority w:val="0"/>
    <w:qFormat/>
    <w:rPr>
      <w:rFonts w:hint="eastAsia" w:ascii="宋体" w:hAnsi="宋体" w:eastAsia="宋体" w:cs="宋体"/>
      <w:color w:val="000000"/>
      <w:sz w:val="20"/>
      <w:szCs w:val="20"/>
      <w:u w:val="none"/>
    </w:rPr>
  </w:style>
  <w:style w:type="character" w:styleId="1156" w:customStyle="1">
    <w:name w:val="表格样式居中 Char"/>
    <w:link w:val="1157"/>
    <w:uiPriority w:val="0"/>
    <w:qFormat/>
    <w:rPr>
      <w:rFonts w:ascii="宋体" w:hAnsi="宋体"/>
      <w:bCs/>
      <w:sz w:val="21"/>
      <w:szCs w:val="21"/>
      <w:lang w:val="zh-CN" w:eastAsia="zh-CN" w:bidi="ar-SA"/>
    </w:rPr>
  </w:style>
  <w:style w:type="paragraph" w:styleId="1157" w:customStyle="1">
    <w:name w:val="表格样式居中"/>
    <w:link w:val="1156"/>
    <w:uiPriority w:val="0"/>
    <w:qFormat/>
    <w:pPr>
      <w:jc w:val="center"/>
      <w:spacing w:line="360" w:lineRule="auto"/>
    </w:pPr>
    <w:rPr>
      <w:rFonts w:ascii="宋体" w:hAnsi="宋体" w:eastAsia="宋体" w:cs="Times New Roman"/>
      <w:bCs/>
      <w:sz w:val="21"/>
      <w:szCs w:val="21"/>
      <w:lang w:val="zh-CN" w:eastAsia="zh-CN" w:bidi="ar-SA"/>
    </w:rPr>
  </w:style>
  <w:style w:type="character" w:styleId="1158" w:customStyle="1">
    <w:name w:val="正文文本缩进 2 Char1"/>
    <w:uiPriority w:val="99"/>
    <w:semiHidden/>
    <w:qFormat/>
  </w:style>
  <w:style w:type="character" w:styleId="1159" w:customStyle="1">
    <w:name w:val="font161"/>
    <w:basedOn w:val="875"/>
    <w:uiPriority w:val="0"/>
    <w:qFormat/>
    <w:rPr>
      <w:rFonts w:hint="eastAsia" w:ascii="宋体" w:hAnsi="宋体" w:eastAsia="宋体" w:cs="宋体"/>
      <w:b/>
      <w:color w:val="ff0000"/>
      <w:sz w:val="20"/>
      <w:szCs w:val="20"/>
      <w:u w:val="none"/>
    </w:rPr>
  </w:style>
  <w:style w:type="character" w:styleId="1160" w:customStyle="1">
    <w:name w:val="批注主题 Char1"/>
    <w:uiPriority w:val="99"/>
    <w:semiHidden/>
    <w:qFormat/>
    <w:rPr>
      <w:rFonts w:ascii="Times New Roman" w:hAnsi="Times New Roman" w:eastAsia="宋体" w:cs="Times New Roman"/>
      <w:b/>
      <w:bCs/>
      <w:szCs w:val="24"/>
    </w:rPr>
  </w:style>
  <w:style w:type="character" w:styleId="1161" w:customStyle="1">
    <w:name w:val="font51"/>
    <w:uiPriority w:val="0"/>
    <w:qFormat/>
    <w:rPr>
      <w:rFonts w:hint="eastAsia" w:ascii="宋体" w:hAnsi="宋体" w:eastAsia="宋体" w:cs="宋体"/>
      <w:b/>
      <w:color w:val="000000"/>
      <w:sz w:val="20"/>
      <w:szCs w:val="20"/>
      <w:u w:val="none"/>
    </w:rPr>
  </w:style>
  <w:style w:type="character" w:styleId="1162" w:customStyle="1">
    <w:name w:val="font01"/>
    <w:basedOn w:val="875"/>
    <w:uiPriority w:val="0"/>
    <w:qFormat/>
    <w:rPr>
      <w:rFonts w:hint="eastAsia" w:ascii="宋体" w:hAnsi="宋体" w:eastAsia="宋体"/>
      <w:color w:val="000000"/>
      <w:sz w:val="24"/>
      <w:szCs w:val="24"/>
      <w:u w:val="none"/>
    </w:rPr>
  </w:style>
  <w:style w:type="character" w:styleId="1163" w:customStyle="1">
    <w:name w:val="批注文字 Char"/>
    <w:uiPriority w:val="99"/>
    <w:qFormat/>
    <w:rPr>
      <w:sz w:val="21"/>
      <w:szCs w:val="22"/>
    </w:rPr>
  </w:style>
  <w:style w:type="character" w:styleId="1164" w:customStyle="1">
    <w:name w:val="unnamed11"/>
    <w:uiPriority w:val="99"/>
    <w:qFormat/>
    <w:rPr>
      <w:rFonts w:hint="eastAsia" w:ascii="宋体" w:hAnsi="宋体" w:eastAsia="宋体"/>
      <w:sz w:val="21"/>
      <w:szCs w:val="21"/>
    </w:rPr>
  </w:style>
  <w:style w:type="character" w:styleId="1165" w:customStyle="1">
    <w:name w:val="font71"/>
    <w:uiPriority w:val="0"/>
    <w:qFormat/>
    <w:rPr>
      <w:rFonts w:hint="eastAsia" w:ascii="宋体" w:hAnsi="宋体" w:eastAsia="宋体" w:cs="宋体"/>
      <w:color w:val="000000"/>
      <w:sz w:val="20"/>
      <w:szCs w:val="20"/>
      <w:u w:val="none"/>
    </w:rPr>
  </w:style>
  <w:style w:type="character" w:styleId="1166" w:customStyle="1">
    <w:name w:val="Char Char8"/>
    <w:uiPriority w:val="0"/>
    <w:qFormat/>
    <w:rPr>
      <w:rFonts w:ascii="Calibri" w:hAnsi="Calibri" w:eastAsia="宋体" w:cs="Times New Roman"/>
      <w:b/>
      <w:bCs/>
      <w:sz w:val="28"/>
      <w:szCs w:val="28"/>
    </w:rPr>
  </w:style>
  <w:style w:type="character" w:styleId="1167" w:customStyle="1">
    <w:name w:val="Char Char11"/>
    <w:uiPriority w:val="0"/>
    <w:qFormat/>
    <w:rPr>
      <w:rFonts w:ascii="Arial" w:hAnsi="Arial" w:eastAsia="宋体" w:cs="Times New Roman"/>
      <w:b/>
      <w:bCs/>
      <w:sz w:val="28"/>
      <w:szCs w:val="36"/>
    </w:rPr>
  </w:style>
  <w:style w:type="character" w:styleId="1168" w:customStyle="1">
    <w:name w:val="Char Char12"/>
    <w:uiPriority w:val="0"/>
    <w:qFormat/>
    <w:rPr>
      <w:b/>
      <w:bCs/>
      <w:sz w:val="44"/>
      <w:szCs w:val="44"/>
    </w:rPr>
  </w:style>
  <w:style w:type="character" w:styleId="1169" w:customStyle="1">
    <w:name w:val="font111"/>
    <w:uiPriority w:val="0"/>
    <w:qFormat/>
    <w:rPr>
      <w:rFonts w:hint="eastAsia" w:ascii="宋体" w:hAnsi="宋体" w:eastAsia="宋体" w:cs="宋体"/>
      <w:color w:val="ff0000"/>
      <w:sz w:val="18"/>
      <w:szCs w:val="18"/>
      <w:u w:val="none"/>
    </w:rPr>
  </w:style>
  <w:style w:type="character" w:styleId="1170" w:customStyle="1">
    <w:name w:val="font21"/>
    <w:basedOn w:val="875"/>
    <w:uiPriority w:val="0"/>
    <w:qFormat/>
    <w:rPr>
      <w:rFonts w:hint="eastAsia" w:ascii="方正仿宋_GB2312" w:hAnsi="Times New Roman" w:eastAsia="方正仿宋_GB2312" w:cs="方正仿宋_GB2312"/>
      <w:color w:val="000000"/>
      <w:sz w:val="22"/>
      <w:szCs w:val="22"/>
      <w:u w:val="none"/>
    </w:rPr>
  </w:style>
  <w:style w:type="character" w:styleId="1171" w:customStyle="1">
    <w:name w:val="无间隔 Char"/>
    <w:link w:val="1172"/>
    <w:uiPriority w:val="0"/>
    <w:qFormat/>
    <w:rPr>
      <w:sz w:val="21"/>
      <w:szCs w:val="22"/>
      <w:lang w:val="en-US" w:eastAsia="zh-CN" w:bidi="ar-SA"/>
    </w:rPr>
  </w:style>
  <w:style w:type="paragraph" w:styleId="1172" w:customStyle="1">
    <w:name w:val="msonospacing"/>
    <w:link w:val="1171"/>
    <w:uiPriority w:val="0"/>
    <w:qFormat/>
    <w:pPr>
      <w:jc w:val="both"/>
      <w:widowControl w:val="off"/>
    </w:pPr>
    <w:rPr>
      <w:rFonts w:ascii="Times New Roman" w:hAnsi="Times New Roman" w:eastAsia="宋体" w:cs="Times New Roman"/>
      <w:sz w:val="21"/>
      <w:szCs w:val="22"/>
      <w:lang w:val="en-US" w:eastAsia="zh-CN" w:bidi="ar-SA"/>
    </w:rPr>
  </w:style>
  <w:style w:type="character" w:styleId="1173" w:customStyle="1">
    <w:name w:val="font211"/>
    <w:uiPriority w:val="0"/>
    <w:qFormat/>
    <w:rPr>
      <w:rFonts w:hint="eastAsia" w:ascii="宋体" w:hAnsi="宋体" w:eastAsia="宋体" w:cs="宋体"/>
      <w:color w:val="ff0000"/>
      <w:sz w:val="20"/>
      <w:szCs w:val="20"/>
      <w:u w:val="none"/>
      <w:vertAlign w:val="superscript"/>
    </w:rPr>
  </w:style>
  <w:style w:type="character" w:styleId="1174" w:customStyle="1">
    <w:name w:val="NormalCharacter"/>
    <w:uiPriority w:val="0"/>
    <w:qFormat/>
    <w:rPr>
      <w:sz w:val="21"/>
      <w:szCs w:val="22"/>
      <w:lang w:val="en-US" w:eastAsia="zh-CN" w:bidi="ar-SA"/>
    </w:rPr>
  </w:style>
  <w:style w:type="character" w:styleId="1175" w:customStyle="1">
    <w:name w:val="font171"/>
    <w:basedOn w:val="875"/>
    <w:uiPriority w:val="0"/>
    <w:qFormat/>
    <w:rPr>
      <w:rFonts w:hint="eastAsia" w:ascii="宋体" w:hAnsi="宋体" w:eastAsia="宋体" w:cs="宋体"/>
      <w:color w:val="000000"/>
      <w:sz w:val="20"/>
      <w:szCs w:val="20"/>
      <w:u w:val="none"/>
    </w:rPr>
  </w:style>
  <w:style w:type="character" w:styleId="1176" w:customStyle="1">
    <w:name w:val="项目排列 Char"/>
    <w:link w:val="1177"/>
    <w:uiPriority w:val="0"/>
    <w:qFormat/>
    <w:rPr>
      <w:sz w:val="24"/>
      <w:szCs w:val="24"/>
    </w:rPr>
  </w:style>
  <w:style w:type="paragraph" w:styleId="1177" w:customStyle="1">
    <w:name w:val="项目排列"/>
    <w:basedOn w:val="865"/>
    <w:link w:val="1176"/>
    <w:uiPriority w:val="0"/>
    <w:qFormat/>
    <w:pPr>
      <w:numPr>
        <w:ilvl w:val="0"/>
        <w:numId w:val="4"/>
      </w:numPr>
      <w:spacing w:before="156" w:after="156" w:line="300" w:lineRule="auto"/>
      <w:tabs>
        <w:tab w:val="left" w:pos="900" w:leader="none"/>
      </w:tabs>
    </w:pPr>
    <w:rPr>
      <w:sz w:val="24"/>
      <w:szCs w:val="24"/>
    </w:rPr>
  </w:style>
  <w:style w:type="character" w:styleId="1178" w:customStyle="1">
    <w:name w:val="hover4"/>
    <w:uiPriority w:val="0"/>
    <w:qFormat/>
    <w:rPr>
      <w:color w:val="999999"/>
    </w:rPr>
  </w:style>
  <w:style w:type="character" w:styleId="1179" w:customStyle="1">
    <w:name w:val="font91"/>
    <w:uiPriority w:val="0"/>
    <w:qFormat/>
    <w:rPr>
      <w:rFonts w:hint="eastAsia" w:ascii="宋体" w:hAnsi="宋体" w:eastAsia="宋体" w:cs="宋体"/>
      <w:color w:val="000000"/>
      <w:sz w:val="16"/>
      <w:szCs w:val="16"/>
      <w:u w:val="none"/>
    </w:rPr>
  </w:style>
  <w:style w:type="paragraph" w:styleId="1180" w:customStyle="1">
    <w:name w:val="Char"/>
    <w:basedOn w:val="865"/>
    <w:uiPriority w:val="0"/>
    <w:qFormat/>
    <w:pPr>
      <w:ind w:left="1350" w:hanging="1350"/>
      <w:tabs>
        <w:tab w:val="left" w:pos="1350" w:leader="none"/>
      </w:tabs>
    </w:pPr>
    <w:rPr>
      <w:sz w:val="24"/>
      <w:szCs w:val="24"/>
    </w:rPr>
  </w:style>
  <w:style w:type="paragraph" w:styleId="1181" w:customStyle="1">
    <w:name w:val="正文 1.1.1"/>
    <w:basedOn w:val="865"/>
    <w:next w:val="865"/>
    <w:uiPriority w:val="0"/>
    <w:qFormat/>
    <w:pPr>
      <w:numPr>
        <w:ilvl w:val="2"/>
        <w:numId w:val="5"/>
      </w:numPr>
      <w:outlineLvl w:val="2"/>
    </w:pPr>
    <w:rPr>
      <w:rFonts w:hAnsi="宋体"/>
      <w:color w:val="ff0000"/>
    </w:rPr>
  </w:style>
  <w:style w:type="paragraph" w:styleId="1182" w:customStyle="1">
    <w:name w:val="Default Paragraph Font Para Char"/>
    <w:basedOn w:val="865"/>
    <w:uiPriority w:val="0"/>
    <w:qFormat/>
    <w:pPr>
      <w:jc w:val="left"/>
      <w:spacing w:before="156" w:after="160" w:line="240" w:lineRule="exact"/>
      <w:widowControl/>
    </w:pPr>
    <w:rPr>
      <w:rFonts w:ascii="Verdana" w:hAnsi="Verdana"/>
      <w:sz w:val="20"/>
      <w:szCs w:val="20"/>
      <w:lang w:eastAsia="en-US"/>
    </w:rPr>
  </w:style>
  <w:style w:type="paragraph" w:styleId="1183" w:customStyle="1">
    <w:name w:val="unnamed1"/>
    <w:basedOn w:val="865"/>
    <w:uiPriority w:val="0"/>
    <w:qFormat/>
    <w:pPr>
      <w:jc w:val="left"/>
      <w:spacing w:before="100" w:beforeAutospacing="1" w:after="100" w:afterAutospacing="1" w:line="288" w:lineRule="auto"/>
      <w:widowControl/>
    </w:pPr>
    <w:rPr>
      <w:rFonts w:hint="eastAsia" w:ascii="宋体" w:hAnsi="宋体"/>
      <w:szCs w:val="21"/>
    </w:rPr>
  </w:style>
  <w:style w:type="paragraph" w:styleId="1184" w:customStyle="1">
    <w:name w:val="正文缩进1"/>
    <w:basedOn w:val="865"/>
    <w:uiPriority w:val="0"/>
    <w:qFormat/>
    <w:pPr>
      <w:ind w:firstLine="420"/>
      <w:jc w:val="left"/>
      <w:spacing w:line="360" w:lineRule="auto"/>
      <w:widowControl/>
    </w:pPr>
    <w:rPr>
      <w:rFonts w:ascii="宋体"/>
      <w:sz w:val="20"/>
      <w:szCs w:val="20"/>
    </w:rPr>
  </w:style>
  <w:style w:type="paragraph" w:styleId="1185" w:customStyle="1">
    <w:name w:val="Char1"/>
    <w:basedOn w:val="865"/>
    <w:uiPriority w:val="0"/>
    <w:qFormat/>
    <w:rPr>
      <w:rFonts w:ascii="方正仿宋_GB2312" w:eastAsia="方正仿宋_GB2312"/>
      <w:b/>
      <w:sz w:val="32"/>
      <w:szCs w:val="32"/>
    </w:rPr>
  </w:style>
  <w:style w:type="paragraph" w:styleId="1186" w:customStyle="1">
    <w:name w:val="文档正文"/>
    <w:basedOn w:val="865"/>
    <w:uiPriority w:val="0"/>
    <w:qFormat/>
    <w:pPr>
      <w:ind w:firstLine="567"/>
      <w:spacing w:line="480" w:lineRule="atLeast"/>
    </w:pPr>
    <w:rPr>
      <w:rFonts w:ascii="方正仿宋_GB2312" w:eastAsia="方正仿宋_GB2312"/>
      <w:sz w:val="28"/>
      <w:szCs w:val="24"/>
    </w:rPr>
  </w:style>
  <w:style w:type="paragraph" w:styleId="1187" w:customStyle="1">
    <w:name w:val="二级目录"/>
    <w:next w:val="865"/>
    <w:uiPriority w:val="0"/>
    <w:qFormat/>
    <w:pPr>
      <w:numPr>
        <w:ilvl w:val="0"/>
        <w:numId w:val="6"/>
      </w:numPr>
      <w:outlineLvl w:val="1"/>
    </w:pPr>
    <w:rPr>
      <w:rFonts w:ascii="Times New Roman" w:hAnsi="Times New Roman" w:eastAsia="宋体" w:cs="Times New Roman"/>
      <w:b/>
      <w:sz w:val="30"/>
      <w:szCs w:val="28"/>
      <w:lang w:val="en-US" w:eastAsia="zh-CN" w:bidi="ar-SA"/>
    </w:rPr>
  </w:style>
  <w:style w:type="paragraph" w:styleId="1188" w:customStyle="1">
    <w:name w:val="List Paragraph1"/>
    <w:basedOn w:val="865"/>
    <w:uiPriority w:val="0"/>
    <w:qFormat/>
    <w:pPr>
      <w:ind w:firstLine="420"/>
    </w:pPr>
    <w:rPr>
      <w:szCs w:val="20"/>
    </w:rPr>
  </w:style>
  <w:style w:type="paragraph" w:styleId="1189" w:customStyle="1">
    <w:name w:val="_Style 2"/>
    <w:basedOn w:val="865"/>
    <w:uiPriority w:val="34"/>
    <w:qFormat/>
    <w:pPr>
      <w:ind w:firstLine="420"/>
    </w:pPr>
    <w:rPr>
      <w:szCs w:val="24"/>
    </w:rPr>
  </w:style>
  <w:style w:type="paragraph" w:styleId="1190"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91" w:customStyle="1">
    <w:name w:val="文档标题"/>
    <w:basedOn w:val="865"/>
    <w:uiPriority w:val="0"/>
    <w:qFormat/>
    <w:pPr>
      <w:jc w:val="center"/>
      <w:spacing w:before="312" w:after="312" w:line="300" w:lineRule="auto"/>
    </w:pPr>
    <w:rPr>
      <w:rFonts w:ascii="Arial" w:hAnsi="Arial" w:eastAsia="黑体" w:cs="Arial"/>
      <w:b/>
      <w:sz w:val="48"/>
      <w:szCs w:val="32"/>
    </w:rPr>
  </w:style>
  <w:style w:type="paragraph" w:styleId="1192" w:customStyle="1">
    <w:name w:val="Char1 Char Char Char Char Char Char"/>
    <w:basedOn w:val="865"/>
    <w:uiPriority w:val="0"/>
    <w:qFormat/>
    <w:rPr>
      <w:szCs w:val="24"/>
    </w:rPr>
  </w:style>
  <w:style w:type="paragraph" w:styleId="1193" w:customStyle="1">
    <w:name w:val="Char Char Char Char Char Char Char"/>
    <w:basedOn w:val="882"/>
    <w:uiPriority w:val="0"/>
    <w:qFormat/>
    <w:pPr>
      <w:shd w:val="clear" w:color="auto" w:fill="000080"/>
    </w:pPr>
    <w:rPr>
      <w:rFonts w:ascii="Times New Roman"/>
      <w:sz w:val="21"/>
      <w:szCs w:val="20"/>
    </w:rPr>
  </w:style>
  <w:style w:type="paragraph" w:styleId="1194"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195" w:customStyle="1">
    <w:name w:val="列表段落1"/>
    <w:basedOn w:val="865"/>
    <w:uiPriority w:val="34"/>
    <w:qFormat/>
    <w:pPr>
      <w:ind w:left="720"/>
    </w:pPr>
    <w:rPr>
      <w:szCs w:val="21"/>
    </w:rPr>
  </w:style>
  <w:style w:type="paragraph" w:styleId="1196" w:customStyle="1">
    <w:name w:val="普通正文"/>
    <w:basedOn w:val="1111"/>
    <w:uiPriority w:val="0"/>
    <w:qFormat/>
    <w:pPr>
      <w:jc w:val="left"/>
      <w:spacing w:before="120" w:after="120" w:line="360" w:lineRule="auto"/>
    </w:pPr>
    <w:rPr>
      <w:rFonts w:ascii="Arial" w:hAnsi="Arial"/>
      <w:szCs w:val="24"/>
    </w:rPr>
  </w:style>
  <w:style w:type="paragraph" w:styleId="1197" w:customStyle="1">
    <w:name w:val="正文 1.1"/>
    <w:basedOn w:val="865"/>
    <w:next w:val="1181"/>
    <w:uiPriority w:val="0"/>
    <w:qFormat/>
    <w:pPr>
      <w:numPr>
        <w:ilvl w:val="1"/>
        <w:numId w:val="5"/>
      </w:numPr>
      <w:ind w:firstLine="550"/>
      <w:outlineLvl w:val="1"/>
    </w:pPr>
    <w:rPr>
      <w:rFonts w:ascii="仿宋" w:hAnsi="仿宋"/>
      <w:b/>
    </w:rPr>
  </w:style>
  <w:style w:type="paragraph" w:styleId="1198" w:customStyle="1">
    <w:name w:val="Table Paragraph"/>
    <w:basedOn w:val="865"/>
    <w:uiPriority w:val="1"/>
    <w:qFormat/>
    <w:rPr>
      <w:rFonts w:ascii="Calibri" w:hAnsi="Calibri"/>
      <w:lang w:eastAsia="en-US"/>
    </w:rPr>
  </w:style>
  <w:style w:type="paragraph" w:styleId="119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200"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201" w:customStyle="1">
    <w:name w:val="CD 正文"/>
    <w:basedOn w:val="865"/>
    <w:uiPriority w:val="0"/>
    <w:qFormat/>
    <w:pPr>
      <w:jc w:val="left"/>
    </w:pPr>
    <w:rPr>
      <w:rFonts w:ascii="Arial" w:hAnsi="Arial" w:eastAsia="微软雅黑" w:cs="Arial"/>
      <w:szCs w:val="21"/>
    </w:rPr>
  </w:style>
  <w:style w:type="paragraph" w:styleId="1202" w:customStyle="1">
    <w:name w:val="纯文本1"/>
    <w:uiPriority w:val="0"/>
    <w:qFormat/>
    <w:pPr>
      <w:spacing w:before="100" w:after="100"/>
      <w:framePr w:wrap="around" w:vAnchor="margin" w:hAnchor="text" w:yAlign="top"/>
    </w:pPr>
    <w:rPr>
      <w:rFonts w:ascii="宋体" w:hAnsi="宋体" w:eastAsia="宋体" w:cs="宋体"/>
      <w:color w:val="000000"/>
      <w:sz w:val="24"/>
      <w:szCs w:val="24"/>
      <w:lang w:val="en-US" w:eastAsia="zh-CN" w:bidi="ar-SA"/>
    </w:rPr>
  </w:style>
  <w:style w:type="paragraph" w:styleId="1203" w:customStyle="1">
    <w:name w:val="Char2"/>
    <w:basedOn w:val="865"/>
    <w:uiPriority w:val="0"/>
    <w:qFormat/>
    <w:pPr>
      <w:ind w:firstLine="200"/>
      <w:tabs>
        <w:tab w:val="left" w:pos="360" w:leader="none"/>
      </w:tabs>
    </w:pPr>
    <w:rPr>
      <w:sz w:val="28"/>
      <w:szCs w:val="30"/>
    </w:rPr>
  </w:style>
  <w:style w:type="paragraph" w:styleId="1204"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205" w:customStyle="1">
    <w:name w:val="p0"/>
    <w:basedOn w:val="865"/>
    <w:uiPriority w:val="0"/>
    <w:qFormat/>
    <w:pPr>
      <w:widowControl/>
    </w:pPr>
    <w:rPr>
      <w:szCs w:val="21"/>
    </w:rPr>
  </w:style>
  <w:style w:type="paragraph" w:styleId="1206" w:customStyle="1">
    <w:name w:val="msonormal"/>
    <w:basedOn w:val="865"/>
    <w:uiPriority w:val="0"/>
    <w:qFormat/>
    <w:pPr>
      <w:jc w:val="left"/>
      <w:spacing w:before="100" w:beforeAutospacing="1" w:after="100" w:afterAutospacing="1"/>
      <w:widowControl/>
    </w:pPr>
    <w:rPr>
      <w:rFonts w:ascii="宋体" w:hAnsi="宋体" w:cs="宋体"/>
      <w:sz w:val="24"/>
      <w:szCs w:val="24"/>
    </w:rPr>
  </w:style>
  <w:style w:type="paragraph" w:styleId="1207" w:customStyle="1">
    <w:name w:val="font5"/>
    <w:basedOn w:val="865"/>
    <w:uiPriority w:val="0"/>
    <w:qFormat/>
    <w:pPr>
      <w:jc w:val="left"/>
      <w:spacing w:before="100" w:beforeAutospacing="1" w:after="100" w:afterAutospacing="1"/>
      <w:widowControl/>
    </w:pPr>
    <w:rPr>
      <w:rFonts w:ascii="宋体" w:hAnsi="宋体" w:cs="宋体"/>
      <w:sz w:val="18"/>
      <w:szCs w:val="18"/>
    </w:rPr>
  </w:style>
  <w:style w:type="paragraph" w:styleId="1208" w:customStyle="1">
    <w:name w:val="font6"/>
    <w:basedOn w:val="865"/>
    <w:uiPriority w:val="0"/>
    <w:qFormat/>
    <w:pPr>
      <w:jc w:val="left"/>
      <w:spacing w:before="100" w:beforeAutospacing="1" w:after="100" w:afterAutospacing="1"/>
      <w:widowControl/>
    </w:pPr>
    <w:rPr>
      <w:rFonts w:ascii="Calibri" w:hAnsi="Calibri" w:cs="Calibri"/>
      <w:sz w:val="18"/>
      <w:szCs w:val="18"/>
    </w:rPr>
  </w:style>
  <w:style w:type="paragraph" w:styleId="1209" w:customStyle="1">
    <w:name w:val="xl84"/>
    <w:basedOn w:val="865"/>
    <w:uiPriority w:val="0"/>
    <w:qFormat/>
    <w:pPr>
      <w:jc w:val="left"/>
      <w:spacing w:before="100" w:beforeAutospacing="1" w:after="100" w:afterAutospacing="1"/>
      <w:widowControl/>
    </w:pPr>
    <w:rPr>
      <w:rFonts w:ascii="宋体" w:hAnsi="宋体" w:cs="宋体"/>
      <w:color w:val="000000"/>
      <w:sz w:val="24"/>
      <w:szCs w:val="24"/>
    </w:rPr>
  </w:style>
  <w:style w:type="paragraph" w:styleId="1210" w:customStyle="1">
    <w:name w:val="xl85"/>
    <w:basedOn w:val="8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11" w:customStyle="1">
    <w:name w:val="xl86"/>
    <w:basedOn w:val="865"/>
    <w:uiPriority w:val="0"/>
    <w:qFormat/>
    <w:pPr>
      <w:jc w:val="left"/>
      <w:spacing w:before="100" w:beforeAutospacing="1" w:after="100" w:afterAutospacing="1"/>
      <w:widowControl/>
    </w:pPr>
    <w:rPr>
      <w:rFonts w:ascii="宋体" w:hAnsi="宋体" w:cs="宋体"/>
      <w:sz w:val="24"/>
      <w:szCs w:val="24"/>
    </w:rPr>
  </w:style>
  <w:style w:type="paragraph" w:styleId="1212" w:customStyle="1">
    <w:name w:val="xl87"/>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13" w:customStyle="1">
    <w:name w:val="xl88"/>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14" w:customStyle="1">
    <w:name w:val="xl89"/>
    <w:basedOn w:val="865"/>
    <w:uiPriority w:val="0"/>
    <w:qFormat/>
    <w:pPr>
      <w:jc w:val="left"/>
      <w:spacing w:before="100" w:beforeAutospacing="1" w:after="100" w:afterAutospacing="1"/>
      <w:widowControl/>
    </w:pPr>
    <w:rPr>
      <w:rFonts w:ascii="宋体" w:hAnsi="宋体" w:cs="宋体"/>
      <w:sz w:val="24"/>
      <w:szCs w:val="24"/>
    </w:rPr>
  </w:style>
  <w:style w:type="paragraph" w:styleId="1215" w:customStyle="1">
    <w:name w:val="xl9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16" w:customStyle="1">
    <w:name w:val="xl9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17" w:customStyle="1">
    <w:name w:val="xl9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18" w:customStyle="1">
    <w:name w:val="xl9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19" w:customStyle="1">
    <w:name w:val="xl9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20" w:customStyle="1">
    <w:name w:val="xl95"/>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21" w:customStyle="1">
    <w:name w:val="xl9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22" w:customStyle="1">
    <w:name w:val="xl97"/>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23" w:customStyle="1">
    <w:name w:val="xl98"/>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24" w:customStyle="1">
    <w:name w:val="xl99"/>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25" w:customStyle="1">
    <w:name w:val="xl100"/>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26" w:customStyle="1">
    <w:name w:val="xl10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27" w:customStyle="1">
    <w:name w:val="xl102"/>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28" w:customStyle="1">
    <w:name w:val="xl103"/>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229" w:customStyle="1">
    <w:name w:val="xl10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0" w:customStyle="1">
    <w:name w:val="xl105"/>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1" w:customStyle="1">
    <w:name w:val="xl106"/>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2" w:customStyle="1">
    <w:name w:val="xl107"/>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3" w:customStyle="1">
    <w:name w:val="xl108"/>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4" w:customStyle="1">
    <w:name w:val="xl109"/>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5" w:customStyle="1">
    <w:name w:val="xl110"/>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6" w:customStyle="1">
    <w:name w:val="xl11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7" w:customStyle="1">
    <w:name w:val="xl112"/>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8" w:customStyle="1">
    <w:name w:val="xl11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9" w:customStyle="1">
    <w:name w:val="xl115"/>
    <w:basedOn w:val="8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0" w:customStyle="1">
    <w:name w:val="xl116"/>
    <w:basedOn w:val="8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1" w:customStyle="1">
    <w:name w:val="xl117"/>
    <w:basedOn w:val="8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2" w:customStyle="1">
    <w:name w:val="xl118"/>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3" w:customStyle="1">
    <w:name w:val="xl119"/>
    <w:basedOn w:val="865"/>
    <w:uiPriority w:val="0"/>
    <w:qFormat/>
    <w:pPr>
      <w:jc w:val="center"/>
      <w:spacing w:before="100" w:beforeAutospacing="1" w:after="100" w:afterAutospacing="1"/>
      <w:widowControl/>
    </w:pPr>
    <w:rPr>
      <w:rFonts w:ascii="宋体" w:hAnsi="宋体" w:cs="宋体"/>
      <w:sz w:val="24"/>
      <w:szCs w:val="24"/>
    </w:rPr>
  </w:style>
  <w:style w:type="paragraph" w:styleId="1244" w:customStyle="1">
    <w:name w:val="xl120"/>
    <w:basedOn w:val="865"/>
    <w:uiPriority w:val="0"/>
    <w:qFormat/>
    <w:pPr>
      <w:jc w:val="center"/>
      <w:spacing w:before="100" w:beforeAutospacing="1" w:after="100" w:afterAutospacing="1"/>
      <w:widowControl/>
    </w:pPr>
    <w:rPr>
      <w:rFonts w:ascii="宋体" w:hAnsi="宋体" w:cs="宋体"/>
      <w:sz w:val="24"/>
      <w:szCs w:val="24"/>
    </w:rPr>
  </w:style>
  <w:style w:type="paragraph" w:styleId="1245" w:customStyle="1">
    <w:name w:val="xl121"/>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6" w:customStyle="1">
    <w:name w:val="xl122"/>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47" w:customStyle="1">
    <w:name w:val="xl123"/>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48" w:customStyle="1">
    <w:name w:val="xl124"/>
    <w:basedOn w:val="8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49" w:customStyle="1">
    <w:name w:val="xl125"/>
    <w:basedOn w:val="865"/>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50" w:customStyle="1">
    <w:name w:val="xl126"/>
    <w:basedOn w:val="86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51" w:customStyle="1">
    <w:name w:val="xl114"/>
    <w:basedOn w:val="8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2" w:customStyle="1">
    <w:name w:val="xl127"/>
    <w:basedOn w:val="86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53" w:customStyle="1">
    <w:name w:val="xl128"/>
    <w:basedOn w:val="865"/>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254" w:customStyle="1">
    <w:name w:val="xl129"/>
    <w:basedOn w:val="865"/>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255" w:customStyle="1">
    <w:name w:val="xl130"/>
    <w:basedOn w:val="865"/>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256" w:customStyle="1">
    <w:name w:val="xl131"/>
    <w:basedOn w:val="86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257" w:customStyle="1">
    <w:name w:val="xl132"/>
    <w:basedOn w:val="865"/>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258" w:customStyle="1">
    <w:name w:val="xl133"/>
    <w:basedOn w:val="86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259" w:customStyle="1">
    <w:name w:val="xl134"/>
    <w:basedOn w:val="8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60" w:customStyle="1">
    <w:name w:val="xl135"/>
    <w:basedOn w:val="865"/>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61" w:customStyle="1">
    <w:name w:val="xl136"/>
    <w:basedOn w:val="86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62" w:customStyle="1">
    <w:name w:val="xl137"/>
    <w:basedOn w:val="8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63" w:customStyle="1">
    <w:name w:val="_Style 227"/>
    <w:uiPriority w:val="99"/>
    <w:semiHidden/>
    <w:qFormat/>
    <w:rPr>
      <w:rFonts w:ascii="等线" w:hAnsi="等线" w:eastAsia="等线" w:cs="Times New Roman"/>
      <w:sz w:val="21"/>
      <w:szCs w:val="22"/>
      <w:lang w:val="en-US" w:eastAsia="zh-CN" w:bidi="ar-SA"/>
    </w:rPr>
  </w:style>
  <w:style w:type="paragraph" w:styleId="1264" w:customStyle="1">
    <w:name w:val="正文_0"/>
    <w:next w:val="865"/>
    <w:uiPriority w:val="3"/>
    <w:qFormat/>
    <w:pPr>
      <w:jc w:val="both"/>
      <w:widowControl w:val="off"/>
    </w:pPr>
    <w:rPr>
      <w:rFonts w:ascii="Calibri" w:hAnsi="Calibri" w:eastAsia="宋体" w:cs="Times New Roman"/>
      <w:sz w:val="21"/>
      <w:lang w:val="en-US" w:eastAsia="zh-CN" w:bidi="ar-SA"/>
    </w:rPr>
  </w:style>
  <w:style w:type="paragraph" w:styleId="1265" w:customStyle="1">
    <w:name w:val="Char Char Char Char Char Char Char1 Char"/>
    <w:basedOn w:val="865"/>
    <w:uiPriority w:val="0"/>
    <w:qFormat/>
    <w:rPr>
      <w:rFonts w:ascii="Tahoma" w:hAnsi="Tahoma"/>
      <w:sz w:val="24"/>
      <w:szCs w:val="24"/>
    </w:rPr>
  </w:style>
  <w:style w:type="paragraph" w:styleId="1266" w:customStyle="1">
    <w:name w:val="TOC 11"/>
    <w:basedOn w:val="865"/>
    <w:next w:val="865"/>
    <w:uiPriority w:val="0"/>
    <w:qFormat/>
  </w:style>
  <w:style w:type="paragraph" w:styleId="1267" w:customStyle="1">
    <w:name w:val="标题 71"/>
    <w:basedOn w:val="865"/>
    <w:next w:val="865"/>
    <w:link w:val="1268"/>
    <w:uiPriority w:val="9"/>
    <w:unhideWhenUsed/>
    <w:qFormat/>
    <w:pPr>
      <w:keepLines/>
      <w:keepNext/>
      <w:spacing w:before="320" w:after="200"/>
      <w:outlineLvl w:val="6"/>
    </w:pPr>
    <w:rPr>
      <w:rFonts w:ascii="Arial" w:hAnsi="Arial" w:eastAsia="Arial"/>
      <w:b/>
      <w:bCs/>
      <w:i/>
      <w:iCs/>
      <w:sz w:val="22"/>
    </w:rPr>
  </w:style>
  <w:style w:type="character" w:styleId="1268" w:customStyle="1">
    <w:name w:val="Heading 7 Char"/>
    <w:link w:val="1267"/>
    <w:uiPriority w:val="9"/>
    <w:qFormat/>
    <w:rPr>
      <w:rFonts w:ascii="Arial" w:hAnsi="Arial" w:eastAsia="Arial" w:cs="Arial"/>
      <w:b/>
      <w:bCs/>
      <w:i/>
      <w:iCs/>
      <w:sz w:val="22"/>
      <w:szCs w:val="22"/>
    </w:rPr>
  </w:style>
  <w:style w:type="character" w:styleId="1269" w:customStyle="1">
    <w:name w:val="font31"/>
    <w:basedOn w:val="875"/>
    <w:uiPriority w:val="0"/>
    <w:qFormat/>
    <w:rPr>
      <w:rFonts w:hint="eastAsia" w:ascii="宋体" w:hAnsi="宋体" w:eastAsia="宋体" w:cs="宋体"/>
      <w:color w:val="000000"/>
      <w:sz w:val="24"/>
      <w:szCs w:val="24"/>
      <w:u w:val="none"/>
      <w:vertAlign w:val="superscript"/>
    </w:rPr>
  </w:style>
  <w:style w:type="paragraph" w:styleId="1270" w:customStyle="1">
    <w:name w:val="正文文本11"/>
    <w:basedOn w:val="865"/>
    <w:next w:val="865"/>
    <w:uiPriority w:val="0"/>
    <w:qFormat/>
    <w:rPr>
      <w:rFonts w:ascii="楷体_GB2312" w:hAnsi="Arial" w:eastAsia="楷体_GB2312"/>
      <w:sz w:val="28"/>
      <w:szCs w:val="28"/>
    </w:rPr>
  </w:style>
  <w:style w:type="paragraph" w:styleId="1271" w:customStyle="1">
    <w:name w:val="Table Text"/>
    <w:basedOn w:val="865"/>
    <w:uiPriority w:val="0"/>
    <w:semiHidden/>
    <w:qFormat/>
    <w:rPr>
      <w:rFonts w:ascii="宋体" w:hAnsi="宋体" w:cs="宋体"/>
      <w:sz w:val="18"/>
      <w:szCs w:val="18"/>
      <w:lang w:eastAsia="en-US"/>
    </w:rPr>
  </w:style>
  <w:style w:type="table" w:styleId="1272" w:customStyle="1">
    <w:name w:val="Table Normal"/>
    <w:uiPriority w:val="0"/>
    <w:semiHidden/>
    <w:unhideWhenUsed/>
    <w:qFormat/>
    <w:tblPr>
      <w:tblCellMar>
        <w:left w:w="0" w:type="dxa"/>
        <w:top w:w="0" w:type="dxa"/>
        <w:right w:w="0" w:type="dxa"/>
        <w:bottom w:w="0" w:type="dxa"/>
      </w:tblCellMar>
    </w:tblPr>
  </w:style>
  <w:style w:type="paragraph" w:styleId="1273" w:customStyle="1">
    <w:name w:val="首行缩进"/>
    <w:basedOn w:val="865"/>
    <w:uiPriority w:val="0"/>
    <w:qFormat/>
    <w:pPr>
      <w:ind w:firstLine="420"/>
      <w:spacing w:line="360" w:lineRule="auto"/>
    </w:pPr>
  </w:style>
  <w:style w:type="character" w:styleId="1274" w:customStyle="1">
    <w:name w:val="A13"/>
    <w:uiPriority w:val="99"/>
    <w:qFormat/>
    <w:rPr>
      <w:rFonts w:cs="DejaVu Math TeX Gyre"/>
      <w:color w:val="000000"/>
      <w:sz w:val="11"/>
      <w:szCs w:val="11"/>
    </w:rPr>
  </w:style>
  <w:style w:type="paragraph" w:styleId="1275" w:customStyle="1">
    <w:name w:val="页脚1"/>
    <w:basedOn w:val="865"/>
    <w:uiPriority w:val="0"/>
    <w:qFormat/>
    <w:pPr>
      <w:jc w:val="left"/>
      <w:tabs>
        <w:tab w:val="center" w:pos="4153" w:leader="none"/>
        <w:tab w:val="right" w:pos="8306" w:leader="none"/>
      </w:tabs>
    </w:pPr>
    <w:rPr>
      <w:sz w:val="18"/>
      <w:szCs w:val="18"/>
    </w:rPr>
  </w:style>
  <w:style w:type="character" w:styleId="1276" w:customStyle="1">
    <w:name w:val="页码1"/>
    <w:basedOn w:val="1277"/>
    <w:uiPriority w:val="0"/>
    <w:qFormat/>
    <w:rPr>
      <w:rFonts w:ascii="Times New Roman" w:hAnsi="Times New Roman" w:eastAsia="宋体" w:cs="Times New Roman"/>
    </w:rPr>
  </w:style>
  <w:style w:type="character" w:styleId="1277" w:customStyle="1">
    <w:name w:val="默认段落字体1"/>
    <w:uiPriority w:val="0"/>
    <w:qFormat/>
    <w:rPr>
      <w:rFonts w:ascii="Times New Roman" w:hAnsi="Times New Roman" w:eastAsia="宋体" w:cs="Times New Roman"/>
    </w:rPr>
  </w:style>
  <w:style w:type="paragraph" w:styleId="1278" w:customStyle="1">
    <w:name w:val="Default"/>
    <w:next w:val="865"/>
    <w:uiPriority w:val="0"/>
    <w:qFormat/>
    <w:pPr>
      <w:widowControl w:val="off"/>
    </w:pPr>
    <w:rPr>
      <w:rFonts w:ascii="宋体" w:hAnsi="Times New Roman" w:eastAsia="宋体" w:cs="宋体"/>
      <w:color w:val="000000"/>
      <w:sz w:val="24"/>
      <w:szCs w:val="24"/>
      <w:lang w:val="en-US" w:eastAsia="zh-CN" w:bidi="ar-SA"/>
    </w:rPr>
  </w:style>
  <w:style w:type="character" w:styleId="1279" w:customStyle="1">
    <w:name w:val="font151"/>
    <w:basedOn w:val="875"/>
    <w:uiPriority w:val="0"/>
    <w:qFormat/>
    <w:rPr>
      <w:rFonts w:hint="default" w:ascii="Times New Roman" w:hAnsi="Times New Roman" w:cs="Times New Roman"/>
      <w:color w:val="000000"/>
      <w:sz w:val="18"/>
      <w:szCs w:val="18"/>
      <w:u w:val="none"/>
    </w:rPr>
  </w:style>
  <w:style w:type="paragraph" w:styleId="1280" w:customStyle="1">
    <w:name w:val="页眉1"/>
    <w:basedOn w:val="865"/>
    <w:uiPriority w:val="0"/>
    <w:qFormat/>
    <w:pPr>
      <w:jc w:val="center"/>
      <w:tabs>
        <w:tab w:val="center" w:pos="4153" w:leader="none"/>
        <w:tab w:val="right" w:pos="8306" w:leader="none"/>
      </w:tabs>
      <w:pBdr>
        <w:bottom w:val="single" w:color="000000" w:sz="6" w:space="1"/>
      </w:pBdr>
    </w:pPr>
    <w:rPr>
      <w:sz w:val="18"/>
      <w:szCs w:val="18"/>
    </w:rPr>
  </w:style>
  <w:style w:type="numbering" w:styleId="12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85C6A99-19B0-4B6D-A807-C8194C90A4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WjwZc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许诚哲</cp:lastModifiedBy>
  <cp:revision>10</cp:revision>
  <dcterms:created xsi:type="dcterms:W3CDTF">2026-04-17T06:25:00Z</dcterms:created>
  <dcterms:modified xsi:type="dcterms:W3CDTF">2026-04-23T03:10:06Z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01EFFDF6907F4C3189AA51F4FC6B9A95_13</vt:lpwstr>
  </property>
  <property fmtid="{D5CDD505-2E9C-101B-9397-08002B2CF9AE}" pid="4" name="KSOTemplateDocerSaveRecord">
    <vt:lpwstr>eyJoZGlkIjoiNGMwY2ZkNDY4M2JhOGI5YTAzNjQ3YzFkZTBlMjQ5ZTkiLCJ1c2VySWQiOiIyNzU2MjM5MjYifQ==</vt:lpwstr>
  </property>
</Properties>
</file>