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sz w:val="22"/>
          <w:szCs w:val="20"/>
          <w:highlight w:val="none"/>
        </w:rPr>
      </w:pPr>
      <w:r>
        <w:rPr>
          <w:rFonts w:ascii="宋体" w:hAnsi="宋体"/>
          <w:color w:val="auto"/>
          <w:sz w:val="22"/>
          <w:szCs w:val="20"/>
          <w:highlight w:val="none"/>
        </w:rPr>
      </w:r>
      <w:r/>
    </w:p>
    <w:p>
      <w:pPr>
        <w:jc w:val="right"/>
        <w:keepLines w:val="0"/>
        <w:keepNext w:val="0"/>
        <w:pageBreakBefore w:val="0"/>
        <w:spacing w:after="313"/>
        <w:widowControl w:val="off"/>
        <w:rPr>
          <w:rFonts w:hint="default" w:ascii="宋体" w:hAnsi="宋体"/>
          <w:b/>
          <w:bCs/>
          <w:color w:val="auto"/>
          <w:sz w:val="20"/>
          <w:szCs w:val="20"/>
          <w:highlight w:val="none"/>
          <w:lang w:val="en-US"/>
        </w:rPr>
      </w:pPr>
      <w:r>
        <w:rPr>
          <w:rFonts w:hint="eastAsia" w:ascii="宋体" w:hAnsi="宋体"/>
          <w:b/>
          <w:bCs/>
          <w:color w:val="auto"/>
          <w:sz w:val="20"/>
          <w:szCs w:val="20"/>
          <w:highlight w:val="none"/>
        </w:rPr>
        <w:t xml:space="preserve">编号：</w:t>
      </w:r>
      <w:r>
        <w:rPr>
          <w:rFonts w:hint="eastAsia" w:ascii="宋体" w:hAnsi="宋体"/>
          <w:b/>
          <w:bCs/>
          <w:color w:val="auto"/>
          <w:sz w:val="20"/>
          <w:szCs w:val="20"/>
          <w:highlight w:val="none"/>
          <w:lang w:eastAsia="zh-CN"/>
        </w:rPr>
        <w:t xml:space="preserve">JSZC-321081-BYGC-G2026-000</w:t>
      </w:r>
      <w:r>
        <w:rPr>
          <w:rFonts w:hint="eastAsia" w:ascii="宋体" w:hAnsi="宋体"/>
          <w:b/>
          <w:bCs/>
          <w:color w:val="auto"/>
          <w:sz w:val="20"/>
          <w:szCs w:val="20"/>
          <w:highlight w:val="none"/>
          <w:lang w:val="en-US" w:eastAsia="zh-CN"/>
        </w:rPr>
        <w:t xml:space="preserve">5</w:t>
      </w:r>
      <w:r/>
    </w:p>
    <w:p>
      <w:pPr>
        <w:jc w:val="center"/>
        <w:keepLines w:val="0"/>
        <w:keepNext w:val="0"/>
        <w:pageBreakBefore w:val="0"/>
        <w:spacing w:before="157" w:after="157"/>
        <w:widowControl w:val="off"/>
        <w:rPr>
          <w:rFonts w:hint="eastAsia" w:ascii="宋体" w:hAnsi="宋体" w:eastAsia="宋体" w:cs="Times New Roman"/>
          <w:b/>
          <w:bCs/>
          <w:color w:val="auto"/>
          <w:sz w:val="40"/>
          <w:szCs w:val="24"/>
          <w:highlight w:val="none"/>
          <w:lang w:eastAsia="zh-CN"/>
        </w:rPr>
      </w:pPr>
      <w:r>
        <w:rPr>
          <w:rFonts w:hint="eastAsia" w:ascii="宋体" w:hAnsi="宋体" w:cs="Times New Roman"/>
          <w:b/>
          <w:bCs/>
          <w:color w:val="auto"/>
          <w:sz w:val="40"/>
          <w:szCs w:val="24"/>
          <w:highlight w:val="none"/>
          <w:lang w:eastAsia="zh-CN"/>
        </w:rPr>
        <w:t xml:space="preserve"> 仪征市国省道干线隐患路口哨兵设备采购项目</w:t>
      </w:r>
      <w:r/>
    </w:p>
    <w:p>
      <w:pPr>
        <w:jc w:val="center"/>
        <w:rPr>
          <w:rFonts w:hint="eastAsia" w:ascii="宋体" w:hAnsi="宋体"/>
          <w:b/>
          <w:bCs/>
          <w:color w:val="auto"/>
          <w:sz w:val="40"/>
          <w:szCs w:val="24"/>
          <w:highlight w:val="none"/>
        </w:rPr>
      </w:pPr>
      <w:r>
        <w:rPr>
          <w:rFonts w:hint="eastAsia" w:ascii="宋体" w:hAnsi="宋体"/>
          <w:b/>
          <w:bCs/>
          <w:color w:val="auto"/>
          <w:sz w:val="40"/>
          <w:szCs w:val="24"/>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5562600" cy="4559935"/>
                <wp:effectExtent l="0" t="0" r="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562600" cy="4559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8.0pt;height:359.0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eastAsia="宋体" w:cs="Times New Roman"/>
          <w:b/>
          <w:bCs/>
          <w:color w:val="auto"/>
          <w:sz w:val="36"/>
          <w:highlight w:val="none"/>
          <w:lang w:val="en-US" w:eastAsia="zh-CN"/>
        </w:rPr>
      </w:pPr>
      <w:r>
        <w:rPr>
          <w:rFonts w:hint="eastAsia" w:ascii="宋体" w:hAnsi="宋体" w:eastAsia="宋体" w:cs="Times New Roman"/>
          <w:b/>
          <w:bCs/>
          <w:color w:val="auto"/>
          <w:sz w:val="36"/>
          <w:highlight w:val="none"/>
          <w:lang w:val="en-US" w:eastAsia="zh-CN"/>
        </w:rPr>
      </w:r>
      <w:r/>
    </w:p>
    <w:p>
      <w:pPr>
        <w:jc w:val="center"/>
        <w:rPr>
          <w:rFonts w:ascii="宋体" w:hAnsi="宋体"/>
          <w:color w:val="auto"/>
          <w:sz w:val="22"/>
          <w:szCs w:val="16"/>
          <w:highlight w:val="none"/>
        </w:rPr>
      </w:pPr>
      <w:r>
        <w:rPr>
          <w:rFonts w:hint="eastAsia" w:ascii="宋体" w:hAnsi="宋体" w:eastAsia="宋体" w:cs="Times New Roman"/>
          <w:b/>
          <w:bCs/>
          <w:color w:val="auto"/>
          <w:sz w:val="36"/>
          <w:highlight w:val="none"/>
          <w:lang w:val="en-US" w:eastAsia="zh-CN"/>
        </w:rPr>
        <w:t xml:space="preserve">招标</w:t>
      </w:r>
      <w:r>
        <w:rPr>
          <w:rFonts w:hint="eastAsia" w:ascii="宋体" w:hAnsi="宋体" w:cs="Times New Roman"/>
          <w:b/>
          <w:bCs/>
          <w:color w:val="auto"/>
          <w:sz w:val="36"/>
          <w:highlight w:val="none"/>
          <w:lang w:val="en-US" w:eastAsia="zh-CN"/>
        </w:rPr>
        <w:t xml:space="preserve">单位</w:t>
      </w:r>
      <w:r>
        <w:rPr>
          <w:rFonts w:hint="eastAsia" w:ascii="宋体" w:hAnsi="宋体" w:eastAsia="宋体" w:cs="Times New Roman"/>
          <w:b/>
          <w:bCs/>
          <w:color w:val="auto"/>
          <w:sz w:val="36"/>
          <w:highlight w:val="none"/>
          <w:lang w:val="en-US" w:eastAsia="zh-CN"/>
        </w:rPr>
        <w:t xml:space="preserve">：</w:t>
      </w:r>
      <w:r>
        <w:rPr>
          <w:rFonts w:hint="eastAsia" w:ascii="宋体" w:hAnsi="宋体" w:cs="Times New Roman"/>
          <w:b/>
          <w:bCs/>
          <w:color w:val="auto"/>
          <w:sz w:val="36"/>
          <w:highlight w:val="none"/>
          <w:lang w:eastAsia="zh-CN"/>
        </w:rPr>
        <w:t xml:space="preserve">仪征市公安局</w:t>
      </w:r>
      <w:r/>
    </w:p>
    <w:p>
      <w:pPr>
        <w:jc w:val="center"/>
        <w:rPr>
          <w:rFonts w:hint="eastAsia" w:ascii="宋体" w:hAnsi="宋体" w:eastAsia="宋体"/>
          <w:b/>
          <w:bCs/>
          <w:color w:val="auto"/>
          <w:sz w:val="36"/>
          <w:highlight w:val="none"/>
          <w:lang w:eastAsia="zh-CN"/>
        </w:rPr>
      </w:pPr>
      <w:r>
        <w:rPr>
          <w:rFonts w:hint="eastAsia" w:ascii="宋体" w:hAnsi="宋体"/>
          <w:b/>
          <w:bCs/>
          <w:color w:val="auto"/>
          <w:sz w:val="36"/>
          <w:highlight w:val="none"/>
          <w:lang w:val="en-US" w:eastAsia="zh-CN"/>
        </w:rPr>
        <w:t xml:space="preserve">代理机构：</w:t>
      </w:r>
      <w:r>
        <w:rPr>
          <w:rFonts w:hint="eastAsia" w:ascii="宋体" w:hAnsi="宋体"/>
          <w:b/>
          <w:bCs/>
          <w:color w:val="auto"/>
          <w:sz w:val="36"/>
          <w:highlight w:val="none"/>
          <w:lang w:eastAsia="zh-CN"/>
        </w:rPr>
        <w:t xml:space="preserve">扬州博远工程咨询有限公司</w:t>
      </w:r>
      <w:r/>
    </w:p>
    <w:p>
      <w:pPr>
        <w:jc w:val="center"/>
        <w:rPr>
          <w:rFonts w:hint="eastAsia" w:ascii="宋体" w:hAnsi="宋体"/>
          <w:b/>
          <w:bCs/>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6</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05</w:t>
      </w:r>
      <w:r>
        <w:rPr>
          <w:rFonts w:hint="eastAsia" w:ascii="宋体" w:hAnsi="宋体"/>
          <w:b/>
          <w:bCs/>
          <w:color w:val="auto"/>
          <w:sz w:val="36"/>
          <w:highlight w:val="none"/>
        </w:rPr>
        <w:t xml:space="preserve">月</w:t>
      </w:r>
      <w:r/>
    </w:p>
    <w:p>
      <w:pPr>
        <w:jc w:val="center"/>
        <w:rPr>
          <w:rFonts w:hint="eastAsia" w:ascii="宋体" w:hAnsi="宋体"/>
          <w:b/>
          <w:bCs/>
          <w:color w:val="auto"/>
          <w:sz w:val="36"/>
          <w:szCs w:val="36"/>
          <w:highlight w:val="none"/>
        </w:rPr>
      </w:pPr>
      <w:r>
        <w:rPr>
          <w:rFonts w:hint="eastAsia" w:ascii="宋体" w:hAnsi="宋体"/>
          <w:b/>
          <w:bCs/>
          <w:color w:val="auto"/>
          <w:sz w:val="36"/>
          <w:highlight w:val="none"/>
        </w:rPr>
      </w:r>
      <w:r>
        <w:rPr>
          <w:rFonts w:hint="eastAsia" w:ascii="宋体" w:hAnsi="宋体"/>
          <w:b/>
          <w:bCs/>
          <w:color w:val="auto"/>
          <w:sz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rPr>
          <w:rFonts w:hint="eastAsia" w:ascii="宋体" w:hAnsi="宋体"/>
          <w:b/>
          <w:bCs/>
          <w:color w:val="auto"/>
          <w:sz w:val="36"/>
          <w:szCs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rPr>
          <w:rFonts w:hint="eastAsia" w:ascii="宋体" w:hAnsi="宋体"/>
          <w:b/>
          <w:bCs/>
          <w:color w:val="auto"/>
          <w:sz w:val="36"/>
          <w:szCs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rPr>
          <w:rFonts w:hint="eastAsia" w:ascii="宋体" w:hAnsi="宋体"/>
          <w:b/>
          <w:bCs/>
          <w:color w:val="auto"/>
          <w:sz w:val="36"/>
          <w:szCs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884"/>
        <w:rPr>
          <w:rFonts w:hint="eastAsia"/>
          <w:color w:val="auto"/>
          <w:highlight w:val="none"/>
        </w:rPr>
      </w:pPr>
      <w:r>
        <w:rPr>
          <w:rFonts w:hint="eastAsia"/>
          <w:color w:val="auto"/>
          <w:highlight w:val="none"/>
        </w:rPr>
      </w:r>
      <w:r/>
    </w:p>
    <w:p>
      <w:pPr>
        <w:pStyle w:val="892"/>
        <w:tabs>
          <w:tab w:val="right" w:pos="8306" w:leader="dot"/>
        </w:tabs>
        <w:rPr>
          <w:color w:val="auto"/>
          <w:sz w:val="28"/>
          <w:szCs w:val="32"/>
          <w:highlight w:val="none"/>
        </w:rPr>
      </w:pPr>
      <w:r>
        <w:rPr>
          <w:rFonts w:ascii="宋体" w:hAnsi="宋体"/>
          <w:color w:val="auto"/>
          <w:sz w:val="40"/>
          <w:szCs w:val="32"/>
          <w:highlight w:val="none"/>
        </w:rPr>
        <w:fldChar w:fldCharType="begin"/>
      </w:r>
      <w:r>
        <w:rPr>
          <w:rFonts w:ascii="宋体" w:hAnsi="宋体"/>
          <w:color w:val="auto"/>
          <w:sz w:val="40"/>
          <w:szCs w:val="32"/>
          <w:highlight w:val="none"/>
        </w:rPr>
        <w:instrText xml:space="preserve">TOC \o "1-3" \h \u </w:instrText>
      </w:r>
      <w:r>
        <w:rPr>
          <w:rFonts w:ascii="宋体" w:hAnsi="宋体"/>
          <w:color w:val="auto"/>
          <w:sz w:val="40"/>
          <w:szCs w:val="32"/>
          <w:highlight w:val="none"/>
        </w:rPr>
        <w:fldChar w:fldCharType="separate"/>
      </w: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_Toc21730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第一章</w:t>
      </w:r>
      <w:r>
        <w:rPr>
          <w:rFonts w:ascii="宋体" w:hAnsi="宋体"/>
          <w:color w:val="auto"/>
          <w:sz w:val="28"/>
          <w:szCs w:val="32"/>
          <w:highlight w:val="none"/>
        </w:rPr>
        <w:t xml:space="preserve"> 招标公告</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_Toc21730 </w:instrText>
      </w:r>
      <w:r>
        <w:rPr>
          <w:color w:val="auto"/>
          <w:sz w:val="28"/>
          <w:szCs w:val="32"/>
          <w:highlight w:val="none"/>
        </w:rPr>
        <w:fldChar w:fldCharType="separate"/>
      </w:r>
      <w:r>
        <w:rPr>
          <w:color w:val="auto"/>
          <w:sz w:val="28"/>
          <w:szCs w:val="32"/>
          <w:highlight w:val="none"/>
        </w:rPr>
        <w:t xml:space="preserve">3</w:t>
      </w:r>
      <w:r>
        <w:rPr>
          <w:color w:val="auto"/>
          <w:sz w:val="28"/>
          <w:szCs w:val="32"/>
          <w:highlight w:val="none"/>
        </w:rPr>
        <w:fldChar w:fldCharType="end"/>
      </w:r>
      <w:r>
        <w:rPr>
          <w:rFonts w:ascii="宋体" w:hAnsi="宋体"/>
          <w:color w:val="auto"/>
          <w:sz w:val="28"/>
          <w:szCs w:val="32"/>
          <w:highlight w:val="none"/>
        </w:rPr>
        <w:fldChar w:fldCharType="end"/>
      </w:r>
      <w:r/>
    </w:p>
    <w:p>
      <w:pPr>
        <w:pStyle w:val="892"/>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_Toc9071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第二章 投标人须知</w:t>
      </w:r>
      <w:r>
        <w:rPr>
          <w:color w:val="auto"/>
          <w:sz w:val="28"/>
          <w:szCs w:val="32"/>
          <w:highlight w:val="none"/>
        </w:rPr>
        <w:tab/>
      </w:r>
      <w:r>
        <w:rPr>
          <w:rFonts w:hint="eastAsia"/>
          <w:color w:val="auto"/>
          <w:sz w:val="28"/>
          <w:szCs w:val="32"/>
          <w:highlight w:val="none"/>
          <w:lang w:val="en-US" w:eastAsia="zh-CN"/>
        </w:rPr>
        <w:t xml:space="preserve">7</w:t>
      </w:r>
      <w:r>
        <w:rPr>
          <w:rFonts w:ascii="宋体" w:hAnsi="宋体"/>
          <w:color w:val="auto"/>
          <w:sz w:val="28"/>
          <w:szCs w:val="32"/>
          <w:highlight w:val="none"/>
        </w:rPr>
        <w:fldChar w:fldCharType="end"/>
      </w:r>
      <w:r/>
    </w:p>
    <w:p>
      <w:pPr>
        <w:pStyle w:val="892"/>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_Toc22415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第三章 合同条款及格式</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_Toc22415 </w:instrText>
      </w:r>
      <w:r>
        <w:rPr>
          <w:color w:val="auto"/>
          <w:sz w:val="28"/>
          <w:szCs w:val="32"/>
          <w:highlight w:val="none"/>
        </w:rPr>
        <w:fldChar w:fldCharType="separate"/>
      </w:r>
      <w:r>
        <w:rPr>
          <w:color w:val="auto"/>
          <w:sz w:val="28"/>
          <w:szCs w:val="32"/>
          <w:highlight w:val="none"/>
        </w:rPr>
        <w:t xml:space="preserve">18</w:t>
      </w:r>
      <w:r>
        <w:rPr>
          <w:color w:val="auto"/>
          <w:sz w:val="28"/>
          <w:szCs w:val="32"/>
          <w:highlight w:val="none"/>
        </w:rPr>
        <w:fldChar w:fldCharType="end"/>
      </w:r>
      <w:r>
        <w:rPr>
          <w:rFonts w:ascii="宋体" w:hAnsi="宋体"/>
          <w:color w:val="auto"/>
          <w:sz w:val="28"/>
          <w:szCs w:val="32"/>
          <w:highlight w:val="none"/>
        </w:rPr>
        <w:fldChar w:fldCharType="end"/>
      </w:r>
      <w:r/>
    </w:p>
    <w:p>
      <w:pPr>
        <w:pStyle w:val="892"/>
        <w:tabs>
          <w:tab w:val="right" w:pos="8306" w:leader="dot"/>
        </w:tabs>
        <w:rPr>
          <w:rFonts w:hint="eastAsia" w:eastAsia="宋体"/>
          <w:color w:val="auto"/>
          <w:sz w:val="28"/>
          <w:szCs w:val="32"/>
          <w:highlight w:val="none"/>
          <w:lang w:val="en-US" w:eastAsia="zh-CN"/>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_Toc32147 </w:instrText>
      </w:r>
      <w:r>
        <w:rPr>
          <w:rFonts w:ascii="宋体" w:hAnsi="宋体"/>
          <w:color w:val="auto"/>
          <w:sz w:val="28"/>
          <w:szCs w:val="32"/>
          <w:highlight w:val="none"/>
        </w:rPr>
        <w:fldChar w:fldCharType="separate"/>
      </w:r>
      <w:r>
        <w:rPr>
          <w:rFonts w:hint="eastAsia" w:ascii="宋体" w:hAnsi="宋体"/>
          <w:bCs/>
          <w:color w:val="auto"/>
          <w:sz w:val="28"/>
          <w:szCs w:val="32"/>
          <w:highlight w:val="none"/>
        </w:rPr>
        <w:t xml:space="preserve">第四章 项目需求</w:t>
      </w:r>
      <w:r>
        <w:rPr>
          <w:color w:val="auto"/>
          <w:sz w:val="28"/>
          <w:szCs w:val="32"/>
          <w:highlight w:val="none"/>
        </w:rPr>
        <w:tab/>
      </w:r>
      <w:r>
        <w:rPr>
          <w:rFonts w:hint="eastAsia"/>
          <w:color w:val="auto"/>
          <w:sz w:val="28"/>
          <w:szCs w:val="32"/>
          <w:highlight w:val="none"/>
          <w:lang w:val="en-US" w:eastAsia="zh-CN"/>
        </w:rPr>
        <w:t xml:space="preserve">2</w:t>
      </w:r>
      <w:r>
        <w:rPr>
          <w:rFonts w:ascii="宋体" w:hAnsi="宋体"/>
          <w:color w:val="auto"/>
          <w:sz w:val="28"/>
          <w:szCs w:val="32"/>
          <w:highlight w:val="none"/>
        </w:rPr>
        <w:fldChar w:fldCharType="end"/>
      </w:r>
      <w:r>
        <w:rPr>
          <w:rFonts w:hint="eastAsia"/>
          <w:color w:val="auto"/>
          <w:sz w:val="28"/>
          <w:szCs w:val="32"/>
          <w:highlight w:val="none"/>
          <w:lang w:val="en-US" w:eastAsia="zh-CN"/>
        </w:rPr>
        <w:t xml:space="preserve">3</w:t>
      </w:r>
      <w:r/>
    </w:p>
    <w:p>
      <w:pPr>
        <w:pStyle w:val="892"/>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_Toc12363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第五章 评标方法及评标标准</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_Toc12363 </w:instrText>
      </w:r>
      <w:r>
        <w:rPr>
          <w:color w:val="auto"/>
          <w:sz w:val="28"/>
          <w:szCs w:val="32"/>
          <w:highlight w:val="none"/>
        </w:rPr>
        <w:fldChar w:fldCharType="separate"/>
      </w:r>
      <w:r>
        <w:rPr>
          <w:color w:val="auto"/>
          <w:sz w:val="28"/>
          <w:szCs w:val="32"/>
          <w:highlight w:val="none"/>
        </w:rPr>
        <w:t xml:space="preserve">35</w:t>
      </w:r>
      <w:r>
        <w:rPr>
          <w:color w:val="auto"/>
          <w:sz w:val="28"/>
          <w:szCs w:val="32"/>
          <w:highlight w:val="none"/>
        </w:rPr>
        <w:fldChar w:fldCharType="end"/>
      </w:r>
      <w:r>
        <w:rPr>
          <w:rFonts w:ascii="宋体" w:hAnsi="宋体"/>
          <w:color w:val="auto"/>
          <w:sz w:val="28"/>
          <w:szCs w:val="32"/>
          <w:highlight w:val="none"/>
        </w:rPr>
        <w:fldChar w:fldCharType="end"/>
      </w:r>
      <w:r/>
    </w:p>
    <w:p>
      <w:pPr>
        <w:pStyle w:val="892"/>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_Toc9577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第六章 投标文件格式</w:t>
      </w:r>
      <w:r>
        <w:rPr>
          <w:color w:val="auto"/>
          <w:sz w:val="28"/>
          <w:szCs w:val="32"/>
          <w:highlight w:val="none"/>
        </w:rPr>
        <w:tab/>
      </w:r>
      <w:r>
        <w:rPr>
          <w:rFonts w:hint="eastAsia"/>
          <w:color w:val="auto"/>
          <w:sz w:val="28"/>
          <w:szCs w:val="32"/>
          <w:highlight w:val="none"/>
          <w:lang w:val="en-US" w:eastAsia="zh-CN"/>
        </w:rPr>
        <w:t xml:space="preserve">39</w:t>
      </w:r>
      <w:r>
        <w:rPr>
          <w:rFonts w:ascii="宋体" w:hAnsi="宋体"/>
          <w:color w:val="auto"/>
          <w:sz w:val="28"/>
          <w:szCs w:val="32"/>
          <w:highlight w:val="none"/>
        </w:rPr>
        <w:fldChar w:fldCharType="end"/>
      </w:r>
      <w:r/>
    </w:p>
    <w:p>
      <w:pPr>
        <w:pStyle w:val="892"/>
        <w:tabs>
          <w:tab w:val="right" w:pos="8306" w:leader="dot"/>
        </w:tabs>
        <w:rPr>
          <w:rFonts w:ascii="宋体" w:hAnsi="宋体"/>
          <w:color w:val="auto"/>
          <w:sz w:val="28"/>
          <w:highlight w:val="none"/>
        </w:rPr>
      </w:pPr>
      <w:r>
        <w:rPr>
          <w:rFonts w:ascii="宋体" w:hAnsi="宋体"/>
          <w:color w:val="auto"/>
          <w:sz w:val="28"/>
          <w:szCs w:val="32"/>
          <w:highlight w:val="none"/>
        </w:rPr>
        <w:fldChar w:fldCharType="end"/>
      </w:r>
      <w:r/>
    </w:p>
    <w:p>
      <w:pPr>
        <w:pStyle w:val="892"/>
        <w:tabs>
          <w:tab w:val="right" w:pos="8306" w:leader="dot"/>
        </w:tabs>
        <w:rPr>
          <w:rFonts w:ascii="宋体" w:hAnsi="宋体"/>
          <w:color w:val="auto"/>
          <w:sz w:val="28"/>
          <w:highlight w:val="none"/>
        </w:rPr>
      </w:pPr>
      <w:r>
        <w:rPr>
          <w:rFonts w:ascii="宋体" w:hAnsi="宋体"/>
          <w:color w:val="auto"/>
          <w:sz w:val="28"/>
          <w:highlight w:val="none"/>
        </w:rPr>
      </w:r>
      <w:r/>
    </w:p>
    <w:p>
      <w:pPr>
        <w:pStyle w:val="892"/>
        <w:tabs>
          <w:tab w:val="right" w:pos="8306" w:leader="dot"/>
        </w:tabs>
        <w:rPr>
          <w:rFonts w:ascii="宋体" w:hAnsi="宋体"/>
          <w:color w:val="auto"/>
          <w:sz w:val="28"/>
          <w:highlight w:val="none"/>
        </w:rPr>
      </w:pPr>
      <w:r/>
      <w:bookmarkStart w:id="91" w:name="_GoBack"/>
      <w:r/>
      <w:bookmarkEnd w:id="91"/>
      <w:r/>
      <w:r/>
    </w:p>
    <w:p>
      <w:pPr>
        <w:pStyle w:val="892"/>
        <w:tabs>
          <w:tab w:val="right" w:pos="8306" w:leader="dot"/>
        </w:tabs>
        <w:rPr>
          <w:rFonts w:ascii="宋体" w:hAnsi="宋体"/>
          <w:color w:val="auto"/>
          <w:sz w:val="28"/>
          <w:highlight w:val="none"/>
        </w:rPr>
      </w:pPr>
      <w:r>
        <w:rPr>
          <w:rFonts w:ascii="宋体" w:hAnsi="宋体"/>
          <w:color w:val="auto"/>
          <w:sz w:val="28"/>
          <w:highlight w:val="none"/>
        </w:rPr>
      </w:r>
      <w:r/>
    </w:p>
    <w:p>
      <w:pPr>
        <w:pStyle w:val="892"/>
        <w:tabs>
          <w:tab w:val="right" w:pos="8306" w:leader="dot"/>
        </w:tabs>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28"/>
          <w:highlight w:val="none"/>
        </w:rPr>
      </w:r>
      <w:r/>
    </w:p>
    <w:p>
      <w:pPr>
        <w:numPr>
          <w:ilvl w:val="0"/>
          <w:numId w:val="0"/>
        </w:numPr>
        <w:jc w:val="center"/>
        <w:rPr>
          <w:rStyle w:val="900"/>
          <w:rFonts w:hint="eastAsia" w:ascii="Times New Roman" w:hAnsi="Times New Roman" w:eastAsia="宋体" w:cs="Times New Roman"/>
          <w:color w:val="auto"/>
          <w:sz w:val="36"/>
          <w:szCs w:val="36"/>
          <w:highlight w:val="none"/>
          <w:lang w:val="en-US" w:eastAsia="zh-CN"/>
        </w:rPr>
      </w:pPr>
      <w:r/>
      <w:bookmarkStart w:id="0" w:name="_Toc512692547"/>
      <w:r/>
      <w:bookmarkStart w:id="1" w:name="_Toc21730"/>
      <w:r/>
      <w:bookmarkStart w:id="2" w:name="_Toc976"/>
      <w:r/>
      <w:bookmarkStart w:id="3" w:name="_Toc534644770"/>
      <w:r>
        <w:rPr>
          <w:rStyle w:val="900"/>
          <w:rFonts w:hint="eastAsia" w:ascii="Times New Roman" w:hAnsi="Times New Roman" w:eastAsia="宋体" w:cs="Times New Roman"/>
          <w:color w:val="auto"/>
          <w:sz w:val="36"/>
          <w:szCs w:val="36"/>
          <w:highlight w:val="none"/>
          <w:lang w:val="en-US" w:eastAsia="zh-CN"/>
        </w:rPr>
        <w:t xml:space="preserve">第一章  招标公告</w:t>
      </w:r>
      <w:bookmarkEnd w:id="0"/>
      <w:r/>
      <w:bookmarkEnd w:id="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受仪征市公安局的委托，扬州博远工程咨询有限公司就仪征市国省道干线隐患路口哨兵设备采购项目(项目编号：JSZC-321081-BYGC-G2026-000</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)进行公开招标采购，欢迎符合条件的供应商投标。</w:t>
      </w:r>
      <w:r/>
    </w:p>
    <w:p>
      <w:pPr>
        <w:ind w:firstLine="420"/>
        <w:rPr>
          <w:rFonts w:ascii="宋体" w:hAnsi="宋体" w:cs="宋体"/>
          <w:color w:val="auto"/>
          <w:szCs w:val="21"/>
          <w:highlight w:val="none"/>
          <w:u w:val="single"/>
          <w:lang w:bidi="ar"/>
        </w:rPr>
        <w:pBdr>
          <w:top w:val="single" w:color="auto" w:sz="4" w:space="1"/>
          <w:left w:val="single" w:color="auto" w:sz="4" w:space="4"/>
          <w:bottom w:val="single" w:color="auto" w:sz="4" w:space="1"/>
          <w:right w:val="single" w:color="auto" w:sz="4" w:space="4"/>
        </w:pBdr>
      </w:pPr>
      <w:r/>
      <w:bookmarkStart w:id="4" w:name="_Toc28359089"/>
      <w:r/>
      <w:bookmarkStart w:id="5" w:name="_Toc35393798"/>
      <w:r/>
      <w:bookmarkStart w:id="6" w:name="_Toc28359012"/>
      <w:r/>
      <w:bookmarkStart w:id="7" w:name="_Toc35393629"/>
      <w:r>
        <w:rPr>
          <w:rFonts w:hint="eastAsia" w:ascii="宋体" w:hAnsi="宋体" w:cs="宋体"/>
          <w:color w:val="auto"/>
          <w:szCs w:val="21"/>
          <w:highlight w:val="none"/>
          <w:lang w:bidi="ar"/>
        </w:rPr>
        <w:t xml:space="preserve">项目概况：</w:t>
      </w:r>
      <w:r/>
    </w:p>
    <w:p>
      <w:pPr>
        <w:ind w:firstLine="420"/>
        <w:jc w:val="left"/>
        <w:spacing w:before="92" w:after="150" w:line="360" w:lineRule="auto"/>
        <w:widowControl/>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bidi="ar"/>
        </w:rPr>
        <w:t xml:space="preserve">仪征市国省道干线隐患路口哨兵设备采购项目</w:t>
      </w:r>
      <w:r>
        <w:rPr>
          <w:rFonts w:hint="eastAsia" w:ascii="宋体" w:hAnsi="宋体" w:cs="宋体"/>
          <w:color w:val="auto"/>
          <w:szCs w:val="21"/>
          <w:highlight w:val="none"/>
          <w:lang w:bidi="ar"/>
        </w:rPr>
        <w:t xml:space="preserve">的潜在投标人可在</w:t>
      </w:r>
      <w:r>
        <w:rPr>
          <w:rFonts w:hint="eastAsia" w:ascii="宋体" w:hAnsi="宋体" w:cs="宋体"/>
          <w:color w:val="auto"/>
          <w:szCs w:val="21"/>
          <w:highlight w:val="none"/>
          <w:u w:val="single"/>
        </w:rPr>
        <w:t xml:space="preserve">“仪征市政府采购网”、“扬州市政府采购网”、“</w:t>
      </w:r>
      <w:r>
        <w:rPr>
          <w:rFonts w:hint="eastAsia" w:ascii="宋体" w:hAnsi="宋体" w:cs="宋体"/>
          <w:color w:val="auto"/>
          <w:szCs w:val="21"/>
          <w:highlight w:val="none"/>
          <w:u w:val="single"/>
          <w:lang w:eastAsia="zh-CN"/>
        </w:rPr>
        <w:t xml:space="preserve">江苏政府采购网</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中国政府采购网</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自行免费下载</w:t>
      </w:r>
      <w:r>
        <w:rPr>
          <w:rFonts w:hint="eastAsia" w:ascii="宋体" w:hAnsi="宋体" w:cs="宋体"/>
          <w:color w:val="auto"/>
          <w:highlight w:val="none"/>
        </w:rPr>
        <w:t xml:space="preserve">招标文件</w:t>
      </w:r>
      <w:r>
        <w:rPr>
          <w:rFonts w:hint="eastAsia" w:ascii="宋体" w:hAnsi="宋体" w:cs="宋体"/>
          <w:color w:val="auto"/>
          <w:szCs w:val="21"/>
          <w:highlight w:val="none"/>
        </w:rPr>
        <w:t xml:space="preserve">，并于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05月21日</w:t>
      </w:r>
      <w:r>
        <w:rPr>
          <w:rFonts w:hint="eastAsia" w:ascii="宋体" w:hAnsi="宋体" w:cs="宋体"/>
          <w:color w:val="auto"/>
          <w:szCs w:val="21"/>
          <w:highlight w:val="none"/>
          <w:u w:val="single"/>
        </w:rPr>
        <w:t xml:space="preserve"> 09点</w:t>
      </w:r>
      <w:r>
        <w:rPr>
          <w:rFonts w:hint="eastAsia" w:ascii="宋体" w:hAnsi="宋体" w:cs="宋体"/>
          <w:color w:val="auto"/>
          <w:szCs w:val="21"/>
          <w:highlight w:val="none"/>
          <w:u w:val="single"/>
          <w:lang w:val="en-US" w:eastAsia="zh-CN"/>
        </w:rPr>
        <w:t xml:space="preserve">00</w:t>
      </w:r>
      <w:r>
        <w:rPr>
          <w:rFonts w:hint="eastAsia" w:ascii="宋体" w:hAnsi="宋体" w:cs="宋体"/>
          <w:color w:val="auto"/>
          <w:szCs w:val="21"/>
          <w:highlight w:val="none"/>
          <w:u w:val="single"/>
        </w:rPr>
        <w:t xml:space="preserve">分</w:t>
      </w:r>
      <w:r>
        <w:rPr>
          <w:rFonts w:hint="eastAsia" w:ascii="宋体" w:hAnsi="宋体" w:cs="宋体"/>
          <w:bCs/>
          <w:color w:val="auto"/>
          <w:szCs w:val="21"/>
          <w:highlight w:val="none"/>
        </w:rPr>
        <w:t xml:space="preserve">（北京时间）前递交</w:t>
      </w:r>
      <w:r>
        <w:rPr>
          <w:rFonts w:hint="eastAsia" w:ascii="宋体" w:hAnsi="宋体" w:cs="宋体"/>
          <w:bCs/>
          <w:color w:val="auto"/>
          <w:highlight w:val="none"/>
        </w:rPr>
        <w:t xml:space="preserve">投标文件</w:t>
      </w:r>
      <w:r>
        <w:rPr>
          <w:rFonts w:hint="eastAsia" w:ascii="宋体" w:hAnsi="宋体" w:cs="宋体"/>
          <w:color w:val="auto"/>
          <w:szCs w:val="21"/>
          <w:highlight w:val="none"/>
        </w:rPr>
        <w:t xml:space="preserve">。</w:t>
      </w:r>
      <w:bookmarkEnd w:id="4"/>
      <w:r/>
      <w:bookmarkEnd w:id="5"/>
      <w:r/>
      <w:bookmarkEnd w:id="6"/>
      <w:r/>
      <w:bookmarkEnd w:id="7"/>
      <w:r/>
      <w:r/>
    </w:p>
    <w:p>
      <w:pPr>
        <w:pStyle w:val="874"/>
        <w:spacing w:before="0" w:after="0"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360" w:lineRule="auto"/>
        <w:widowControl w:val="off"/>
        <w:rPr>
          <w:rFonts w:hint="default" w:ascii="宋体" w:hAnsi="宋体"/>
          <w:color w:val="auto"/>
          <w:highlight w:val="none"/>
          <w:lang w:val="en-US"/>
        </w:rPr>
      </w:pPr>
      <w:r>
        <w:rPr>
          <w:rFonts w:hint="eastAsia" w:ascii="宋体" w:hAnsi="宋体"/>
          <w:color w:val="auto"/>
          <w:highlight w:val="none"/>
        </w:rPr>
        <w:t xml:space="preserve">1.项目编号：</w:t>
      </w:r>
      <w:r>
        <w:rPr>
          <w:rFonts w:hint="eastAsia" w:ascii="宋体" w:hAnsi="宋体"/>
          <w:color w:val="auto"/>
          <w:highlight w:val="none"/>
          <w:lang w:eastAsia="zh-CN"/>
        </w:rPr>
        <w:t xml:space="preserve">JSZC-321081-BYGC-G2026-0005</w:t>
      </w:r>
      <w:r/>
    </w:p>
    <w:p>
      <w:pPr>
        <w:ind w:firstLine="420"/>
        <w:pageBreakBefore w:val="0"/>
        <w:spacing w:line="360" w:lineRule="auto"/>
        <w:widowControl w:val="off"/>
        <w:rPr>
          <w:rFonts w:hint="eastAsia" w:ascii="宋体" w:hAnsi="宋体" w:eastAsia="宋体"/>
          <w:color w:val="auto"/>
          <w:highlight w:val="none"/>
          <w:u w:val="single"/>
          <w:lang w:eastAsia="zh-CN"/>
        </w:rPr>
      </w:pPr>
      <w:r>
        <w:rPr>
          <w:rFonts w:hint="eastAsia" w:ascii="宋体" w:hAnsi="宋体"/>
          <w:color w:val="auto"/>
          <w:highlight w:val="none"/>
        </w:rPr>
        <w:t xml:space="preserve">2.项目名称：</w:t>
      </w:r>
      <w:r>
        <w:rPr>
          <w:rFonts w:hint="eastAsia" w:ascii="宋体" w:hAnsi="宋体"/>
          <w:color w:val="auto"/>
          <w:szCs w:val="21"/>
          <w:highlight w:val="none"/>
          <w:lang w:eastAsia="zh-CN"/>
        </w:rPr>
        <w:t xml:space="preserve">仪征市国省道干线隐患路口哨兵设备采购项目</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3.采购方式：公开招标</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4.预算金额：475</w:t>
      </w:r>
      <w:r>
        <w:rPr>
          <w:rFonts w:hint="eastAsia" w:ascii="宋体" w:hAnsi="宋体"/>
          <w:color w:val="auto"/>
          <w:highlight w:val="none"/>
        </w:rPr>
        <w:t xml:space="preserve">万元</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5.最高限价：</w:t>
      </w:r>
      <w:r>
        <w:rPr>
          <w:rFonts w:hint="eastAsia" w:ascii="宋体" w:hAnsi="宋体"/>
          <w:color w:val="auto"/>
          <w:highlight w:val="none"/>
          <w:lang w:val="en-US" w:eastAsia="zh-CN"/>
        </w:rPr>
        <w:t xml:space="preserve">474.249808</w:t>
      </w:r>
      <w:r>
        <w:rPr>
          <w:rFonts w:hint="eastAsia" w:ascii="宋体" w:hAnsi="宋体"/>
          <w:color w:val="auto"/>
          <w:highlight w:val="none"/>
        </w:rPr>
        <w:t xml:space="preserve">万元</w:t>
      </w:r>
      <w:r>
        <w:rPr>
          <w:rFonts w:hint="eastAsia" w:ascii="宋体" w:hAnsi="宋体"/>
          <w:color w:val="auto"/>
          <w:highlight w:val="none"/>
          <w:lang w:eastAsia="zh-CN"/>
        </w:rPr>
        <w:t xml:space="preserve">，</w:t>
      </w:r>
      <w:r>
        <w:rPr>
          <w:rFonts w:hint="eastAsia" w:ascii="宋体" w:hAnsi="宋体"/>
          <w:color w:val="auto"/>
          <w:highlight w:val="none"/>
        </w:rPr>
        <w:t xml:space="preserve">报价超过最高限价的为无效报价，按照无效响应处理</w:t>
      </w:r>
      <w:r>
        <w:rPr>
          <w:rFonts w:hint="eastAsia" w:ascii="宋体" w:hAnsi="宋体"/>
          <w:color w:val="auto"/>
          <w:highlight w:val="none"/>
          <w:lang w:val="zh-CN"/>
        </w:rPr>
        <w:t xml:space="preserve">。</w:t>
      </w:r>
      <w:r/>
    </w:p>
    <w:p>
      <w:pPr>
        <w:ind w:firstLine="420"/>
        <w:keepLines w:val="0"/>
        <w:keepNext w:val="0"/>
        <w:pageBreakBefore w:val="0"/>
        <w:spacing w:before="157" w:line="360" w:lineRule="auto"/>
        <w:widowControl w:val="off"/>
        <w:rPr>
          <w:rFonts w:ascii="宋体" w:hAnsi="宋体"/>
          <w:color w:val="auto"/>
          <w:highlight w:val="none"/>
        </w:rPr>
      </w:pPr>
      <w:r>
        <w:rPr>
          <w:rFonts w:hint="eastAsia" w:ascii="宋体" w:hAnsi="宋体"/>
          <w:color w:val="auto"/>
          <w:highlight w:val="none"/>
        </w:rPr>
        <w:t xml:space="preserve">6.采购需求：见招标文件第四章</w:t>
      </w:r>
      <w:r/>
    </w:p>
    <w:p>
      <w:pPr>
        <w:ind w:firstLine="420"/>
        <w:pageBreakBefore w:val="0"/>
        <w:spacing w:line="360" w:lineRule="auto"/>
        <w:widowControl w:val="off"/>
        <w:rPr>
          <w:rFonts w:hint="default" w:ascii="宋体" w:hAnsi="宋体" w:eastAsia="宋体"/>
          <w:color w:val="auto"/>
          <w:highlight w:val="none"/>
          <w:lang w:val="en-US" w:eastAsia="zh-CN"/>
        </w:rPr>
      </w:pPr>
      <w:r>
        <w:rPr>
          <w:rFonts w:hint="eastAsia" w:ascii="宋体" w:hAnsi="宋体"/>
          <w:color w:val="auto"/>
          <w:highlight w:val="none"/>
        </w:rPr>
        <w:t xml:space="preserve">7.</w:t>
      </w:r>
      <w:r>
        <w:rPr>
          <w:rFonts w:hint="eastAsia" w:ascii="宋体" w:hAnsi="宋体"/>
          <w:color w:val="auto"/>
          <w:highlight w:val="none"/>
          <w:lang w:val="en-US" w:eastAsia="zh-CN"/>
        </w:rPr>
        <w:t xml:space="preserve">履行期限</w:t>
      </w:r>
      <w:r>
        <w:rPr>
          <w:rFonts w:hint="eastAsia" w:ascii="宋体" w:hAnsi="宋体"/>
          <w:color w:val="auto"/>
          <w:highlight w:val="none"/>
        </w:rPr>
        <w:t xml:space="preserve">：</w:t>
      </w:r>
      <w:r>
        <w:rPr>
          <w:rFonts w:hint="eastAsia" w:ascii="宋体" w:hAnsi="宋体"/>
          <w:color w:val="auto"/>
          <w:highlight w:val="none"/>
          <w:lang w:val="en-US" w:eastAsia="zh-CN"/>
        </w:rPr>
        <w:t xml:space="preserve">合同签订之日起90天内完成所有的项目建设，并实现与仪征市公安视频图像信息应用平台互通互联。</w:t>
      </w:r>
      <w:r/>
    </w:p>
    <w:p>
      <w:pPr>
        <w:ind w:firstLine="42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8.本项目</w:t>
      </w:r>
      <w:r>
        <w:rPr>
          <w:rFonts w:hint="eastAsia" w:ascii="宋体" w:hAnsi="宋体"/>
          <w:color w:val="auto"/>
          <w:highlight w:val="none"/>
          <w:u w:val="single"/>
        </w:rPr>
        <w:t xml:space="preserve">接受</w:t>
      </w:r>
      <w:r>
        <w:rPr>
          <w:rFonts w:hint="eastAsia" w:ascii="宋体" w:hAnsi="宋体"/>
          <w:color w:val="auto"/>
          <w:highlight w:val="none"/>
        </w:rPr>
        <w:t xml:space="preserve">联合体投标</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9.本项目</w:t>
      </w:r>
      <w:r>
        <w:rPr>
          <w:rFonts w:hint="eastAsia" w:ascii="宋体" w:hAnsi="宋体"/>
          <w:color w:val="auto"/>
          <w:highlight w:val="none"/>
          <w:u w:val="single"/>
        </w:rPr>
        <w:t xml:space="preserve">不接受</w:t>
      </w:r>
      <w:r>
        <w:rPr>
          <w:rFonts w:hint="eastAsia" w:ascii="宋体" w:hAnsi="宋体"/>
          <w:color w:val="auto"/>
          <w:highlight w:val="none"/>
        </w:rPr>
        <w:t xml:space="preserve">进口产品投标</w:t>
      </w:r>
      <w:r/>
    </w:p>
    <w:p>
      <w:pPr>
        <w:pStyle w:val="874"/>
        <w:keepLines/>
        <w:keepNext/>
        <w:pageBreakBefore w:val="0"/>
        <w:spacing w:before="20" w:after="20" w:line="360" w:lineRule="auto"/>
        <w:widowControl w:val="off"/>
        <w:rPr>
          <w:rFonts w:ascii="宋体" w:hAnsi="宋体" w:eastAsia="宋体" w:cs="宋体"/>
          <w:color w:val="auto"/>
          <w:sz w:val="21"/>
          <w:szCs w:val="21"/>
          <w:highlight w:val="none"/>
        </w:rPr>
      </w:pPr>
      <w:r/>
      <w:bookmarkStart w:id="9" w:name="_Toc28359090"/>
      <w:r/>
      <w:bookmarkStart w:id="10" w:name="_Toc35393630"/>
      <w:r/>
      <w:bookmarkStart w:id="11" w:name="_Toc28359013"/>
      <w:r/>
      <w:bookmarkStart w:id="12" w:name="_Toc35393799"/>
      <w:r>
        <w:rPr>
          <w:rFonts w:hint="eastAsia" w:ascii="宋体" w:hAnsi="宋体" w:eastAsia="宋体" w:cs="宋体"/>
          <w:color w:val="auto"/>
          <w:sz w:val="21"/>
          <w:szCs w:val="21"/>
          <w:highlight w:val="none"/>
        </w:rPr>
        <w:t xml:space="preserve">二、申请人的资格要求：</w:t>
      </w:r>
      <w:bookmarkEnd w:id="9"/>
      <w:r/>
      <w:bookmarkEnd w:id="10"/>
      <w:r/>
      <w:bookmarkEnd w:id="11"/>
      <w:r/>
      <w:bookmarkEnd w:id="12"/>
      <w:r/>
      <w:r/>
    </w:p>
    <w:p>
      <w:pPr>
        <w:ind w:firstLine="420"/>
        <w:pageBreakBefore w:val="0"/>
        <w:spacing w:line="360" w:lineRule="auto"/>
        <w:widowControl w:val="off"/>
        <w:rPr>
          <w:rFonts w:hint="eastAsia" w:ascii="宋体" w:hAnsi="宋体" w:cs="宋体"/>
          <w:color w:val="auto"/>
          <w:szCs w:val="21"/>
          <w:highlight w:val="none"/>
        </w:rPr>
      </w:pPr>
      <w:r/>
      <w:bookmarkStart w:id="13" w:name="_Toc35393631"/>
      <w:r/>
      <w:bookmarkStart w:id="14" w:name="_Toc28359091"/>
      <w:r/>
      <w:bookmarkStart w:id="15" w:name="_Toc35393800"/>
      <w:r/>
      <w:bookmarkStart w:id="16" w:name="_Toc28359014"/>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w:t>
      </w:r>
      <w:r>
        <w:rPr>
          <w:rFonts w:hint="eastAsia" w:ascii="宋体" w:hAnsi="宋体" w:cs="宋体"/>
          <w:b/>
          <w:bCs/>
          <w:i/>
          <w:iCs/>
          <w:color w:val="auto"/>
          <w:szCs w:val="21"/>
          <w:highlight w:val="none"/>
          <w:u w:val="single"/>
          <w:lang w:val="en-US" w:eastAsia="zh-CN"/>
        </w:rPr>
        <w:t xml:space="preserve">三个月</w:t>
      </w:r>
      <w:r>
        <w:rPr>
          <w:rFonts w:hint="eastAsia" w:ascii="宋体" w:hAnsi="宋体" w:cs="宋体"/>
          <w:b/>
          <w:bCs/>
          <w:i/>
          <w:iCs/>
          <w:color w:val="auto"/>
          <w:szCs w:val="21"/>
          <w:highlight w:val="none"/>
          <w:u w:val="single"/>
        </w:rPr>
        <w:t xml:space="preserve">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3</w:t>
      </w:r>
      <w:r>
        <w:rPr>
          <w:rFonts w:hint="eastAsia" w:ascii="宋体" w:hAnsi="宋体" w:cs="宋体"/>
          <w:i/>
          <w:iCs/>
          <w:color w:val="auto"/>
          <w:szCs w:val="21"/>
          <w:highlight w:val="none"/>
          <w:u w:val="single"/>
        </w:rPr>
        <w:t xml:space="preserve">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4</w:t>
      </w:r>
      <w:r>
        <w:rPr>
          <w:rFonts w:hint="eastAsia" w:ascii="宋体" w:hAnsi="宋体" w:cs="宋体"/>
          <w:i/>
          <w:iCs/>
          <w:color w:val="auto"/>
          <w:szCs w:val="21"/>
          <w:highlight w:val="none"/>
          <w:u w:val="single"/>
        </w:rPr>
        <w:t xml:space="preserve">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5</w:t>
      </w:r>
      <w:r>
        <w:rPr>
          <w:rFonts w:hint="eastAsia" w:ascii="宋体" w:hAnsi="宋体" w:cs="宋体"/>
          <w:i/>
          <w:iCs/>
          <w:color w:val="auto"/>
          <w:szCs w:val="21"/>
          <w:highlight w:val="none"/>
          <w:u w:val="single"/>
        </w:rPr>
        <w:t xml:space="preserve"> 参加本次政府采购活动前3年内在经营活动中没有重大违法记录的书面声明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1.6</w:t>
      </w:r>
      <w:r>
        <w:rPr>
          <w:rFonts w:hint="eastAsia" w:ascii="宋体" w:hAnsi="宋体" w:eastAsia="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iCs/>
          <w:color w:val="auto"/>
          <w:szCs w:val="21"/>
          <w:highlight w:val="none"/>
          <w:u w:val="single"/>
        </w:rPr>
        <w:t xml:space="preserve">（</w:t>
      </w:r>
      <w:r>
        <w:rPr>
          <w:rFonts w:hint="eastAsia" w:ascii="宋体" w:hAnsi="宋体" w:cs="宋体"/>
          <w:b/>
          <w:bCs/>
          <w:i/>
          <w:iCs/>
          <w:color w:val="auto"/>
          <w:szCs w:val="21"/>
          <w:highlight w:val="none"/>
          <w:u w:val="single"/>
          <w:lang w:val="en-US" w:eastAsia="zh-CN"/>
        </w:rPr>
        <w:t xml:space="preserve">提供网页截图</w:t>
      </w:r>
      <w:r>
        <w:rPr>
          <w:rFonts w:hint="eastAsia" w:ascii="宋体" w:hAnsi="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1.7</w:t>
      </w:r>
      <w:r>
        <w:rPr>
          <w:rFonts w:hint="eastAsia" w:ascii="宋体" w:hAnsi="宋体" w:eastAsia="宋体" w:cs="宋体"/>
          <w:i/>
          <w:iCs/>
          <w:color w:val="auto"/>
          <w:szCs w:val="21"/>
          <w:highlight w:val="none"/>
          <w:u w:val="single"/>
        </w:rPr>
        <w:t xml:space="preserve">供应商信用承诺函</w:t>
      </w:r>
      <w:r/>
    </w:p>
    <w:p>
      <w:pPr>
        <w:ind w:firstLine="420"/>
        <w:jc w:val="left"/>
        <w:keepLines w:val="0"/>
        <w:keepNext w:val="0"/>
        <w:pageBreakBefore w:val="0"/>
        <w:spacing w:after="150" w:line="360" w:lineRule="auto"/>
        <w:widowControl/>
        <w:rPr>
          <w:rFonts w:hint="eastAsia" w:ascii="宋体" w:hAnsi="宋体" w:cs="宋体"/>
          <w:b/>
          <w:bCs/>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cs="宋体"/>
          <w:b w:val="0"/>
          <w:bCs w:val="0"/>
          <w:i w:val="0"/>
          <w:iCs w:val="0"/>
          <w:color w:val="auto"/>
          <w:szCs w:val="21"/>
          <w:highlight w:val="none"/>
          <w:u w:val="none"/>
          <w:lang w:val="en-US" w:eastAsia="zh-CN"/>
        </w:rPr>
        <w:t xml:space="preserve">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val="en-US" w:eastAsia="zh-CN"/>
        </w:rPr>
        <w:t xml:space="preserve">无</w:t>
      </w:r>
      <w:bookmarkEnd w:id="13"/>
      <w:r/>
      <w:bookmarkEnd w:id="14"/>
      <w:r/>
      <w:bookmarkEnd w:id="15"/>
      <w:r/>
      <w:bookmarkEnd w:id="16"/>
      <w:r/>
      <w:r/>
    </w:p>
    <w:p>
      <w:pPr>
        <w:ind w:firstLine="422"/>
        <w:keepLines w:val="0"/>
        <w:keepNext w:val="0"/>
        <w:pageBreakBefore w:val="0"/>
        <w:spacing w:line="360" w:lineRule="auto"/>
        <w:widowControl w:val="off"/>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rPr>
        <w:t xml:space="preserve">三、获取招标文件</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bookmarkStart w:id="18" w:name="_Toc17733"/>
      <w:r/>
      <w:bookmarkStart w:id="19" w:name="_Toc14561"/>
      <w:r>
        <w:rPr>
          <w:rFonts w:hint="eastAsia" w:ascii="宋体" w:hAnsi="宋体" w:cs="宋体"/>
          <w:b w:val="0"/>
          <w:bCs w:val="0"/>
          <w:color w:val="auto"/>
          <w:highlight w:val="none"/>
        </w:rPr>
        <w:t xml:space="preserve">1.时间：自招标文件公告发布之日起5个工作日</w:t>
      </w:r>
      <w:r>
        <w:rPr>
          <w:rFonts w:hint="eastAsia" w:ascii="宋体" w:hAnsi="宋体" w:cs="宋体"/>
          <w:highlight w:val="none"/>
        </w:rPr>
        <w:t xml:space="preserve">。</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2.地点：</w:t>
      </w:r>
      <w:r>
        <w:rPr>
          <w:rFonts w:hint="eastAsia" w:ascii="宋体" w:hAnsi="宋体" w:cs="宋体"/>
          <w:b w:val="0"/>
          <w:bCs w:val="0"/>
          <w:color w:val="auto"/>
          <w:highlight w:val="none"/>
          <w:u w:val="single"/>
        </w:rPr>
        <w:t xml:space="preserve">“仪征市政府采购网”、“扬州市政府采购网”、“</w:t>
      </w:r>
      <w:r>
        <w:rPr>
          <w:rFonts w:hint="eastAsia" w:ascii="宋体" w:hAnsi="宋体" w:cs="宋体"/>
          <w:b w:val="0"/>
          <w:bCs w:val="0"/>
          <w:color w:val="auto"/>
          <w:highlight w:val="none"/>
          <w:u w:val="single"/>
          <w:lang w:eastAsia="zh-CN"/>
        </w:rPr>
        <w:t xml:space="preserve">江苏政府采购网</w:t>
      </w:r>
      <w:r>
        <w:rPr>
          <w:rFonts w:hint="eastAsia" w:ascii="宋体" w:hAnsi="宋体" w:cs="宋体"/>
          <w:b w:val="0"/>
          <w:bCs w:val="0"/>
          <w:color w:val="auto"/>
          <w:highlight w:val="none"/>
          <w:u w:val="single"/>
        </w:rPr>
        <w:t xml:space="preserve">”</w:t>
      </w:r>
      <w:r>
        <w:rPr>
          <w:rFonts w:hint="eastAsia" w:ascii="宋体" w:hAnsi="宋体" w:cs="宋体"/>
          <w:b w:val="0"/>
          <w:bCs w:val="0"/>
          <w:color w:val="auto"/>
          <w:highlight w:val="none"/>
          <w:u w:val="single"/>
          <w:lang w:eastAsia="zh-CN"/>
        </w:rPr>
        <w:t xml:space="preserve">、</w:t>
      </w:r>
      <w:r>
        <w:rPr>
          <w:rFonts w:hint="eastAsia" w:ascii="宋体" w:hAnsi="宋体" w:cs="宋体"/>
          <w:b w:val="0"/>
          <w:bCs w:val="0"/>
          <w:color w:val="auto"/>
          <w:highlight w:val="none"/>
          <w:u w:val="single"/>
        </w:rPr>
        <w:t xml:space="preserve">“中国政府采购网”自行免费下载招标文件。</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3.获取方式：</w:t>
      </w:r>
      <w:r>
        <w:rPr>
          <w:rFonts w:hint="eastAsia" w:ascii="宋体" w:hAnsi="宋体" w:cs="宋体"/>
          <w:b w:val="0"/>
          <w:bCs w:val="0"/>
          <w:color w:val="auto"/>
          <w:highlight w:val="none"/>
          <w:u w:val="single"/>
        </w:rPr>
        <w:t xml:space="preserve">本项目采用网上注册登记方式。</w:t>
      </w:r>
      <w:bookmarkEnd w:id="18"/>
      <w:r/>
      <w:bookmarkEnd w:id="19"/>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spacing w:line="400" w:lineRule="exact"/>
        <w:rPr>
          <w:rFonts w:ascii="宋体" w:hAnsi="宋体"/>
          <w:bCs/>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olor w:val="auto"/>
          <w:szCs w:val="21"/>
          <w:highlight w:val="none"/>
          <w:u w:val="single"/>
        </w:rPr>
        <w:t xml:space="preserve">202</w:t>
      </w:r>
      <w:r>
        <w:rPr>
          <w:rFonts w:hint="eastAsia" w:ascii="宋体" w:hAnsi="宋体"/>
          <w:color w:val="auto"/>
          <w:szCs w:val="21"/>
          <w:highlight w:val="none"/>
          <w:u w:val="single"/>
          <w:lang w:val="en-US" w:eastAsia="zh-CN"/>
        </w:rPr>
        <w:t xml:space="preserve">6</w:t>
      </w:r>
      <w:r>
        <w:rPr>
          <w:rFonts w:hint="eastAsia" w:ascii="宋体" w:hAnsi="宋体"/>
          <w:bCs/>
          <w:color w:val="auto"/>
          <w:szCs w:val="21"/>
          <w:highlight w:val="none"/>
          <w:u w:val="single"/>
        </w:rPr>
        <w:t xml:space="preserve">年</w:t>
      </w:r>
      <w:r>
        <w:rPr>
          <w:rFonts w:hint="eastAsia" w:ascii="宋体" w:hAnsi="宋体"/>
          <w:bCs/>
          <w:color w:val="auto"/>
          <w:szCs w:val="21"/>
          <w:highlight w:val="none"/>
          <w:u w:val="single"/>
          <w:lang w:val="en-US" w:eastAsia="zh-CN"/>
        </w:rPr>
        <w:t xml:space="preserve">05</w:t>
      </w:r>
      <w:r>
        <w:rPr>
          <w:rFonts w:hint="eastAsia" w:ascii="宋体" w:hAnsi="宋体"/>
          <w:bCs/>
          <w:color w:val="auto"/>
          <w:szCs w:val="21"/>
          <w:highlight w:val="none"/>
          <w:u w:val="single"/>
        </w:rPr>
        <w:t xml:space="preserve">月</w:t>
      </w:r>
      <w:r>
        <w:rPr>
          <w:rFonts w:hint="eastAsia" w:ascii="宋体" w:hAnsi="宋体"/>
          <w:bCs/>
          <w:color w:val="auto"/>
          <w:szCs w:val="21"/>
          <w:highlight w:val="none"/>
          <w:u w:val="single"/>
          <w:lang w:val="en-US" w:eastAsia="zh-CN"/>
        </w:rPr>
        <w:t xml:space="preserve">21 </w:t>
      </w:r>
      <w:r>
        <w:rPr>
          <w:rFonts w:hint="eastAsia" w:ascii="宋体" w:hAnsi="宋体"/>
          <w:bCs/>
          <w:color w:val="auto"/>
          <w:szCs w:val="21"/>
          <w:highlight w:val="none"/>
          <w:u w:val="single"/>
        </w:rPr>
        <w:t xml:space="preserve">日 09点 00分</w:t>
      </w:r>
      <w:r>
        <w:rPr>
          <w:rFonts w:hint="eastAsia" w:ascii="宋体" w:hAnsi="宋体" w:cs="宋体"/>
          <w:bCs/>
          <w:color w:val="auto"/>
          <w:szCs w:val="21"/>
          <w:highlight w:val="none"/>
        </w:rPr>
        <w:t xml:space="preserve">（北京时间）</w:t>
      </w:r>
      <w:r/>
    </w:p>
    <w:p>
      <w:pPr>
        <w:ind w:firstLine="420"/>
        <w:spacing w:line="400" w:lineRule="exact"/>
        <w:rPr>
          <w:rFonts w:hint="eastAsia" w:ascii="宋体" w:hAnsi="宋体" w:cs="宋体"/>
          <w:bCs/>
          <w:color w:val="auto"/>
          <w:szCs w:val="21"/>
          <w:highlight w:val="none"/>
          <w:u w:val="single"/>
        </w:rPr>
      </w:pPr>
      <w:r>
        <w:rPr>
          <w:rFonts w:hint="eastAsia" w:ascii="宋体" w:hAnsi="宋体"/>
          <w:color w:val="auto"/>
          <w:szCs w:val="21"/>
          <w:highlight w:val="none"/>
        </w:rPr>
        <w:t xml:space="preserve">2.开标地点：</w:t>
      </w:r>
      <w:r>
        <w:rPr>
          <w:rFonts w:hint="eastAsia" w:ascii="宋体" w:hAnsi="宋体"/>
          <w:b/>
          <w:color w:val="auto"/>
          <w:szCs w:val="21"/>
          <w:highlight w:val="none"/>
        </w:rPr>
        <w:t xml:space="preserve">“苏采云”系统（网址：http://jszfcg.jsczt.cn/）“开标大厅”</w:t>
      </w:r>
      <w:r/>
    </w:p>
    <w:p>
      <w:pPr>
        <w:ind w:firstLine="422"/>
        <w:spacing w:line="360" w:lineRule="auto"/>
        <w:tabs>
          <w:tab w:val="left" w:pos="266" w:leader="none"/>
        </w:tabs>
        <w:rPr>
          <w:rFonts w:ascii="宋体" w:hAnsi="宋体" w:cs="宋体"/>
          <w:b/>
          <w:bCs/>
          <w:color w:val="auto"/>
          <w:highlight w:val="none"/>
        </w:rPr>
      </w:pPr>
      <w:r/>
      <w:bookmarkStart w:id="20" w:name="_Toc28359084"/>
      <w:r/>
      <w:bookmarkStart w:id="21" w:name="_Toc35393625"/>
      <w:r/>
      <w:bookmarkStart w:id="22" w:name="_Toc35393794"/>
      <w:r/>
      <w:bookmarkStart w:id="23" w:name="_Toc28359007"/>
      <w:r/>
      <w:bookmarkStart w:id="24" w:name="_Toc38985267"/>
      <w:r>
        <w:rPr>
          <w:rFonts w:hint="eastAsia" w:ascii="宋体" w:hAnsi="宋体" w:cs="宋体"/>
          <w:b/>
          <w:bCs/>
          <w:color w:val="auto"/>
          <w:highlight w:val="none"/>
        </w:rPr>
        <w:t xml:space="preserve">五、公告期限</w:t>
      </w:r>
      <w:bookmarkEnd w:id="20"/>
      <w:r/>
      <w:bookmarkEnd w:id="21"/>
      <w:r/>
      <w:bookmarkEnd w:id="22"/>
      <w:r/>
      <w:bookmarkEnd w:id="23"/>
      <w:r/>
      <w:bookmarkEnd w:id="24"/>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2"/>
        <w:spacing w:line="360" w:lineRule="auto"/>
        <w:tabs>
          <w:tab w:val="left" w:pos="266" w:leader="none"/>
        </w:tabs>
        <w:rPr>
          <w:rFonts w:ascii="宋体" w:hAnsi="宋体" w:cs="宋体"/>
          <w:b/>
          <w:bCs/>
          <w:color w:val="auto"/>
          <w:highlight w:val="none"/>
        </w:rPr>
      </w:pPr>
      <w:r/>
      <w:bookmarkStart w:id="25" w:name="_Toc24018"/>
      <w:r/>
      <w:bookmarkStart w:id="26" w:name="_Toc2469"/>
      <w:r>
        <w:rPr>
          <w:rFonts w:hint="eastAsia" w:ascii="宋体" w:hAnsi="宋体" w:cs="宋体"/>
          <w:b/>
          <w:bCs/>
          <w:color w:val="auto"/>
          <w:highlight w:val="none"/>
        </w:rPr>
        <w:t xml:space="preserve">六、其他补充事宜</w:t>
      </w:r>
      <w:r/>
    </w:p>
    <w:p>
      <w:pPr>
        <w:ind w:firstLine="422"/>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3.潜在供应商对采购文件项目需求部分的询问、质疑请向采购人提出，由采购人负责答复。</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4.本次采购不收取投标保证金。</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5.</w:t>
      </w:r>
      <w:r>
        <w:rPr>
          <w:rFonts w:hint="eastAsia"/>
          <w:color w:val="auto"/>
          <w:sz w:val="19"/>
          <w:szCs w:val="19"/>
          <w:highlight w:val="none"/>
          <w:shd w:val="clear" w:color="auto" w:fill="ffffff"/>
        </w:rPr>
        <w:t xml:space="preserve"> </w:t>
      </w:r>
      <w:r>
        <w:rPr>
          <w:rFonts w:hint="eastAsia" w:ascii="宋体" w:hAnsi="宋体" w:cs="宋体"/>
          <w:b/>
          <w:bCs/>
          <w:color w:val="auto"/>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auto"/>
          <w:szCs w:val="21"/>
          <w:highlight w:val="none"/>
          <w:lang w:eastAsia="zh-CN"/>
        </w:rPr>
        <w:t xml:space="preserve">江苏政府采购网</w:t>
      </w:r>
      <w:r>
        <w:rPr>
          <w:rFonts w:hint="eastAsia" w:ascii="宋体" w:hAnsi="宋体" w:cs="宋体"/>
          <w:b/>
          <w:bCs/>
          <w:color w:val="auto"/>
          <w:szCs w:val="21"/>
          <w:highlight w:val="none"/>
        </w:rPr>
        <w:t xml:space="preserve">（ccgp-jiangsu.gov.cn）”、“中国政府采购网（ccgp.gov.cn）”发布的信息。</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6.</w:t>
      </w:r>
      <w:r>
        <w:rPr>
          <w:rFonts w:hint="eastAsia" w:ascii="宋体" w:hAnsi="宋体" w:cs="宋体"/>
          <w:b/>
          <w:bCs/>
          <w:i/>
          <w:color w:val="auto"/>
          <w:szCs w:val="21"/>
          <w:highlight w:val="none"/>
          <w:u w:val="single"/>
        </w:rPr>
        <w:t xml:space="preserve">本项目采购文件中所有斜体下划线部分为实质性条款，如不满足，则为无效投标。</w:t>
      </w:r>
      <w:r/>
    </w:p>
    <w:p>
      <w:pPr>
        <w:ind w:firstLine="422"/>
        <w:jc w:val="left"/>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7.如在开标时间发生系统崩溃等不可预见的情况，造成开评标活动无法正常进行的，将延迟开评标，具体开评标时间另行通知。</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8.潜在供应商访问政府采购管理交易系统（苏采云）的网络地址和方法：</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9.落实好政府采购履约资金扶持政策其他相关政策</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（1）中标/成交供应商可凭政府采购合同办理融资贷款，详见江苏政府采购网“政采贷”专栏。</w:t>
      </w:r>
      <w:r/>
    </w:p>
    <w:p>
      <w:pPr>
        <w:ind w:firstLine="422"/>
        <w:keepLines w:val="0"/>
        <w:keepNext w:val="0"/>
        <w:pageBreakBefore w:val="0"/>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25"/>
      <w:r/>
      <w:bookmarkEnd w:id="26"/>
      <w:r/>
      <w:r/>
    </w:p>
    <w:p>
      <w:pPr>
        <w:ind w:firstLine="422"/>
        <w:spacing w:line="360" w:lineRule="auto"/>
        <w:tabs>
          <w:tab w:val="left" w:pos="266" w:leader="none"/>
        </w:tabs>
        <w:rPr>
          <w:rFonts w:ascii="宋体" w:hAnsi="宋体" w:cs="宋体"/>
          <w:b/>
          <w:bCs/>
          <w:color w:val="auto"/>
          <w:highlight w:val="none"/>
        </w:rPr>
      </w:pPr>
      <w:r/>
      <w:bookmarkStart w:id="27" w:name="_Toc38985269"/>
      <w:r/>
      <w:bookmarkStart w:id="28" w:name="_Toc35393627"/>
      <w:r/>
      <w:bookmarkStart w:id="29" w:name="_Toc35393796"/>
      <w:r/>
      <w:bookmarkStart w:id="30" w:name="_Toc28359085"/>
      <w:r/>
      <w:bookmarkStart w:id="31" w:name="_Toc28359008"/>
      <w:r>
        <w:rPr>
          <w:rFonts w:hint="eastAsia" w:ascii="宋体" w:hAnsi="宋体" w:cs="宋体"/>
          <w:b/>
          <w:bCs/>
          <w:color w:val="auto"/>
          <w:highlight w:val="none"/>
        </w:rPr>
        <w:t xml:space="preserve">七、本次招标联系方式</w:t>
      </w:r>
      <w:bookmarkEnd w:id="27"/>
      <w:r/>
      <w:bookmarkEnd w:id="28"/>
      <w:r/>
      <w:bookmarkEnd w:id="29"/>
      <w:r/>
      <w:bookmarkEnd w:id="30"/>
      <w:r/>
      <w:bookmarkEnd w:id="31"/>
      <w:r/>
      <w:r/>
    </w:p>
    <w:p>
      <w:pPr>
        <w:pStyle w:val="88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pStyle w:val="887"/>
        <w:ind w:firstLine="42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eastAsia="zh-CN"/>
        </w:rPr>
        <w:t xml:space="preserve">仪征市公安局</w:t>
      </w:r>
      <w:r>
        <w:rPr>
          <w:rFonts w:hint="eastAsia" w:ascii="宋体" w:hAnsi="宋体" w:eastAsia="宋体" w:cs="宋体"/>
          <w:color w:val="auto"/>
          <w:sz w:val="21"/>
          <w:szCs w:val="21"/>
          <w:highlight w:val="none"/>
          <w:u w:val="single"/>
          <w:lang w:val="en-US" w:eastAsia="zh-CN"/>
        </w:rPr>
        <w:t xml:space="preserve"> </w:t>
      </w:r>
      <w:r/>
    </w:p>
    <w:p>
      <w:pPr>
        <w:pStyle w:val="887"/>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址：</w:t>
      </w:r>
      <w:r>
        <w:rPr>
          <w:rFonts w:hint="eastAsia" w:ascii="宋体" w:hAnsi="宋体" w:eastAsia="宋体" w:cs="宋体"/>
          <w:color w:val="auto"/>
          <w:sz w:val="21"/>
          <w:szCs w:val="21"/>
          <w:highlight w:val="none"/>
          <w:u w:val="single"/>
        </w:rPr>
        <w:t xml:space="preserve">仪征市大庆北路89号 </w:t>
      </w:r>
      <w:r/>
    </w:p>
    <w:p>
      <w:pPr>
        <w:pStyle w:val="887"/>
        <w:ind w:firstLine="42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u w:val="single"/>
          <w:lang w:val="en-US" w:eastAsia="zh-CN"/>
        </w:rPr>
        <w:t xml:space="preserve">陈国峰</w:t>
      </w:r>
      <w:r/>
    </w:p>
    <w:p>
      <w:pPr>
        <w:pStyle w:val="887"/>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u w:val="single"/>
          <w:lang w:val="en-US" w:eastAsia="zh-CN"/>
        </w:rPr>
        <w:t xml:space="preserve">15150890005</w:t>
      </w:r>
      <w:r/>
    </w:p>
    <w:p>
      <w:pPr>
        <w:pStyle w:val="88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pStyle w:val="887"/>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u w:val="single"/>
          <w:lang w:eastAsia="zh-CN"/>
        </w:rPr>
        <w:t xml:space="preserve">扬州博远工程咨询有限公司</w:t>
      </w:r>
      <w:r/>
    </w:p>
    <w:p>
      <w:pPr>
        <w:pStyle w:val="887"/>
        <w:ind w:firstLine="420"/>
        <w:spacing w:line="360" w:lineRule="auto"/>
        <w:rPr>
          <w:rFonts w:hint="eastAsia" w:ascii="宋体" w:hAnsi="宋体" w:eastAsia="宋体" w:cs="宋体"/>
          <w:color w:val="auto"/>
          <w:sz w:val="21"/>
          <w:szCs w:val="21"/>
          <w:highlight w:val="none"/>
        </w:rPr>
      </w:pPr>
      <w:r/>
      <w:bookmarkStart w:id="32" w:name="_Toc28359010"/>
      <w:r/>
      <w:bookmarkStart w:id="33" w:name="_Toc28359087"/>
      <w:r>
        <w:rPr>
          <w:rFonts w:hint="eastAsia" w:ascii="宋体" w:hAnsi="宋体" w:eastAsia="宋体" w:cs="宋体"/>
          <w:color w:val="auto"/>
          <w:sz w:val="21"/>
          <w:szCs w:val="21"/>
          <w:highlight w:val="none"/>
        </w:rPr>
        <w:t xml:space="preserve">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u w:val="single"/>
          <w:lang w:val="en-US" w:eastAsia="zh-CN"/>
        </w:rPr>
        <w:t xml:space="preserve">吴长亮</w:t>
      </w:r>
      <w:r/>
    </w:p>
    <w:p>
      <w:pPr>
        <w:pStyle w:val="88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lang w:eastAsia="zh-CN"/>
        </w:rPr>
        <w:t xml:space="preserve">仪征市万年北路163号（万年商城内东南角二楼）</w:t>
      </w:r>
      <w:r/>
    </w:p>
    <w:p>
      <w:pPr>
        <w:pStyle w:val="887"/>
        <w:ind w:firstLine="42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联系方式：</w:t>
      </w:r>
      <w:bookmarkStart w:id="34" w:name="_Toc28359098"/>
      <w:r/>
      <w:bookmarkStart w:id="35" w:name="_Toc28359021"/>
      <w:r/>
      <w:bookmarkStart w:id="36" w:name="_Toc35393808"/>
      <w:r/>
      <w:bookmarkStart w:id="37" w:name="_Toc35393639"/>
      <w:r>
        <w:rPr>
          <w:rFonts w:hint="eastAsia" w:ascii="宋体" w:hAnsi="宋体" w:eastAsia="宋体" w:cs="宋体"/>
          <w:color w:val="auto"/>
          <w:sz w:val="21"/>
          <w:szCs w:val="21"/>
          <w:highlight w:val="none"/>
          <w:u w:val="single"/>
          <w:lang w:val="en-US" w:eastAsia="zh-CN"/>
        </w:rPr>
        <w:t xml:space="preserve">15380385521</w:t>
      </w:r>
      <w:bookmarkEnd w:id="32"/>
      <w:r/>
      <w:bookmarkEnd w:id="33"/>
      <w:r/>
      <w:bookmarkEnd w:id="34"/>
      <w:r/>
      <w:bookmarkEnd w:id="35"/>
      <w:r/>
      <w:bookmarkEnd w:id="36"/>
      <w:r/>
      <w:bookmarkEnd w:id="37"/>
      <w:r/>
      <w:r/>
    </w:p>
    <w:p>
      <w:pPr>
        <w:pStyle w:val="876"/>
        <w:ind w:firstLine="0"/>
        <w:spacing w:before="0" w:after="0" w:line="460" w:lineRule="exact"/>
        <w:rPr>
          <w:rFonts w:ascii="宋体" w:hAnsi="宋体" w:eastAsia="宋体"/>
          <w:bCs w:val="0"/>
          <w:color w:val="auto"/>
          <w:sz w:val="21"/>
          <w:szCs w:val="21"/>
          <w:highlight w:val="none"/>
        </w:rPr>
      </w:pPr>
      <w:r/>
      <w:bookmarkStart w:id="38" w:name="_Toc458694821"/>
      <w:r/>
      <w:bookmarkStart w:id="39" w:name="_Toc513029204"/>
      <w:r/>
      <w:bookmarkStart w:id="40" w:name="_Toc20823276"/>
      <w:r/>
      <w:bookmarkStart w:id="41" w:name="_Toc16938520"/>
      <w:r/>
      <w:r/>
    </w:p>
    <w:p>
      <w:pPr>
        <w:pStyle w:val="876"/>
        <w:ind w:firstLine="723"/>
        <w:jc w:val="center"/>
        <w:keepLines w:val="0"/>
        <w:keepNext w:val="0"/>
        <w:pageBreakBefore w:val="0"/>
        <w:spacing w:before="0" w:after="0" w:line="360" w:lineRule="auto"/>
        <w:widowControl w:val="off"/>
        <w:rPr>
          <w:rFonts w:hint="default" w:ascii="宋体" w:hAnsi="宋体" w:eastAsia="宋体"/>
          <w:bCs w:val="0"/>
          <w:color w:val="auto"/>
          <w:sz w:val="36"/>
          <w:szCs w:val="36"/>
          <w:highlight w:val="none"/>
          <w:lang w:val="en-US" w:eastAsia="zh-CN"/>
        </w:rPr>
      </w:pPr>
      <w:r>
        <w:rPr>
          <w:rFonts w:hint="eastAsia" w:ascii="宋体" w:hAnsi="宋体" w:eastAsia="宋体"/>
          <w:bCs w:val="0"/>
          <w:color w:val="auto"/>
          <w:sz w:val="36"/>
          <w:szCs w:val="36"/>
          <w:highlight w:val="none"/>
          <w:lang w:val="en-US" w:eastAsia="zh-CN"/>
        </w:rPr>
        <w:t xml:space="preserve">第二章 投标人须知</w:t>
      </w:r>
      <w:bookmarkEnd w:id="38"/>
      <w:r/>
      <w:bookmarkEnd w:id="39"/>
      <w:r/>
      <w:bookmarkEnd w:id="40"/>
      <w:r/>
      <w:bookmarkEnd w:id="41"/>
      <w:r/>
      <w:r/>
    </w:p>
    <w:p>
      <w:pPr>
        <w:pStyle w:val="876"/>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1、招标方式</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1.1 本次招标采取公开招标方式，本招标文件仅适用于</w:t>
      </w:r>
      <w:r>
        <w:rPr>
          <w:rFonts w:hint="eastAsia" w:ascii="宋体" w:hAnsi="宋体"/>
          <w:color w:val="auto"/>
          <w:highlight w:val="none"/>
          <w:lang w:val="en-US" w:eastAsia="zh-CN"/>
        </w:rPr>
        <w:t xml:space="preserve">招标公告中所述</w:t>
      </w:r>
      <w:r>
        <w:rPr>
          <w:rFonts w:hint="eastAsia" w:ascii="宋体" w:hAnsi="宋体"/>
          <w:color w:val="auto"/>
          <w:highlight w:val="none"/>
        </w:rPr>
        <w:t xml:space="preserve">项目。</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2、投标人</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876"/>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2.2合格的投标人</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2.2.1 </w:t>
      </w:r>
      <w:r>
        <w:rPr>
          <w:rFonts w:hint="eastAsia" w:ascii="宋体" w:hAnsi="宋体"/>
          <w:bCs/>
          <w:color w:val="auto"/>
          <w:szCs w:val="21"/>
          <w:highlight w:val="none"/>
        </w:rPr>
        <w:t xml:space="preserve">满足招标公告中供应商的资格条件要求的规定</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2.2.2 满足本文件实质性条款的规定。</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b/>
          <w:bCs/>
          <w:color w:val="auto"/>
          <w:szCs w:val="21"/>
          <w:highlight w:val="none"/>
        </w:rPr>
      </w:pPr>
      <w:r>
        <w:rPr>
          <w:rFonts w:hint="eastAsia" w:ascii="宋体" w:hAnsi="宋体"/>
          <w:b/>
          <w:bCs/>
          <w:color w:val="auto"/>
          <w:highlight w:val="none"/>
        </w:rPr>
        <w:t xml:space="preserve">4、投标费用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4.1 投标人应自行承担所有与参加投标有关的费用，无论投标过程中的做法和结果如何，</w:t>
      </w:r>
      <w:r>
        <w:rPr>
          <w:rFonts w:hint="eastAsia" w:ascii="宋体" w:hAnsi="宋体"/>
          <w:color w:val="auto"/>
          <w:highlight w:val="none"/>
          <w:lang w:eastAsia="zh-CN"/>
        </w:rPr>
        <w:t xml:space="preserve">扬州博远工程咨询有限公司</w:t>
      </w:r>
      <w:r>
        <w:rPr>
          <w:rFonts w:hint="eastAsia" w:ascii="宋体" w:hAnsi="宋体"/>
          <w:color w:val="auto"/>
          <w:highlight w:val="none"/>
        </w:rPr>
        <w:t xml:space="preserve">(以下简称代理机构)在任何情况下均无义务和责任承担这些费用。</w:t>
      </w:r>
      <w:r/>
    </w:p>
    <w:p>
      <w:pPr>
        <w:ind w:firstLine="420"/>
        <w:spacing w:after="156" w:line="50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4.2</w:t>
      </w:r>
      <w:r>
        <w:rPr>
          <w:rFonts w:hint="eastAsia" w:ascii="宋体" w:hAnsi="宋体" w:eastAsia="宋体" w:cs="宋体"/>
          <w:highlight w:val="none"/>
        </w:rPr>
        <w:t xml:space="preserve">本次采购由中标人在领取中标通知书前按照国家计委印发的</w:t>
      </w:r>
      <w:r>
        <w:rPr>
          <w:rFonts w:hint="eastAsia" w:ascii="宋体" w:hAnsi="宋体" w:eastAsia="宋体" w:cs="宋体"/>
          <w:color w:val="000000"/>
          <w:highlight w:val="none"/>
        </w:rPr>
        <w:t xml:space="preserve">《招标代理服务收费管理暂行办法》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计价格【2002】1980 号文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货物类（服务类）的标准</w:t>
      </w:r>
      <w:r>
        <w:rPr>
          <w:rFonts w:hint="eastAsia" w:ascii="宋体" w:hAnsi="宋体" w:cs="宋体"/>
          <w:color w:val="000000"/>
          <w:highlight w:val="none"/>
          <w:lang w:val="en-US" w:eastAsia="zh-CN"/>
        </w:rPr>
        <w:t xml:space="preserve">*9.8%</w:t>
      </w:r>
      <w:r>
        <w:rPr>
          <w:rFonts w:hint="eastAsia" w:ascii="宋体" w:hAnsi="宋体" w:eastAsia="宋体" w:cs="宋体"/>
          <w:color w:val="000000"/>
          <w:highlight w:val="none"/>
        </w:rPr>
        <w:t xml:space="preserve">一次性支付给招标代理机构代理服务费 (不满叁仟元按叁仟元计取）。</w:t>
      </w:r>
      <w:r/>
    </w:p>
    <w:p>
      <w:pPr>
        <w:ind w:firstLine="420"/>
        <w:spacing w:line="360" w:lineRule="auto"/>
        <w:rPr>
          <w:color w:val="000000"/>
          <w:highlight w:val="none"/>
        </w:rPr>
      </w:pPr>
      <w:r>
        <w:rPr>
          <w:color w:val="000000"/>
          <w:highlight w:val="none"/>
        </w:rPr>
        <w:t xml:space="preserve">（1）代理服务费以人民币支付； </w:t>
      </w:r>
      <w:r/>
    </w:p>
    <w:p>
      <w:pPr>
        <w:ind w:firstLine="420"/>
        <w:spacing w:line="360" w:lineRule="auto"/>
        <w:rPr>
          <w:color w:val="000000"/>
          <w:highlight w:val="none"/>
        </w:rPr>
      </w:pPr>
      <w:r>
        <w:rPr>
          <w:color w:val="000000"/>
          <w:highlight w:val="none"/>
        </w:rPr>
        <w:t xml:space="preserve">（2）代理服务费一次性以电汇、转账等非现金形式支付； </w:t>
      </w:r>
      <w:r/>
    </w:p>
    <w:p>
      <w:pPr>
        <w:ind w:firstLine="420"/>
        <w:spacing w:line="360" w:lineRule="auto"/>
        <w:rPr>
          <w:color w:val="auto"/>
          <w:highlight w:val="none"/>
        </w:rPr>
      </w:pPr>
      <w:r>
        <w:rPr>
          <w:color w:val="000000"/>
          <w:highlight w:val="none"/>
        </w:rPr>
        <w:t xml:space="preserve">（3）招标代理服务费不在</w:t>
      </w:r>
      <w:r>
        <w:rPr>
          <w:rFonts w:hint="eastAsia"/>
          <w:color w:val="000000"/>
          <w:highlight w:val="none"/>
        </w:rPr>
        <w:t xml:space="preserve">投标</w:t>
      </w:r>
      <w:r>
        <w:rPr>
          <w:color w:val="000000"/>
          <w:highlight w:val="none"/>
        </w:rPr>
        <w:t xml:space="preserve">报价中单列，包含在</w:t>
      </w:r>
      <w:r>
        <w:rPr>
          <w:rFonts w:hint="eastAsia"/>
          <w:color w:val="000000"/>
          <w:highlight w:val="none"/>
        </w:rPr>
        <w:t xml:space="preserve">投标</w:t>
      </w:r>
      <w:r>
        <w:rPr>
          <w:color w:val="000000"/>
          <w:highlight w:val="none"/>
        </w:rPr>
        <w:t xml:space="preserve">总价中，</w:t>
      </w:r>
      <w:r>
        <w:rPr>
          <w:highlight w:val="none"/>
        </w:rPr>
        <w:t xml:space="preserve">由中标单位支付给代理机构。</w:t>
      </w:r>
      <w:r>
        <w:rPr>
          <w:color w:val="000000"/>
          <w:highlight w:val="none"/>
        </w:rPr>
        <w:t xml:space="preserve"> </w:t>
      </w:r>
      <w:r>
        <w:rPr>
          <w:color w:val="auto"/>
          <w:highlight w:val="none"/>
        </w:rPr>
        <w:t xml:space="preserve"> </w:t>
      </w:r>
      <w:r/>
    </w:p>
    <w:p>
      <w:pPr>
        <w:ind w:firstLine="420"/>
        <w:spacing w:line="360" w:lineRule="auto"/>
        <w:rPr>
          <w:rFonts w:hint="eastAsia" w:eastAsia="宋体"/>
          <w:color w:val="auto"/>
          <w:highlight w:val="none"/>
          <w:lang w:eastAsia="zh-CN"/>
        </w:rPr>
      </w:pPr>
      <w:r>
        <w:rPr>
          <w:rFonts w:hint="eastAsia" w:ascii="宋体" w:hAnsi="宋体" w:eastAsia="宋体" w:cs="Times New Roman"/>
          <w:color w:val="auto"/>
          <w:highlight w:val="none"/>
        </w:rPr>
        <w:t xml:space="preserve">4.</w:t>
      </w:r>
      <w:r>
        <w:rPr>
          <w:rFonts w:hint="eastAsia" w:ascii="宋体" w:hAnsi="宋体" w:eastAsia="宋体" w:cs="Times New Roman"/>
          <w:color w:val="auto"/>
          <w:highlight w:val="none"/>
          <w:lang w:val="en-US" w:eastAsia="zh-CN"/>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5、招标文件的约束力</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5.1 投标人一旦参加本项目采购活动，即被认为接受了本招标文件的规定和约束。</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6、招标文件构成</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6.1 招标文件有以下部分组成：</w:t>
      </w:r>
      <w:r/>
    </w:p>
    <w:p>
      <w:pPr>
        <w:ind w:firstLine="315"/>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val="en-US" w:eastAsia="zh-CN"/>
        </w:rPr>
        <w:t xml:space="preserve">招标公告</w:t>
      </w:r>
      <w:r/>
    </w:p>
    <w:p>
      <w:pPr>
        <w:ind w:firstLine="315"/>
        <w:spacing w:line="360" w:lineRule="auto"/>
        <w:rPr>
          <w:rFonts w:ascii="宋体" w:hAnsi="宋体"/>
          <w:color w:val="auto"/>
          <w:highlight w:val="none"/>
        </w:rPr>
      </w:pPr>
      <w:r>
        <w:rPr>
          <w:rFonts w:hint="eastAsia" w:ascii="宋体" w:hAnsi="宋体"/>
          <w:color w:val="auto"/>
          <w:highlight w:val="none"/>
        </w:rPr>
        <w:t xml:space="preserve">（2）投标人须知</w:t>
      </w:r>
      <w:r/>
    </w:p>
    <w:p>
      <w:pPr>
        <w:ind w:firstLine="315"/>
        <w:spacing w:line="360" w:lineRule="auto"/>
        <w:rPr>
          <w:rFonts w:ascii="宋体" w:hAnsi="宋体"/>
          <w:color w:val="auto"/>
          <w:highlight w:val="none"/>
        </w:rPr>
      </w:pPr>
      <w:r>
        <w:rPr>
          <w:rFonts w:hint="eastAsia" w:ascii="宋体" w:hAnsi="宋体"/>
          <w:color w:val="auto"/>
          <w:highlight w:val="none"/>
        </w:rPr>
        <w:t xml:space="preserve">（3）合同文本</w:t>
      </w:r>
      <w:r/>
    </w:p>
    <w:p>
      <w:pPr>
        <w:ind w:firstLine="315"/>
        <w:spacing w:line="360" w:lineRule="auto"/>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采购</w:t>
      </w:r>
      <w:r>
        <w:rPr>
          <w:rFonts w:hint="eastAsia" w:ascii="宋体" w:hAnsi="宋体"/>
          <w:color w:val="auto"/>
          <w:highlight w:val="none"/>
        </w:rPr>
        <w:t xml:space="preserve">需求</w:t>
      </w:r>
      <w:r/>
    </w:p>
    <w:p>
      <w:pPr>
        <w:ind w:firstLine="315"/>
        <w:spacing w:line="360" w:lineRule="auto"/>
        <w:rPr>
          <w:rFonts w:ascii="宋体" w:hAnsi="宋体"/>
          <w:color w:val="auto"/>
          <w:highlight w:val="none"/>
        </w:rPr>
      </w:pPr>
      <w:r>
        <w:rPr>
          <w:rFonts w:hint="eastAsia" w:ascii="宋体" w:hAnsi="宋体"/>
          <w:color w:val="auto"/>
          <w:highlight w:val="none"/>
        </w:rPr>
        <w:t xml:space="preserve">（5）评标方法与评标标准</w:t>
      </w:r>
      <w:r/>
    </w:p>
    <w:p>
      <w:pPr>
        <w:ind w:firstLine="315"/>
        <w:spacing w:line="360" w:lineRule="auto"/>
        <w:rPr>
          <w:rFonts w:ascii="宋体" w:hAnsi="宋体"/>
          <w:color w:val="auto"/>
          <w:highlight w:val="none"/>
        </w:rPr>
      </w:pPr>
      <w:r>
        <w:rPr>
          <w:rFonts w:hint="eastAsia" w:ascii="宋体" w:hAnsi="宋体"/>
          <w:color w:val="auto"/>
          <w:highlight w:val="none"/>
        </w:rPr>
        <w:t xml:space="preserve">（6）投标文件格式</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请仔细检查招标文件是否齐全，如有缺漏请立即与代理机构联系解决。</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6.2 招标的最小单位是包。</w:t>
      </w:r>
      <w:r>
        <w:rPr>
          <w:rFonts w:hint="eastAsia" w:ascii="宋体" w:hAnsi="宋体"/>
          <w:bCs/>
          <w:color w:val="auto"/>
          <w:szCs w:val="21"/>
          <w:highlight w:val="none"/>
        </w:rPr>
        <w:t xml:space="preserve">招标</w:t>
      </w:r>
      <w:r>
        <w:rPr>
          <w:rFonts w:hint="eastAsia" w:ascii="宋体" w:hAnsi="宋体"/>
          <w:color w:val="auto"/>
          <w:highlight w:val="none"/>
        </w:rPr>
        <w:t xml:space="preserve">服务数量及技术要求中未分包的，</w:t>
      </w:r>
      <w:r>
        <w:rPr>
          <w:rFonts w:hint="eastAsia" w:ascii="宋体" w:hAnsi="宋体"/>
          <w:bCs/>
          <w:color w:val="auto"/>
          <w:szCs w:val="21"/>
          <w:highlight w:val="none"/>
        </w:rPr>
        <w:t xml:space="preserve">供应商</w:t>
      </w:r>
      <w:r>
        <w:rPr>
          <w:rFonts w:hint="eastAsia" w:ascii="宋体" w:hAnsi="宋体"/>
          <w:color w:val="auto"/>
          <w:highlight w:val="none"/>
        </w:rPr>
        <w:t xml:space="preserve">对要求提供的服务不得部分投标；</w:t>
      </w:r>
      <w:r>
        <w:rPr>
          <w:rFonts w:hint="eastAsia" w:ascii="宋体" w:hAnsi="宋体"/>
          <w:bCs/>
          <w:color w:val="auto"/>
          <w:szCs w:val="21"/>
          <w:highlight w:val="none"/>
        </w:rPr>
        <w:t xml:space="preserve">招标</w:t>
      </w:r>
      <w:r>
        <w:rPr>
          <w:rFonts w:hint="eastAsia" w:ascii="宋体" w:hAnsi="宋体"/>
          <w:color w:val="auto"/>
          <w:highlight w:val="none"/>
        </w:rPr>
        <w:t xml:space="preserve">服务数量及技术要求中已经分包的，应当以包为单位投标。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w:t>
      </w:r>
      <w:r>
        <w:rPr>
          <w:rFonts w:hint="eastAsia" w:ascii="宋体" w:hAnsi="宋体"/>
          <w:color w:val="auto"/>
          <w:highlight w:val="none"/>
          <w:lang w:val="en-US" w:eastAsia="zh-CN"/>
        </w:rPr>
        <w:t xml:space="preserve">3</w:t>
      </w:r>
      <w:r>
        <w:rPr>
          <w:rFonts w:hint="eastAsia" w:ascii="宋体" w:hAnsi="宋体"/>
          <w:color w:val="auto"/>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招标文件的澄清</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7.1 任何要求对招标文件进行澄清的投标人，</w:t>
      </w:r>
      <w:r>
        <w:rPr>
          <w:rFonts w:hint="eastAsia" w:ascii="宋体" w:hAnsi="宋体"/>
          <w:bCs/>
          <w:color w:val="auto"/>
          <w:szCs w:val="21"/>
          <w:highlight w:val="none"/>
        </w:rPr>
        <w:t xml:space="preserve">应在投标截止日期的十日前按招标公告中的通讯地址，以书面形式通知代理机构。</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8</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招标文件的修改</w:t>
      </w:r>
      <w:r/>
    </w:p>
    <w:p>
      <w:pPr>
        <w:ind w:firstLine="420"/>
        <w:spacing w:line="360" w:lineRule="auto"/>
        <w:rPr>
          <w:rFonts w:hint="eastAsia" w:ascii="宋体" w:hAnsi="宋体"/>
          <w:bCs/>
          <w:color w:val="auto"/>
          <w:szCs w:val="21"/>
          <w:highlight w:val="none"/>
        </w:rPr>
      </w:pPr>
      <w:r>
        <w:rPr>
          <w:rFonts w:hint="eastAsia" w:ascii="宋体" w:hAnsi="宋体"/>
          <w:color w:val="auto"/>
          <w:highlight w:val="none"/>
        </w:rPr>
        <w:t xml:space="preserve">8.1 </w:t>
      </w:r>
      <w:r>
        <w:rPr>
          <w:rFonts w:hint="eastAsia" w:ascii="宋体" w:hAnsi="宋体"/>
          <w:bCs/>
          <w:color w:val="auto"/>
          <w:szCs w:val="21"/>
          <w:highlight w:val="none"/>
        </w:rPr>
        <w:t xml:space="preserve">在投标截止时间前，代理机构可以对招标文件进行修改。</w:t>
      </w:r>
      <w:r/>
    </w:p>
    <w:p>
      <w:pPr>
        <w:ind w:firstLine="420"/>
        <w:spacing w:line="360" w:lineRule="auto"/>
        <w:rPr>
          <w:rFonts w:hint="eastAsia"/>
          <w:color w:val="auto"/>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8.3招标文件的修改将在“仪征市政府采购网”、“扬州市政府采购网”、“</w:t>
      </w:r>
      <w:r>
        <w:rPr>
          <w:rFonts w:hint="eastAsia" w:ascii="宋体" w:hAnsi="宋体"/>
          <w:color w:val="auto"/>
          <w:highlight w:val="none"/>
          <w:lang w:eastAsia="zh-CN"/>
        </w:rPr>
        <w:t xml:space="preserve">江苏政府采购网</w:t>
      </w:r>
      <w:r>
        <w:rPr>
          <w:rFonts w:hint="eastAsia" w:ascii="宋体" w:hAnsi="宋体"/>
          <w:color w:val="auto"/>
          <w:highlight w:val="none"/>
        </w:rPr>
        <w:t xml:space="preserve">”</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中国政府采购网</w:t>
      </w:r>
      <w:r>
        <w:rPr>
          <w:rFonts w:hint="eastAsia" w:ascii="宋体" w:hAnsi="宋体"/>
          <w:color w:val="auto"/>
          <w:highlight w:val="none"/>
          <w:lang w:eastAsia="zh-CN"/>
        </w:rPr>
        <w:t xml:space="preserve">”</w:t>
      </w:r>
      <w:r>
        <w:rPr>
          <w:rFonts w:hint="eastAsia" w:ascii="宋体" w:hAnsi="宋体"/>
          <w:color w:val="auto"/>
          <w:highlight w:val="none"/>
        </w:rPr>
        <w:t xml:space="preserve">公布，补充文件将作为招标文件的组成部分，并对投标人具有约束力。</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9、投标文件的语言、度量衡单位</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9.2 除技术性能另有规定外，投标文件所使用的度量衡单位，均须采用国家法定计量单位。</w:t>
      </w:r>
      <w:r/>
    </w:p>
    <w:p>
      <w:pPr>
        <w:pStyle w:val="876"/>
        <w:numPr>
          <w:ilvl w:val="0"/>
          <w:numId w:val="2"/>
        </w:numPr>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投标文件构成</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11、证明投标人资格及符合招标文件规定的文件</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11.1 投标人应按照法律、法规、规章和规范性文件以及招标文件要求提交证明文件，证明其及投标标的符合招标文件规定。</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11.2招标文件对证明文件无明确形式要求的，证明文件可以以文字资料、图纸和数据等形式提交。</w:t>
      </w:r>
      <w:r/>
    </w:p>
    <w:p>
      <w:pPr>
        <w:pStyle w:val="876"/>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w:t>
      </w:r>
      <w:r>
        <w:rPr>
          <w:rFonts w:hint="eastAsia" w:ascii="宋体" w:hAnsi="宋体" w:eastAsia="宋体"/>
          <w:color w:val="auto"/>
          <w:sz w:val="21"/>
          <w:szCs w:val="21"/>
          <w:highlight w:val="none"/>
          <w:lang w:val="en-US" w:eastAsia="zh-CN"/>
        </w:rPr>
        <w:t xml:space="preserve">投标</w:t>
      </w:r>
      <w:r>
        <w:rPr>
          <w:rFonts w:hint="eastAsia" w:ascii="宋体" w:hAnsi="宋体" w:eastAsia="宋体"/>
          <w:color w:val="auto"/>
          <w:sz w:val="21"/>
          <w:szCs w:val="21"/>
          <w:highlight w:val="none"/>
        </w:rPr>
        <w:t xml:space="preserve">分项报价表</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12.1 投</w:t>
      </w:r>
      <w:bookmarkStart w:id="42" w:name="_Hlt26954840"/>
      <w:r/>
      <w:bookmarkEnd w:id="42"/>
      <w:r>
        <w:rPr>
          <w:rFonts w:hint="eastAsia" w:ascii="宋体" w:hAnsi="宋体" w:eastAsia="宋体" w:cs="Times New Roman"/>
          <w:color w:val="auto"/>
          <w:highlight w:val="none"/>
        </w:rPr>
        <w:t xml:space="preserve">标人应按照招标文件规定格式填报投标分项报价表</w:t>
      </w:r>
      <w:bookmarkStart w:id="43" w:name="_Hlt26670399"/>
      <w:r/>
      <w:bookmarkEnd w:id="43"/>
      <w:r>
        <w:rPr>
          <w:rFonts w:hint="eastAsia" w:ascii="宋体" w:hAnsi="宋体" w:eastAsia="宋体" w:cs="Times New Roman"/>
          <w:color w:val="auto"/>
          <w:highlight w:val="none"/>
        </w:rPr>
        <w:t xml:space="preserve">。</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12.2投标货币。投标文件中的单价和总价无特殊规定的采用人民币报价，以元为单位标注。招标文件中另有规定的按规定执行。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13、技术要求响应及偏离表、商务要求响应及偏离表</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13.1 投标人需对招标文件中的技术要求与商务要求逐项作出响应或偏离，并说明原因。</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13.2 投标人可在投标文件中提供认为需要的其他技术文件或说明。</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14、投标函和开标一览表</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14.1 投标人应按照招标文件中提供的格式完整、正确填写投标函、开标一览表。</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、投标有效期</w:t>
      </w:r>
      <w:r/>
    </w:p>
    <w:p>
      <w:pPr>
        <w:ind w:firstLine="420"/>
        <w:spacing w:line="360" w:lineRule="auto"/>
        <w:rPr>
          <w:rFonts w:ascii="宋体" w:hAnsi="宋体"/>
          <w:bCs/>
          <w:color w:val="auto"/>
          <w:szCs w:val="21"/>
          <w:highlight w:val="none"/>
        </w:rPr>
      </w:pPr>
      <w:r/>
      <w:bookmarkStart w:id="44" w:name="_Toc20823297"/>
      <w:r/>
      <w:bookmarkStart w:id="45" w:name="_Toc16938541"/>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.1 投标有效期为招标代理机构规定的开标之日后</w:t>
      </w:r>
      <w:r>
        <w:rPr>
          <w:rFonts w:hint="eastAsia" w:ascii="宋体" w:hAnsi="宋体"/>
          <w:b/>
          <w:bCs w:val="0"/>
          <w:color w:val="auto"/>
          <w:szCs w:val="21"/>
          <w:highlight w:val="none"/>
          <w:u w:val="single"/>
        </w:rPr>
        <w:t xml:space="preserve">六十（60）天</w:t>
      </w:r>
      <w:r>
        <w:rPr>
          <w:rFonts w:hint="eastAsia" w:ascii="宋体" w:hAnsi="宋体"/>
          <w:bCs/>
          <w:color w:val="auto"/>
          <w:szCs w:val="21"/>
          <w:highlight w:val="none"/>
        </w:rPr>
        <w:t xml:space="preserve">。投标有效期比规定短的将被视为未实质性响应招标文件而予以拒绝。</w:t>
      </w:r>
      <w:r/>
    </w:p>
    <w:p>
      <w:pPr>
        <w:pStyle w:val="876"/>
        <w:ind w:firstLine="422"/>
        <w:spacing w:before="0" w:after="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16、投标有效期的延长</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w:t>
      </w:r>
      <w:r>
        <w:rPr>
          <w:rFonts w:hint="eastAsia" w:ascii="宋体" w:hAnsi="宋体" w:eastAsia="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、投标文件</w:t>
      </w:r>
      <w:bookmarkEnd w:id="44"/>
      <w:r/>
      <w:bookmarkEnd w:id="45"/>
      <w:r>
        <w:rPr>
          <w:rFonts w:hint="eastAsia" w:ascii="宋体" w:hAnsi="宋体" w:eastAsia="宋体"/>
          <w:color w:val="auto"/>
          <w:sz w:val="21"/>
          <w:szCs w:val="21"/>
          <w:highlight w:val="none"/>
        </w:rPr>
        <w:t xml:space="preserve">的递交</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7</w:t>
      </w:r>
      <w:r>
        <w:rPr>
          <w:rFonts w:hint="eastAsia" w:ascii="宋体" w:hAnsi="宋体"/>
          <w:color w:val="auto"/>
          <w:highlight w:val="none"/>
        </w:rPr>
        <w:t xml:space="preserve">.1 电子投标文件的递交</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投标人应当按照《操作手册》规定，在投标截止时间前制作并上传电子投标文件。</w:t>
      </w:r>
      <w:bookmarkStart w:id="46" w:name="_Toc16938542"/>
      <w:r/>
      <w:bookmarkStart w:id="47" w:name="_Toc20823298"/>
      <w:r/>
      <w:r/>
    </w:p>
    <w:p>
      <w:pPr>
        <w:pStyle w:val="931"/>
        <w:ind w:firstLine="422"/>
        <w:rPr>
          <w:rFonts w:hint="eastAsia" w:ascii="宋体" w:hAnsi="宋体"/>
          <w:bCs/>
          <w:color w:val="auto"/>
          <w:sz w:val="24"/>
          <w:highlight w:val="none"/>
        </w:rPr>
      </w:pPr>
      <w:r>
        <w:rPr>
          <w:rFonts w:hint="eastAsia" w:ascii="宋体" w:hAnsi="宋体"/>
          <w:b/>
          <w:bCs/>
          <w:color w:val="auto"/>
          <w:highlight w:val="none"/>
        </w:rPr>
        <w:t xml:space="preserve">1</w:t>
      </w:r>
      <w:r>
        <w:rPr>
          <w:rFonts w:hint="eastAsia" w:ascii="宋体" w:hAnsi="宋体"/>
          <w:b/>
          <w:bCs/>
          <w:color w:val="auto"/>
          <w:highlight w:val="none"/>
          <w:lang w:val="en-US" w:eastAsia="zh-CN"/>
        </w:rPr>
        <w:t xml:space="preserve">8</w:t>
      </w:r>
      <w:r>
        <w:rPr>
          <w:rFonts w:hint="eastAsia" w:ascii="宋体" w:hAnsi="宋体"/>
          <w:b/>
          <w:bCs/>
          <w:color w:val="auto"/>
          <w:highlight w:val="none"/>
        </w:rPr>
        <w:t xml:space="preserve">、投标截止日期</w:t>
      </w:r>
      <w:bookmarkEnd w:id="46"/>
      <w:r/>
      <w:bookmarkEnd w:id="47"/>
      <w:r/>
      <w:r/>
    </w:p>
    <w:p>
      <w:pPr>
        <w:ind w:firstLine="420"/>
        <w:spacing w:line="500" w:lineRule="exact"/>
        <w:rPr>
          <w:rFonts w:hint="eastAsia" w:ascii="宋体" w:hAnsi="宋体"/>
          <w:bCs/>
          <w:i/>
          <w:color w:val="auto"/>
          <w:szCs w:val="21"/>
          <w:highlight w:val="none"/>
          <w:u w:val="single"/>
        </w:rPr>
      </w:pPr>
      <w:r>
        <w:rPr>
          <w:rFonts w:hint="eastAsia" w:ascii="宋体" w:hAnsi="宋体"/>
          <w:i/>
          <w:color w:val="auto"/>
          <w:szCs w:val="21"/>
          <w:highlight w:val="none"/>
          <w:u w:val="single"/>
        </w:rPr>
        <w:t xml:space="preserve">18.1</w:t>
      </w:r>
      <w:r>
        <w:rPr>
          <w:rFonts w:hint="eastAsia" w:ascii="宋体" w:hAnsi="宋体"/>
          <w:bCs/>
          <w:i/>
          <w:color w:val="auto"/>
          <w:szCs w:val="21"/>
          <w:highlight w:val="none"/>
          <w:u w:val="single"/>
        </w:rPr>
        <w:t xml:space="preserve"> </w:t>
      </w:r>
      <w:r>
        <w:rPr>
          <w:rFonts w:hint="eastAsia" w:ascii="宋体" w:hAnsi="宋体"/>
          <w:bCs/>
          <w:i/>
          <w:iCs/>
          <w:color w:val="auto"/>
          <w:szCs w:val="21"/>
          <w:highlight w:val="none"/>
          <w:u w:val="single"/>
        </w:rPr>
        <w:t xml:space="preserve">投标人上传电子投标文件的时间不得迟于招标公告中规定的投标截止时间。</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876"/>
        <w:ind w:firstLine="422"/>
        <w:spacing w:before="0" w:after="0" w:line="360" w:lineRule="auto"/>
        <w:rPr>
          <w:rFonts w:hint="eastAsia" w:ascii="宋体" w:hAnsi="宋体" w:eastAsia="宋体"/>
          <w:color w:val="auto"/>
          <w:sz w:val="21"/>
          <w:szCs w:val="21"/>
          <w:highlight w:val="none"/>
        </w:rPr>
      </w:pPr>
      <w:r/>
      <w:bookmarkStart w:id="48" w:name="_Toc16938543"/>
      <w:r/>
      <w:bookmarkStart w:id="49" w:name="_Toc20823299"/>
      <w:r>
        <w:rPr>
          <w:rFonts w:hint="eastAsia" w:ascii="宋体" w:hAnsi="宋体" w:eastAsia="宋体"/>
          <w:color w:val="auto"/>
          <w:sz w:val="21"/>
          <w:szCs w:val="21"/>
          <w:highlight w:val="none"/>
        </w:rPr>
        <w:t xml:space="preserve">19、投标文件</w:t>
      </w:r>
      <w:bookmarkEnd w:id="48"/>
      <w:r/>
      <w:bookmarkEnd w:id="49"/>
      <w:r>
        <w:rPr>
          <w:rFonts w:hint="eastAsia" w:ascii="宋体" w:hAnsi="宋体" w:eastAsia="宋体"/>
          <w:color w:val="auto"/>
          <w:sz w:val="21"/>
          <w:szCs w:val="21"/>
          <w:highlight w:val="none"/>
        </w:rPr>
        <w:t xml:space="preserve">的拒收</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19.1代理机构拒绝接收在其规定的投标截止时间后上传的任何投标文件。</w:t>
      </w:r>
      <w:r/>
    </w:p>
    <w:p>
      <w:pPr>
        <w:pStyle w:val="876"/>
        <w:ind w:firstLine="422"/>
        <w:spacing w:before="0" w:after="0" w:line="360" w:lineRule="auto"/>
        <w:rPr>
          <w:rFonts w:hint="eastAsia" w:ascii="宋体" w:hAnsi="宋体" w:eastAsia="宋体"/>
          <w:color w:val="auto"/>
          <w:sz w:val="21"/>
          <w:szCs w:val="21"/>
          <w:highlight w:val="none"/>
        </w:rPr>
      </w:pPr>
      <w:r/>
      <w:bookmarkStart w:id="50" w:name="_Toc20823300"/>
      <w:r/>
      <w:bookmarkStart w:id="51" w:name="_Toc16938544"/>
      <w:r>
        <w:rPr>
          <w:rFonts w:hint="eastAsia" w:ascii="宋体" w:hAnsi="宋体" w:eastAsia="宋体"/>
          <w:color w:val="auto"/>
          <w:sz w:val="21"/>
          <w:szCs w:val="21"/>
          <w:highlight w:val="none"/>
        </w:rPr>
        <w:t xml:space="preserve">20、投标文件的撤回和修改</w:t>
      </w:r>
      <w:bookmarkEnd w:id="50"/>
      <w:r/>
      <w:bookmarkEnd w:id="51"/>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20.1 投标文件的撤回</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20.1.1 电子投标文件的撤回</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投标人可在投标截止时间前，撤回其电子投标文件，具体操作方法见《操作手册》。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20.1.2 投标人撤回电子投标文件，则认为其不再参与本项目投标活动。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20.2 投标文件的修改</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投标人可在投标截止时间前，对其电子投标文件进行修改，具体操作方法见《操作手册》。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20.3 在投标截止时间之后，投标人不得对其电子投标文件作任何修改。</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20.4 在投标截止时间至招标文件中规定的投标有效期满之间的这段时间内，投标人不得撤回其投标。</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21.2开标仪式由</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组织。苏采云系统将自动对项目进行开标，并宣布各投标人名称和投标价格。</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21.3投标人在开标过程中涉及到的投标文件解密、开标结果确认等工作，应按照《操作手册》规定执行。</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21.4投标人如果对开标过程和开标记录有疑义，应当根据《操作手册》规定提出，如苏采云系统中《开标记录表》宣布后5分钟内未提出的，视同认可开标结果。</w:t>
      </w:r>
      <w:r/>
    </w:p>
    <w:p>
      <w:pPr>
        <w:pStyle w:val="876"/>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
          <w:bCs/>
          <w:color w:val="auto"/>
          <w:highlight w:val="none"/>
        </w:rPr>
        <w:t xml:space="preserve">  </w:t>
      </w:r>
      <w:r>
        <w:rPr>
          <w:rFonts w:hint="eastAsia" w:ascii="宋体" w:hAnsi="宋体"/>
          <w:color w:val="auto"/>
          <w:highlight w:val="none"/>
        </w:rPr>
        <w:t xml:space="preserve">  </w:t>
      </w:r>
      <w:r>
        <w:rPr>
          <w:rFonts w:hint="eastAsia" w:ascii="宋体" w:hAnsi="宋体"/>
          <w:bCs/>
          <w:color w:val="auto"/>
          <w:szCs w:val="21"/>
          <w:highlight w:val="none"/>
        </w:rPr>
        <w:t xml:space="preserve">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color w:val="auto"/>
          <w:highlight w:val="none"/>
        </w:rPr>
      </w:pPr>
      <w:r>
        <w:rPr>
          <w:rFonts w:hint="eastAsia" w:ascii="宋体" w:hAnsi="宋体"/>
          <w:bCs/>
          <w:color w:val="auto"/>
          <w:szCs w:val="21"/>
          <w:highlight w:val="none"/>
        </w:rPr>
        <w:t xml:space="preserve">    22.3评委会独立工作，负责评审所有投标文件并确定中标候选人。</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23.1凡是与审查、澄清、评价和比较投标的有关资料以及授标建议等，采购人、评委、</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23.3 </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和评标委员会不向未中标的投标人解释未中标原因，也不公布评标过程中的相关细节。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23.4 采用综合评分法的项目，未中标的投标人可于中标结果公告期限届满之日起通过苏采云系统查看自己的评审得分及排序情况。</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24、投标</w:t>
      </w:r>
      <w:r>
        <w:rPr>
          <w:rFonts w:hint="eastAsia" w:ascii="宋体" w:hAnsi="宋体" w:eastAsia="宋体"/>
          <w:color w:val="auto"/>
          <w:sz w:val="21"/>
          <w:szCs w:val="21"/>
          <w:highlight w:val="none"/>
          <w:lang w:val="en-US" w:eastAsia="zh-CN"/>
        </w:rPr>
        <w:t xml:space="preserve">文件</w:t>
      </w:r>
      <w:r>
        <w:rPr>
          <w:rFonts w:hint="eastAsia" w:ascii="宋体" w:hAnsi="宋体" w:eastAsia="宋体"/>
          <w:color w:val="auto"/>
          <w:sz w:val="21"/>
          <w:szCs w:val="21"/>
          <w:highlight w:val="none"/>
        </w:rPr>
        <w:t xml:space="preserve">的澄清</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24.1评标期间，评委会对投标文件中含义不明确、同类问题表述不一致或者有明显文字和计算错误的内容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bCs/>
          <w:color w:val="auto"/>
          <w:szCs w:val="21"/>
          <w:highlight w:val="none"/>
        </w:rPr>
        <w:t xml:space="preserve">24.3 接到评委会澄清、说明和补正要求的投标人如未按规定做出澄清、说明和补正，其风险由投标人自行承担。</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25.</w:t>
      </w:r>
      <w:r>
        <w:rPr>
          <w:rFonts w:hint="eastAsia" w:ascii="宋体" w:hAnsi="宋体"/>
          <w:color w:val="auto"/>
          <w:highlight w:val="none"/>
          <w:lang w:val="en-US" w:eastAsia="zh-CN"/>
        </w:rPr>
        <w:t xml:space="preserve">6</w:t>
      </w:r>
      <w:r>
        <w:rPr>
          <w:rFonts w:hint="eastAsia" w:ascii="宋体" w:hAnsi="宋体"/>
          <w:color w:val="auto"/>
          <w:highlight w:val="none"/>
        </w:rPr>
        <w:t xml:space="preserve"> 投标人在开、评标全过程中应保持通讯畅通，及时登录苏采云系统查阅、答复相关信息，并安排专人与</w:t>
      </w:r>
      <w:r>
        <w:rPr>
          <w:rFonts w:hint="eastAsia" w:ascii="宋体" w:hAnsi="宋体"/>
          <w:color w:val="auto"/>
          <w:highlight w:val="none"/>
          <w:lang w:val="en-US" w:eastAsia="zh-CN"/>
        </w:rPr>
        <w:t xml:space="preserve">代理机构</w:t>
      </w:r>
      <w:r>
        <w:rPr>
          <w:rFonts w:hint="eastAsia" w:ascii="宋体" w:hAnsi="宋体"/>
          <w:color w:val="auto"/>
          <w:highlight w:val="none"/>
        </w:rPr>
        <w:t xml:space="preserve">及评标委员会联系。</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26、无效投标条款和废标条款</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26.1无效投标条款</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26.1.1 投标人在苏采云系统规定的时间内未成功解密电子投标文件的。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26.1.2 投标人未按照招标文件要求上传电子投标文件的。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26.1.3同一投标人提交两个（含两个）以上不同的投标报价的。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26.1.4投标人不具备招标文件中规定资格要求的。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26.1.5投标人的报价超过了采购预算或最高限价的。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26.1.6未通过符合性审查的。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26.1.7不符合招标文件中规定的其他实质性要求和条件的</w:t>
      </w:r>
      <w:r>
        <w:rPr>
          <w:rFonts w:hint="eastAsia" w:ascii="宋体" w:hAnsi="宋体" w:eastAsia="宋体"/>
          <w:b w:val="0"/>
          <w:bCs w:val="0"/>
          <w:i/>
          <w:iCs/>
          <w:color w:val="auto"/>
          <w:sz w:val="21"/>
          <w:szCs w:val="21"/>
          <w:highlight w:val="none"/>
          <w:u w:val="single"/>
        </w:rPr>
        <w:t xml:space="preserve">（本招标文件中斜体且有下划线部分为实质性要求和条件）。</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被</w:t>
      </w:r>
      <w:r>
        <w:rPr>
          <w:rFonts w:hint="eastAsia" w:ascii="宋体" w:hAnsi="宋体" w:eastAsia="宋体"/>
          <w:b w:val="0"/>
          <w:bCs w:val="0"/>
          <w:color w:val="auto"/>
          <w:sz w:val="21"/>
          <w:szCs w:val="21"/>
          <w:highlight w:val="none"/>
        </w:rPr>
        <w:t xml:space="preserve">“中国政府采购网"(www.ccgp.gov.cn)</w:t>
      </w:r>
      <w:r>
        <w:rPr>
          <w:rFonts w:hint="eastAsia" w:ascii="宋体" w:hAnsi="宋体" w:eastAsia="宋体"/>
          <w:b w:val="0"/>
          <w:bCs w:val="0"/>
          <w:color w:val="auto"/>
          <w:sz w:val="21"/>
          <w:szCs w:val="21"/>
          <w:highlight w:val="none"/>
          <w:lang w:val="en-US" w:eastAsia="zh-CN"/>
        </w:rPr>
        <w:t xml:space="preserve">列入政府采购严重失信行为记录名单，</w:t>
      </w:r>
      <w:r>
        <w:rPr>
          <w:rFonts w:hint="eastAsia" w:ascii="宋体" w:hAnsi="宋体" w:eastAsia="宋体"/>
          <w:b w:val="0"/>
          <w:bCs w:val="0"/>
          <w:color w:val="auto"/>
          <w:sz w:val="21"/>
          <w:szCs w:val="21"/>
          <w:highlight w:val="none"/>
        </w:rPr>
        <w:t xml:space="preserve">或查询“信用中国”网站后发现投标人存在其他不符合《中华人民共和国政府采购法》第二十二条规定条件的信用记录。</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26.1.9  投标文件含有采购人不能接受的附加条件的。</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异常低价投标</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1投标报价低于全部通过符合性审查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50</w:t>
      </w:r>
      <w:r>
        <w:rPr>
          <w:rFonts w:hint="eastAsia" w:ascii="宋体" w:hAnsi="宋体" w:eastAsia="宋体"/>
          <w:b/>
          <w:bCs/>
          <w:color w:val="ff0000"/>
          <w:sz w:val="21"/>
          <w:szCs w:val="21"/>
          <w:highlight w:val="none"/>
        </w:rPr>
        <w:t xml:space="preserve">%的，即投标报价&lt;全部通过符合性审查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50</w:t>
      </w:r>
      <w:r>
        <w:rPr>
          <w:rFonts w:hint="eastAsia" w:ascii="宋体" w:hAnsi="宋体" w:eastAsia="宋体"/>
          <w:b/>
          <w:bCs/>
          <w:color w:val="ff0000"/>
          <w:sz w:val="21"/>
          <w:szCs w:val="21"/>
          <w:highlight w:val="none"/>
        </w:rPr>
        <w:t xml:space="preserve">%；</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2投标报价低于通过符合性审查的次低报价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50</w:t>
      </w:r>
      <w:r>
        <w:rPr>
          <w:rFonts w:hint="eastAsia" w:ascii="宋体" w:hAnsi="宋体" w:eastAsia="宋体"/>
          <w:b/>
          <w:bCs/>
          <w:color w:val="ff0000"/>
          <w:sz w:val="21"/>
          <w:szCs w:val="21"/>
          <w:highlight w:val="none"/>
        </w:rPr>
        <w:t xml:space="preserve">%的，即投标报价&lt;通过符合性审查的次低报价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50</w:t>
      </w:r>
      <w:r>
        <w:rPr>
          <w:rFonts w:hint="eastAsia" w:ascii="宋体" w:hAnsi="宋体" w:eastAsia="宋体"/>
          <w:b/>
          <w:bCs/>
          <w:color w:val="ff0000"/>
          <w:sz w:val="21"/>
          <w:szCs w:val="21"/>
          <w:highlight w:val="none"/>
        </w:rPr>
        <w:t xml:space="preserve">%；</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投标报价低于采购项目最高限价</w:t>
      </w:r>
      <w:r>
        <w:rPr>
          <w:rFonts w:hint="eastAsia" w:ascii="宋体" w:hAnsi="宋体" w:eastAsia="宋体"/>
          <w:b/>
          <w:bCs/>
          <w:color w:val="ff0000"/>
          <w:sz w:val="21"/>
          <w:szCs w:val="21"/>
          <w:highlight w:val="none"/>
          <w:lang w:val="en-US" w:eastAsia="zh-CN"/>
        </w:rPr>
        <w:t xml:space="preserve">45</w:t>
      </w:r>
      <w:r>
        <w:rPr>
          <w:rFonts w:hint="eastAsia" w:ascii="宋体" w:hAnsi="宋体" w:eastAsia="宋体"/>
          <w:b/>
          <w:bCs/>
          <w:color w:val="ff0000"/>
          <w:sz w:val="21"/>
          <w:szCs w:val="21"/>
          <w:highlight w:val="none"/>
        </w:rPr>
        <w:t xml:space="preserve">%的，即投标报价&lt;采购项目最高限价×</w:t>
      </w:r>
      <w:r>
        <w:rPr>
          <w:rFonts w:hint="eastAsia" w:ascii="宋体" w:hAnsi="宋体" w:eastAsia="宋体"/>
          <w:b/>
          <w:bCs/>
          <w:color w:val="ff0000"/>
          <w:sz w:val="21"/>
          <w:szCs w:val="21"/>
          <w:highlight w:val="none"/>
          <w:lang w:val="en-US" w:eastAsia="zh-CN"/>
        </w:rPr>
        <w:t xml:space="preserve">45</w:t>
      </w:r>
      <w:r>
        <w:rPr>
          <w:rFonts w:hint="eastAsia" w:ascii="宋体" w:hAnsi="宋体" w:eastAsia="宋体"/>
          <w:b/>
          <w:bCs/>
          <w:color w:val="ff0000"/>
          <w:sz w:val="21"/>
          <w:szCs w:val="21"/>
          <w:highlight w:val="none"/>
        </w:rPr>
        <w:t xml:space="preserve">%；</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评审委员会基于专业判断，认为</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报价过低，有可能影响产品质量或者不能诚信履约的其他情形。</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26.1.10.5</w:t>
      </w:r>
      <w:r>
        <w:rPr>
          <w:rFonts w:hint="eastAsia" w:ascii="宋体" w:hAnsi="宋体" w:eastAsia="宋体"/>
          <w:b/>
          <w:bCs/>
          <w:color w:val="ff0000"/>
          <w:sz w:val="21"/>
          <w:szCs w:val="21"/>
          <w:highlight w:val="none"/>
        </w:rPr>
        <w:t xml:space="preserve">相关法律法规对</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报价有规定的，从其规定。</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26.1.10.6</w:t>
      </w:r>
      <w:r>
        <w:rPr>
          <w:rFonts w:hint="eastAsia" w:ascii="宋体" w:hAnsi="宋体" w:eastAsia="宋体"/>
          <w:b/>
          <w:bCs/>
          <w:color w:val="ff0000"/>
          <w:sz w:val="21"/>
          <w:szCs w:val="21"/>
          <w:highlight w:val="none"/>
        </w:rPr>
        <w:t xml:space="preserve">评审委员会启动异常低价投标审查后，属于前述第</w:t>
      </w: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1项至第</w:t>
      </w: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项情形的，应当要求相关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的合理时间一般不少于30分钟。其中，属于第</w:t>
      </w: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项情形，</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已随投标文件一并提交相关书面说明及必要的证明材料的，在评审现场可不再重复提交。</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26.1.10.7</w:t>
      </w:r>
      <w:r>
        <w:rPr>
          <w:rFonts w:hint="eastAsia" w:ascii="宋体" w:hAnsi="宋体" w:eastAsia="宋体"/>
          <w:b/>
          <w:bCs/>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不能提供书面说明、证明材料，或者提供的书面说明、证明材料不能证明其报价合理性的，评审委员会应当将其作为无效投标处理。</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26.1.10.8</w:t>
      </w:r>
      <w:r>
        <w:rPr>
          <w:rFonts w:hint="eastAsia" w:ascii="宋体" w:hAnsi="宋体" w:eastAsia="宋体"/>
          <w:b/>
          <w:bCs/>
          <w:color w:val="ff0000"/>
          <w:sz w:val="21"/>
          <w:szCs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26.1.10.9</w:t>
      </w:r>
      <w:r>
        <w:rPr>
          <w:rFonts w:hint="eastAsia" w:ascii="宋体" w:hAnsi="宋体" w:eastAsia="宋体"/>
          <w:b/>
          <w:bCs/>
          <w:color w:val="ff0000"/>
          <w:sz w:val="21"/>
          <w:szCs w:val="21"/>
          <w:highlight w:val="none"/>
        </w:rPr>
        <w:t xml:space="preserve">异常低价投标审查的启动原因、审查意见和审查结果应当在评审报告中记录，并随</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提供的相关书面说明及证明材料，以及评审委员会有关互联网浏览、查询历史一并归档。</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auto"/>
          <w:szCs w:val="21"/>
          <w:highlight w:val="none"/>
          <w:lang w:val="en-US" w:eastAsia="zh-CN"/>
        </w:rPr>
        <w:t xml:space="preserve">原件扫描件</w:t>
      </w:r>
      <w:r>
        <w:rPr>
          <w:rFonts w:hint="eastAsia" w:ascii="宋体" w:hAnsi="宋体"/>
          <w:bCs/>
          <w:color w:val="auto"/>
          <w:szCs w:val="21"/>
          <w:highlight w:val="none"/>
        </w:rPr>
        <w:t xml:space="preserve">）</w:t>
      </w:r>
      <w:r>
        <w:rPr>
          <w:rFonts w:hint="eastAsia" w:ascii="宋体" w:hAnsi="宋体"/>
          <w:bCs/>
          <w:color w:val="auto"/>
          <w:szCs w:val="21"/>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2 </w:t>
      </w:r>
      <w:r>
        <w:rPr>
          <w:rFonts w:hint="eastAsia" w:ascii="宋体" w:hAnsi="宋体"/>
          <w:bCs/>
          <w:color w:val="auto"/>
          <w:szCs w:val="21"/>
          <w:highlight w:val="none"/>
        </w:rPr>
        <w:t xml:space="preserve">投标文件未按照招标文件要求加盖</w:t>
      </w:r>
      <w:r>
        <w:rPr>
          <w:rFonts w:hint="eastAsia" w:ascii="宋体" w:hAnsi="宋体"/>
          <w:bCs/>
          <w:color w:val="auto"/>
          <w:szCs w:val="21"/>
          <w:highlight w:val="none"/>
          <w:lang w:val="en-US" w:eastAsia="zh-CN"/>
        </w:rPr>
        <w:t xml:space="preserve">CA</w:t>
      </w:r>
      <w:r>
        <w:rPr>
          <w:rFonts w:hint="eastAsia" w:ascii="宋体" w:hAnsi="宋体"/>
          <w:bCs/>
          <w:color w:val="auto"/>
          <w:szCs w:val="21"/>
          <w:highlight w:val="none"/>
        </w:rPr>
        <w:t xml:space="preserve">电子</w:t>
      </w:r>
      <w:r>
        <w:rPr>
          <w:rFonts w:hint="eastAsia" w:ascii="宋体" w:hAnsi="宋体"/>
          <w:bCs/>
          <w:color w:val="auto"/>
          <w:szCs w:val="21"/>
          <w:highlight w:val="none"/>
          <w:lang w:val="en-US" w:eastAsia="zh-CN"/>
        </w:rPr>
        <w:t xml:space="preserve">公章的</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3 </w:t>
      </w:r>
      <w:r>
        <w:rPr>
          <w:rFonts w:hint="eastAsia" w:ascii="宋体" w:hAnsi="宋体"/>
          <w:bCs/>
          <w:color w:val="auto"/>
          <w:szCs w:val="21"/>
          <w:highlight w:val="none"/>
        </w:rPr>
        <w:t xml:space="preserve">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pStyle w:val="876"/>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26.2.1符合专业条件的供应商或者对招标文件作实质响应的供应商不足三家的。</w:t>
      </w:r>
      <w:r/>
    </w:p>
    <w:p>
      <w:pPr>
        <w:pStyle w:val="876"/>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26.2.2出现影响采购公正的违法、违规行为的。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pStyle w:val="876"/>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27.1中标候选人的选取原则和数量见招标文件第五章规定。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27.3代理机构将在“仪征市政府采购网”、“扬州市政府采购网”、“</w:t>
      </w:r>
      <w:r>
        <w:rPr>
          <w:rFonts w:hint="eastAsia" w:ascii="宋体" w:hAnsi="宋体"/>
          <w:bCs/>
          <w:color w:val="auto"/>
          <w:szCs w:val="21"/>
          <w:highlight w:val="none"/>
          <w:lang w:eastAsia="zh-CN"/>
        </w:rPr>
        <w:t xml:space="preserve">江苏政府采购网</w:t>
      </w:r>
      <w:r>
        <w:rPr>
          <w:rFonts w:hint="eastAsia" w:ascii="宋体" w:hAnsi="宋体"/>
          <w:bCs/>
          <w:color w:val="auto"/>
          <w:szCs w:val="21"/>
          <w:highlight w:val="none"/>
        </w:rPr>
        <w:t xml:space="preserve">”</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2"/>
        <w:spacing w:line="360" w:lineRule="auto"/>
        <w:rPr>
          <w:rFonts w:hint="eastAsia" w:ascii="宋体" w:hAnsi="宋体" w:eastAsia="宋体" w:cs="Times New Roman"/>
          <w:b/>
          <w:bCs w:val="0"/>
          <w:color w:val="ff0000"/>
          <w:szCs w:val="21"/>
          <w:highlight w:val="none"/>
        </w:rPr>
      </w:pPr>
      <w:r>
        <w:rPr>
          <w:rFonts w:hint="eastAsia" w:ascii="宋体" w:hAnsi="宋体" w:eastAsia="宋体" w:cs="Times New Roman"/>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auto"/>
          <w:szCs w:val="21"/>
          <w:highlight w:val="none"/>
          <w:lang w:val="en-US" w:eastAsia="zh-CN"/>
        </w:rPr>
        <w:t xml:space="preserve">代理机构</w:t>
      </w:r>
      <w:r>
        <w:rPr>
          <w:rFonts w:hint="eastAsia" w:ascii="宋体" w:hAnsi="宋体"/>
          <w:bCs/>
          <w:color w:val="auto"/>
          <w:szCs w:val="21"/>
          <w:highlight w:val="none"/>
        </w:rPr>
        <w:t xml:space="preserve">或采购人提出质疑。上述应知其权益受到损害之日，是指：</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28.2.1对采购文件提出质疑的，为收到采购文件之日或者采购文件公告期限届满之日；</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28.2.2对采购过程提出质疑的，为各采购程序环节结束之日</w:t>
      </w:r>
      <w:r>
        <w:rPr>
          <w:rFonts w:hint="eastAsia" w:ascii="宋体" w:hAnsi="宋体"/>
          <w:bCs/>
          <w:color w:val="auto"/>
          <w:szCs w:val="21"/>
          <w:highlight w:val="none"/>
          <w:lang w:eastAsia="zh-CN"/>
        </w:rPr>
        <w:t xml:space="preserve">；</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28.2.3对中标或者成交结果提出质疑的，为中标或者成交结果公告期限届满之日</w:t>
      </w:r>
      <w:r>
        <w:rPr>
          <w:rFonts w:hint="eastAsia" w:ascii="宋体" w:hAnsi="宋体"/>
          <w:bCs/>
          <w:color w:val="auto"/>
          <w:szCs w:val="21"/>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w:t>
      </w:r>
      <w:r>
        <w:rPr>
          <w:rFonts w:hint="eastAsia" w:ascii="宋体" w:hAnsi="宋体"/>
          <w:bCs/>
          <w:color w:val="auto"/>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 代理机构及采购人只接收以纸质原件形式送达的质疑。</w:t>
      </w:r>
      <w:r>
        <w:rPr>
          <w:rFonts w:hint="eastAsia" w:ascii="宋体" w:hAnsi="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28.5</w:t>
      </w: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30、签订合同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签订合同后，</w:t>
      </w:r>
      <w:r>
        <w:rPr>
          <w:rFonts w:hint="eastAsia" w:ascii="宋体" w:hAnsi="宋体"/>
          <w:bCs/>
          <w:i/>
          <w:iCs/>
          <w:color w:val="auto"/>
          <w:szCs w:val="21"/>
          <w:highlight w:val="none"/>
          <w:u w:val="single"/>
        </w:rPr>
        <w:t xml:space="preserve">中标人不得将合同标的进行转包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。未经采购人同意，中标人也不得采用分包的形式履行合同，否则采购人有权终止合同。转包或分包造成采购人损失的，中标人应承担相应赔偿责任。</w:t>
      </w:r>
      <w:r/>
    </w:p>
    <w:p>
      <w:pPr>
        <w:pStyle w:val="876"/>
        <w:ind w:firstLine="422"/>
        <w:spacing w:before="0" w:after="0"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31</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其他</w:t>
      </w:r>
      <w:r/>
    </w:p>
    <w:p>
      <w:pPr>
        <w:ind w:firstLine="420"/>
        <w:jc w:val="both"/>
        <w:keepLines w:val="0"/>
        <w:keepNext w:val="0"/>
        <w:pageBreakBefore w:val="0"/>
        <w:spacing w:line="360" w:lineRule="auto"/>
        <w:widowControl w:val="off"/>
        <w:rPr>
          <w:rFonts w:hint="eastAsia"/>
          <w:color w:val="auto"/>
          <w:highlight w:val="none"/>
        </w:rPr>
      </w:pPr>
      <w:r>
        <w:rPr>
          <w:rFonts w:hint="eastAsia" w:ascii="宋体" w:hAnsi="宋体" w:eastAsia="宋体" w:cs="Times New Roman"/>
          <w:bCs/>
          <w:color w:val="auto"/>
          <w:szCs w:val="21"/>
          <w:highlight w:val="none"/>
        </w:rPr>
        <w:t xml:space="preserve">31.1</w:t>
      </w:r>
      <w:r>
        <w:rPr>
          <w:color w:val="auto"/>
          <w:highlight w:val="none"/>
        </w:rPr>
        <w:t xml:space="preserve">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rPr>
          <w:color w:val="auto"/>
          <w:highlight w:val="none"/>
        </w:rPr>
        <w:sectPr>
          <w:footnotePr/>
          <w:endnotePr/>
          <w:type w:val="nextPage"/>
          <w:pgSz w:w="11906" w:h="16838" w:orient="portrait"/>
          <w:pgMar w:top="1440" w:right="1706" w:bottom="1440" w:left="1800" w:header="851" w:footer="992" w:gutter="0"/>
          <w:cols w:num="1" w:sep="0" w:space="720" w:equalWidth="1"/>
          <w:docGrid w:linePitch="360"/>
        </w:sectPr>
      </w:pPr>
      <w:r>
        <w:rPr>
          <w:color w:val="auto"/>
          <w:highlight w:val="none"/>
        </w:rPr>
      </w:r>
      <w:r/>
    </w:p>
    <w:p>
      <w:pPr>
        <w:pStyle w:val="873"/>
        <w:jc w:val="center"/>
        <w:rPr>
          <w:rFonts w:hint="eastAsia" w:ascii="宋体" w:hAnsi="宋体" w:eastAsia="宋体"/>
          <w:color w:val="auto"/>
          <w:sz w:val="36"/>
          <w:highlight w:val="none"/>
          <w:lang w:eastAsia="zh-CN"/>
        </w:rPr>
      </w:pPr>
      <w:r/>
      <w:bookmarkStart w:id="52" w:name="_Toc501353473"/>
      <w:r/>
      <w:bookmarkStart w:id="53" w:name="_Toc22415"/>
      <w:r>
        <w:rPr>
          <w:rFonts w:hint="eastAsia" w:ascii="宋体" w:hAnsi="宋体"/>
          <w:color w:val="auto"/>
          <w:sz w:val="36"/>
          <w:highlight w:val="none"/>
        </w:rPr>
        <w:t xml:space="preserve">第三章 合同</w:t>
      </w:r>
      <w:bookmarkEnd w:id="52"/>
      <w:r/>
      <w:bookmarkEnd w:id="53"/>
      <w:r>
        <w:rPr>
          <w:rFonts w:hint="eastAsia" w:ascii="宋体" w:hAnsi="宋体"/>
          <w:color w:val="auto"/>
          <w:sz w:val="36"/>
          <w:highlight w:val="none"/>
          <w:lang w:val="en-US" w:eastAsia="zh-CN"/>
        </w:rPr>
        <w:t xml:space="preserve">文本</w:t>
      </w:r>
      <w:r/>
    </w:p>
    <w:p>
      <w:pPr>
        <w:ind w:firstLine="420"/>
        <w:spacing w:after="156" w:line="360" w:lineRule="auto"/>
        <w:rPr>
          <w:rFonts w:ascii="宋体" w:hAnsi="宋体"/>
          <w:bCs/>
          <w:color w:val="auto"/>
          <w:szCs w:val="21"/>
          <w:highlight w:val="none"/>
        </w:rPr>
      </w:pPr>
      <w:r/>
      <w:bookmarkStart w:id="54" w:name="_Hlt16619369"/>
      <w:r/>
      <w:bookmarkEnd w:id="54"/>
      <w:r>
        <w:rPr>
          <w:rFonts w:hint="eastAsia" w:ascii="宋体" w:hAnsi="宋体"/>
          <w:bCs/>
          <w:color w:val="auto"/>
          <w:szCs w:val="21"/>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87"/>
        <w:rPr>
          <w:rFonts w:hint="eastAsia" w:hAnsi="宋体"/>
          <w:color w:val="auto"/>
          <w:highlight w:val="none"/>
        </w:rPr>
      </w:pPr>
      <w:r>
        <w:rPr>
          <w:rFonts w:hint="eastAsia" w:hAnsi="宋体"/>
          <w:color w:val="auto"/>
          <w:highlight w:val="none"/>
        </w:rPr>
      </w:r>
      <w:r/>
    </w:p>
    <w:p>
      <w:pPr>
        <w:jc w:val="center"/>
        <w:spacing w:before="156" w:after="156"/>
        <w:rPr>
          <w:rFonts w:hint="eastAsia" w:ascii="宋体" w:hAnsi="宋体"/>
          <w:b/>
          <w:color w:val="auto"/>
          <w:szCs w:val="21"/>
          <w:highlight w:val="none"/>
        </w:rPr>
        <w:outlineLvl w:val="0"/>
      </w:pPr>
      <w:r/>
      <w:bookmarkStart w:id="55" w:name="_Toc25028"/>
      <w:r>
        <w:rPr>
          <w:rFonts w:hint="eastAsia" w:ascii="宋体" w:hAnsi="宋体"/>
          <w:b/>
          <w:color w:val="auto"/>
          <w:szCs w:val="21"/>
          <w:highlight w:val="none"/>
        </w:rPr>
        <w:t xml:space="preserve">政府采购合同（货物）</w:t>
      </w:r>
      <w:bookmarkEnd w:id="55"/>
      <w:r/>
      <w:r/>
    </w:p>
    <w:p>
      <w:pPr>
        <w:jc w:val="center"/>
        <w:spacing w:before="156" w:after="156"/>
        <w:rPr>
          <w:rFonts w:hint="eastAsia" w:ascii="宋体" w:hAnsi="宋体"/>
          <w:b/>
          <w:bCs/>
          <w:color w:val="auto"/>
          <w:szCs w:val="21"/>
          <w:highlight w:val="none"/>
        </w:rPr>
        <w:outlineLvl w:val="0"/>
      </w:pPr>
      <w:r>
        <w:rPr>
          <w:rFonts w:hint="eastAsia" w:ascii="宋体" w:hAnsi="宋体"/>
          <w:b/>
          <w:bCs/>
          <w:color w:val="auto"/>
          <w:szCs w:val="21"/>
          <w:highlight w:val="none"/>
        </w:rPr>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项目名称：</w:t>
      </w:r>
      <w:r>
        <w:rPr>
          <w:rFonts w:hint="eastAsia" w:ascii="宋体" w:hAnsi="宋体"/>
          <w:bCs/>
          <w:color w:val="auto"/>
          <w:szCs w:val="21"/>
          <w:highlight w:val="none"/>
          <w:u w:val="single"/>
        </w:rPr>
        <w:t xml:space="preserve">仪征市国省道干线隐患路口哨兵设备采购项目 </w:t>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编号：</w:t>
      </w:r>
      <w:r>
        <w:rPr>
          <w:rFonts w:hint="eastAsia" w:ascii="宋体" w:hAnsi="宋体"/>
          <w:bCs/>
          <w:color w:val="auto"/>
          <w:szCs w:val="21"/>
          <w:highlight w:val="none"/>
          <w:u w:val="single"/>
        </w:rPr>
        <w:t xml:space="preserve"> JSZC-321081-BYGC-G2026-0005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甲方（采购人/甲方）：</w:t>
      </w:r>
      <w:r>
        <w:rPr>
          <w:rFonts w:hint="eastAsia" w:ascii="宋体" w:hAnsi="宋体"/>
          <w:bCs/>
          <w:color w:val="auto"/>
          <w:szCs w:val="21"/>
          <w:highlight w:val="none"/>
          <w:u w:val="single"/>
        </w:rPr>
        <w:t xml:space="preserve">仪征市公安局 </w:t>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乙方（供应商/卖方）：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p>
    <w:p>
      <w:pPr>
        <w:keepLines w:val="0"/>
        <w:keepNext w:val="0"/>
        <w:pageBreakBefore w:val="0"/>
        <w:spacing w:before="120" w:after="120"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见证方：扬州博远工程咨询有限公司</w:t>
      </w:r>
      <w:r/>
    </w:p>
    <w:p>
      <w:pPr>
        <w:pStyle w:val="887"/>
        <w:ind w:firstLine="420"/>
        <w:keepLines w:val="0"/>
        <w:keepNext w:val="0"/>
        <w:pageBreakBefore w:val="0"/>
        <w:spacing w:line="500" w:lineRule="exact"/>
        <w:widowControl w:val="off"/>
        <w:rPr>
          <w:rFonts w:hint="eastAsia" w:ascii="宋体" w:hAnsi="宋体"/>
          <w:bCs/>
          <w:color w:val="auto"/>
          <w:szCs w:val="21"/>
          <w:highlight w:val="none"/>
        </w:rPr>
      </w:pPr>
      <w:r>
        <w:rPr>
          <w:rFonts w:hint="eastAsia" w:hAnsi="宋体"/>
          <w:color w:val="auto"/>
          <w:sz w:val="21"/>
          <w:highlight w:val="none"/>
        </w:rPr>
        <w:t xml:space="preserve">甲、乙双方根据</w:t>
      </w:r>
      <w:r>
        <w:rPr>
          <w:rFonts w:hint="eastAsia" w:hAnsi="宋体"/>
          <w:color w:val="auto"/>
          <w:sz w:val="21"/>
          <w:highlight w:val="none"/>
          <w:u w:val="none"/>
        </w:rPr>
        <w:t xml:space="preserve">扬州博远工程咨询有限公司</w:t>
      </w:r>
      <w:r>
        <w:rPr>
          <w:rFonts w:hint="eastAsia" w:hAnsi="宋体"/>
          <w:color w:val="auto"/>
          <w:sz w:val="21"/>
          <w:highlight w:val="none"/>
          <w:u w:val="single"/>
          <w:lang w:eastAsia="zh-CN"/>
        </w:rPr>
        <w:t xml:space="preserve"> </w:t>
      </w:r>
      <w:r>
        <w:rPr>
          <w:rFonts w:hint="default" w:hAnsi="宋体"/>
          <w:color w:val="auto"/>
          <w:sz w:val="21"/>
          <w:highlight w:val="none"/>
          <w:u w:val="single"/>
          <w:lang w:eastAsia="zh-CN"/>
        </w:rPr>
        <w:t xml:space="preserve">仪征市国省道干线隐患路口哨兵设备采购项目</w:t>
      </w:r>
      <w:r>
        <w:rPr>
          <w:rFonts w:hint="eastAsia" w:hAnsi="宋体"/>
          <w:color w:val="auto"/>
          <w:sz w:val="21"/>
          <w:highlight w:val="none"/>
        </w:rPr>
        <w:t xml:space="preserve">公开招标的结果，签署本合同。</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1、合同标的</w:t>
      </w:r>
      <w:r/>
    </w:p>
    <w:p>
      <w:pPr>
        <w:pStyle w:val="887"/>
        <w:ind w:left="0" w:firstLine="420"/>
        <w:keepLines w:val="0"/>
        <w:keepNext w:val="0"/>
        <w:pageBreakBefore w:val="0"/>
        <w:spacing w:line="500" w:lineRule="exact"/>
        <w:widowControl w:val="off"/>
        <w:rPr>
          <w:rFonts w:hint="default" w:ascii="宋体" w:hAnsi="宋体" w:eastAsia="宋体" w:cs="Times New Roman"/>
          <w:bCs/>
          <w:color w:val="auto"/>
          <w:sz w:val="21"/>
          <w:highlight w:val="none"/>
          <w:u w:val="single"/>
          <w:lang w:val="en-US" w:eastAsia="zh-CN"/>
        </w:rPr>
      </w:pPr>
      <w:r>
        <w:rPr>
          <w:rFonts w:hint="eastAsia" w:ascii="宋体" w:hAnsi="宋体" w:eastAsia="宋体" w:cs="Times New Roman"/>
          <w:bCs/>
          <w:color w:val="auto"/>
          <w:sz w:val="21"/>
          <w:highlight w:val="none"/>
        </w:rPr>
        <w:t xml:space="preserve">1.1 标的名称：</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1.2 标的质量：</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1.3 标的数量（规模）：</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1.4 履行时间（期限）：</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1.5 履行地点：</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1.6 履行方式：</w:t>
      </w:r>
      <w:r>
        <w:rPr>
          <w:rFonts w:hint="eastAsia" w:ascii="宋体" w:hAnsi="宋体" w:eastAsia="宋体" w:cs="Times New Roman"/>
          <w:bCs/>
          <w:color w:val="auto"/>
          <w:sz w:val="21"/>
          <w:highlight w:val="none"/>
          <w:u w:val="single"/>
          <w:lang w:val="en-US" w:eastAsia="zh-CN"/>
        </w:rPr>
        <w:t xml:space="preserve">                  </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1.7 包装方式：</w:t>
      </w:r>
      <w:r>
        <w:rPr>
          <w:rFonts w:hint="eastAsia" w:ascii="宋体" w:hAnsi="宋体" w:eastAsia="宋体" w:cs="Times New Roman"/>
          <w:bCs/>
          <w:color w:val="auto"/>
          <w:sz w:val="21"/>
          <w:highlight w:val="none"/>
          <w:u w:val="single"/>
          <w:lang w:val="en-US" w:eastAsia="zh-CN"/>
        </w:rPr>
        <w:t xml:space="preserve">                  </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2、合同总金额</w:t>
      </w:r>
      <w:r/>
    </w:p>
    <w:p>
      <w:pPr>
        <w:pStyle w:val="887"/>
        <w:ind w:left="0" w:firstLine="420"/>
        <w:keepLines w:val="0"/>
        <w:keepNext w:val="0"/>
        <w:pageBreakBefore w:val="0"/>
        <w:spacing w:line="500" w:lineRule="exact"/>
        <w:widowControl w:val="off"/>
        <w:rPr>
          <w:rFonts w:hint="eastAsia" w:hAnsi="宋体"/>
          <w:color w:val="auto"/>
          <w:sz w:val="21"/>
          <w:highlight w:val="none"/>
        </w:rPr>
      </w:pPr>
      <w:r>
        <w:rPr>
          <w:rFonts w:hint="eastAsia" w:hAnsi="宋体"/>
          <w:bCs/>
          <w:color w:val="auto"/>
          <w:sz w:val="21"/>
          <w:highlight w:val="none"/>
        </w:rPr>
        <w:t xml:space="preserve">2.1 本合同总金额为（大写）：</w:t>
      </w:r>
      <w:r>
        <w:rPr>
          <w:rFonts w:hint="eastAsia" w:hAnsi="宋体"/>
          <w:bCs/>
          <w:color w:val="auto"/>
          <w:sz w:val="21"/>
          <w:highlight w:val="none"/>
          <w:u w:val="single"/>
        </w:rPr>
        <w:t xml:space="preserve">          </w:t>
      </w:r>
      <w:r>
        <w:rPr>
          <w:rFonts w:hint="eastAsia" w:hAnsi="宋体"/>
          <w:bCs/>
          <w:color w:val="auto"/>
          <w:sz w:val="21"/>
          <w:highlight w:val="none"/>
          <w:u w:val="single"/>
          <w:lang w:val="en-US" w:eastAsia="zh-CN"/>
        </w:rPr>
        <w:t xml:space="preserve">      </w:t>
      </w:r>
      <w:r>
        <w:rPr>
          <w:rFonts w:hint="eastAsia" w:hAnsi="宋体"/>
          <w:bCs/>
          <w:color w:val="auto"/>
          <w:sz w:val="21"/>
          <w:highlight w:val="none"/>
          <w:u w:val="single"/>
        </w:rPr>
        <w:t xml:space="preserve">   </w:t>
      </w:r>
      <w:r>
        <w:rPr>
          <w:rFonts w:hint="eastAsia" w:hAnsi="宋体"/>
          <w:bCs/>
          <w:color w:val="auto"/>
          <w:sz w:val="21"/>
          <w:highlight w:val="none"/>
        </w:rPr>
        <w:t xml:space="preserve">元人民币（</w:t>
      </w:r>
      <w:r>
        <w:rPr>
          <w:rFonts w:hint="default" w:ascii="Arial" w:hAnsi="Arial" w:cs="Arial"/>
          <w:bCs/>
          <w:color w:val="auto"/>
          <w:sz w:val="21"/>
          <w:highlight w:val="none"/>
        </w:rPr>
        <w:t xml:space="preserve">¥</w:t>
      </w:r>
      <w:r>
        <w:rPr>
          <w:rFonts w:hint="eastAsia" w:hAnsi="宋体"/>
          <w:bCs/>
          <w:color w:val="auto"/>
          <w:sz w:val="21"/>
          <w:highlight w:val="none"/>
          <w:u w:val="single"/>
        </w:rPr>
        <w:t xml:space="preserve">          </w:t>
      </w:r>
      <w:r>
        <w:rPr>
          <w:rFonts w:hint="eastAsia" w:hAnsi="宋体"/>
          <w:bCs/>
          <w:color w:val="auto"/>
          <w:sz w:val="21"/>
          <w:highlight w:val="none"/>
        </w:rPr>
        <w:t xml:space="preserve">元）。</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3、组成本合同的有关文件</w:t>
      </w:r>
      <w:r/>
    </w:p>
    <w:p>
      <w:pPr>
        <w:pStyle w:val="887"/>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3.1乙方应按招标文件规定的时间向甲方提供使用货物(包含与货物相关的服务)的有关技术资料。</w:t>
      </w:r>
      <w:r/>
    </w:p>
    <w:p>
      <w:pPr>
        <w:pStyle w:val="887"/>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4、知识产权保证</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4.1 </w:t>
      </w:r>
      <w:r>
        <w:rPr>
          <w:rFonts w:hint="eastAsia" w:ascii="宋体" w:hAnsi="宋体"/>
          <w:bCs/>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5、产权保证</w:t>
      </w:r>
      <w:r/>
    </w:p>
    <w:p>
      <w:pPr>
        <w:pStyle w:val="887"/>
        <w:ind w:left="0" w:firstLine="420"/>
        <w:keepLines w:val="0"/>
        <w:keepNext w:val="0"/>
        <w:pageBreakBefore w:val="0"/>
        <w:spacing w:line="500" w:lineRule="exact"/>
        <w:widowControl w:val="off"/>
        <w:rPr>
          <w:rFonts w:hint="eastAsia" w:hAnsi="宋体"/>
          <w:color w:val="auto"/>
          <w:sz w:val="21"/>
          <w:highlight w:val="none"/>
        </w:rPr>
      </w:pPr>
      <w:r>
        <w:rPr>
          <w:rFonts w:hint="eastAsia" w:hAnsi="宋体"/>
          <w:color w:val="auto"/>
          <w:sz w:val="21"/>
          <w:highlight w:val="none"/>
          <w:lang w:val="en-US" w:eastAsia="zh-CN"/>
        </w:rPr>
        <w:t xml:space="preserve">5.1 </w:t>
      </w:r>
      <w:r>
        <w:rPr>
          <w:rFonts w:hint="eastAsia" w:hAnsi="宋体"/>
          <w:color w:val="auto"/>
          <w:sz w:val="21"/>
          <w:highlight w:val="none"/>
        </w:rPr>
        <w:t xml:space="preserve">乙方保证所交付的货物（包含与货物相关的服务）的所有权完全属于乙方且无任何抵押、查封等产权瑕疵。</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6、履约保证金</w:t>
      </w:r>
      <w:r/>
    </w:p>
    <w:p>
      <w:pPr>
        <w:pStyle w:val="887"/>
        <w:ind w:left="0" w:firstLine="420"/>
        <w:keepLines w:val="0"/>
        <w:keepNext w:val="0"/>
        <w:pageBreakBefore w:val="0"/>
        <w:spacing w:line="500" w:lineRule="exact"/>
        <w:widowControl w:val="off"/>
        <w:rPr>
          <w:rFonts w:hint="eastAsia" w:hAnsi="宋体"/>
          <w:bCs/>
          <w:color w:val="auto"/>
          <w:sz w:val="21"/>
          <w:szCs w:val="22"/>
          <w:highlight w:val="none"/>
          <w:u w:val="single"/>
          <w:lang w:val="en-US"/>
        </w:rPr>
      </w:pPr>
      <w:r>
        <w:rPr>
          <w:rFonts w:hint="eastAsia" w:hAnsi="宋体"/>
          <w:bCs/>
          <w:color w:val="auto"/>
          <w:sz w:val="21"/>
          <w:szCs w:val="22"/>
          <w:highlight w:val="none"/>
          <w:u w:val="single"/>
          <w:lang w:val="en-US" w:eastAsia="zh-CN"/>
        </w:rPr>
        <w:t xml:space="preserve">本项目无需缴纳履约保证金</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7、转包或分包</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eastAsia="宋体" w:cs="Times New Roman"/>
          <w:bCs/>
          <w:color w:val="auto"/>
          <w:szCs w:val="21"/>
          <w:highlight w:val="none"/>
        </w:rPr>
        <w:t xml:space="preserve">7.1 乙方不得将合同标的转</w:t>
      </w:r>
      <w:r>
        <w:rPr>
          <w:rFonts w:hint="eastAsia" w:ascii="宋体" w:hAnsi="宋体"/>
          <w:bCs/>
          <w:color w:val="auto"/>
          <w:szCs w:val="21"/>
          <w:highlight w:val="none"/>
        </w:rPr>
        <w:t xml:space="preserve">包给他人履行。</w:t>
      </w:r>
      <w:r/>
    </w:p>
    <w:p>
      <w:pPr>
        <w:ind w:left="0" w:firstLine="420"/>
        <w:keepLines w:val="0"/>
        <w:keepNext w:val="0"/>
        <w:pageBreakBefore w:val="0"/>
        <w:spacing w:line="500" w:lineRule="exact"/>
        <w:widowControl w:val="off"/>
        <w:rPr>
          <w:rFonts w:ascii="宋体" w:hAnsi="宋体"/>
          <w:bCs/>
          <w:color w:val="auto"/>
          <w:szCs w:val="21"/>
          <w:highlight w:val="none"/>
        </w:rPr>
      </w:pPr>
      <w:r>
        <w:rPr>
          <w:rFonts w:hint="eastAsia" w:ascii="宋体" w:hAnsi="宋体"/>
          <w:bCs/>
          <w:color w:val="auto"/>
          <w:szCs w:val="21"/>
          <w:highlight w:val="none"/>
        </w:rPr>
        <w:t xml:space="preserve">7.2 </w:t>
      </w:r>
      <w:r>
        <w:rPr>
          <w:rFonts w:ascii="宋体" w:hAnsi="宋体" w:cs="宋体"/>
          <w:color w:val="000000"/>
          <w:sz w:val="24"/>
          <w:highlight w:val="none"/>
        </w:rPr>
        <w:t xml:space="preserve">乙方不得将合同标的分包给他人履行。</w:t>
      </w:r>
      <w:r/>
    </w:p>
    <w:p>
      <w:pPr>
        <w:ind w:left="0" w:firstLine="420"/>
        <w:keepLines w:val="0"/>
        <w:keepNext w:val="0"/>
        <w:pageBreakBefore w:val="0"/>
        <w:spacing w:line="500" w:lineRule="exact"/>
        <w:widowControl w:val="off"/>
        <w:rPr>
          <w:rFonts w:ascii="宋体" w:hAnsi="宋体"/>
          <w:bCs/>
          <w:color w:val="auto"/>
          <w:szCs w:val="21"/>
          <w:highlight w:val="none"/>
        </w:rPr>
      </w:pPr>
      <w:r>
        <w:rPr>
          <w:rFonts w:hint="eastAsia" w:ascii="宋体" w:hAnsi="宋体"/>
          <w:bCs/>
          <w:color w:val="auto"/>
          <w:szCs w:val="21"/>
          <w:highlight w:val="none"/>
        </w:rPr>
        <w:t xml:space="preserve">7.3</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乙方如有转包或未经甲方同意的分包行为，甲方有权给予终止合同。</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8、质保期</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8.1 质保期</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年。（自交货验收合格之日起计）</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lang w:val="en-US" w:eastAsia="zh-CN"/>
        </w:rPr>
        <w:t xml:space="preserve">9</w:t>
      </w:r>
      <w:r>
        <w:rPr>
          <w:rFonts w:hint="eastAsia" w:hAnsi="宋体"/>
          <w:b/>
          <w:bCs/>
          <w:color w:val="auto"/>
          <w:sz w:val="21"/>
          <w:highlight w:val="none"/>
        </w:rPr>
        <w:t xml:space="preserve">、货款支付</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ascii="宋体" w:hAnsi="宋体"/>
          <w:bCs/>
          <w:color w:val="auto"/>
          <w:szCs w:val="21"/>
          <w:highlight w:val="none"/>
        </w:rPr>
        <w:t xml:space="preserve">10.1 </w:t>
      </w:r>
      <w:r>
        <w:rPr>
          <w:rFonts w:hint="eastAsia" w:ascii="宋体" w:hAnsi="宋体"/>
          <w:bCs/>
          <w:color w:val="auto"/>
          <w:szCs w:val="21"/>
          <w:highlight w:val="none"/>
        </w:rPr>
        <w:t xml:space="preserve">本合同项下所有款项均以人民币支付。 </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10.2 本合同项下的采购资金由甲方支付，付款前乙方向甲方开具发票。</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10.3 甲方付款方式：</w:t>
      </w:r>
      <w:r/>
    </w:p>
    <w:p>
      <w:pPr>
        <w:numPr>
          <w:ilvl w:val="0"/>
          <w:numId w:val="0"/>
        </w:numPr>
        <w:ind w:firstLine="420"/>
        <w:spacing w:after="156" w:line="360" w:lineRule="auto"/>
        <w:rPr>
          <w:rFonts w:hint="eastAsia" w:ascii="宋体" w:hAnsi="宋体"/>
          <w:bCs/>
          <w:color w:val="auto"/>
          <w:sz w:val="21"/>
          <w:szCs w:val="21"/>
          <w:highlight w:val="none"/>
          <w:u w:val="single"/>
          <w:lang w:eastAsia="zh-CN"/>
        </w:rPr>
      </w:pPr>
      <w:r>
        <w:rPr>
          <w:rFonts w:hint="eastAsia" w:ascii="宋体" w:hAnsi="宋体"/>
          <w:bCs/>
          <w:color w:val="auto"/>
          <w:sz w:val="21"/>
          <w:szCs w:val="21"/>
          <w:highlight w:val="none"/>
          <w:u w:val="none"/>
          <w:lang w:eastAsia="zh-CN"/>
        </w:rPr>
        <w:t xml:space="preserve">（</w:t>
      </w:r>
      <w:r>
        <w:rPr>
          <w:rFonts w:hint="eastAsia" w:ascii="宋体" w:hAnsi="宋体"/>
          <w:bCs/>
          <w:color w:val="auto"/>
          <w:sz w:val="21"/>
          <w:szCs w:val="21"/>
          <w:highlight w:val="none"/>
          <w:u w:val="none"/>
          <w:lang w:val="en-US" w:eastAsia="zh-CN"/>
        </w:rPr>
        <w:t xml:space="preserve">1</w:t>
      </w:r>
      <w:r>
        <w:rPr>
          <w:rFonts w:hint="eastAsia" w:ascii="宋体" w:hAnsi="宋体"/>
          <w:bCs/>
          <w:color w:val="auto"/>
          <w:sz w:val="21"/>
          <w:szCs w:val="21"/>
          <w:highlight w:val="none"/>
          <w:u w:val="none"/>
          <w:lang w:eastAsia="zh-CN"/>
        </w:rPr>
        <w:t xml:space="preserve">）</w:t>
      </w:r>
      <w:r>
        <w:rPr>
          <w:rFonts w:hint="eastAsia" w:ascii="宋体" w:hAnsi="宋体"/>
          <w:bCs/>
          <w:color w:val="auto"/>
          <w:sz w:val="21"/>
          <w:szCs w:val="21"/>
          <w:highlight w:val="none"/>
          <w:u w:val="single"/>
          <w:lang w:eastAsia="zh-CN"/>
        </w:rPr>
        <w:t xml:space="preserve">合同签订后，甲方自收到发票之日（乙方开票日期）起10个工作日内支付乙方合同金额30%的预付款；</w:t>
      </w:r>
      <w:r/>
    </w:p>
    <w:p>
      <w:pPr>
        <w:numPr>
          <w:ilvl w:val="0"/>
          <w:numId w:val="0"/>
        </w:numPr>
        <w:ind w:firstLine="420"/>
        <w:spacing w:after="156" w:line="360" w:lineRule="auto"/>
        <w:rPr>
          <w:rFonts w:hint="eastAsia" w:ascii="宋体" w:hAnsi="宋体"/>
          <w:bCs/>
          <w:color w:val="auto"/>
          <w:sz w:val="21"/>
          <w:szCs w:val="21"/>
          <w:highlight w:val="none"/>
          <w:u w:val="single"/>
          <w:lang w:eastAsia="zh-CN"/>
        </w:rPr>
      </w:pPr>
      <w:r>
        <w:rPr>
          <w:rFonts w:hint="eastAsia" w:ascii="宋体" w:hAnsi="宋体"/>
          <w:bCs/>
          <w:color w:val="auto"/>
          <w:sz w:val="21"/>
          <w:szCs w:val="21"/>
          <w:highlight w:val="none"/>
          <w:u w:val="none"/>
          <w:lang w:eastAsia="zh-CN"/>
        </w:rPr>
        <w:t xml:space="preserve">（</w:t>
      </w:r>
      <w:r>
        <w:rPr>
          <w:rFonts w:hint="eastAsia" w:ascii="宋体" w:hAnsi="宋体"/>
          <w:bCs/>
          <w:color w:val="auto"/>
          <w:sz w:val="21"/>
          <w:szCs w:val="21"/>
          <w:highlight w:val="none"/>
          <w:u w:val="none"/>
          <w:lang w:val="en-US" w:eastAsia="zh-CN"/>
        </w:rPr>
        <w:t xml:space="preserve">2</w:t>
      </w:r>
      <w:r>
        <w:rPr>
          <w:rFonts w:hint="eastAsia" w:ascii="宋体" w:hAnsi="宋体"/>
          <w:bCs/>
          <w:color w:val="auto"/>
          <w:sz w:val="21"/>
          <w:szCs w:val="21"/>
          <w:highlight w:val="none"/>
          <w:u w:val="none"/>
          <w:lang w:eastAsia="zh-CN"/>
        </w:rPr>
        <w:t xml:space="preserve">）</w:t>
      </w:r>
      <w:r>
        <w:rPr>
          <w:rFonts w:hint="eastAsia" w:ascii="宋体" w:hAnsi="宋体"/>
          <w:bCs/>
          <w:color w:val="auto"/>
          <w:sz w:val="21"/>
          <w:szCs w:val="21"/>
          <w:highlight w:val="none"/>
          <w:u w:val="single"/>
          <w:lang w:eastAsia="zh-CN"/>
        </w:rPr>
        <w:t xml:space="preserve">项目建设完毕，并实现所有数据与仪征市公安视频图像信息应用平台级联互通后，甲方自收到发票之日（乙方开票日期）起10个工作日内支付乙方合同总价的10%；</w:t>
      </w:r>
      <w:r/>
    </w:p>
    <w:p>
      <w:pPr>
        <w:numPr>
          <w:ilvl w:val="0"/>
          <w:numId w:val="0"/>
        </w:numPr>
        <w:ind w:firstLine="420"/>
        <w:spacing w:after="156" w:line="360" w:lineRule="auto"/>
        <w:rPr>
          <w:rFonts w:hint="eastAsia" w:ascii="宋体" w:hAnsi="宋体"/>
          <w:bCs/>
          <w:color w:val="auto"/>
          <w:sz w:val="21"/>
          <w:szCs w:val="21"/>
          <w:highlight w:val="none"/>
          <w:u w:val="none"/>
          <w:lang w:eastAsia="zh-CN"/>
        </w:rPr>
      </w:pPr>
      <w:r>
        <w:rPr>
          <w:rFonts w:hint="eastAsia" w:ascii="宋体" w:hAnsi="宋体"/>
          <w:bCs/>
          <w:color w:val="auto"/>
          <w:sz w:val="21"/>
          <w:szCs w:val="21"/>
          <w:highlight w:val="none"/>
          <w:u w:val="none"/>
          <w:lang w:eastAsia="zh-CN"/>
        </w:rPr>
        <w:t xml:space="preserve">（3）</w:t>
      </w:r>
      <w:r>
        <w:rPr>
          <w:rFonts w:hint="eastAsia" w:ascii="宋体" w:hAnsi="宋体"/>
          <w:bCs/>
          <w:color w:val="auto"/>
          <w:sz w:val="21"/>
          <w:szCs w:val="21"/>
          <w:highlight w:val="none"/>
          <w:u w:val="single"/>
          <w:lang w:eastAsia="zh-CN"/>
        </w:rPr>
        <w:t xml:space="preserve">项目试运行三个月，验收合格并审计结束后，甲方自收到发票之日起10个工作日内支付结算审定价的余款。</w:t>
      </w:r>
      <w:r/>
    </w:p>
    <w:p>
      <w:pPr>
        <w:pStyle w:val="887"/>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lang w:val="en-US" w:eastAsia="zh-CN"/>
        </w:rPr>
        <w:t xml:space="preserve">10</w:t>
      </w:r>
      <w:r>
        <w:rPr>
          <w:rFonts w:hint="eastAsia" w:hAnsi="宋体"/>
          <w:b/>
          <w:bCs/>
          <w:color w:val="auto"/>
          <w:sz w:val="21"/>
          <w:highlight w:val="none"/>
        </w:rPr>
        <w:t xml:space="preserve">、税费</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10.1 </w:t>
      </w:r>
      <w:r>
        <w:rPr>
          <w:rFonts w:hint="eastAsia" w:ascii="宋体" w:hAnsi="宋体"/>
          <w:bCs/>
          <w:color w:val="auto"/>
          <w:szCs w:val="21"/>
          <w:highlight w:val="none"/>
        </w:rPr>
        <w:t xml:space="preserve">本合同执行中相关的一切税费均由乙方负担。</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11</w:t>
      </w:r>
      <w:r>
        <w:rPr>
          <w:rFonts w:hint="eastAsia" w:ascii="宋体" w:hAnsi="宋体" w:eastAsia="宋体" w:cs="Times New Roman"/>
          <w:b/>
          <w:bCs/>
          <w:color w:val="auto"/>
          <w:sz w:val="21"/>
          <w:highlight w:val="none"/>
        </w:rPr>
        <w:t xml:space="preserve">、质量保修范围和保修期及售后服务</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11.1 乙方应按招标文件规定的货物性能、技术要求、质量标准向甲方提供未经使用的全新产品。</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11.2 乙方提供的货物在质量期内因货物本身的质量问题发生故障，乙方应负责免费更换。对达不到技术要求者，根据实际情况，经双方协商，可按以下办法处理：</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⑴更换：由乙方承担所发生的全部费用。</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⑵贬值处理：由甲乙双方合议定价。</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⑶退货处理：乙方应退还甲方支付的合同款，同时应承担该货物的直接费用（运输、保险、检验、货款利息及银行手续费等）。</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11.3 如在使用过程中发生质量问题，乙方在接到甲方通知后在___小时内到达甲方现场。</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11.4 在质保期内，乙方应对货物出现的质量及安全问题负责处理解决并承担一切费用。</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11.5上述的货物免费保修期为</w:t>
      </w:r>
      <w:r>
        <w:rPr>
          <w:rFonts w:hint="eastAsia" w:ascii="宋体" w:hAnsi="宋体" w:eastAsia="宋体" w:cs="Times New Roman"/>
          <w:bCs/>
          <w:color w:val="auto"/>
          <w:szCs w:val="21"/>
          <w:highlight w:val="none"/>
          <w:u w:val="single"/>
          <w:lang w:val="en-US" w:eastAsia="zh-CN"/>
        </w:rPr>
        <w:t xml:space="preserve">   </w:t>
      </w:r>
      <w:r>
        <w:rPr>
          <w:rFonts w:hint="eastAsia" w:ascii="宋体" w:hAnsi="宋体" w:eastAsia="宋体" w:cs="Times New Roman"/>
          <w:bCs/>
          <w:color w:val="auto"/>
          <w:szCs w:val="21"/>
          <w:highlight w:val="none"/>
          <w:lang w:val="en-US" w:eastAsia="zh-CN"/>
        </w:rPr>
        <w:t xml:space="preserve">年（自交货验收合格之日起计），因人为因素出现的故障不在免费保修范围内。超过保修期的机器设备，终生维修，维修时只收部件成本费。</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12</w:t>
      </w:r>
      <w:r>
        <w:rPr>
          <w:rFonts w:hint="eastAsia" w:ascii="宋体" w:hAnsi="宋体" w:eastAsia="宋体" w:cs="Times New Roman"/>
          <w:b/>
          <w:bCs/>
          <w:color w:val="auto"/>
          <w:sz w:val="21"/>
          <w:highlight w:val="none"/>
        </w:rPr>
        <w:t xml:space="preserve">、项目验收</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12.1 甲方依法组织履约验收工作。</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12.3 对于实际使用人和甲方分离的项目，甲方邀请实际使用人参与验收。</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12.4 如有必要，甲方邀请参加本项目的其他供应商或第三方专业机构及专家参与验收，相关意见将作为验收书的参考资料。</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13</w:t>
      </w:r>
      <w:r>
        <w:rPr>
          <w:rFonts w:hint="eastAsia" w:ascii="宋体" w:hAnsi="宋体" w:eastAsia="宋体" w:cs="Times New Roman"/>
          <w:b/>
          <w:bCs/>
          <w:color w:val="auto"/>
          <w:sz w:val="21"/>
          <w:highlight w:val="none"/>
        </w:rPr>
        <w:t xml:space="preserve">、货物的包装、发运及运输</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13.1 乙方应在货物发运前对其进行满足运输距离、防潮、防震、防锈和防破损装卸等要求包装，以保证货物安全运达甲方指定地点。</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13.2 使用说明书、质量检验证明书、随配附件和工具以及清单一并附于货物内。</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13.3 乙方在货物发运手续办理完毕后24小时内或货到甲方48小时前通知甲方，以准备接货。</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13.4 货物在交付甲方前发生的风险均由乙方负责。</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13.5 货物在规定的交付期限内由乙方送达甲方指定的地点视为交付，乙方同时需通知甲方货物已送达。</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14</w:t>
      </w:r>
      <w:r>
        <w:rPr>
          <w:rFonts w:hint="eastAsia" w:ascii="宋体" w:hAnsi="宋体" w:eastAsia="宋体" w:cs="Times New Roman"/>
          <w:b/>
          <w:bCs/>
          <w:color w:val="auto"/>
          <w:sz w:val="21"/>
          <w:highlight w:val="none"/>
        </w:rPr>
        <w:t xml:space="preserve">、违约责任</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14.1 甲方无正当理由拒收货物的，甲方向乙方偿付拒收货款总值</w:t>
      </w:r>
      <w:r>
        <w:rPr>
          <w:rFonts w:hint="eastAsia" w:ascii="宋体" w:hAnsi="宋体" w:eastAsia="宋体" w:cs="Times New Roman"/>
          <w:bCs/>
          <w:color w:val="auto"/>
          <w:szCs w:val="21"/>
          <w:highlight w:val="none"/>
          <w:u w:val="single"/>
          <w:lang w:val="en-US" w:eastAsia="zh-CN"/>
        </w:rPr>
        <w:t xml:space="preserve">百分之五</w:t>
      </w:r>
      <w:r>
        <w:rPr>
          <w:rFonts w:hint="eastAsia" w:ascii="宋体" w:hAnsi="宋体" w:eastAsia="宋体" w:cs="Times New Roman"/>
          <w:bCs/>
          <w:color w:val="auto"/>
          <w:szCs w:val="21"/>
          <w:highlight w:val="none"/>
          <w:lang w:val="en-US" w:eastAsia="zh-CN"/>
        </w:rPr>
        <w:t xml:space="preserve">的违约金。</w:t>
      </w:r>
      <w:r/>
    </w:p>
    <w:p>
      <w:pPr>
        <w:ind w:left="0" w:firstLine="420"/>
        <w:jc w:val="left"/>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14.2 甲方无故逾期验收和办理货款支付手续的,甲方应按逾期付款总额每日</w:t>
      </w:r>
      <w:r>
        <w:rPr>
          <w:rFonts w:hint="eastAsia" w:ascii="宋体" w:hAnsi="宋体" w:eastAsia="宋体" w:cs="Times New Roman"/>
          <w:bCs/>
          <w:color w:val="auto"/>
          <w:szCs w:val="21"/>
          <w:highlight w:val="none"/>
          <w:u w:val="single"/>
          <w:lang w:val="en-US" w:eastAsia="zh-CN"/>
        </w:rPr>
        <w:t xml:space="preserve">万分之五</w:t>
      </w:r>
      <w:r>
        <w:rPr>
          <w:rFonts w:hint="eastAsia" w:ascii="宋体" w:hAnsi="宋体" w:eastAsia="宋体" w:cs="Times New Roman"/>
          <w:bCs/>
          <w:color w:val="auto"/>
          <w:szCs w:val="21"/>
          <w:highlight w:val="none"/>
          <w:lang w:val="en-US" w:eastAsia="zh-CN"/>
        </w:rPr>
        <w:t xml:space="preserve">向乙方支付违约金。</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14.3 乙方逾期交付货物的，乙方应按逾期交货总额每日</w:t>
      </w:r>
      <w:r>
        <w:rPr>
          <w:rFonts w:hint="eastAsia" w:ascii="宋体" w:hAnsi="宋体" w:eastAsia="宋体" w:cs="Times New Roman"/>
          <w:bCs/>
          <w:color w:val="auto"/>
          <w:szCs w:val="21"/>
          <w:highlight w:val="none"/>
          <w:u w:val="single"/>
          <w:lang w:val="en-US" w:eastAsia="zh-CN"/>
        </w:rPr>
        <w:t xml:space="preserve">千分之六 </w:t>
      </w:r>
      <w:r>
        <w:rPr>
          <w:rFonts w:hint="eastAsia" w:ascii="宋体" w:hAnsi="宋体" w:eastAsia="宋体" w:cs="Times New Roman"/>
          <w:bCs/>
          <w:color w:val="auto"/>
          <w:szCs w:val="21"/>
          <w:highlight w:val="none"/>
          <w:lang w:val="en-US" w:eastAsia="zh-CN"/>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Times New Roman"/>
          <w:bCs/>
          <w:color w:val="auto"/>
          <w:szCs w:val="21"/>
          <w:highlight w:val="none"/>
          <w:u w:val="single"/>
          <w:lang w:val="en-US" w:eastAsia="zh-CN"/>
        </w:rPr>
        <w:t xml:space="preserve">5% </w:t>
      </w:r>
      <w:r>
        <w:rPr>
          <w:rFonts w:hint="eastAsia" w:ascii="宋体" w:hAnsi="宋体" w:eastAsia="宋体" w:cs="Times New Roman"/>
          <w:bCs/>
          <w:color w:val="auto"/>
          <w:szCs w:val="21"/>
          <w:highlight w:val="none"/>
          <w:lang w:val="en-US" w:eastAsia="zh-CN"/>
        </w:rPr>
        <w:t xml:space="preserve">的违约金，如造成甲方损失超过违约金的，超出部分由乙方继续承担赔偿责任。 </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15、不可抗力事件处理</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15.1 在合同有效期内，任何一方因不可抗力事件导致不能履行合同，则合同履行期可延长，其延长期与不可抗力影响期相同。</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15.2 不可抗力事件发生后，应立即通知对方，并寄送有关权威机构出具的证明。</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15.3 不可抗力事件延续120天以上，双方应通过友好协商，确定是否继续履行合同。</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16、解决争议的方法</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16.1甲乙双方因合同签订、履行而发生的一切争议，应通过友好协商解决。如协商不成由甲方住所地人民法院管辖。</w:t>
      </w:r>
      <w:r/>
    </w:p>
    <w:p>
      <w:pPr>
        <w:pStyle w:val="887"/>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hAnsi="宋体" w:cs="Times New Roman"/>
          <w:b/>
          <w:bCs/>
          <w:color w:val="auto"/>
          <w:sz w:val="21"/>
          <w:highlight w:val="none"/>
          <w:lang w:val="en-US" w:eastAsia="zh-CN"/>
        </w:rPr>
        <w:t xml:space="preserve">17</w:t>
      </w:r>
      <w:r>
        <w:rPr>
          <w:rFonts w:hint="eastAsia" w:ascii="宋体" w:hAnsi="宋体" w:eastAsia="宋体" w:cs="Times New Roman"/>
          <w:b/>
          <w:bCs/>
          <w:color w:val="auto"/>
          <w:sz w:val="21"/>
          <w:highlight w:val="none"/>
          <w:lang w:val="en-US" w:eastAsia="zh-CN"/>
        </w:rPr>
        <w:t xml:space="preserve">、合同生效及其它</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.1 合同经双方法定代表人签章并加盖单位公章，并经扬州博远工程咨询有限公司见证盖章后生效。</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.2本合同未尽事宜，遵照《民法典》有关条文执行。</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.3 本合同正本一式陆份，具有同等法律效力，甲方、乙方各执贰份，见证方及财政监管部门（仪征市财政局政府采购与部门资产管理科）各执壹份。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bl>
      <w:tblPr>
        <w:tblStyle w:val="878"/>
        <w:tblpPr w:horzAnchor="page" w:tblpX="1866" w:vertAnchor="text" w:tblpY="4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7"/>
              <w:spacing w:before="120" w:after="120" w:line="360" w:lineRule="auto"/>
              <w:rPr>
                <w:rFonts w:hint="eastAsia" w:ascii="宋体" w:hAnsi="宋体" w:eastAsia="宋体" w:cs="Times New Roman"/>
                <w:color w:val="auto"/>
                <w:sz w:val="21"/>
                <w:highlight w:val="none"/>
                <w:lang w:eastAsia="zh-CN"/>
              </w:rPr>
            </w:pPr>
            <w:r>
              <w:rPr>
                <w:rFonts w:hint="eastAsia" w:ascii="宋体" w:hAnsi="宋体" w:eastAsia="宋体" w:cs="Times New Roman"/>
                <w:color w:val="auto"/>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7"/>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7"/>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7"/>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7"/>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7"/>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7"/>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7"/>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7"/>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7"/>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日期：      年    月    日</w:t>
            </w:r>
            <w:r/>
          </w:p>
        </w:tc>
      </w:tr>
    </w:tbl>
    <w:p>
      <w:pPr>
        <w:pStyle w:val="887"/>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 </w:t>
      </w:r>
      <w:r/>
    </w:p>
    <w:p>
      <w:pPr>
        <w:pStyle w:val="887"/>
        <w:ind w:firstLine="0"/>
        <w:keepLines w:val="0"/>
        <w:keepNext w:val="0"/>
        <w:pageBreakBefore w:val="0"/>
        <w:spacing w:before="120" w:after="120" w:line="360" w:lineRule="auto"/>
        <w:widowControl w:val="off"/>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见证方：扬州博远工程咨询有限公司</w:t>
      </w:r>
      <w:r/>
    </w:p>
    <w:p>
      <w:pPr>
        <w:pStyle w:val="887"/>
        <w:ind w:firstLine="0"/>
        <w:keepLines w:val="0"/>
        <w:keepNext w:val="0"/>
        <w:pageBreakBefore w:val="0"/>
        <w:spacing w:before="120" w:after="120" w:line="360" w:lineRule="auto"/>
        <w:widowControl w:val="off"/>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日期：     年   月   日</w:t>
      </w:r>
      <w:r/>
    </w:p>
    <w:p>
      <w:pPr>
        <w:pStyle w:val="887"/>
        <w:ind w:firstLine="420"/>
        <w:spacing w:before="120" w:after="120" w:line="360" w:lineRule="auto"/>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Times New Roman"/>
          <w:color w:val="auto"/>
          <w:sz w:val="21"/>
          <w:highlight w:val="none"/>
        </w:rPr>
        <w:t xml:space="preserve">    </w:t>
      </w:r>
      <w:r/>
    </w:p>
    <w:p>
      <w:pPr>
        <w:pStyle w:val="875"/>
        <w:numPr>
          <w:ilvl w:val="0"/>
          <w:numId w:val="0"/>
        </w:numPr>
        <w:jc w:val="center"/>
        <w:rPr>
          <w:rFonts w:hint="eastAsia"/>
          <w:b/>
          <w:bCs w:val="0"/>
          <w:color w:val="auto"/>
          <w:sz w:val="36"/>
          <w:szCs w:val="24"/>
          <w:highlight w:val="none"/>
        </w:rPr>
      </w:pPr>
      <w:r/>
      <w:bookmarkStart w:id="56" w:name="_Toc32147"/>
      <w:r/>
      <w:bookmarkStart w:id="57" w:name="_Toc512692550"/>
      <w:r>
        <w:rPr>
          <w:rFonts w:hint="eastAsia" w:ascii="Times New Roman" w:hAnsi="Times New Roman" w:eastAsia="宋体" w:cs="Times New Roman"/>
          <w:b/>
          <w:bCs w:val="0"/>
          <w:color w:val="auto"/>
          <w:sz w:val="36"/>
          <w:szCs w:val="24"/>
          <w:lang w:val="en-US" w:eastAsia="zh-CN" w:bidi="ar-SA"/>
        </w:rPr>
        <w:t xml:space="preserve">第四章</w:t>
      </w:r>
      <w:r>
        <w:rPr>
          <w:rFonts w:hint="eastAsia" w:cs="Times New Roman"/>
          <w:b/>
          <w:bCs w:val="0"/>
          <w:color w:val="auto"/>
          <w:sz w:val="36"/>
          <w:szCs w:val="24"/>
          <w:lang w:val="en-US" w:eastAsia="zh-CN" w:bidi="ar-SA"/>
        </w:rPr>
        <w:t xml:space="preserve"> </w:t>
      </w:r>
      <w:r>
        <w:rPr>
          <w:rFonts w:hint="eastAsia"/>
          <w:b/>
          <w:bCs w:val="0"/>
          <w:color w:val="auto"/>
          <w:sz w:val="36"/>
          <w:szCs w:val="24"/>
          <w:highlight w:val="none"/>
        </w:rPr>
        <w:t xml:space="preserve">项目需求</w:t>
      </w:r>
      <w:r/>
    </w:p>
    <w:p>
      <w:pPr>
        <w:ind w:firstLine="480"/>
        <w:spacing w:line="360" w:lineRule="auto"/>
        <w:rPr>
          <w:rFonts w:hint="eastAsia"/>
          <w:b/>
          <w:bCs/>
          <w:color w:val="auto"/>
          <w:sz w:val="24"/>
          <w:szCs w:val="24"/>
          <w:highlight w:val="none"/>
          <w:lang w:val="en-US" w:eastAsia="zh-CN"/>
        </w:rPr>
      </w:pPr>
      <w:r>
        <w:rPr>
          <w:rFonts w:hint="eastAsia"/>
          <w:color w:val="auto"/>
          <w:sz w:val="24"/>
          <w:szCs w:val="24"/>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hint="eastAsia"/>
          <w:color w:val="auto"/>
          <w:sz w:val="24"/>
          <w:szCs w:val="24"/>
          <w:highlight w:val="none"/>
          <w:lang w:eastAsia="zh-CN"/>
        </w:rPr>
        <w:t xml:space="preserve">“</w:t>
      </w:r>
      <w:r>
        <w:rPr>
          <w:rFonts w:hint="eastAsia"/>
          <w:color w:val="auto"/>
          <w:sz w:val="24"/>
          <w:szCs w:val="24"/>
          <w:highlight w:val="none"/>
        </w:rPr>
        <w:t xml:space="preserve">符合证明文件格式</w:t>
      </w:r>
      <w:r>
        <w:rPr>
          <w:rFonts w:hint="eastAsia"/>
          <w:color w:val="auto"/>
          <w:sz w:val="24"/>
          <w:szCs w:val="24"/>
          <w:highlight w:val="none"/>
          <w:lang w:eastAsia="zh-CN"/>
        </w:rPr>
        <w:t xml:space="preserve">”</w:t>
      </w:r>
      <w:r>
        <w:rPr>
          <w:rFonts w:hint="eastAsia"/>
          <w:color w:val="auto"/>
          <w:sz w:val="24"/>
          <w:szCs w:val="24"/>
          <w:highlight w:val="none"/>
        </w:rPr>
        <w:t xml:space="preserve">中准确填写或上传。</w:t>
      </w:r>
      <w:r/>
    </w:p>
    <w:p>
      <w:pPr>
        <w:spacing w:line="360" w:lineRule="auto"/>
        <w:rPr>
          <w:rFonts w:hint="eastAsia"/>
          <w:color w:val="auto"/>
          <w:sz w:val="24"/>
          <w:szCs w:val="24"/>
          <w:highlight w:val="none"/>
        </w:rPr>
      </w:pPr>
      <w:r>
        <w:rPr>
          <w:rFonts w:hint="eastAsia"/>
          <w:b/>
          <w:bCs/>
          <w:color w:val="auto"/>
          <w:sz w:val="24"/>
          <w:szCs w:val="24"/>
          <w:highlight w:val="none"/>
          <w:lang w:val="en-US" w:eastAsia="zh-CN"/>
        </w:rPr>
        <w:t xml:space="preserve">一、</w:t>
      </w:r>
      <w:r>
        <w:rPr>
          <w:rFonts w:hint="eastAsia"/>
          <w:b/>
          <w:bCs/>
          <w:color w:val="auto"/>
          <w:sz w:val="24"/>
          <w:szCs w:val="24"/>
          <w:highlight w:val="none"/>
        </w:rPr>
        <w:t xml:space="preserve">项目属性:货物类项目</w:t>
      </w:r>
      <w:r/>
    </w:p>
    <w:p>
      <w:pPr>
        <w:ind w:firstLine="480"/>
        <w:jc w:val="left"/>
        <w:keepLines w:val="0"/>
        <w:keepNext w:val="0"/>
        <w:spacing w:line="360" w:lineRule="auto"/>
        <w:widowControl/>
        <w:rPr>
          <w:rFonts w:hint="eastAsia" w:asciiTheme="minorEastAsia" w:hAnsiTheme="minorEastAsia" w:eastAsiaTheme="minorEastAsia" w:cstheme="minorEastAsia"/>
          <w:bCs/>
          <w:iCs/>
          <w:sz w:val="24"/>
          <w:szCs w:val="24"/>
        </w:rPr>
        <w:suppressLineNumbers w:val="0"/>
      </w:pPr>
      <w:r>
        <w:rPr>
          <w:rFonts w:hint="eastAsia" w:asciiTheme="minorEastAsia" w:hAnsiTheme="minorEastAsia" w:eastAsiaTheme="minorEastAsia" w:cstheme="minorEastAsia"/>
          <w:bCs/>
          <w:iCs/>
          <w:sz w:val="24"/>
          <w:szCs w:val="24"/>
        </w:rPr>
        <w:t xml:space="preserve">1</w:t>
      </w:r>
      <w:r>
        <w:rPr>
          <w:rFonts w:hint="eastAsia" w:asciiTheme="minorEastAsia" w:hAnsiTheme="minorEastAsia" w:eastAsiaTheme="minorEastAsia" w:cstheme="minorEastAsia"/>
          <w:bCs/>
          <w:iCs/>
          <w:sz w:val="24"/>
          <w:szCs w:val="24"/>
          <w:lang w:eastAsia="zh-CN"/>
        </w:rPr>
        <w:t xml:space="preserve">、</w:t>
      </w:r>
      <w:r>
        <w:rPr>
          <w:rFonts w:hint="eastAsia" w:asciiTheme="minorEastAsia" w:hAnsiTheme="minorEastAsia" w:eastAsiaTheme="minorEastAsia" w:cstheme="minorEastAsia"/>
          <w:bCs/>
          <w:iCs/>
          <w:sz w:val="24"/>
          <w:szCs w:val="24"/>
        </w:rPr>
        <w:t xml:space="preserve">如本项目采购产品被财政部、国家发改委、生态环境部等列入“节能产品</w:t>
      </w:r>
      <w:r>
        <w:rPr>
          <w:rFonts w:hint="eastAsia" w:asciiTheme="minorEastAsia" w:hAnsiTheme="minorEastAsia" w:eastAsiaTheme="minorEastAsia" w:cstheme="minorEastAsia"/>
          <w:bCs/>
          <w:iCs/>
          <w:sz w:val="24"/>
          <w:szCs w:val="24"/>
          <w:lang w:val="en-US" w:eastAsia="zh-CN"/>
        </w:rPr>
        <w:t xml:space="preserve">政府采购</w:t>
      </w:r>
      <w:r>
        <w:rPr>
          <w:rFonts w:hint="eastAsia" w:asciiTheme="minorEastAsia" w:hAnsiTheme="minorEastAsia" w:eastAsiaTheme="minorEastAsia" w:cstheme="minorEastAsia"/>
          <w:bCs/>
          <w:iCs/>
          <w:sz w:val="24"/>
          <w:szCs w:val="24"/>
        </w:rPr>
        <w:t xml:space="preserve">品目清单”强制采购范围，投标文件中必须提供国家确定的认证机构出具的、处于有效期之内的该节能产品认证证书。本项目强制节能产品：</w:t>
      </w:r>
      <w:r>
        <w:rPr>
          <w:rFonts w:hint="eastAsia" w:asciiTheme="minorEastAsia" w:hAnsiTheme="minorEastAsia" w:eastAsiaTheme="minorEastAsia" w:cstheme="minorEastAsia"/>
          <w:bCs/>
          <w:iCs/>
          <w:sz w:val="24"/>
          <w:szCs w:val="24"/>
          <w:u w:val="single"/>
          <w:lang w:val="en-US" w:eastAsia="zh-CN"/>
        </w:rPr>
        <w:t xml:space="preserve"> 无 </w:t>
      </w:r>
      <w:r>
        <w:rPr>
          <w:rFonts w:hint="eastAsia" w:asciiTheme="minorEastAsia" w:hAnsiTheme="minorEastAsia" w:eastAsiaTheme="minorEastAsia" w:cstheme="minorEastAsia"/>
          <w:bCs/>
          <w:iCs/>
          <w:sz w:val="24"/>
          <w:szCs w:val="24"/>
          <w:lang w:eastAsia="zh-CN"/>
        </w:rPr>
        <w:t xml:space="preserve">。</w:t>
      </w:r>
      <w:r/>
    </w:p>
    <w:p>
      <w:pPr>
        <w:ind w:firstLine="480"/>
        <w:jc w:val="left"/>
        <w:keepLines w:val="0"/>
        <w:keepNext w:val="0"/>
        <w:spacing w:line="360" w:lineRule="auto"/>
        <w:widowControl/>
        <w:rPr>
          <w:rFonts w:hint="eastAsia" w:asciiTheme="minorEastAsia" w:hAnsiTheme="minorEastAsia" w:eastAsiaTheme="minorEastAsia" w:cstheme="minorEastAsia"/>
          <w:bCs/>
          <w:iCs/>
          <w:sz w:val="24"/>
          <w:szCs w:val="24"/>
        </w:rPr>
        <w:suppressLineNumbers w:val="0"/>
      </w:pPr>
      <w:r>
        <w:rPr>
          <w:rFonts w:hint="eastAsia" w:asciiTheme="minorEastAsia" w:hAnsiTheme="minorEastAsia" w:eastAsiaTheme="minorEastAsia" w:cstheme="minorEastAsia"/>
          <w:bCs/>
          <w:iCs/>
          <w:sz w:val="24"/>
          <w:szCs w:val="24"/>
        </w:rPr>
        <w:t xml:space="preserve">2</w:t>
      </w:r>
      <w:r>
        <w:rPr>
          <w:rFonts w:hint="eastAsia" w:asciiTheme="minorEastAsia" w:hAnsiTheme="minorEastAsia" w:eastAsiaTheme="minorEastAsia" w:cstheme="minorEastAsia"/>
          <w:bCs/>
          <w:iCs/>
          <w:sz w:val="24"/>
          <w:szCs w:val="24"/>
          <w:lang w:eastAsia="zh-CN"/>
        </w:rPr>
        <w:t xml:space="preserve">、</w:t>
      </w:r>
      <w:r>
        <w:rPr>
          <w:rFonts w:hint="eastAsia" w:asciiTheme="minorEastAsia" w:hAnsiTheme="minorEastAsia" w:eastAsiaTheme="minorEastAsia" w:cstheme="minor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、政府采购中实施本国产品标准及相关政策</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本项目对采购本国产品给予政策支持，具体内容见招标文件“第五章 评标方法与评标标准”。</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采购标的清单</w:t>
      </w:r>
      <w:r/>
    </w:p>
    <w:p>
      <w:pPr>
        <w:numPr>
          <w:ilvl w:val="0"/>
          <w:numId w:val="0"/>
        </w:numPr>
        <w:jc w:val="center"/>
        <w:keepLines w:val="0"/>
        <w:keepNext w:val="0"/>
        <w:pageBreakBefore w:val="0"/>
        <w:spacing w:before="161" w:line="360" w:lineRule="auto"/>
        <w:widowControl w:val="off"/>
        <w:rPr>
          <w:rFonts w:hint="eastAsia"/>
          <w:b/>
          <w:bCs w:val="0"/>
          <w:iCs/>
          <w:color w:val="000000"/>
          <w:sz w:val="24"/>
          <w:szCs w:val="24"/>
          <w:highlight w:val="none"/>
          <w:lang w:val="en-US" w:eastAsia="zh-CN"/>
        </w:rPr>
      </w:pPr>
      <w:r>
        <w:rPr>
          <w:rFonts w:hint="eastAsia"/>
          <w:b/>
          <w:bCs w:val="0"/>
          <w:iCs/>
          <w:color w:val="000000"/>
          <w:sz w:val="24"/>
          <w:szCs w:val="24"/>
          <w:highlight w:val="none"/>
          <w:lang w:val="en-US" w:eastAsia="zh-CN"/>
        </w:rPr>
        <w:t xml:space="preserve">采购标的对应的中小企业划分标准所属行业一览表</w:t>
      </w:r>
      <w:r/>
    </w:p>
    <w:tbl>
      <w:tblPr>
        <w:tblStyle w:val="878"/>
        <w:tblW w:w="8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36"/>
        <w:gridCol w:w="4070"/>
      </w:tblGrid>
      <w:tr>
        <w:trPr>
          <w:cantSplit/>
          <w:jc w:val="center"/>
          <w:trHeight w:val="461"/>
        </w:trPr>
        <w:tc>
          <w:tcPr>
            <w:tcW w:w="4436" w:type="dxa"/>
            <w:vAlign w:val="center"/>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采购标的</w:t>
            </w:r>
            <w:r/>
          </w:p>
        </w:tc>
        <w:tc>
          <w:tcPr>
            <w:tcW w:w="4070" w:type="dxa"/>
            <w:vAlign w:val="center"/>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对应中小企业划分标准所属行业</w:t>
            </w:r>
            <w:r/>
          </w:p>
        </w:tc>
      </w:tr>
      <w:tr>
        <w:trPr>
          <w:cantSplit/>
          <w:jc w:val="center"/>
          <w:trHeight w:val="450"/>
        </w:trPr>
        <w:tc>
          <w:tcPr>
            <w:tcW w:w="4436" w:type="dxa"/>
            <w:vAlign w:val="center"/>
            <w:textDirection w:val="lrTb"/>
            <w:noWrap w:val="false"/>
          </w:tcPr>
          <w:p>
            <w:pPr>
              <w:jc w:val="center"/>
              <w:keepLines w:val="0"/>
              <w:keepNext w:val="0"/>
              <w:spacing w:line="360" w:lineRule="auto"/>
              <w:widowControl/>
              <w:rPr>
                <w:rFonts w:hint="eastAsia" w:ascii="宋体" w:hAnsi="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仪征市国省道干线隐患路口哨兵设备</w:t>
            </w:r>
            <w:r/>
          </w:p>
          <w:p>
            <w:pPr>
              <w:jc w:val="center"/>
              <w:keepLines w:val="0"/>
              <w:keepNext w:val="0"/>
              <w:spacing w:line="360" w:lineRule="auto"/>
              <w:widowControl/>
              <w:rPr>
                <w:rFonts w:hint="eastAsia" w:ascii="宋体" w:hAnsi="宋体" w:eastAsia="宋体"/>
                <w:color w:val="000000"/>
                <w:sz w:val="24"/>
                <w:szCs w:val="24"/>
                <w:highlight w:val="none"/>
                <w:lang w:val="en-US" w:eastAsia="zh-CN"/>
              </w:rPr>
              <w:suppressLineNumbers w:val="0"/>
            </w:pPr>
            <w:r>
              <w:rPr>
                <w:rFonts w:hint="eastAsia" w:ascii="宋体" w:hAnsi="宋体" w:cs="宋体"/>
                <w:color w:val="auto"/>
                <w:sz w:val="24"/>
                <w:szCs w:val="24"/>
                <w:highlight w:val="none"/>
                <w:lang w:val="en-US" w:eastAsia="zh-CN" w:bidi="ar-SA"/>
              </w:rPr>
              <w:t xml:space="preserve">采购项目</w:t>
            </w:r>
            <w:r/>
          </w:p>
        </w:tc>
        <w:tc>
          <w:tcPr>
            <w:tcW w:w="4070" w:type="dxa"/>
            <w:vAlign w:val="center"/>
            <w:textDirection w:val="lrTb"/>
            <w:noWrap w:val="false"/>
          </w:tcPr>
          <w:p>
            <w:pPr>
              <w:jc w:val="center"/>
              <w:keepLines w:val="0"/>
              <w:keepNext w:val="0"/>
              <w:pageBreakBefore w:val="0"/>
              <w:spacing w:line="360"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工业</w:t>
            </w:r>
            <w:r/>
          </w:p>
        </w:tc>
      </w:tr>
    </w:tbl>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5、</w:t>
      </w:r>
      <w:r>
        <w:rPr>
          <w:rFonts w:hint="eastAsia" w:ascii="Times New Roman" w:hAnsi="Times New Roman" w:eastAsia="宋体" w:cs="Times New Roman"/>
          <w:b/>
          <w:bCs/>
          <w:color w:val="auto"/>
          <w:sz w:val="24"/>
          <w:szCs w:val="24"/>
          <w:highlight w:val="none"/>
        </w:rPr>
        <w:t xml:space="preserve">本项目的核心产品：道路交通安全警示设备</w:t>
      </w:r>
      <w:r/>
    </w:p>
    <w:p>
      <w:pPr>
        <w:spacing w:line="36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二、项目概况</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为切实提升仪征市国省道干线隐患路口的交通安全预警能力，有效压降事故发生，在全市国省干线存在安全隐患的交叉路口安装智能交通安全预警系统（简称'哨兵“设备）。该项目要实现与仪征市公安视频图像信息应用平台无缝对接，实现资源统一管理、应用整合共享。</w:t>
      </w:r>
      <w:r/>
    </w:p>
    <w:p>
      <w:pPr>
        <w:ind w:firstLine="422"/>
        <w:spacing w:after="0" w:line="360" w:lineRule="auto"/>
        <w:rPr>
          <w:rFonts w:hint="eastAsia" w:asciiTheme="minorEastAsia" w:hAnsiTheme="minorEastAsia"/>
          <w:highlight w:val="none"/>
        </w:rPr>
      </w:pPr>
      <w:r>
        <w:rPr>
          <w:rFonts w:hint="eastAsia" w:asciiTheme="minorEastAsia" w:hAnsiTheme="minorEastAsia"/>
          <w:i/>
          <w:iCs/>
          <w:sz w:val="24"/>
          <w:highlight w:val="none"/>
          <w:u w:val="single"/>
        </w:rPr>
        <w:t xml:space="preserve">须为道路交通安全警示设备、特征抓拍设备硬件至少提供</w:t>
      </w:r>
      <w:r>
        <w:rPr>
          <w:rFonts w:hint="eastAsia" w:asciiTheme="minorEastAsia" w:hAnsiTheme="minorEastAsia"/>
          <w:i/>
          <w:iCs/>
          <w:sz w:val="24"/>
          <w:highlight w:val="none"/>
          <w:u w:val="single"/>
          <w:lang w:val="en-US" w:eastAsia="zh-CN"/>
        </w:rPr>
        <w:t xml:space="preserve">3</w:t>
      </w:r>
      <w:r>
        <w:rPr>
          <w:rFonts w:hint="eastAsia" w:asciiTheme="minorEastAsia" w:hAnsiTheme="minorEastAsia"/>
          <w:i/>
          <w:iCs/>
          <w:sz w:val="24"/>
          <w:highlight w:val="none"/>
          <w:u w:val="single"/>
        </w:rPr>
        <w:t xml:space="preserve">年的原厂质保。</w:t>
      </w:r>
      <w:r>
        <w:rPr>
          <w:rFonts w:hint="eastAsia" w:ascii="宋体" w:hAnsi="宋体" w:cs="宋体"/>
          <w:b/>
          <w:i/>
          <w:iCs/>
          <w:sz w:val="24"/>
          <w:highlight w:val="none"/>
          <w:u w:val="single"/>
        </w:rPr>
        <w:t xml:space="preserve">（提供承诺函，原件扫描上传，格式自拟）</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包括共新增</w:t>
      </w:r>
      <w:r>
        <w:rPr>
          <w:rFonts w:hint="eastAsia" w:asciiTheme="minorEastAsia" w:hAnsiTheme="minorEastAsia"/>
          <w:highlight w:val="none"/>
          <w:lang w:val="en-US" w:eastAsia="zh-CN"/>
        </w:rPr>
        <w:t xml:space="preserve">207套</w:t>
      </w:r>
      <w:r>
        <w:rPr>
          <w:rFonts w:hint="eastAsia" w:asciiTheme="minorEastAsia" w:hAnsiTheme="minorEastAsia"/>
          <w:highlight w:val="none"/>
        </w:rPr>
        <w:t xml:space="preserve">道路交通安全警示设备、1</w:t>
      </w:r>
      <w:r>
        <w:rPr>
          <w:rFonts w:hint="eastAsia" w:asciiTheme="minorEastAsia" w:hAnsiTheme="minorEastAsia"/>
          <w:highlight w:val="none"/>
          <w:lang w:val="en-US" w:eastAsia="zh-CN"/>
        </w:rPr>
        <w:t xml:space="preserve">18</w:t>
      </w:r>
      <w:r>
        <w:rPr>
          <w:rFonts w:hint="eastAsia" w:asciiTheme="minorEastAsia" w:hAnsiTheme="minorEastAsia"/>
          <w:highlight w:val="none"/>
        </w:rPr>
        <w:t xml:space="preserve">台特征抓拍设备，实现与仪征市公安视频图像信息应用平台无缝对接，实现资源统一管理、应用整合共享。</w:t>
      </w:r>
      <w:r/>
    </w:p>
    <w:p>
      <w:pPr>
        <w:pStyle w:val="934"/>
        <w:ind w:firstLine="420"/>
        <w:rPr>
          <w:rFonts w:hint="eastAsia" w:ascii="宋体" w:hAnsi="宋体"/>
          <w:b/>
          <w:bCs/>
          <w:color w:val="0000ff"/>
          <w:sz w:val="28"/>
          <w:szCs w:val="28"/>
          <w:highlight w:val="none"/>
        </w:rPr>
      </w:pPr>
      <w:r>
        <w:rPr>
          <w:rFonts w:hint="eastAsia" w:asciiTheme="minorEastAsia" w:hAnsiTheme="minorEastAsia"/>
          <w:i/>
          <w:iCs/>
          <w:highlight w:val="none"/>
          <w:u w:val="single"/>
        </w:rPr>
        <w:t xml:space="preserve">项目设备供货期限为签订合同后1个月内，对设备核验合格后进行安装，安装期限为到货后2个月内，必须在规定期限内完成工作任务。</w:t>
      </w:r>
      <w:r>
        <w:rPr>
          <w:rFonts w:hint="eastAsia" w:ascii="宋体" w:hAnsi="宋体" w:cs="宋体"/>
          <w:b/>
          <w:i/>
          <w:iCs/>
          <w:highlight w:val="none"/>
          <w:u w:val="single"/>
        </w:rPr>
        <w:t xml:space="preserve">（提供承诺函，原件扫描上传，格式自拟）</w:t>
      </w:r>
      <w:r/>
    </w:p>
    <w:p>
      <w:pPr>
        <w:jc w:val="left"/>
        <w:spacing w:line="52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、前端材料设备部分技术要求</w:t>
      </w:r>
      <w:r/>
    </w:p>
    <w:p>
      <w:pPr>
        <w:pStyle w:val="934"/>
        <w:ind w:firstLine="420"/>
        <w:rPr>
          <w:rFonts w:asciiTheme="minorEastAsia" w:hAnsiTheme="minorEastAsia"/>
          <w:highlight w:val="none"/>
        </w:rPr>
      </w:pPr>
      <w:r>
        <w:rPr>
          <w:rFonts w:hint="eastAsia" w:asciiTheme="minorEastAsia" w:hAnsiTheme="minorEastAsia"/>
          <w:highlight w:val="none"/>
        </w:rPr>
        <w:t xml:space="preserve">各平交道口根据现场实际情况，确定</w:t>
      </w:r>
      <w:r>
        <w:rPr>
          <w:rFonts w:hint="eastAsia"/>
          <w:szCs w:val="24"/>
          <w:highlight w:val="none"/>
        </w:rPr>
        <w:t xml:space="preserve">道路交通安全警示设备安装位置后</w:t>
      </w:r>
      <w:r>
        <w:rPr>
          <w:rFonts w:hint="eastAsia" w:asciiTheme="minorEastAsia" w:hAnsiTheme="minorEastAsia"/>
          <w:highlight w:val="none"/>
        </w:rPr>
        <w:t xml:space="preserve">采用混凝土浇筑钢筋笼基础后安装；分体设备安装的横臂可采用抱箍安装（横臂不得仅采用不锈钢扎带固定）。</w:t>
      </w:r>
      <w:r>
        <w:rPr>
          <w:rFonts w:hint="eastAsia"/>
          <w:szCs w:val="24"/>
          <w:highlight w:val="none"/>
        </w:rPr>
        <w:t xml:space="preserve">道路交通安全警示设备的箱体</w:t>
      </w:r>
      <w:r>
        <w:rPr>
          <w:rFonts w:hint="eastAsia" w:asciiTheme="minorEastAsia" w:hAnsiTheme="minorEastAsia"/>
          <w:highlight w:val="none"/>
        </w:rPr>
        <w:t xml:space="preserve">需要考虑整体材质、焊接工艺、表面处理以及表面颜色等。主体箱体需要具备在后期加装各类设备的扩容功能。</w:t>
      </w:r>
      <w:r/>
    </w:p>
    <w:p>
      <w:pPr>
        <w:pStyle w:val="934"/>
        <w:ind w:firstLine="420"/>
        <w:rPr>
          <w:rFonts w:asciiTheme="minorEastAsia" w:hAnsiTheme="minorEastAsia"/>
          <w:highlight w:val="none"/>
        </w:rPr>
      </w:pPr>
      <w:r>
        <w:rPr>
          <w:rFonts w:hint="eastAsia" w:asciiTheme="minorEastAsia" w:hAnsiTheme="minorEastAsia"/>
          <w:highlight w:val="none"/>
        </w:rPr>
        <w:t xml:space="preserve">确定</w:t>
      </w:r>
      <w:r>
        <w:rPr>
          <w:rFonts w:hint="eastAsia"/>
          <w:szCs w:val="24"/>
          <w:highlight w:val="none"/>
        </w:rPr>
        <w:t xml:space="preserve">道路交通安全警示设备安装后其顶部</w:t>
      </w:r>
      <w:r>
        <w:rPr>
          <w:rFonts w:hint="eastAsia" w:asciiTheme="minorEastAsia" w:hAnsiTheme="minorEastAsia"/>
          <w:highlight w:val="none"/>
        </w:rPr>
        <w:t xml:space="preserve">离地面高度需满足相应的特征相机抓拍需求，特殊地形可适度调整， 主体设备的安装应牢固，不得歪斜，需用水平仪来测定；制作要美观，其顶部需做防水。主体设备应有较高强度，抗台风、防摄像机抖动、防攀爬、防腐。</w:t>
      </w:r>
      <w:r/>
    </w:p>
    <w:p>
      <w:pPr>
        <w:jc w:val="left"/>
        <w:spacing w:line="520" w:lineRule="exact"/>
        <w:rPr>
          <w:rFonts w:hint="eastAsia" w:ascii="宋体" w:hAnsi="宋体" w:cs="宋体"/>
          <w:b/>
          <w:bCs/>
          <w:sz w:val="24"/>
        </w:rPr>
      </w:pPr>
      <w:r>
        <w:rPr>
          <w:rFonts w:hint="eastAsia" w:ascii="宋体" w:hAnsi="宋体" w:cs="宋体"/>
          <w:b/>
          <w:bCs/>
          <w:sz w:val="24"/>
          <w:lang w:val="en-US" w:eastAsia="zh-CN"/>
        </w:rPr>
        <w:t xml:space="preserve">四</w:t>
      </w:r>
      <w:r>
        <w:rPr>
          <w:rFonts w:hint="eastAsia" w:ascii="宋体" w:hAnsi="宋体" w:cs="宋体"/>
          <w:b/>
          <w:bCs/>
          <w:sz w:val="24"/>
        </w:rPr>
        <w:t xml:space="preserve">、后端设备技术参数要求</w:t>
      </w:r>
      <w:r/>
    </w:p>
    <w:p>
      <w:pPr>
        <w:pStyle w:val="934"/>
        <w:ind w:firstLine="420"/>
        <w:rPr>
          <w:rFonts w:hint="eastAsia" w:asciiTheme="minorEastAsia" w:hAnsiTheme="minorEastAsia"/>
          <w:b/>
          <w:bCs/>
          <w:i/>
          <w:iCs/>
          <w:u w:val="single"/>
        </w:rPr>
      </w:pPr>
      <w:r>
        <w:rPr>
          <w:rFonts w:hint="eastAsia" w:asciiTheme="minorEastAsia" w:hAnsiTheme="minorEastAsia"/>
          <w:b/>
          <w:bCs/>
          <w:i/>
          <w:iCs/>
          <w:u w:val="single"/>
        </w:rPr>
        <w:t xml:space="preserve">设备接入交换机必须满足【财库〔2023〕7号】财政部 生态环境部 工业和信息化部关于印发《绿色数据中心政府采购需求标准（试行）》的通知中的服务器及存储设备等政府采购需求标准；【投标人需按技术参数要求内容填写《技术参数响应及偏离表》并提供承诺函，加盖公章扫描上传】</w:t>
      </w:r>
      <w:r/>
    </w:p>
    <w:p>
      <w:pPr>
        <w:pStyle w:val="934"/>
        <w:ind w:firstLine="420"/>
        <w:rPr>
          <w:rFonts w:hint="eastAsia" w:asciiTheme="minorEastAsia" w:hAnsiTheme="minorEastAsia"/>
          <w:b/>
          <w:bCs/>
        </w:rPr>
      </w:pPr>
      <w:r>
        <w:rPr>
          <w:rFonts w:hint="eastAsia" w:asciiTheme="minorEastAsia" w:hAnsiTheme="minorEastAsia"/>
          <w:b/>
          <w:bCs/>
        </w:rPr>
        <w:t xml:space="preserve">采购人应当在履约验收中对中标人提供的产品或服务进行抽查检测，必要时可委托取得相关资质的第三方机构对其进行检测、认证。因检测、认证涉及生产过程或检测时间长等原因，不能在验收过程中开展检测、认证的，可要求中标人在验收阶段提供相关检测报告、认证报告。</w:t>
      </w:r>
      <w:r/>
    </w:p>
    <w:p>
      <w:pPr>
        <w:ind w:firstLine="482"/>
        <w:jc w:val="left"/>
        <w:spacing w:line="520" w:lineRule="exact"/>
        <w:rPr>
          <w:rFonts w:hint="eastAsia" w:ascii="宋体" w:hAnsi="宋体" w:cs="宋体"/>
          <w:b/>
          <w:bCs/>
          <w:sz w:val="24"/>
        </w:rPr>
      </w:pPr>
      <w:r>
        <w:rPr>
          <w:rFonts w:hint="eastAsia" w:ascii="宋体" w:hAnsi="宋体" w:cs="宋体"/>
          <w:b/>
          <w:bCs/>
          <w:sz w:val="24"/>
        </w:rPr>
        <w:t xml:space="preserve">绿色数据中心以太网交换机技术指标要求</w:t>
      </w:r>
      <w:r/>
    </w:p>
    <w:tbl>
      <w:tblPr>
        <w:tblStyle w:val="878"/>
        <w:tblW w:w="855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
        <w:gridCol w:w="1950"/>
        <w:gridCol w:w="1825"/>
        <w:gridCol w:w="1266"/>
        <w:gridCol w:w="3014"/>
      </w:tblGrid>
      <w:tr>
        <w:trPr/>
        <w:tc>
          <w:tcPr>
            <w:tcBorders>
              <w:top w:val="single" w:color="auto" w:sz="4" w:space="0"/>
              <w:left w:val="single" w:color="auto" w:sz="4" w:space="0"/>
              <w:bottom w:val="single" w:color="auto" w:sz="4" w:space="0"/>
              <w:right w:val="single" w:color="auto" w:sz="4" w:space="0"/>
            </w:tcBorders>
            <w:tcW w:w="495" w:type="dxa"/>
            <w:vAlign w:val="center"/>
            <w:textDirection w:val="lrTb"/>
            <w:noWrap w:val="false"/>
          </w:tcPr>
          <w:p>
            <w:pPr>
              <w:pStyle w:val="930"/>
              <w:ind w:firstLine="0"/>
              <w:spacing w:after="0" w:line="276"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gridSpan w:val="2"/>
            <w:shd w:val="clear" w:color="auto" w:fill="d8d8d8"/>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pStyle w:val="930"/>
              <w:ind w:firstLine="0"/>
              <w:jc w:val="center"/>
              <w:spacing w:after="0" w:line="276" w:lineRule="auto"/>
              <w:rPr>
                <w:color w:val="000000" w:themeColor="text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指标</w:t>
            </w:r>
            <w:r/>
          </w:p>
        </w:tc>
        <w:tc>
          <w:tcPr>
            <w:shd w:val="clear" w:color="auto" w:fill="d8d8d8"/>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930"/>
              <w:ind w:firstLine="0"/>
              <w:jc w:val="center"/>
              <w:spacing w:after="0" w:line="276"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限制值</w:t>
            </w:r>
            <w:r/>
          </w:p>
        </w:tc>
        <w:tc>
          <w:tcPr>
            <w:shd w:val="clear" w:color="auto" w:fill="d8d8d8"/>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pStyle w:val="930"/>
              <w:ind w:firstLine="0"/>
              <w:jc w:val="center"/>
              <w:spacing w:after="0" w:line="276"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判定依据</w:t>
            </w:r>
            <w:r>
              <w:rPr>
                <w:rFonts w:ascii="Times New Roman" w:hAnsi="Times New Roman"/>
                <w:color w:val="000000" w:themeColor="text1"/>
                <w:szCs w:val="21"/>
                <w14:textFill>
                  <w14:solidFill>
                    <w14:schemeClr w14:val="tx1"/>
                  </w14:solidFill>
                </w14:textFill>
              </w:rPr>
              <w:t xml:space="preserve">/</w:t>
            </w:r>
            <w:r>
              <w:rPr>
                <w:rFonts w:hint="eastAsia" w:ascii="Times New Roman" w:hAnsi="Times New Roman"/>
                <w:color w:val="000000" w:themeColor="text1"/>
                <w:szCs w:val="21"/>
                <w14:textFill>
                  <w14:solidFill>
                    <w14:schemeClr w14:val="tx1"/>
                  </w14:solidFill>
                </w14:textFill>
              </w:rPr>
              <w:t xml:space="preserve">方法</w:t>
            </w:r>
            <w:r/>
          </w:p>
        </w:tc>
      </w:tr>
      <w:tr>
        <w:trPr/>
        <w:tc>
          <w:tcPr>
            <w:tcBorders>
              <w:top w:val="single" w:color="auto" w:sz="4" w:space="0"/>
              <w:left w:val="single" w:color="auto" w:sz="4" w:space="0"/>
              <w:bottom w:val="single" w:color="auto" w:sz="4" w:space="0"/>
              <w:right w:val="single" w:color="auto" w:sz="4" w:space="0"/>
            </w:tcBorders>
            <w:tcW w:w="495" w:type="dxa"/>
            <w:vAlign w:val="center"/>
            <w:textDirection w:val="lrTb"/>
            <w:noWrap w:val="false"/>
          </w:tcPr>
          <w:p>
            <w:pPr>
              <w:pStyle w:val="930"/>
              <w:ind w:firstLine="0"/>
              <w:spacing w:after="0" w:line="276" w:lineRule="auto"/>
              <w:rPr>
                <w:rFonts w:hint="eastAsia" w:ascii="宋体" w:hAnsi="宋体" w:cs="宋体"/>
                <w:color w:val="000000" w:themeColor="text1"/>
                <w:sz w:val="18"/>
                <w14:textFill>
                  <w14:solidFill>
                    <w14:schemeClr w14:val="tx1"/>
                  </w14:solidFill>
                </w14:textFill>
              </w:rPr>
            </w:pPr>
            <w:r>
              <w:rPr>
                <w:rFonts w:hint="eastAsia"/>
                <w:color w:val="000000" w:themeColor="text1"/>
                <w14:textFill>
                  <w14:solidFill>
                    <w14:schemeClr w14:val="tx1"/>
                  </w14:solidFill>
                </w14:textFill>
              </w:rPr>
              <w:t xml:space="preserve">1</w:t>
            </w:r>
            <w:r/>
          </w:p>
        </w:tc>
        <w:tc>
          <w:tcPr>
            <w:gridSpan w:val="2"/>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固定端口以太网交换机能效比值（</w:t>
            </w:r>
            <w:r>
              <w:rPr>
                <w:rFonts w:ascii="宋体" w:hAnsi="宋体" w:cs="宋体"/>
                <w:i/>
                <w:iCs/>
                <w:color w:val="000000"/>
                <w:szCs w:val="21"/>
                <w:u w:val="single"/>
              </w:rPr>
              <w:t xml:space="preserve">TEER</w:t>
            </w:r>
            <w:r>
              <w:rPr>
                <w:rFonts w:hint="eastAsia" w:ascii="宋体" w:hAnsi="宋体" w:cs="宋体"/>
                <w:i/>
                <w:iCs/>
                <w:color w:val="000000"/>
                <w:szCs w:val="21"/>
                <w:u w:val="single"/>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300</w:t>
            </w:r>
            <w:r/>
          </w:p>
        </w:tc>
        <w:tc>
          <w:tcPr>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检测方法依据附录</w:t>
            </w:r>
            <w:r>
              <w:rPr>
                <w:rFonts w:ascii="宋体" w:hAnsi="宋体" w:cs="宋体"/>
                <w:i/>
                <w:iCs/>
                <w:color w:val="000000"/>
                <w:szCs w:val="21"/>
                <w:u w:val="single"/>
              </w:rPr>
              <w:t xml:space="preserve">E</w:t>
            </w:r>
            <w:r>
              <w:rPr>
                <w:rFonts w:hint="eastAsia" w:ascii="宋体" w:hAnsi="宋体" w:cs="宋体"/>
                <w:i/>
                <w:iCs/>
                <w:color w:val="000000"/>
                <w:szCs w:val="21"/>
                <w:u w:val="single"/>
              </w:rPr>
              <w:t xml:space="preserve">中要求</w:t>
            </w:r>
            <w:r/>
          </w:p>
        </w:tc>
      </w:tr>
      <w:tr>
        <w:trPr/>
        <w:tc>
          <w:tcPr>
            <w:tcBorders>
              <w:top w:val="single" w:color="auto" w:sz="4" w:space="0"/>
              <w:left w:val="single" w:color="auto" w:sz="4" w:space="0"/>
              <w:bottom w:val="single" w:color="auto" w:sz="4" w:space="0"/>
              <w:right w:val="single" w:color="auto" w:sz="4" w:space="0"/>
            </w:tcBorders>
            <w:tcW w:w="495" w:type="dxa"/>
            <w:vAlign w:val="center"/>
            <w:vMerge w:val="restart"/>
            <w:textDirection w:val="lrTb"/>
            <w:noWrap w:val="false"/>
          </w:tcPr>
          <w:p>
            <w:pPr>
              <w:pStyle w:val="930"/>
              <w:ind w:firstLine="0"/>
              <w:spacing w:after="0" w:line="276" w:lineRule="auto"/>
              <w:rPr>
                <w:rFonts w:hint="eastAsia" w:ascii="宋体" w:hAnsi="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950" w:type="dxa"/>
            <w:vAlign w:val="center"/>
            <w:vMerge w:val="restart"/>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hint="eastAsia" w:ascii="宋体" w:hAnsi="宋体" w:cs="宋体"/>
                <w:i/>
                <w:iCs/>
                <w:color w:val="000000"/>
                <w:szCs w:val="21"/>
                <w:u w:val="single"/>
              </w:rPr>
              <w:t xml:space="preserve">单路电源输出效率</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u w:val="single"/>
              </w:rPr>
            </w:pPr>
            <w:r>
              <w:rPr>
                <w:rFonts w:ascii="宋体" w:hAnsi="宋体" w:cs="宋体"/>
                <w:i/>
                <w:iCs/>
                <w:color w:val="000000"/>
                <w:szCs w:val="21"/>
                <w:u w:val="single"/>
              </w:rPr>
              <w:t xml:space="preserve">20%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88%</w:t>
            </w:r>
            <w:r/>
          </w:p>
        </w:tc>
        <w:tc>
          <w:tcPr>
            <w:tcBorders>
              <w:top w:val="single" w:color="auto" w:sz="4" w:space="0"/>
              <w:left w:val="single" w:color="auto" w:sz="4" w:space="0"/>
              <w:bottom w:val="single" w:color="auto" w:sz="4" w:space="0"/>
              <w:right w:val="single" w:color="auto" w:sz="4" w:space="0"/>
            </w:tcBorders>
            <w:tcW w:w="3014" w:type="dxa"/>
            <w:vAlign w:val="center"/>
            <w:vMerge w:val="restart"/>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检测方法依据</w:t>
            </w:r>
            <w:r>
              <w:rPr>
                <w:rFonts w:ascii="宋体" w:hAnsi="宋体" w:cs="宋体"/>
                <w:i/>
                <w:iCs/>
                <w:color w:val="000000"/>
                <w:szCs w:val="21"/>
                <w:u w:val="single"/>
              </w:rPr>
              <w:t xml:space="preserve">HJ 2507</w:t>
            </w:r>
            <w:r>
              <w:rPr>
                <w:rFonts w:hint="eastAsia" w:ascii="宋体" w:hAnsi="宋体" w:cs="宋体"/>
                <w:i/>
                <w:iCs/>
                <w:color w:val="000000"/>
                <w:szCs w:val="21"/>
                <w:u w:val="single"/>
              </w:rPr>
              <w:t xml:space="preserve">附录</w:t>
            </w:r>
            <w:r>
              <w:rPr>
                <w:rFonts w:ascii="宋体" w:hAnsi="宋体" w:cs="宋体"/>
                <w:i/>
                <w:iCs/>
                <w:color w:val="000000"/>
                <w:szCs w:val="21"/>
                <w:u w:val="single"/>
              </w:rPr>
              <w:t xml:space="preserve">B</w:t>
            </w:r>
            <w:r>
              <w:rPr>
                <w:rFonts w:hint="eastAsia" w:ascii="宋体" w:hAnsi="宋体" w:cs="宋体"/>
                <w:i/>
                <w:iCs/>
                <w:color w:val="000000"/>
                <w:szCs w:val="21"/>
                <w:u w:val="single"/>
              </w:rPr>
              <w:t xml:space="preserve">要求</w:t>
            </w:r>
            <w:r/>
          </w:p>
        </w:tc>
      </w:tr>
      <w:tr>
        <w:trPr>
          <w:trHeight w:val="544"/>
        </w:trPr>
        <w:tc>
          <w:tcPr>
            <w:tcBorders>
              <w:top w:val="single" w:color="auto" w:sz="4" w:space="0"/>
              <w:left w:val="single" w:color="auto" w:sz="4" w:space="0"/>
              <w:bottom w:val="single" w:color="auto" w:sz="4" w:space="0"/>
              <w:right w:val="single" w:color="auto" w:sz="4" w:space="0"/>
            </w:tcBorders>
            <w:tcW w:w="495" w:type="dxa"/>
            <w:vAlign w:val="center"/>
            <w:vMerge w:val="continue"/>
            <w:textDirection w:val="lrTb"/>
            <w:noWrap w:val="false"/>
          </w:tcPr>
          <w:p>
            <w:pPr>
              <w:jc w:val="left"/>
              <w:spacing w:after="0"/>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0"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u w:val="single"/>
              </w:rPr>
            </w:pPr>
            <w:r>
              <w:rPr>
                <w:rFonts w:ascii="宋体" w:hAnsi="宋体" w:cs="宋体"/>
                <w:i/>
                <w:iCs/>
                <w:color w:val="000000"/>
                <w:szCs w:val="21"/>
                <w:u w:val="single"/>
              </w:rPr>
              <w:t xml:space="preserve">50%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92%</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vMerge w:val="continue"/>
            <w:textDirection w:val="lrTb"/>
            <w:noWrap w:val="false"/>
          </w:tcPr>
          <w:p>
            <w:pPr>
              <w:jc w:val="left"/>
              <w:spacing w:after="0"/>
              <w:rPr>
                <w:rFonts w:hint="eastAsia" w:ascii="宋体" w:hAnsi="宋体" w:cs="宋体"/>
                <w:color w:val="000000" w:themeColor="text1"/>
                <w:sz w:val="18"/>
                <w14:textFill>
                  <w14:solidFill>
                    <w14:schemeClr w14:val="tx1"/>
                  </w14:solidFill>
                </w14:textFill>
              </w:rPr>
            </w:pPr>
            <w:r>
              <w:rPr>
                <w:rFonts w:hint="eastAsia" w:ascii="宋体" w:hAnsi="宋体" w:cs="宋体"/>
                <w:color w:val="000000" w:themeColor="text1"/>
                <w:sz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0"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u w:val="single"/>
              </w:rPr>
            </w:pPr>
            <w:r>
              <w:rPr>
                <w:rFonts w:ascii="宋体" w:hAnsi="宋体" w:cs="宋体"/>
                <w:i/>
                <w:iCs/>
                <w:color w:val="000000"/>
                <w:szCs w:val="21"/>
                <w:u w:val="single"/>
              </w:rPr>
              <w:t xml:space="preserve">100%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88%</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textDirection w:val="lrTb"/>
            <w:noWrap w:val="false"/>
          </w:tcPr>
          <w:p>
            <w:pPr>
              <w:pStyle w:val="930"/>
              <w:ind w:firstLine="0"/>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单路电源最低功率因数</w:t>
            </w:r>
            <w:r>
              <w:rPr>
                <w:rFonts w:ascii="宋体" w:hAnsi="宋体" w:cs="宋体"/>
                <w:i/>
                <w:iCs/>
                <w:color w:val="000000"/>
                <w:szCs w:val="21"/>
                <w:u w:val="single"/>
              </w:rPr>
              <w:t xml:space="preserve">(50%</w:t>
            </w:r>
            <w:r>
              <w:rPr>
                <w:rFonts w:hint="eastAsia" w:ascii="宋体" w:hAnsi="宋体" w:cs="宋体"/>
                <w:i/>
                <w:iCs/>
                <w:color w:val="000000"/>
                <w:szCs w:val="21"/>
                <w:u w:val="single"/>
              </w:rPr>
              <w:t xml:space="preserve">负载下的</w:t>
            </w:r>
            <w:r>
              <w:rPr>
                <w:rFonts w:ascii="宋体" w:hAnsi="宋体" w:cs="宋体"/>
                <w:i/>
                <w:iCs/>
                <w:color w:val="000000"/>
                <w:szCs w:val="21"/>
                <w:u w:val="single"/>
              </w:rPr>
              <w:t xml:space="preserve">)</w:t>
            </w:r>
            <w:r>
              <w:rPr>
                <w:rFonts w:hint="eastAsia" w:ascii="宋体" w:hAnsi="宋体" w:cs="宋体"/>
                <w:i/>
                <w:iCs/>
                <w:color w:val="000000"/>
                <w:szCs w:val="21"/>
                <w:u w:val="single"/>
              </w:rPr>
              <w:t xml:space="preserve">     </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0.90</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vMerge w:val="restart"/>
            <w:textDirection w:val="lrTb"/>
            <w:noWrap w:val="false"/>
          </w:tcPr>
          <w:p>
            <w:pPr>
              <w:pStyle w:val="930"/>
              <w:ind w:firstLine="0"/>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950" w:type="dxa"/>
            <w:vAlign w:val="center"/>
            <w:vMerge w:val="restart"/>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多路电源输出效率</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u w:val="single"/>
              </w:rPr>
            </w:pPr>
            <w:r>
              <w:rPr>
                <w:rFonts w:ascii="宋体" w:hAnsi="宋体" w:cs="宋体"/>
                <w:i/>
                <w:iCs/>
                <w:color w:val="000000"/>
                <w:szCs w:val="21"/>
                <w:u w:val="single"/>
              </w:rPr>
              <w:t xml:space="preserve">20%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85%</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0"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u w:val="single"/>
              </w:rPr>
            </w:pPr>
            <w:r>
              <w:rPr>
                <w:rFonts w:ascii="宋体" w:hAnsi="宋体" w:cs="宋体"/>
                <w:i/>
                <w:iCs/>
                <w:color w:val="000000"/>
                <w:szCs w:val="21"/>
                <w:u w:val="single"/>
              </w:rPr>
              <w:t xml:space="preserve">50%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89%</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0"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u w:val="single"/>
              </w:rPr>
            </w:pPr>
            <w:r>
              <w:rPr>
                <w:rFonts w:ascii="宋体" w:hAnsi="宋体" w:cs="宋体"/>
                <w:i/>
                <w:iCs/>
                <w:color w:val="000000"/>
                <w:szCs w:val="21"/>
                <w:u w:val="single"/>
              </w:rPr>
              <w:t xml:space="preserve">100%</w:t>
            </w:r>
            <w:r>
              <w:rPr>
                <w:rFonts w:hint="eastAsia" w:ascii="宋体" w:hAnsi="宋体" w:cs="宋体"/>
                <w:i/>
                <w:iCs/>
                <w:color w:val="000000"/>
                <w:szCs w:val="21"/>
                <w:u w:val="single"/>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85%</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textDirection w:val="lrTb"/>
            <w:noWrap w:val="false"/>
          </w:tcPr>
          <w:p>
            <w:pPr>
              <w:pStyle w:val="930"/>
              <w:ind w:firstLine="0"/>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5</w:t>
            </w:r>
            <w:r/>
          </w:p>
        </w:tc>
        <w:tc>
          <w:tcPr>
            <w:gridSpan w:val="2"/>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多路电源最低功率因数</w:t>
            </w:r>
            <w:r>
              <w:rPr>
                <w:rFonts w:ascii="宋体" w:hAnsi="宋体" w:cs="宋体"/>
                <w:i/>
                <w:iCs/>
                <w:color w:val="000000"/>
                <w:szCs w:val="21"/>
                <w:u w:val="single"/>
              </w:rPr>
              <w:t xml:space="preserve">(50%</w:t>
            </w:r>
            <w:r>
              <w:rPr>
                <w:rFonts w:hint="eastAsia" w:ascii="宋体" w:hAnsi="宋体" w:cs="宋体"/>
                <w:i/>
                <w:iCs/>
                <w:color w:val="000000"/>
                <w:szCs w:val="21"/>
                <w:u w:val="single"/>
              </w:rPr>
              <w:t xml:space="preserve">负载下的</w:t>
            </w:r>
            <w:r>
              <w:rPr>
                <w:rFonts w:ascii="宋体" w:hAnsi="宋体" w:cs="宋体"/>
                <w:i/>
                <w:iCs/>
                <w:color w:val="000000"/>
                <w:szCs w:val="21"/>
                <w:u w:val="single"/>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0.90</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r>
            <w:r/>
          </w:p>
        </w:tc>
      </w:tr>
      <w:tr>
        <w:trPr/>
        <w:tc>
          <w:tcPr>
            <w:tcBorders>
              <w:top w:val="single" w:color="auto" w:sz="4" w:space="0"/>
              <w:left w:val="single" w:color="auto" w:sz="4" w:space="0"/>
              <w:bottom w:val="single" w:color="auto" w:sz="4" w:space="0"/>
              <w:right w:val="single" w:color="auto" w:sz="4" w:space="0"/>
            </w:tcBorders>
            <w:tcW w:w="495" w:type="dxa"/>
            <w:vAlign w:val="center"/>
            <w:vMerge w:val="restart"/>
            <w:textDirection w:val="lrTb"/>
            <w:noWrap w:val="false"/>
          </w:tcPr>
          <w:p>
            <w:pPr>
              <w:pStyle w:val="930"/>
              <w:ind w:firstLine="0"/>
              <w:spacing w:after="0" w:line="276"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950" w:type="dxa"/>
            <w:vAlign w:val="center"/>
            <w:vMerge w:val="restart"/>
            <w:textDirection w:val="lrTb"/>
            <w:noWrap w:val="false"/>
          </w:tcPr>
          <w:p>
            <w:pPr>
              <w:spacing w:after="0" w:line="276" w:lineRule="auto"/>
              <w:rPr>
                <w:rFonts w:ascii="Times New Roman" w:hAnsi="Times New Roman"/>
                <w:color w:val="000000" w:themeColor="text1"/>
                <w:szCs w:val="21"/>
                <w14:textFill>
                  <w14:solidFill>
                    <w14:schemeClr w14:val="tx1"/>
                  </w14:solidFill>
                </w14:textFill>
              </w:rPr>
            </w:pPr>
            <w:r>
              <w:rPr>
                <w:rFonts w:hint="eastAsia" w:ascii="宋体" w:hAnsi="宋体" w:cs="宋体"/>
                <w:i/>
                <w:iCs/>
                <w:color w:val="000000"/>
                <w:szCs w:val="21"/>
                <w:u w:val="single"/>
              </w:rPr>
              <w:t xml:space="preserve">噪声发射</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有人值守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7.6 Bels</w:t>
            </w:r>
            <w:r/>
          </w:p>
        </w:tc>
        <w:tc>
          <w:tcPr>
            <w:tcBorders>
              <w:top w:val="single" w:color="auto" w:sz="4" w:space="0"/>
              <w:left w:val="single" w:color="auto" w:sz="4" w:space="0"/>
              <w:bottom w:val="single" w:color="auto" w:sz="4" w:space="0"/>
              <w:right w:val="single" w:color="auto" w:sz="4" w:space="0"/>
            </w:tcBorders>
            <w:tcW w:w="3014" w:type="dxa"/>
            <w:vAlign w:val="center"/>
            <w:vMerge w:val="restart"/>
            <w:textDirection w:val="lrTb"/>
            <w:noWrap w:val="false"/>
          </w:tcPr>
          <w:p>
            <w:pPr>
              <w:spacing w:after="0" w:line="276"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检测方法依据</w:t>
            </w:r>
            <w:r>
              <w:rPr>
                <w:rFonts w:ascii="宋体" w:hAnsi="宋体" w:cs="宋体"/>
                <w:i/>
                <w:iCs/>
                <w:color w:val="000000"/>
                <w:szCs w:val="21"/>
                <w:u w:val="single"/>
              </w:rPr>
              <w:t xml:space="preserve">YD/T 1816</w:t>
            </w:r>
            <w:r>
              <w:rPr>
                <w:rFonts w:hint="eastAsia" w:ascii="宋体" w:hAnsi="宋体" w:cs="宋体"/>
                <w:i/>
                <w:iCs/>
                <w:color w:val="000000"/>
                <w:szCs w:val="21"/>
                <w:u w:val="single"/>
              </w:rPr>
              <w:t xml:space="preserve">要求</w:t>
            </w:r>
            <w:r/>
          </w:p>
        </w:tc>
      </w:tr>
      <w:tr>
        <w:trPr/>
        <w:tc>
          <w:tcPr>
            <w:tcBorders>
              <w:top w:val="single" w:color="auto" w:sz="4" w:space="0"/>
              <w:left w:val="single" w:color="auto" w:sz="4" w:space="0"/>
              <w:bottom w:val="single" w:color="auto" w:sz="4" w:space="0"/>
              <w:right w:val="single" w:color="auto" w:sz="4" w:space="0"/>
            </w:tcBorders>
            <w:tcW w:w="495"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50"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930"/>
              <w:ind w:firstLine="0"/>
              <w:spacing w:after="0" w:line="276" w:lineRule="auto"/>
              <w:rPr>
                <w:rFonts w:ascii="Times New Roman" w:hAnsi="Times New Roman"/>
                <w:color w:val="000000" w:themeColor="text1"/>
                <w:szCs w:val="21"/>
                <w14:textFill>
                  <w14:solidFill>
                    <w14:schemeClr w14:val="tx1"/>
                  </w14:solidFill>
                </w14:textFill>
              </w:rPr>
            </w:pPr>
            <w:r>
              <w:rPr>
                <w:rFonts w:hint="eastAsia" w:ascii="宋体" w:hAnsi="宋体" w:cs="宋体"/>
                <w:i/>
                <w:iCs/>
                <w:color w:val="000000"/>
                <w:szCs w:val="21"/>
                <w:u w:val="single"/>
              </w:rPr>
              <w:t xml:space="preserve">无人值守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930"/>
              <w:ind w:firstLine="0"/>
              <w:jc w:val="center"/>
              <w:spacing w:after="0" w:line="276" w:lineRule="auto"/>
              <w:rPr>
                <w:rFonts w:ascii="Times New Roman" w:hAnsi="Times New Roman"/>
                <w:color w:val="000000" w:themeColor="text1"/>
                <w:szCs w:val="21"/>
                <w14:textFill>
                  <w14:solidFill>
                    <w14:schemeClr w14:val="tx1"/>
                  </w14:solidFill>
                </w14:textFill>
              </w:rPr>
            </w:pPr>
            <w:r>
              <w:rPr>
                <w:rFonts w:hint="eastAsia" w:ascii="宋体" w:hAnsi="宋体" w:cs="宋体"/>
                <w:i/>
                <w:iCs/>
                <w:color w:val="000000"/>
                <w:szCs w:val="21"/>
                <w:u w:val="single"/>
              </w:rPr>
              <w:t xml:space="preserve">≤</w:t>
            </w:r>
            <w:r>
              <w:rPr>
                <w:rFonts w:ascii="宋体" w:hAnsi="宋体" w:cs="宋体"/>
                <w:i/>
                <w:iCs/>
                <w:color w:val="000000"/>
                <w:szCs w:val="21"/>
                <w:u w:val="single"/>
              </w:rPr>
              <w:t xml:space="preserve">8.1 Bels</w:t>
            </w:r>
            <w:r/>
          </w:p>
        </w:tc>
        <w:tc>
          <w:tcPr>
            <w:tcBorders>
              <w:top w:val="single" w:color="auto" w:sz="4" w:space="0"/>
              <w:left w:val="single" w:color="auto" w:sz="4" w:space="0"/>
              <w:bottom w:val="single" w:color="auto" w:sz="4" w:space="0"/>
              <w:right w:val="single" w:color="auto" w:sz="4" w:space="0"/>
            </w:tcBorders>
            <w:tcW w:w="3014" w:type="dxa"/>
            <w:vAlign w:val="center"/>
            <w:vMerge w:val="continue"/>
            <w:textDirection w:val="lrTb"/>
            <w:noWrap w:val="false"/>
          </w:tcPr>
          <w:p>
            <w:pPr>
              <w:jc w:val="left"/>
              <w:spacing w:after="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tc>
      </w:tr>
    </w:tbl>
    <w:p>
      <w:pPr>
        <w:pStyle w:val="934"/>
        <w:ind w:firstLine="420"/>
        <w:rPr>
          <w:rFonts w:hint="eastAsia" w:asciiTheme="minorEastAsia" w:hAnsiTheme="minorEastAsia"/>
          <w:i/>
          <w:iCs/>
          <w:u w:val="single"/>
        </w:rPr>
      </w:pPr>
      <w:r>
        <w:rPr>
          <w:rFonts w:hint="eastAsia" w:asciiTheme="minorEastAsia" w:hAnsiTheme="minorEastAsia"/>
          <w:i/>
          <w:iCs/>
          <w:u w:val="single"/>
        </w:rPr>
        <w:t xml:space="preserve">合规性验证方式：查验数据中心提供的第三方检测报告或第三方认证证书。</w:t>
      </w:r>
      <w:r/>
    </w:p>
    <w:p>
      <w:pPr>
        <w:jc w:val="left"/>
        <w:spacing w:line="520" w:lineRule="exact"/>
        <w:rPr>
          <w:rFonts w:hint="eastAsia" w:ascii="宋体" w:hAnsi="宋体" w:cs="宋体"/>
          <w:b/>
          <w:bCs/>
          <w:sz w:val="24"/>
        </w:rPr>
      </w:pPr>
      <w:r>
        <w:rPr>
          <w:rFonts w:hint="eastAsia" w:ascii="宋体" w:hAnsi="宋体" w:cs="宋体"/>
          <w:b/>
          <w:bCs/>
          <w:sz w:val="24"/>
          <w:lang w:val="en-US" w:eastAsia="zh-CN"/>
        </w:rPr>
        <w:t xml:space="preserve">五</w:t>
      </w:r>
      <w:r>
        <w:rPr>
          <w:rFonts w:hint="eastAsia" w:ascii="宋体" w:hAnsi="宋体" w:cs="宋体"/>
          <w:b/>
          <w:bCs/>
          <w:sz w:val="24"/>
        </w:rPr>
        <w:t xml:space="preserve">、系统总体要求</w:t>
      </w:r>
      <w:r/>
    </w:p>
    <w:p>
      <w:pPr>
        <w:ind w:firstLine="420"/>
        <w:spacing w:line="360" w:lineRule="auto"/>
        <w:rPr>
          <w:rFonts w:asciiTheme="minorEastAsia" w:hAnsiTheme="minorEastAsia"/>
          <w:sz w:val="24"/>
        </w:rPr>
      </w:pPr>
      <w:r>
        <w:rPr>
          <w:rFonts w:hint="eastAsia" w:asciiTheme="minorEastAsia" w:hAnsiTheme="minorEastAsia"/>
          <w:sz w:val="24"/>
        </w:rPr>
        <w:t xml:space="preserve">1、要求全部高清摄像机按1080P每秒不低于25帧动态码流存储；中标人的前端设备须满足国家GB/T28181-2011、GB 35114标准（A级以上）标准。与仪征市公安局实战应用平台对接的方式采用GB/T28181-2011规定的标准。</w:t>
      </w:r>
      <w:r/>
    </w:p>
    <w:p>
      <w:pPr>
        <w:ind w:firstLine="240"/>
        <w:spacing w:line="360" w:lineRule="auto"/>
        <w:rPr>
          <w:highlight w:val="none"/>
        </w:rPr>
      </w:pPr>
      <w:r>
        <w:rPr>
          <w:rFonts w:hint="eastAsia" w:asciiTheme="minorEastAsia" w:hAnsiTheme="minorEastAsia"/>
          <w:sz w:val="24"/>
          <w:highlight w:val="none"/>
        </w:rPr>
        <w:t xml:space="preserve"> 2、针对中心开口较宽的路口，需针对每个路口的实际情况深化设计施工方案，针对主路需保证有效探测前方来车并提醒来车减速慢行，并在此前提下对支路行人正常行驶方向具备有效的声光提醒。 </w:t>
      </w:r>
      <w:r/>
    </w:p>
    <w:p>
      <w:pPr>
        <w:ind w:firstLine="420"/>
        <w:spacing w:line="360" w:lineRule="auto"/>
        <w:rPr>
          <w:rFonts w:asciiTheme="minorEastAsia" w:hAnsiTheme="minorEastAsia"/>
          <w:sz w:val="24"/>
        </w:rPr>
      </w:pPr>
      <w:r>
        <w:rPr>
          <w:rFonts w:hint="eastAsia" w:asciiTheme="minorEastAsia" w:hAnsiTheme="minorEastAsia"/>
          <w:sz w:val="24"/>
          <w:highlight w:val="none"/>
        </w:rPr>
        <w:t xml:space="preserve">3、除本项目</w:t>
      </w:r>
      <w:r>
        <w:rPr>
          <w:rFonts w:hint="eastAsia" w:asciiTheme="minorEastAsia" w:hAnsiTheme="minorEastAsia"/>
          <w:sz w:val="24"/>
          <w:highlight w:val="none"/>
          <w:lang w:val="zh-CN"/>
        </w:rPr>
        <w:t xml:space="preserve">的主要设备清单外，中标人</w:t>
      </w:r>
      <w:r>
        <w:rPr>
          <w:rFonts w:hint="eastAsia" w:asciiTheme="minorEastAsia" w:hAnsiTheme="minorEastAsia"/>
          <w:sz w:val="24"/>
          <w:highlight w:val="none"/>
        </w:rPr>
        <w:t xml:space="preserve">应</w:t>
      </w:r>
      <w:r>
        <w:rPr>
          <w:rFonts w:hint="eastAsia" w:asciiTheme="minorEastAsia" w:hAnsiTheme="minorEastAsia"/>
          <w:sz w:val="24"/>
          <w:highlight w:val="none"/>
          <w:lang w:val="zh-CN"/>
        </w:rPr>
        <w:t xml:space="preserve">根据实际情况对准备利旧复用的传输专线相关设备进行更换、维护和补充，确保使用过程中的安全可靠，中标人</w:t>
      </w:r>
      <w:r>
        <w:rPr>
          <w:rFonts w:hint="eastAsia" w:asciiTheme="minorEastAsia" w:hAnsiTheme="minorEastAsia"/>
          <w:sz w:val="24"/>
          <w:lang w:val="zh-CN"/>
        </w:rPr>
        <w:t xml:space="preserve">无论是自建、借用其它杆件，中标人应负安全责任，杆件均需要满足关于前端材料设备部分技术要求，</w:t>
      </w:r>
      <w:r>
        <w:rPr>
          <w:rFonts w:hint="eastAsia" w:asciiTheme="minorEastAsia" w:hAnsiTheme="minorEastAsia"/>
          <w:sz w:val="24"/>
        </w:rPr>
        <w:t xml:space="preserve">所有相机应根据场景配相应的镜头、支架等配件</w:t>
      </w:r>
      <w:r>
        <w:rPr>
          <w:rFonts w:hint="eastAsia" w:asciiTheme="minorEastAsia" w:hAnsiTheme="minorEastAsia"/>
          <w:sz w:val="24"/>
          <w:lang w:val="zh-CN"/>
        </w:rPr>
        <w:t xml:space="preserve">，投标人报价时应考虑整个系统正常运行（包括后端接入、平台接入授权等硬件、软件、人工、运输）所产生的各种费用，本项目中交换机安装、调试也均由中标人负责，投标人需考虑其中所有费用，除中标价外，采购人不再另外支付其他费用。</w:t>
      </w:r>
      <w:r>
        <w:rPr>
          <w:rFonts w:hint="eastAsia" w:asciiTheme="minorEastAsia" w:hAnsiTheme="minorEastAsia"/>
          <w:sz w:val="24"/>
        </w:rPr>
        <w:t xml:space="preserve">本项目在交付使用前安全责任由中标人负责，施工过程中造成的人身伤害、财产伤害以及涉及相关法律责任均由中标人承担。</w:t>
      </w:r>
      <w:r>
        <w:rPr>
          <w:rFonts w:hint="eastAsia" w:asciiTheme="minorEastAsia" w:hAnsiTheme="minorEastAsia"/>
          <w:sz w:val="24"/>
          <w:lang w:val="zh-CN"/>
        </w:rPr>
        <w:t xml:space="preserve">投标人必须考虑</w:t>
      </w:r>
      <w:r>
        <w:rPr>
          <w:rFonts w:hint="eastAsia" w:asciiTheme="minorEastAsia" w:hAnsiTheme="minorEastAsia"/>
          <w:sz w:val="24"/>
        </w:rPr>
        <w:t xml:space="preserve">全部</w:t>
      </w:r>
      <w:r>
        <w:rPr>
          <w:rFonts w:hint="eastAsia" w:asciiTheme="minorEastAsia" w:hAnsiTheme="minorEastAsia"/>
          <w:sz w:val="24"/>
          <w:lang w:val="zh-CN"/>
        </w:rPr>
        <w:t xml:space="preserve">前端设备的取电及施工问题（含协调），采购人不另外提供任何费用。</w:t>
      </w:r>
      <w:r>
        <w:rPr>
          <w:rFonts w:hint="eastAsia" w:asciiTheme="minorEastAsia" w:hAnsiTheme="minorEastAsia"/>
          <w:sz w:val="24"/>
        </w:rPr>
        <w:t xml:space="preserve">在施工中若对道路、绿化、管网、光缆等公共设施破坏的，由中标人负责恢复。</w:t>
      </w:r>
      <w:r/>
    </w:p>
    <w:p>
      <w:pPr>
        <w:pStyle w:val="934"/>
        <w:ind w:firstLine="420"/>
        <w:rPr>
          <w:rFonts w:ascii="宋体" w:hAnsi="宋体" w:cs="宋体"/>
          <w:b/>
          <w:i/>
          <w:iCs/>
          <w:u w:val="single"/>
        </w:rPr>
      </w:pPr>
      <w:r>
        <w:rPr>
          <w:rFonts w:hint="eastAsia" w:asciiTheme="minorEastAsia" w:hAnsiTheme="minorEastAsia"/>
          <w:i/>
          <w:iCs/>
          <w:u w:val="single"/>
          <w:lang w:val="zh-CN"/>
        </w:rPr>
        <w:t xml:space="preserve">4、</w:t>
      </w:r>
      <w:r>
        <w:rPr>
          <w:rFonts w:hint="eastAsia" w:asciiTheme="minorEastAsia" w:hAnsiTheme="minorEastAsia"/>
          <w:i/>
          <w:iCs/>
          <w:u w:val="single"/>
        </w:rPr>
        <w:t xml:space="preserve">中标人</w:t>
      </w:r>
      <w:r>
        <w:rPr>
          <w:rFonts w:hint="eastAsia" w:asciiTheme="minorEastAsia" w:hAnsiTheme="minorEastAsia"/>
          <w:i/>
          <w:iCs/>
          <w:u w:val="single"/>
          <w:lang w:val="zh-CN"/>
        </w:rPr>
        <w:t xml:space="preserve">所提供的前端相机必须满足公安GB35114A安全协议要求，无缝接入现有的仪征市公安视频图像信息应用平台，相机包括接入授权、比对授权及</w:t>
      </w:r>
      <w:r>
        <w:rPr>
          <w:rFonts w:hint="eastAsia" w:asciiTheme="minorEastAsia" w:hAnsiTheme="minorEastAsia"/>
          <w:i/>
          <w:iCs/>
          <w:highlight w:val="none"/>
          <w:u w:val="single"/>
          <w:lang w:val="zh-CN"/>
        </w:rPr>
        <w:t xml:space="preserve">3</w:t>
      </w:r>
      <w:r>
        <w:rPr>
          <w:rFonts w:hint="eastAsia" w:asciiTheme="minorEastAsia" w:hAnsiTheme="minorEastAsia"/>
          <w:i/>
          <w:iCs/>
          <w:u w:val="single"/>
          <w:lang w:val="zh-CN"/>
        </w:rPr>
        <w:t xml:space="preserve">年线路等相关费用。接入平台后，任意7天内平台认定的超低质量图片比例不高于百分之五。</w:t>
      </w:r>
      <w:r>
        <w:rPr>
          <w:rFonts w:hint="eastAsia" w:ascii="宋体" w:hAnsi="宋体" w:cs="宋体"/>
          <w:b/>
          <w:i/>
          <w:iCs/>
          <w:u w:val="single"/>
        </w:rPr>
        <w:t xml:space="preserve">（提供承诺函，原件扫描上传，格式自拟）</w:t>
      </w:r>
      <w:r/>
    </w:p>
    <w:p>
      <w:pPr>
        <w:pStyle w:val="934"/>
        <w:ind w:firstLine="420"/>
        <w:rPr>
          <w:rFonts w:ascii="宋体" w:hAnsi="宋体" w:cs="宋体"/>
          <w:b/>
          <w:i/>
          <w:iCs/>
          <w:u w:val="single"/>
        </w:rPr>
      </w:pPr>
      <w:r>
        <w:rPr>
          <w:rFonts w:hint="eastAsia" w:ascii="宋体" w:hAnsi="宋体" w:cs="Arial"/>
          <w:color w:val="000000"/>
          <w:szCs w:val="21"/>
        </w:rPr>
        <w:t xml:space="preserve"> </w:t>
      </w:r>
      <w:r>
        <w:rPr>
          <w:rFonts w:hint="eastAsia" w:asciiTheme="minorEastAsia" w:hAnsiTheme="minorEastAsia"/>
          <w:i/>
          <w:iCs/>
          <w:u w:val="single"/>
          <w:lang w:val="zh-CN"/>
        </w:rPr>
        <w:t xml:space="preserve">5、承诺所有道路交通安全警示设备、特征抓拍设备、交换机在本地有备份，有损坏时能在48小时内更换，并承诺所有硬件设备，采购人有永久使用权。</w:t>
      </w:r>
      <w:r>
        <w:rPr>
          <w:rFonts w:hint="eastAsia" w:ascii="宋体" w:hAnsi="宋体" w:cs="宋体"/>
          <w:b/>
          <w:i/>
          <w:iCs/>
          <w:u w:val="single"/>
        </w:rPr>
        <w:t xml:space="preserve">（提供承诺函，原件扫描上传，格式自拟）</w:t>
      </w:r>
      <w:r/>
    </w:p>
    <w:p>
      <w:pPr>
        <w:pStyle w:val="934"/>
        <w:ind w:firstLine="420"/>
        <w:rPr>
          <w:rFonts w:ascii="宋体" w:hAnsi="宋体"/>
          <w:b/>
          <w:i/>
          <w:color w:val="ff0000"/>
          <w:sz w:val="28"/>
          <w:szCs w:val="28"/>
          <w:u w:val="single"/>
        </w:rPr>
      </w:pPr>
      <w:r>
        <w:rPr>
          <w:rFonts w:hint="eastAsia" w:asciiTheme="minorEastAsia" w:hAnsiTheme="minorEastAsia"/>
          <w:i/>
          <w:iCs/>
          <w:u w:val="single"/>
          <w:lang w:val="zh-CN"/>
        </w:rPr>
        <w:t xml:space="preserve">6、</w:t>
      </w:r>
      <w:r>
        <w:rPr>
          <w:rFonts w:hint="eastAsia" w:asciiTheme="minorEastAsia" w:hAnsiTheme="minorEastAsia"/>
          <w:i/>
          <w:iCs/>
          <w:u w:val="single"/>
        </w:rPr>
        <w:t xml:space="preserve">中标人</w:t>
      </w:r>
      <w:r>
        <w:rPr>
          <w:rFonts w:hint="eastAsia" w:asciiTheme="minorEastAsia" w:hAnsiTheme="minorEastAsia"/>
          <w:i/>
          <w:iCs/>
          <w:u w:val="single"/>
          <w:lang w:val="zh-CN"/>
        </w:rPr>
        <w:t xml:space="preserve">在安装新设备时，不得损坏原有相机及其配套的必备配件、辅材，保证在施工后相机在线，直至自然损坏。</w:t>
      </w:r>
      <w:r>
        <w:rPr>
          <w:rFonts w:hint="eastAsia" w:ascii="宋体" w:hAnsi="宋体" w:cs="宋体"/>
          <w:b/>
          <w:i/>
          <w:iCs/>
          <w:u w:val="single"/>
        </w:rPr>
        <w:t xml:space="preserve">（提供承诺函，原件扫描上传，格式自拟）</w:t>
      </w:r>
      <w:r/>
    </w:p>
    <w:p>
      <w:pPr>
        <w:ind w:firstLine="420"/>
        <w:spacing w:line="360" w:lineRule="auto"/>
        <w:rPr>
          <w:rFonts w:ascii="宋体" w:hAnsi="宋体" w:cs="宋体"/>
          <w:b/>
          <w:i/>
          <w:iCs/>
          <w:sz w:val="24"/>
          <w:u w:val="single"/>
        </w:rPr>
      </w:pPr>
      <w:r>
        <w:rPr>
          <w:rFonts w:hint="eastAsia" w:asciiTheme="minorEastAsia" w:hAnsiTheme="minorEastAsia"/>
          <w:i/>
          <w:iCs/>
          <w:sz w:val="24"/>
          <w:u w:val="single"/>
          <w:lang w:val="zh-CN"/>
        </w:rPr>
        <w:t xml:space="preserve">7、</w:t>
      </w:r>
      <w:r>
        <w:rPr>
          <w:rFonts w:hint="eastAsia" w:asciiTheme="minorEastAsia" w:hAnsiTheme="minorEastAsia"/>
          <w:i/>
          <w:iCs/>
          <w:sz w:val="24"/>
          <w:u w:val="single"/>
        </w:rPr>
        <w:t xml:space="preserve">服务期间，中标人未经采购人同意，不得访问、获取、留存、使用、泄露或者向他人提供数据，不得对数据进行关联分析。所有数据归采购人。</w:t>
      </w:r>
      <w:r>
        <w:rPr>
          <w:rFonts w:hint="eastAsia" w:ascii="宋体" w:hAnsi="宋体" w:cs="宋体"/>
          <w:b/>
          <w:i/>
          <w:iCs/>
          <w:sz w:val="24"/>
          <w:u w:val="single"/>
        </w:rPr>
        <w:t xml:space="preserve">（提供承诺函，原件扫描上传，格式自拟）</w:t>
      </w:r>
      <w:r/>
    </w:p>
    <w:p>
      <w:pPr>
        <w:jc w:val="left"/>
        <w:spacing w:line="520" w:lineRule="exact"/>
        <w:rPr>
          <w:rFonts w:hint="eastAsia" w:ascii="宋体" w:hAnsi="宋体" w:cs="宋体"/>
          <w:b/>
          <w:bCs/>
          <w:sz w:val="24"/>
        </w:rPr>
      </w:pPr>
      <w:r>
        <w:rPr>
          <w:rFonts w:hint="eastAsia" w:ascii="宋体" w:hAnsi="宋体" w:cs="宋体"/>
          <w:b/>
          <w:bCs/>
          <w:sz w:val="24"/>
          <w:lang w:val="en-US" w:eastAsia="zh-CN"/>
        </w:rPr>
        <w:t xml:space="preserve">六</w:t>
      </w:r>
      <w:r>
        <w:rPr>
          <w:rFonts w:hint="eastAsia" w:ascii="宋体" w:hAnsi="宋体" w:cs="宋体"/>
          <w:b/>
          <w:bCs/>
          <w:sz w:val="24"/>
        </w:rPr>
        <w:t xml:space="preserve">、设备采购清单与技术参数</w:t>
      </w:r>
      <w:r/>
    </w:p>
    <w:tbl>
      <w:tblPr>
        <w:tblStyle w:val="896"/>
        <w:tblW w:w="87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
        <w:gridCol w:w="1155"/>
        <w:gridCol w:w="5520"/>
        <w:gridCol w:w="825"/>
        <w:gridCol w:w="773"/>
      </w:tblGrid>
      <w:tr>
        <w:trPr>
          <w:trHeight w:val="470"/>
        </w:trPr>
        <w:tc>
          <w:tcPr>
            <w:tcW w:w="484" w:type="dxa"/>
            <w:vAlign w:val="center"/>
            <w:textDirection w:val="lrTb"/>
            <w:noWrap w:val="false"/>
          </w:tcPr>
          <w:p>
            <w:pPr>
              <w:jc w:val="center"/>
              <w:spacing w:after="0" w:line="240" w:lineRule="auto"/>
              <w:widowControl/>
              <w:rPr>
                <w:rFonts w:hint="eastAsia"/>
                <w:vertAlign w:val="baseline"/>
              </w:rPr>
            </w:pPr>
            <w:r>
              <w:rPr>
                <w:rFonts w:hint="eastAsia" w:asciiTheme="minorEastAsia" w:hAnsiTheme="minorEastAsia" w:eastAsiaTheme="minorEastAsia" w:cstheme="minorEastAsia"/>
                <w:b/>
                <w:bCs/>
                <w:color w:val="000000"/>
                <w:szCs w:val="21"/>
              </w:rPr>
              <w:t xml:space="preserve">序号</w:t>
            </w:r>
            <w:r/>
          </w:p>
        </w:tc>
        <w:tc>
          <w:tcPr>
            <w:tcW w:w="1155"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设备</w:t>
            </w:r>
            <w:r/>
          </w:p>
          <w:p>
            <w:pPr>
              <w:jc w:val="center"/>
              <w:spacing w:after="0" w:line="240" w:lineRule="auto"/>
              <w:widowControl/>
              <w:rPr>
                <w:rFonts w:hint="eastAsia"/>
                <w:vertAlign w:val="baseline"/>
              </w:rPr>
            </w:pPr>
            <w:r>
              <w:rPr>
                <w:rFonts w:hint="eastAsia" w:asciiTheme="minorEastAsia" w:hAnsiTheme="minorEastAsia" w:eastAsiaTheme="minorEastAsia" w:cstheme="minorEastAsia"/>
                <w:b/>
                <w:bCs/>
                <w:color w:val="000000"/>
                <w:szCs w:val="21"/>
              </w:rPr>
              <w:t xml:space="preserve">名称</w:t>
            </w:r>
            <w:r/>
          </w:p>
        </w:tc>
        <w:tc>
          <w:tcPr>
            <w:tcW w:w="5520" w:type="dxa"/>
            <w:vAlign w:val="center"/>
            <w:textDirection w:val="lrTb"/>
            <w:noWrap w:val="false"/>
          </w:tcPr>
          <w:p>
            <w:pPr>
              <w:jc w:val="center"/>
              <w:spacing w:after="0" w:line="240" w:lineRule="auto"/>
              <w:widowControl/>
              <w:rPr>
                <w:rFonts w:hint="eastAsia"/>
                <w:vertAlign w:val="baseline"/>
              </w:rPr>
            </w:pPr>
            <w:r>
              <w:rPr>
                <w:rFonts w:hint="eastAsia" w:asciiTheme="minorEastAsia" w:hAnsiTheme="minorEastAsia" w:eastAsiaTheme="minorEastAsia" w:cstheme="minorEastAsia"/>
                <w:b/>
                <w:bCs/>
                <w:color w:val="000000"/>
                <w:szCs w:val="21"/>
              </w:rPr>
              <w:t xml:space="preserve">规格和型号</w:t>
            </w:r>
            <w:r/>
          </w:p>
        </w:tc>
        <w:tc>
          <w:tcPr>
            <w:tcW w:w="825" w:type="dxa"/>
            <w:vAlign w:val="center"/>
            <w:textDirection w:val="lrTb"/>
            <w:noWrap w:val="false"/>
          </w:tcPr>
          <w:p>
            <w:pPr>
              <w:jc w:val="center"/>
              <w:spacing w:after="0" w:line="240" w:lineRule="auto"/>
              <w:widowControl/>
              <w:rPr>
                <w:rFonts w:hint="eastAsia"/>
                <w:vertAlign w:val="baseline"/>
              </w:rPr>
            </w:pPr>
            <w:r>
              <w:rPr>
                <w:rFonts w:hint="eastAsia" w:asciiTheme="minorEastAsia" w:hAnsiTheme="minorEastAsia" w:eastAsiaTheme="minorEastAsia" w:cstheme="minorEastAsia"/>
                <w:b/>
                <w:bCs/>
                <w:color w:val="000000"/>
                <w:szCs w:val="21"/>
              </w:rPr>
              <w:t xml:space="preserve">单位</w:t>
            </w:r>
            <w:r/>
          </w:p>
        </w:tc>
        <w:tc>
          <w:tcPr>
            <w:tcW w:w="773" w:type="dxa"/>
            <w:vAlign w:val="center"/>
            <w:textDirection w:val="lrTb"/>
            <w:noWrap w:val="false"/>
          </w:tcPr>
          <w:p>
            <w:pPr>
              <w:jc w:val="center"/>
              <w:spacing w:after="0" w:line="240" w:lineRule="auto"/>
              <w:widowControl/>
              <w:rPr>
                <w:rFonts w:hint="eastAsia"/>
                <w:vertAlign w:val="baseline"/>
              </w:rPr>
            </w:pPr>
            <w:r>
              <w:rPr>
                <w:rFonts w:hint="eastAsia" w:asciiTheme="minorEastAsia" w:hAnsiTheme="minorEastAsia" w:eastAsiaTheme="minorEastAsia" w:cstheme="minorEastAsia"/>
                <w:b/>
                <w:bCs/>
                <w:color w:val="000000"/>
                <w:szCs w:val="21"/>
              </w:rPr>
              <w:t xml:space="preserve">数量</w:t>
            </w:r>
            <w:r/>
          </w:p>
        </w:tc>
      </w:tr>
      <w:tr>
        <w:trPr>
          <w:trHeight w:val="470"/>
        </w:trPr>
        <w:tc>
          <w:tcPr>
            <w:tcW w:w="484" w:type="dxa"/>
            <w:vAlign w:val="center"/>
            <w:textDirection w:val="lrTb"/>
            <w:noWrap w:val="false"/>
          </w:tcPr>
          <w:p>
            <w:pPr>
              <w:jc w:val="center"/>
              <w:spacing w:after="0" w:line="240" w:lineRule="auto"/>
              <w:widowControl/>
              <w:rPr>
                <w:rFonts w:hint="eastAsia"/>
                <w:vertAlign w:val="baseline"/>
              </w:rPr>
            </w:pPr>
            <w:r>
              <w:rPr>
                <w:rFonts w:hint="eastAsia" w:ascii="宋体" w:hAnsi="宋体" w:cs="Arial"/>
                <w:color w:val="000000"/>
                <w:szCs w:val="21"/>
              </w:rPr>
              <w:t xml:space="preserve">1</w:t>
            </w:r>
            <w:r/>
          </w:p>
        </w:tc>
        <w:tc>
          <w:tcPr>
            <w:tcW w:w="1155" w:type="dxa"/>
            <w:vAlign w:val="center"/>
            <w:textDirection w:val="lrTb"/>
            <w:noWrap w:val="false"/>
          </w:tcPr>
          <w:p>
            <w:pPr>
              <w:jc w:val="center"/>
              <w:spacing w:after="0" w:line="240" w:lineRule="auto"/>
              <w:widowControl/>
              <w:rPr>
                <w:rFonts w:hint="eastAsia"/>
                <w:vertAlign w:val="baseline"/>
              </w:rPr>
            </w:pPr>
            <w:r>
              <w:rPr>
                <w:rFonts w:hint="eastAsia" w:ascii="宋体" w:hAnsi="宋体" w:cs="Arial"/>
                <w:color w:val="000000"/>
                <w:szCs w:val="21"/>
              </w:rPr>
              <w:t xml:space="preserve">道路交通安全警示设备</w:t>
            </w:r>
            <w:r/>
          </w:p>
        </w:tc>
        <w:tc>
          <w:tcPr>
            <w:tcW w:w="5520" w:type="dxa"/>
            <w:vAlign w:val="center"/>
            <w:textDirection w:val="lrTb"/>
            <w:noWrap w:val="false"/>
          </w:tcPr>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采用一体式雷视主机，集400万摄像机，变焦镜头、毫米波雷达于一体，支持不少于32个目标检测、不少于32个目标轨迹跟踪，机动车检测距离100米；支持大型汽车号牌、小型汽车号牌、使馆汽车号牌、领馆汽车号牌、警用汽车号牌、单层武警汽车号牌、双层武警汽车号牌 、单层军用汽车号牌 、双层军用汽车号牌 、港澳入出境车号牌、教练汽车号牌、大型新能源汽车号牌、小型新能源汽车号牌、普通摩托车号牌、农用车号牌、应急救援专用号牌</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2</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支持内置传感器类型不小于1/1.8英寸CMOS</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支持图像分辨率不小于2688×1520（不包含OSD黑边）</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支持镜头焦距不小于8mm～32mm</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5</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支持采用高功效LED及驱动模块，不少于一块320mm×1280mm显示屏，亮度≥6000cd/㎡，最大功耗≤300W/㎡</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6</w:t>
            </w:r>
            <w:r>
              <w:rPr>
                <w:rFonts w:hint="eastAsia" w:ascii="宋体" w:hAnsi="宋体" w:cs="宋体"/>
                <w:highlight w:val="none"/>
                <w:lang w:val="en-US" w:eastAsia="zh-CN"/>
              </w:rPr>
              <w:t xml:space="preserve">、</w:t>
            </w:r>
            <w:r>
              <w:rPr>
                <w:rFonts w:hint="eastAsia" w:ascii="宋体" w:hAnsi="宋体" w:eastAsia="宋体" w:cs="宋体"/>
                <w:highlight w:val="none"/>
              </w:rPr>
              <w:t xml:space="preserve">包含一组红蓝警示灯，通过雷视抓拍和显示屏提示联动预警</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7</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支持自动聚焦功能，可通过Web界面进行辅助聚焦，设备重新变倍或聚焦需要聚焦解锁后可以重新聚焦</w:t>
            </w:r>
            <w:r>
              <w:rPr>
                <w:rFonts w:hint="eastAsia" w:ascii="宋体" w:hAnsi="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8</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支持本地存储功能；实时视频图像、照片存储策略均支持满覆盖及满即停存储方式，可通过界面进行配置</w:t>
            </w:r>
            <w:r>
              <w:rPr>
                <w:rFonts w:hint="eastAsia" w:ascii="宋体" w:hAnsi="宋体" w:cs="宋体"/>
                <w:highlight w:val="none"/>
                <w:lang w:eastAsia="zh-CN"/>
              </w:rPr>
              <w:t xml:space="preserve">。</w:t>
            </w:r>
            <w:r>
              <w:rPr>
                <w:rFonts w:hint="eastAsia" w:ascii="宋体" w:hAnsi="宋体" w:eastAsia="宋体" w:cs="宋体"/>
                <w:b/>
                <w:bCs/>
                <w:highlight w:val="none"/>
              </w:rPr>
              <w:t xml:space="preserve">（提供有资质的第三方检测机构出具的有效检测报告，原件扫描上传）</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9</w:t>
            </w:r>
            <w:r>
              <w:rPr>
                <w:rFonts w:hint="eastAsia" w:ascii="宋体" w:hAnsi="宋体" w:cs="宋体"/>
                <w:highlight w:val="none"/>
                <w:lang w:val="en-US" w:eastAsia="zh-CN"/>
              </w:rPr>
              <w:t xml:space="preserve">、</w:t>
            </w:r>
            <w:r>
              <w:rPr>
                <w:rFonts w:hint="eastAsia" w:ascii="宋体" w:hAnsi="宋体" w:eastAsia="宋体" w:cs="宋体"/>
                <w:highlight w:val="none"/>
              </w:rPr>
              <w:t xml:space="preserve">包含内置不少于3颗补光灯</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10</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支持测速范围不少于5km/h～180km/h</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11</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支持雷达天线波瓣角度不小于水平：-28°～+28°，垂直：-8.5°～8.5°</w:t>
            </w:r>
            <w:r>
              <w:rPr>
                <w:rFonts w:hint="eastAsia" w:ascii="宋体" w:hAnsi="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12</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支持视频防抖设置</w:t>
            </w:r>
            <w:r>
              <w:rPr>
                <w:rFonts w:hint="eastAsia" w:ascii="宋体" w:hAnsi="宋体" w:cs="宋体"/>
                <w:highlight w:val="none"/>
                <w:lang w:eastAsia="zh-CN"/>
              </w:rPr>
              <w:t xml:space="preserve">。</w:t>
            </w:r>
            <w:r>
              <w:rPr>
                <w:rFonts w:hint="eastAsia" w:ascii="宋体" w:hAnsi="宋体" w:eastAsia="宋体" w:cs="宋体"/>
                <w:b/>
                <w:bCs/>
                <w:highlight w:val="none"/>
              </w:rPr>
              <w:t xml:space="preserve">（提供有资质的第三方检测机构出具的有效检测报告，原件扫描上传）</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13</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支持交通事件检测，支持逆行、超速、违法停车、交通拥堵、行人事件、道路安全预警</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支持机动车违法抓拍：逆行、超速、违法停车</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15</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支持非机动车违法抓拍：超载、未戴安全头盔、装载伞具</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16</w:t>
            </w:r>
            <w:r>
              <w:rPr>
                <w:rFonts w:hint="eastAsia" w:ascii="宋体" w:hAnsi="宋体" w:cs="宋体"/>
                <w:highlight w:val="none"/>
                <w:lang w:val="en-US" w:eastAsia="zh-CN"/>
              </w:rPr>
              <w:t xml:space="preserve">、</w:t>
            </w:r>
            <w:r>
              <w:rPr>
                <w:rFonts w:hint="eastAsia" w:ascii="宋体" w:hAnsi="宋体" w:eastAsia="宋体" w:cs="宋体"/>
                <w:highlight w:val="none"/>
              </w:rPr>
              <w:t xml:space="preserve">包含内置扬声器</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17</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支持在环境不超过-30℃～+60℃的环境下正常工作</w:t>
            </w:r>
            <w:r>
              <w:rPr>
                <w:rFonts w:hint="eastAsia" w:ascii="宋体" w:hAnsi="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18</w:t>
            </w:r>
            <w:r>
              <w:rPr>
                <w:rFonts w:hint="eastAsia" w:ascii="宋体" w:hAnsi="宋体" w:cs="宋体"/>
                <w:highlight w:val="none"/>
                <w:lang w:val="en-US" w:eastAsia="zh-CN"/>
              </w:rPr>
              <w:t xml:space="preserve">、</w:t>
            </w:r>
            <w:r>
              <w:rPr>
                <w:rFonts w:hint="eastAsia" w:ascii="宋体" w:hAnsi="宋体" w:eastAsia="宋体" w:cs="宋体"/>
                <w:highlight w:val="none"/>
              </w:rPr>
              <w:t xml:space="preserve">预警主体高度不小于2640mm，宽度不小于380mm，深度不小于250mm；主体结构顶部除具备安装雷视相机安装机位外，还要具备扩展平台以备全结构化特征抓拍相机及环保补光灯的安装。</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19</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支持镀锌板机身设计，结实耐用，全新户外塑粉喷塑处理，耐腐蚀强</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20</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支持多段式内嵌后门，整体平整美观，分仓运维互不干扰</w:t>
            </w:r>
            <w:r>
              <w:rPr>
                <w:rFonts w:hint="eastAsia" w:ascii="宋体" w:hAnsi="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21</w:t>
            </w:r>
            <w:r>
              <w:rPr>
                <w:rFonts w:hint="eastAsia" w:ascii="宋体" w:hAnsi="宋体" w:cs="宋体"/>
                <w:highlight w:val="none"/>
                <w:lang w:val="en-US" w:eastAsia="zh-CN"/>
              </w:rPr>
              <w:t xml:space="preserve">、</w:t>
            </w:r>
            <w:r>
              <w:rPr>
                <w:rFonts w:hint="eastAsia" w:ascii="宋体" w:hAnsi="宋体" w:eastAsia="宋体" w:cs="宋体"/>
                <w:highlight w:val="none"/>
              </w:rPr>
              <w:t xml:space="preserve">支持防水密封圈采用机打发泡胶，拒绝粘贴密封胶条的方式，防护性更可靠</w:t>
            </w:r>
            <w:r>
              <w:rPr>
                <w:rFonts w:hint="eastAsia" w:ascii="宋体" w:hAnsi="宋体" w:cs="宋体"/>
                <w:highlight w:val="none"/>
                <w:lang w:eastAsia="zh-CN"/>
              </w:rPr>
              <w:t xml:space="preserve">。</w:t>
            </w:r>
            <w:r/>
          </w:p>
          <w:p>
            <w:pPr>
              <w:rPr>
                <w:rFonts w:hint="eastAsia"/>
                <w:highlight w:val="none"/>
                <w:vertAlign w:val="baseline"/>
              </w:rPr>
            </w:pPr>
            <w:r>
              <w:rPr>
                <w:rFonts w:hint="eastAsia" w:ascii="宋体" w:hAnsi="宋体" w:eastAsia="宋体" w:cs="宋体"/>
                <w:highlight w:val="none"/>
              </w:rPr>
              <w:t xml:space="preserve">22、针对中心开口距离交大的平交道口，预警主设备具备多路接口，支持车辆探测与提醒功能设备分体安装。</w:t>
            </w:r>
            <w:r/>
          </w:p>
        </w:tc>
        <w:tc>
          <w:tcPr>
            <w:tcW w:w="825" w:type="dxa"/>
            <w:vAlign w:val="center"/>
            <w:textDirection w:val="lrTb"/>
            <w:noWrap w:val="false"/>
          </w:tcPr>
          <w:p>
            <w:pPr>
              <w:jc w:val="center"/>
              <w:spacing w:after="0" w:line="240" w:lineRule="auto"/>
              <w:widowControl/>
              <w:rPr>
                <w:rFonts w:hint="eastAsia"/>
                <w:vertAlign w:val="baseline"/>
              </w:rPr>
            </w:pPr>
            <w:r>
              <w:rPr>
                <w:rFonts w:hint="eastAsia" w:ascii="宋体" w:hAnsi="宋体" w:cs="Arial"/>
                <w:color w:val="000000"/>
                <w:szCs w:val="21"/>
                <w:lang w:val="en-US" w:eastAsia="zh-CN"/>
              </w:rPr>
              <w:t xml:space="preserve">套</w:t>
            </w:r>
            <w:r/>
          </w:p>
        </w:tc>
        <w:tc>
          <w:tcPr>
            <w:tcW w:w="773" w:type="dxa"/>
            <w:vAlign w:val="center"/>
            <w:textDirection w:val="lrTb"/>
            <w:noWrap w:val="false"/>
          </w:tcPr>
          <w:p>
            <w:pPr>
              <w:jc w:val="center"/>
              <w:spacing w:after="0" w:line="240" w:lineRule="auto"/>
              <w:widowControl/>
              <w:rPr>
                <w:rFonts w:hint="eastAsia"/>
                <w:vertAlign w:val="baseline"/>
              </w:rPr>
            </w:pPr>
            <w:r>
              <w:rPr>
                <w:rFonts w:hint="eastAsia" w:ascii="宋体" w:hAnsi="宋体" w:cs="Arial"/>
                <w:color w:val="000000"/>
                <w:szCs w:val="21"/>
                <w:lang w:val="en-US" w:eastAsia="zh-CN"/>
              </w:rPr>
              <w:t xml:space="preserve">207</w:t>
            </w:r>
            <w:r/>
          </w:p>
        </w:tc>
      </w:tr>
      <w:tr>
        <w:trPr>
          <w:trHeight w:val="470"/>
        </w:trPr>
        <w:tc>
          <w:tcPr>
            <w:tcW w:w="484" w:type="dxa"/>
            <w:vAlign w:val="center"/>
            <w:textDirection w:val="lrTb"/>
            <w:noWrap w:val="false"/>
          </w:tcPr>
          <w:p>
            <w:pPr>
              <w:jc w:val="center"/>
              <w:spacing w:after="0" w:line="240" w:lineRule="auto"/>
              <w:widowControl/>
              <w:rPr>
                <w:rFonts w:hint="eastAsia" w:eastAsia="宋体"/>
                <w:vertAlign w:val="baseline"/>
                <w:lang w:val="en-US" w:eastAsia="zh-CN"/>
              </w:rPr>
            </w:pPr>
            <w:r>
              <w:rPr>
                <w:rFonts w:hint="eastAsia" w:ascii="宋体" w:hAnsi="宋体" w:cs="Arial"/>
                <w:color w:val="000000"/>
                <w:szCs w:val="21"/>
                <w:highlight w:val="none"/>
              </w:rPr>
              <w:t xml:space="preserve">2</w:t>
            </w:r>
            <w:r/>
          </w:p>
        </w:tc>
        <w:tc>
          <w:tcPr>
            <w:tcW w:w="1155" w:type="dxa"/>
            <w:vAlign w:val="center"/>
            <w:textDirection w:val="lrTb"/>
            <w:noWrap w:val="false"/>
          </w:tcPr>
          <w:p>
            <w:pPr>
              <w:jc w:val="center"/>
              <w:spacing w:after="0" w:line="240" w:lineRule="auto"/>
              <w:widowControl/>
              <w:rPr>
                <w:rFonts w:hint="eastAsia"/>
                <w:vertAlign w:val="baseline"/>
              </w:rPr>
            </w:pPr>
            <w:r>
              <w:rPr>
                <w:rFonts w:hint="eastAsia" w:ascii="宋体" w:hAnsi="宋体" w:cs="Arial"/>
                <w:color w:val="000000"/>
                <w:szCs w:val="21"/>
                <w:highlight w:val="none"/>
              </w:rPr>
              <w:t xml:space="preserve">特征抓拍设备</w:t>
            </w:r>
            <w:r/>
          </w:p>
        </w:tc>
        <w:tc>
          <w:tcPr>
            <w:tcW w:w="5520" w:type="dxa"/>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增强型双目特征摄像机</w:t>
            </w:r>
            <w:r/>
          </w:p>
          <w:p>
            <w:pPr>
              <w:rPr>
                <w:rFonts w:hint="eastAsia" w:ascii="宋体" w:hAnsi="宋体" w:eastAsia="宋体" w:cs="宋体"/>
                <w:highlight w:val="none"/>
              </w:rPr>
            </w:pPr>
            <w:r>
              <w:rPr>
                <w:rFonts w:hint="eastAsia" w:ascii="宋体" w:hAnsi="宋体" w:eastAsia="宋体" w:cs="宋体"/>
                <w:highlight w:val="none"/>
              </w:rPr>
              <w:t xml:space="preserve">1、大模型全结构化：支持动态目标检测，对检测区域内的人、车进行抓拍上传；支持人脸人体车辆同时抓拍，人脸人体关联输出，并实现对人脸、人体、车辆结构化属性特征信息提取。</w:t>
            </w:r>
            <w:r/>
          </w:p>
          <w:p>
            <w:pPr>
              <w:rPr>
                <w:rFonts w:hint="eastAsia" w:ascii="宋体" w:hAnsi="宋体" w:eastAsia="宋体" w:cs="宋体"/>
                <w:highlight w:val="none"/>
              </w:rPr>
            </w:pPr>
            <w:r>
              <w:rPr>
                <w:rFonts w:hint="eastAsia" w:ascii="宋体" w:hAnsi="宋体" w:eastAsia="宋体" w:cs="宋体"/>
                <w:highlight w:val="none"/>
              </w:rPr>
              <w:t xml:space="preserve">2、通道一主码流分辨率不小于3840x2160，通道二主码流分辨率不小于2688x1520。</w:t>
            </w:r>
            <w:r/>
          </w:p>
          <w:p>
            <w:pPr>
              <w:rPr>
                <w:rFonts w:hint="eastAsia" w:ascii="宋体" w:hAnsi="宋体" w:eastAsia="宋体" w:cs="宋体"/>
                <w:highlight w:val="none"/>
              </w:rPr>
            </w:pPr>
            <w:r>
              <w:rPr>
                <w:rFonts w:hint="eastAsia" w:ascii="宋体" w:hAnsi="宋体" w:eastAsia="宋体" w:cs="宋体"/>
                <w:highlight w:val="none"/>
              </w:rPr>
              <w:t xml:space="preserve">3、设备靶面尺寸均为</w:t>
            </w:r>
            <w:r>
              <w:rPr>
                <w:rFonts w:hint="eastAsia" w:ascii="宋体" w:hAnsi="宋体" w:eastAsia="宋体" w:cs="宋体"/>
                <w:color w:val="ff0000"/>
                <w:highlight w:val="none"/>
              </w:rPr>
              <w:t xml:space="preserve"> </w:t>
            </w:r>
            <w:r>
              <w:rPr>
                <w:rFonts w:hint="eastAsia" w:ascii="宋体" w:hAnsi="宋体" w:eastAsia="宋体" w:cs="宋体"/>
                <w:color w:val="auto"/>
                <w:highlight w:val="none"/>
              </w:rPr>
              <w:t xml:space="preserve">1/1.8</w:t>
            </w:r>
            <w:r>
              <w:rPr>
                <w:rFonts w:hint="eastAsia" w:ascii="宋体" w:hAnsi="宋体" w:eastAsia="宋体" w:cs="宋体"/>
                <w:highlight w:val="none"/>
              </w:rPr>
              <w:t xml:space="preserve">英寸图像传感器。最低照度彩色不大于0.0003 lx，黑白不大于0.0001 lx。</w:t>
            </w:r>
            <w:r/>
          </w:p>
          <w:p>
            <w:pPr>
              <w:rPr>
                <w:rFonts w:hint="eastAsia" w:ascii="宋体" w:hAnsi="宋体" w:eastAsia="宋体" w:cs="宋体"/>
                <w:highlight w:val="none"/>
              </w:rPr>
            </w:pPr>
            <w:r>
              <w:rPr>
                <w:rFonts w:hint="eastAsia" w:ascii="宋体" w:hAnsi="宋体" w:eastAsia="宋体" w:cs="宋体"/>
                <w:highlight w:val="none"/>
              </w:rPr>
              <w:t xml:space="preserve">★4、设备采用基于transformer架构的大模型算法，内置算力不小于8TOPS。</w:t>
            </w:r>
            <w:r>
              <w:rPr>
                <w:rFonts w:hint="eastAsia" w:ascii="宋体" w:hAnsi="宋体" w:eastAsia="宋体" w:cs="宋体"/>
                <w:b/>
                <w:bCs/>
                <w:color w:val="000000"/>
                <w:szCs w:val="21"/>
                <w:highlight w:val="none"/>
              </w:rPr>
              <w:t xml:space="preserve">（提供有资质的第三方检测机构出具的检测报告，原件扫描上传）</w:t>
            </w:r>
            <w:r/>
          </w:p>
          <w:p>
            <w:pPr>
              <w:rPr>
                <w:rFonts w:hint="eastAsia" w:ascii="宋体" w:hAnsi="宋体" w:eastAsia="宋体" w:cs="宋体"/>
                <w:highlight w:val="none"/>
              </w:rPr>
            </w:pPr>
            <w:r>
              <w:rPr>
                <w:rFonts w:hint="eastAsia" w:ascii="宋体" w:hAnsi="宋体" w:eastAsia="宋体" w:cs="宋体"/>
                <w:highlight w:val="none"/>
              </w:rPr>
              <w:t xml:space="preserve">★5、设备内置鳞镜式补光灯，灯珠朝向与设备照射方向不同，补光灯开启后正面不可见补光灯灯珠。</w:t>
            </w:r>
            <w:r>
              <w:rPr>
                <w:rFonts w:hint="eastAsia" w:ascii="宋体" w:hAnsi="宋体" w:eastAsia="宋体" w:cs="宋体"/>
                <w:b/>
                <w:bCs/>
                <w:color w:val="000000"/>
                <w:szCs w:val="21"/>
                <w:highlight w:val="none"/>
              </w:rPr>
              <w:t xml:space="preserve">（提供有资质的第三方检测机构出具的检测报告，原件扫描上传）</w:t>
            </w:r>
            <w:r/>
          </w:p>
          <w:p>
            <w:pPr>
              <w:rPr>
                <w:rFonts w:hint="eastAsia" w:ascii="宋体" w:hAnsi="宋体" w:eastAsia="宋体" w:cs="宋体"/>
                <w:highlight w:val="none"/>
              </w:rPr>
            </w:pPr>
            <w:r>
              <w:rPr>
                <w:rFonts w:hint="eastAsia" w:ascii="宋体" w:hAnsi="宋体" w:eastAsia="宋体" w:cs="宋体"/>
                <w:highlight w:val="none"/>
              </w:rPr>
              <w:t xml:space="preserve">★6、设备支持大模型结构化混行目标检测，支持混行目标（行人、人脸、车辆、非机动车）检测、抓拍及结构化属性分析。可关联显示人脸/人体图片和车牌/车辆图片，并将结果上传平台，上传延时不超过1S。</w:t>
            </w:r>
            <w:r>
              <w:rPr>
                <w:rFonts w:hint="eastAsia" w:ascii="宋体" w:hAnsi="宋体" w:eastAsia="宋体" w:cs="宋体"/>
                <w:b/>
                <w:bCs/>
                <w:color w:val="000000"/>
                <w:szCs w:val="21"/>
                <w:highlight w:val="none"/>
              </w:rPr>
              <w:t xml:space="preserve">（提供有资质的第三方检测机构出具的检测报告，原件扫描上传）</w:t>
            </w:r>
            <w:r/>
          </w:p>
          <w:p>
            <w:pPr>
              <w:rPr>
                <w:rFonts w:hint="eastAsia" w:ascii="宋体" w:hAnsi="宋体" w:eastAsia="宋体" w:cs="宋体"/>
                <w:highlight w:val="none"/>
              </w:rPr>
            </w:pPr>
            <w:r>
              <w:rPr>
                <w:rFonts w:hint="eastAsia" w:ascii="宋体" w:hAnsi="宋体" w:eastAsia="宋体" w:cs="宋体"/>
                <w:highlight w:val="none"/>
              </w:rPr>
              <w:t xml:space="preserve">★7、设备具备大模型分析夜视能力，在环境光照度不高于0.1lx，关闭补光灯情况下，可抓拍距离样机15m处人脸，可认清抓拍图片人脸的面部特征。</w:t>
            </w:r>
            <w:r>
              <w:rPr>
                <w:rFonts w:hint="eastAsia" w:ascii="宋体" w:hAnsi="宋体" w:eastAsia="宋体" w:cs="宋体"/>
                <w:b/>
                <w:bCs/>
                <w:color w:val="000000"/>
                <w:szCs w:val="21"/>
                <w:highlight w:val="none"/>
              </w:rPr>
              <w:t xml:space="preserve">（提供有资质的第三方检测机构出具的检测报告，原件扫描上传）</w:t>
            </w:r>
            <w:r/>
          </w:p>
          <w:p>
            <w:pPr>
              <w:rPr>
                <w:rFonts w:hint="eastAsia" w:ascii="宋体" w:hAnsi="宋体" w:eastAsia="宋体" w:cs="宋体"/>
                <w:highlight w:val="none"/>
              </w:rPr>
            </w:pPr>
            <w:r>
              <w:rPr>
                <w:rFonts w:hint="eastAsia" w:ascii="宋体" w:hAnsi="宋体" w:eastAsia="宋体" w:cs="宋体"/>
                <w:highlight w:val="none"/>
              </w:rPr>
              <w:t xml:space="preserve">★8、设备支持大模型人脸成像增强功能，开启后可提升低照度、雨、雾等环境下的人脸抓拍图片成像效果。</w:t>
            </w:r>
            <w:r>
              <w:rPr>
                <w:rFonts w:hint="eastAsia" w:ascii="宋体" w:hAnsi="宋体" w:eastAsia="宋体" w:cs="宋体"/>
                <w:b/>
                <w:bCs/>
                <w:color w:val="000000"/>
                <w:szCs w:val="21"/>
                <w:highlight w:val="none"/>
              </w:rPr>
              <w:t xml:space="preserve">（提供有资质的第三方检测机构出具的检测报告，原件扫描上传）</w:t>
            </w:r>
            <w:r/>
          </w:p>
          <w:p>
            <w:pPr>
              <w:rPr>
                <w:rFonts w:hint="eastAsia" w:ascii="宋体" w:hAnsi="宋体" w:eastAsia="宋体" w:cs="宋体"/>
                <w:highlight w:val="none"/>
              </w:rPr>
            </w:pPr>
            <w:r>
              <w:rPr>
                <w:rFonts w:hint="eastAsia" w:ascii="宋体" w:hAnsi="宋体" w:eastAsia="宋体" w:cs="宋体"/>
                <w:highlight w:val="none"/>
              </w:rPr>
              <w:t xml:space="preserve">9、可对出现在监控场景内的两眼瞳距不小于20像素的人脸进行检测。</w:t>
            </w:r>
            <w:r/>
          </w:p>
          <w:p>
            <w:pPr>
              <w:rPr>
                <w:rFonts w:hint="eastAsia" w:ascii="宋体" w:hAnsi="宋体" w:eastAsia="宋体" w:cs="宋体"/>
                <w:highlight w:val="none"/>
              </w:rPr>
            </w:pPr>
            <w:r>
              <w:rPr>
                <w:rFonts w:hint="eastAsia" w:ascii="宋体" w:hAnsi="宋体" w:eastAsia="宋体" w:cs="宋体"/>
                <w:highlight w:val="none"/>
              </w:rPr>
              <w:t xml:space="preserve">★10、设备支持大模型人脸比对功能，可对监控画面中出现的人脸与设备人脸库中的人脸图片进行比对，比对准确率不低于99%。</w:t>
            </w:r>
            <w:r>
              <w:rPr>
                <w:rFonts w:hint="eastAsia" w:ascii="宋体" w:hAnsi="宋体" w:eastAsia="宋体" w:cs="宋体"/>
                <w:b/>
                <w:bCs/>
                <w:color w:val="000000"/>
                <w:szCs w:val="21"/>
                <w:highlight w:val="none"/>
              </w:rPr>
              <w:t xml:space="preserve">（提供有资质的第三方检测机构出具的检测报告，原件扫描上传）</w:t>
            </w:r>
            <w:r/>
          </w:p>
          <w:p>
            <w:pPr>
              <w:rPr>
                <w:rFonts w:hint="eastAsia" w:ascii="宋体" w:hAnsi="宋体" w:eastAsia="宋体" w:cs="宋体"/>
                <w:highlight w:val="none"/>
              </w:rPr>
            </w:pPr>
            <w:r>
              <w:rPr>
                <w:rFonts w:hint="eastAsia" w:ascii="宋体" w:hAnsi="宋体" w:eastAsia="宋体" w:cs="宋体"/>
                <w:highlight w:val="none"/>
              </w:rPr>
              <w:t xml:space="preserve">★11、设备支持开启、关闭文搜功能，功能开启后，可上传目标场景图片及目标信息，目标信息包括出现的时间、目标类别、在视场中的位置。</w:t>
            </w:r>
            <w:r>
              <w:rPr>
                <w:rFonts w:hint="eastAsia" w:ascii="宋体" w:hAnsi="宋体" w:eastAsia="宋体" w:cs="宋体"/>
                <w:b/>
                <w:bCs/>
                <w:color w:val="000000"/>
                <w:szCs w:val="21"/>
                <w:highlight w:val="none"/>
              </w:rPr>
              <w:t xml:space="preserve">（提供有资质的第三方检测机构出具的检测报告，原件扫描上传）</w:t>
            </w:r>
            <w:r/>
          </w:p>
          <w:p>
            <w:pPr>
              <w:rPr>
                <w:rFonts w:hint="eastAsia" w:ascii="宋体" w:hAnsi="宋体" w:eastAsia="宋体" w:cs="宋体"/>
                <w:highlight w:val="none"/>
              </w:rPr>
            </w:pPr>
            <w:r>
              <w:rPr>
                <w:rFonts w:hint="eastAsia" w:ascii="宋体" w:hAnsi="宋体" w:eastAsia="宋体" w:cs="宋体"/>
                <w:highlight w:val="none"/>
              </w:rPr>
              <w:t xml:space="preserve">12、设备外壳防护能力支持IP67。</w:t>
            </w:r>
            <w:r/>
          </w:p>
          <w:p>
            <w:pPr>
              <w:rPr>
                <w:rFonts w:hint="eastAsia" w:ascii="宋体" w:hAnsi="宋体" w:eastAsia="宋体" w:cs="宋体"/>
                <w:highlight w:val="none"/>
              </w:rPr>
            </w:pPr>
            <w:r>
              <w:rPr>
                <w:rFonts w:hint="eastAsia" w:ascii="宋体" w:hAnsi="宋体" w:eastAsia="宋体" w:cs="宋体"/>
                <w:highlight w:val="none"/>
              </w:rPr>
              <w:t xml:space="preserve">13、支持对镜头前盖玻璃加热，去除玻璃上的冰状和水状附着物。</w:t>
            </w:r>
            <w:r/>
          </w:p>
          <w:p>
            <w:pPr>
              <w:rPr>
                <w:rFonts w:hint="eastAsia" w:ascii="宋体" w:hAnsi="宋体" w:eastAsia="宋体" w:cs="宋体"/>
                <w:highlight w:val="none"/>
              </w:rPr>
            </w:pPr>
            <w:r>
              <w:rPr>
                <w:rFonts w:hint="eastAsia" w:ascii="宋体" w:hAnsi="宋体" w:eastAsia="宋体" w:cs="宋体"/>
                <w:highlight w:val="none"/>
              </w:rPr>
              <w:t xml:space="preserve">14、设备具有耀光抑制功能，耀光区域≤1%。</w:t>
            </w:r>
            <w:r/>
          </w:p>
          <w:p>
            <w:pPr>
              <w:rPr>
                <w:rFonts w:hint="eastAsia" w:ascii="宋体" w:hAnsi="宋体" w:eastAsia="宋体" w:cs="宋体"/>
                <w:highlight w:val="none"/>
              </w:rPr>
            </w:pPr>
            <w:r>
              <w:rPr>
                <w:rFonts w:hint="eastAsia" w:ascii="宋体" w:hAnsi="宋体" w:eastAsia="宋体" w:cs="宋体"/>
                <w:highlight w:val="none"/>
              </w:rPr>
              <w:t xml:space="preserve">15、内置不少于1个音频输入接口、1个音频输出接口、1个报警输入接口、1个报警输出接口。</w:t>
            </w:r>
            <w:r/>
          </w:p>
          <w:p>
            <w:pPr>
              <w:rPr>
                <w:rFonts w:hint="eastAsia"/>
                <w:highlight w:val="none"/>
                <w:vertAlign w:val="baseline"/>
              </w:rPr>
            </w:pPr>
            <w:r>
              <w:rPr>
                <w:rFonts w:hint="eastAsia" w:ascii="宋体" w:hAnsi="宋体" w:eastAsia="宋体" w:cs="宋体"/>
                <w:highlight w:val="none"/>
              </w:rPr>
              <w:t xml:space="preserve">16、电源输出：1路DC12V输出，最大电流50mA。电流及功耗：DC：12 V，1.94 A，最大功耗：23.3W；PoE：PoE(IEEE 802.3at class 4)，最大功耗：25.2W。</w:t>
            </w:r>
            <w:r/>
          </w:p>
        </w:tc>
        <w:tc>
          <w:tcPr>
            <w:tcW w:w="825" w:type="dxa"/>
            <w:vAlign w:val="center"/>
            <w:textDirection w:val="lrTb"/>
            <w:noWrap w:val="false"/>
          </w:tcPr>
          <w:p>
            <w:pPr>
              <w:jc w:val="center"/>
              <w:spacing w:after="0" w:line="240" w:lineRule="auto"/>
              <w:widowControl/>
              <w:rPr>
                <w:rFonts w:hint="eastAsia"/>
                <w:vertAlign w:val="baseline"/>
              </w:rPr>
            </w:pPr>
            <w:r>
              <w:rPr>
                <w:rFonts w:hint="eastAsia" w:ascii="宋体" w:hAnsi="宋体" w:cs="Arial"/>
                <w:color w:val="000000"/>
                <w:szCs w:val="21"/>
              </w:rPr>
              <w:t xml:space="preserve">台</w:t>
            </w:r>
            <w:r/>
          </w:p>
        </w:tc>
        <w:tc>
          <w:tcPr>
            <w:tcW w:w="773" w:type="dxa"/>
            <w:vAlign w:val="center"/>
            <w:textDirection w:val="lrTb"/>
            <w:noWrap w:val="false"/>
          </w:tcPr>
          <w:p>
            <w:pPr>
              <w:jc w:val="center"/>
              <w:spacing w:after="0" w:line="240" w:lineRule="auto"/>
              <w:widowControl/>
              <w:rPr>
                <w:rFonts w:hint="eastAsia"/>
                <w:vertAlign w:val="baseline"/>
              </w:rPr>
            </w:pPr>
            <w:r>
              <w:rPr>
                <w:rFonts w:hint="eastAsia" w:ascii="宋体" w:hAnsi="宋体" w:cs="Arial"/>
                <w:color w:val="000000"/>
                <w:szCs w:val="21"/>
                <w:lang w:val="en-US" w:eastAsia="zh-CN"/>
              </w:rPr>
              <w:t xml:space="preserve">118</w:t>
            </w:r>
            <w:r/>
          </w:p>
        </w:tc>
      </w:tr>
      <w:tr>
        <w:trPr>
          <w:trHeight w:val="485"/>
        </w:trPr>
        <w:tc>
          <w:tcPr>
            <w:tcW w:w="484" w:type="dxa"/>
            <w:vAlign w:val="center"/>
            <w:textDirection w:val="lrTb"/>
            <w:noWrap w:val="false"/>
          </w:tcPr>
          <w:p>
            <w:pPr>
              <w:jc w:val="center"/>
              <w:spacing w:after="0" w:line="240" w:lineRule="auto"/>
              <w:widowControl/>
              <w:rPr>
                <w:rFonts w:hint="eastAsia"/>
                <w:highlight w:val="none"/>
                <w:vertAlign w:val="baseline"/>
              </w:rPr>
            </w:pPr>
            <w:r>
              <w:rPr>
                <w:rFonts w:hint="eastAsia" w:ascii="宋体" w:hAnsi="宋体" w:cs="Arial"/>
                <w:color w:val="000000"/>
                <w:szCs w:val="21"/>
                <w:highlight w:val="none"/>
              </w:rPr>
              <w:t xml:space="preserve">3</w:t>
            </w:r>
            <w:r/>
          </w:p>
        </w:tc>
        <w:tc>
          <w:tcPr>
            <w:tcW w:w="1155" w:type="dxa"/>
            <w:vAlign w:val="center"/>
            <w:textDirection w:val="lrTb"/>
            <w:noWrap w:val="false"/>
          </w:tcPr>
          <w:p>
            <w:pPr>
              <w:jc w:val="center"/>
              <w:spacing w:after="0" w:line="240" w:lineRule="auto"/>
              <w:widowControl/>
              <w:rPr>
                <w:rFonts w:hint="eastAsia"/>
                <w:highlight w:val="none"/>
                <w:vertAlign w:val="baseline"/>
              </w:rPr>
            </w:pPr>
            <w:r>
              <w:rPr>
                <w:rFonts w:hint="eastAsia" w:ascii="宋体" w:hAnsi="宋体" w:cs="Arial"/>
                <w:color w:val="000000"/>
                <w:szCs w:val="21"/>
                <w:highlight w:val="none"/>
              </w:rPr>
              <w:t xml:space="preserve">旷视授权</w:t>
            </w:r>
            <w:r/>
          </w:p>
        </w:tc>
        <w:tc>
          <w:tcPr>
            <w:tcW w:w="5520" w:type="dxa"/>
            <w:vAlign w:val="center"/>
            <w:textDirection w:val="lrTb"/>
            <w:noWrap w:val="false"/>
          </w:tcPr>
          <w:p>
            <w:pPr>
              <w:jc w:val="left"/>
              <w:widowControl/>
              <w:rPr>
                <w:rFonts w:hint="eastAsia"/>
                <w:highlight w:val="none"/>
                <w:vertAlign w:val="baseline"/>
              </w:rPr>
            </w:pPr>
            <w:r>
              <w:rPr>
                <w:rFonts w:hint="eastAsia" w:ascii="宋体" w:hAnsi="宋体" w:cs="Arial"/>
                <w:color w:val="000000"/>
                <w:szCs w:val="21"/>
                <w:highlight w:val="none"/>
              </w:rPr>
              <w:t xml:space="preserve">旷视全特征比对</w:t>
            </w:r>
            <w:r/>
          </w:p>
        </w:tc>
        <w:tc>
          <w:tcPr>
            <w:tcW w:w="825" w:type="dxa"/>
            <w:vAlign w:val="center"/>
            <w:textDirection w:val="lrTb"/>
            <w:noWrap w:val="false"/>
          </w:tcPr>
          <w:p>
            <w:pPr>
              <w:jc w:val="center"/>
              <w:spacing w:after="0" w:line="240" w:lineRule="auto"/>
              <w:widowControl/>
              <w:rPr>
                <w:rFonts w:hint="eastAsia"/>
                <w:highlight w:val="none"/>
                <w:vertAlign w:val="baseline"/>
              </w:rPr>
            </w:pPr>
            <w:r>
              <w:rPr>
                <w:rFonts w:hint="eastAsia" w:ascii="宋体" w:hAnsi="宋体" w:cs="Arial"/>
                <w:color w:val="000000"/>
                <w:szCs w:val="21"/>
                <w:highlight w:val="none"/>
                <w:lang w:val="en-US" w:eastAsia="zh-CN"/>
              </w:rPr>
              <w:t xml:space="preserve">点</w:t>
            </w:r>
            <w:r/>
          </w:p>
        </w:tc>
        <w:tc>
          <w:tcPr>
            <w:tcW w:w="773" w:type="dxa"/>
            <w:vAlign w:val="center"/>
            <w:textDirection w:val="lrTb"/>
            <w:noWrap w:val="false"/>
          </w:tcPr>
          <w:p>
            <w:pPr>
              <w:jc w:val="center"/>
              <w:spacing w:after="0" w:line="240" w:lineRule="auto"/>
              <w:widowControl/>
              <w:rPr>
                <w:rFonts w:hint="eastAsia"/>
                <w:highlight w:val="none"/>
                <w:vertAlign w:val="baseline"/>
              </w:rPr>
            </w:pPr>
            <w:r>
              <w:rPr>
                <w:rFonts w:hint="eastAsia" w:ascii="宋体" w:hAnsi="宋体" w:cs="Arial"/>
                <w:color w:val="000000"/>
                <w:szCs w:val="21"/>
                <w:highlight w:val="none"/>
                <w:lang w:val="en-US" w:eastAsia="zh-CN"/>
              </w:rPr>
              <w:t xml:space="preserve">118</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szCs w:val="21"/>
              </w:rPr>
            </w:pPr>
            <w:r>
              <w:rPr>
                <w:rFonts w:hint="eastAsia" w:ascii="宋体" w:hAnsi="宋体" w:cs="Arial"/>
                <w:color w:val="000000"/>
                <w:szCs w:val="21"/>
              </w:rPr>
              <w:t xml:space="preserve">4</w:t>
            </w:r>
            <w:r/>
          </w:p>
        </w:tc>
        <w:tc>
          <w:tcPr>
            <w:tcW w:w="1155" w:type="dxa"/>
            <w:vAlign w:val="center"/>
            <w:textDirection w:val="lrTb"/>
            <w:noWrap w:val="false"/>
          </w:tcPr>
          <w:p>
            <w:pPr>
              <w:jc w:val="center"/>
              <w:spacing w:after="0" w:line="240" w:lineRule="auto"/>
              <w:widowControl/>
              <w:rPr>
                <w:rFonts w:hint="eastAsia" w:ascii="宋体" w:hAnsi="宋体" w:cs="Arial"/>
                <w:color w:val="000000"/>
                <w:szCs w:val="21"/>
                <w:highlight w:val="none"/>
              </w:rPr>
            </w:pPr>
            <w:r>
              <w:rPr>
                <w:rFonts w:hint="eastAsia" w:ascii="宋体" w:hAnsi="宋体" w:cs="Arial"/>
                <w:color w:val="000000"/>
                <w:szCs w:val="21"/>
                <w:highlight w:val="none"/>
              </w:rPr>
              <w:t xml:space="preserve">环保补光灯</w:t>
            </w:r>
            <w:r/>
          </w:p>
        </w:tc>
        <w:tc>
          <w:tcPr>
            <w:tcW w:w="5520" w:type="dxa"/>
            <w:vAlign w:val="center"/>
            <w:textDirection w:val="lrTb"/>
            <w:noWrap w:val="false"/>
          </w:tcPr>
          <w:p>
            <w:pPr>
              <w:jc w:val="left"/>
              <w:widowControl/>
              <w:rPr>
                <w:rFonts w:hint="eastAsia" w:cs="Arial" w:asciiTheme="minorEastAsia" w:hAnsiTheme="minorEastAsia" w:eastAsiaTheme="minorEastAsia"/>
                <w:color w:val="000000"/>
                <w:sz w:val="21"/>
                <w:szCs w:val="21"/>
                <w:highlight w:val="none"/>
                <w:lang w:eastAsia="zh-CN"/>
              </w:rPr>
            </w:pPr>
            <w:r>
              <w:rPr>
                <w:rFonts w:hint="eastAsia" w:cs="Arial" w:asciiTheme="minorEastAsia" w:hAnsiTheme="minorEastAsia" w:eastAsiaTheme="minorEastAsia"/>
                <w:color w:val="000000"/>
                <w:sz w:val="21"/>
                <w:szCs w:val="21"/>
                <w:highlight w:val="none"/>
                <w:lang w:val="en-US" w:eastAsia="zh-CN"/>
              </w:rPr>
              <w:t xml:space="preserve">1、</w:t>
            </w:r>
            <w:r>
              <w:rPr>
                <w:rFonts w:hint="eastAsia" w:cs="Arial" w:asciiTheme="minorEastAsia" w:hAnsiTheme="minorEastAsia" w:eastAsiaTheme="minorEastAsia"/>
                <w:color w:val="000000"/>
                <w:sz w:val="21"/>
                <w:szCs w:val="21"/>
                <w:highlight w:val="none"/>
              </w:rPr>
              <w:t xml:space="preserve">颗数：≥48颗原装进口大功率暖光色温LED灯珠</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             </w:t>
            </w:r>
            <w:r>
              <w:rPr>
                <w:rFonts w:hint="eastAsia" w:cs="Arial" w:asciiTheme="minorEastAsia" w:hAnsiTheme="minorEastAsia" w:eastAsiaTheme="minorEastAsia"/>
                <w:color w:val="000000"/>
                <w:sz w:val="21"/>
                <w:szCs w:val="21"/>
                <w:highlight w:val="none"/>
                <w:lang w:val="en-US" w:eastAsia="zh-CN"/>
              </w:rPr>
              <w:t xml:space="preserve">2、</w:t>
            </w:r>
            <w:r>
              <w:rPr>
                <w:rFonts w:hint="eastAsia" w:cs="Arial" w:asciiTheme="minorEastAsia" w:hAnsiTheme="minorEastAsia" w:eastAsiaTheme="minorEastAsia"/>
                <w:color w:val="000000"/>
                <w:sz w:val="21"/>
                <w:szCs w:val="21"/>
                <w:highlight w:val="none"/>
              </w:rPr>
              <w:br w:type="page" w:clear="all"/>
            </w:r>
            <w:r>
              <w:rPr>
                <w:rFonts w:hint="eastAsia" w:cs="Arial" w:asciiTheme="minorEastAsia" w:hAnsiTheme="minorEastAsia" w:eastAsiaTheme="minorEastAsia"/>
                <w:color w:val="000000"/>
                <w:sz w:val="21"/>
                <w:szCs w:val="21"/>
                <w:highlight w:val="none"/>
              </w:rPr>
              <w:t xml:space="preserve">功 率：≤50W</w:t>
            </w:r>
            <w:r>
              <w:rPr>
                <w:rFonts w:hint="eastAsia" w:cs="Arial" w:asciiTheme="minorEastAsia" w:hAnsiTheme="minorEastAsia" w:eastAsiaTheme="minorEastAsia"/>
                <w:color w:val="000000"/>
                <w:sz w:val="21"/>
                <w:szCs w:val="21"/>
                <w:highlight w:val="none"/>
                <w:lang w:eastAsia="zh-CN"/>
              </w:rPr>
              <w:t xml:space="preserve">。</w:t>
            </w:r>
            <w:r/>
          </w:p>
          <w:p>
            <w:pPr>
              <w:jc w:val="left"/>
              <w:widowControl/>
              <w:rPr>
                <w:rFonts w:hint="eastAsia" w:cs="Arial" w:asciiTheme="minorEastAsia" w:hAnsiTheme="minorEastAsia" w:eastAsiaTheme="minorEastAsia"/>
                <w:color w:val="000000"/>
                <w:sz w:val="21"/>
                <w:szCs w:val="21"/>
                <w:highlight w:val="none"/>
                <w:lang w:eastAsia="zh-CN"/>
              </w:rPr>
            </w:pPr>
            <w:r>
              <w:rPr>
                <w:rFonts w:hint="eastAsia" w:cs="Arial" w:asciiTheme="minorEastAsia" w:hAnsiTheme="minorEastAsia" w:eastAsiaTheme="minorEastAsia"/>
                <w:color w:val="000000"/>
                <w:sz w:val="21"/>
                <w:szCs w:val="21"/>
                <w:highlight w:val="none"/>
                <w:lang w:val="en-US" w:eastAsia="zh-CN"/>
              </w:rPr>
              <w:t xml:space="preserve">3、</w:t>
            </w:r>
            <w:r>
              <w:rPr>
                <w:rFonts w:hint="eastAsia" w:cs="Arial" w:asciiTheme="minorEastAsia" w:hAnsiTheme="minorEastAsia" w:eastAsiaTheme="minorEastAsia"/>
                <w:color w:val="000000"/>
                <w:sz w:val="21"/>
                <w:szCs w:val="21"/>
                <w:highlight w:val="none"/>
              </w:rPr>
              <w:br w:type="page" w:clear="all"/>
            </w:r>
            <w:r>
              <w:rPr>
                <w:rFonts w:hint="eastAsia" w:cs="Arial" w:asciiTheme="minorEastAsia" w:hAnsiTheme="minorEastAsia" w:eastAsiaTheme="minorEastAsia"/>
                <w:color w:val="000000"/>
                <w:sz w:val="21"/>
                <w:szCs w:val="21"/>
                <w:highlight w:val="none"/>
              </w:rPr>
              <w:t xml:space="preserve">角度：透镜采用磨砂镜面有效减少光污染及眩目问题</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                                                                </w:t>
            </w:r>
            <w:r>
              <w:rPr>
                <w:rFonts w:hint="eastAsia" w:cs="Arial" w:asciiTheme="minorEastAsia" w:hAnsiTheme="minorEastAsia" w:eastAsiaTheme="minorEastAsia"/>
                <w:color w:val="000000"/>
                <w:sz w:val="21"/>
                <w:szCs w:val="21"/>
                <w:highlight w:val="none"/>
                <w:lang w:val="en-US" w:eastAsia="zh-CN"/>
              </w:rPr>
              <w:t xml:space="preserve">4、</w:t>
            </w:r>
            <w:r>
              <w:rPr>
                <w:rFonts w:hint="eastAsia" w:cs="Arial" w:asciiTheme="minorEastAsia" w:hAnsiTheme="minorEastAsia" w:eastAsiaTheme="minorEastAsia"/>
                <w:color w:val="000000"/>
                <w:sz w:val="21"/>
                <w:szCs w:val="21"/>
                <w:highlight w:val="none"/>
              </w:rPr>
              <w:br w:type="page" w:clear="all"/>
            </w:r>
            <w:r>
              <w:rPr>
                <w:rFonts w:hint="eastAsia" w:cs="Arial" w:asciiTheme="minorEastAsia" w:hAnsiTheme="minorEastAsia" w:eastAsiaTheme="minorEastAsia"/>
                <w:color w:val="000000"/>
                <w:sz w:val="21"/>
                <w:szCs w:val="21"/>
                <w:highlight w:val="none"/>
              </w:rPr>
              <w:t xml:space="preserve">色温：2800K~5500K（暖光设计）；显色指数&gt;65Ra</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                      </w:t>
            </w:r>
            <w:r>
              <w:rPr>
                <w:rFonts w:hint="eastAsia" w:cs="Arial" w:asciiTheme="minorEastAsia" w:hAnsiTheme="minorEastAsia" w:eastAsiaTheme="minorEastAsia"/>
                <w:color w:val="000000"/>
                <w:sz w:val="21"/>
                <w:szCs w:val="21"/>
                <w:highlight w:val="none"/>
                <w:lang w:val="en-US" w:eastAsia="zh-CN"/>
              </w:rPr>
              <w:t xml:space="preserve">5、</w:t>
            </w:r>
            <w:r>
              <w:rPr>
                <w:rFonts w:hint="eastAsia" w:cs="Arial" w:asciiTheme="minorEastAsia" w:hAnsiTheme="minorEastAsia" w:eastAsiaTheme="minorEastAsia"/>
                <w:color w:val="000000"/>
                <w:sz w:val="21"/>
                <w:szCs w:val="21"/>
                <w:highlight w:val="none"/>
              </w:rPr>
              <w:br w:type="page" w:clear="all"/>
            </w:r>
            <w:r>
              <w:rPr>
                <w:rFonts w:hint="eastAsia" w:cs="Arial" w:asciiTheme="minorEastAsia" w:hAnsiTheme="minorEastAsia" w:eastAsiaTheme="minorEastAsia"/>
                <w:color w:val="000000"/>
                <w:sz w:val="21"/>
                <w:szCs w:val="21"/>
                <w:highlight w:val="none"/>
              </w:rPr>
              <w:t xml:space="preserve">供电电源：AC220V（176V～264V)</w:t>
            </w:r>
            <w:r>
              <w:rPr>
                <w:rFonts w:hint="eastAsia" w:cs="Arial" w:asciiTheme="minorEastAsia" w:hAnsiTheme="minorEastAsia" w:eastAsiaTheme="minorEastAsia"/>
                <w:color w:val="000000"/>
                <w:sz w:val="21"/>
                <w:szCs w:val="21"/>
                <w:highlight w:val="none"/>
                <w:lang w:eastAsia="zh-CN"/>
              </w:rPr>
              <w:t xml:space="preserve">。</w:t>
            </w:r>
            <w:r/>
          </w:p>
          <w:p>
            <w:pPr>
              <w:jc w:val="left"/>
              <w:widowControl/>
              <w:rPr>
                <w:rFonts w:hint="eastAsia" w:cs="Arial" w:asciiTheme="minorEastAsia" w:hAnsiTheme="minorEastAsia" w:eastAsiaTheme="minorEastAsia"/>
                <w:color w:val="000000"/>
                <w:sz w:val="21"/>
                <w:szCs w:val="21"/>
                <w:highlight w:val="none"/>
              </w:rPr>
            </w:pPr>
            <w:r>
              <w:rPr>
                <w:rFonts w:hint="eastAsia" w:cs="Arial" w:asciiTheme="minorEastAsia" w:hAnsiTheme="minorEastAsia" w:eastAsiaTheme="minorEastAsia"/>
                <w:color w:val="000000"/>
                <w:sz w:val="21"/>
                <w:szCs w:val="21"/>
                <w:highlight w:val="none"/>
                <w:lang w:val="en-US" w:eastAsia="zh-CN"/>
              </w:rPr>
              <w:t xml:space="preserve">6、</w:t>
            </w:r>
            <w:r>
              <w:rPr>
                <w:rFonts w:hint="eastAsia" w:cs="Arial" w:asciiTheme="minorEastAsia" w:hAnsiTheme="minorEastAsia" w:eastAsiaTheme="minorEastAsia"/>
                <w:color w:val="000000"/>
                <w:sz w:val="21"/>
                <w:szCs w:val="21"/>
                <w:highlight w:val="none"/>
              </w:rPr>
              <w:t xml:space="preserve">最佳照射距离：16米～28米</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                      </w:t>
            </w:r>
            <w:r/>
          </w:p>
          <w:p>
            <w:pPr>
              <w:jc w:val="left"/>
              <w:widowControl/>
              <w:rPr>
                <w:rFonts w:hint="eastAsia" w:cs="Arial" w:asciiTheme="minorEastAsia" w:hAnsiTheme="minorEastAsia" w:eastAsiaTheme="minorEastAsia"/>
                <w:color w:val="000000"/>
                <w:sz w:val="21"/>
                <w:szCs w:val="21"/>
                <w:highlight w:val="none"/>
              </w:rPr>
            </w:pPr>
            <w:r>
              <w:rPr>
                <w:rFonts w:hint="eastAsia" w:cs="Arial" w:asciiTheme="minorEastAsia" w:hAnsiTheme="minorEastAsia" w:eastAsiaTheme="minorEastAsia"/>
                <w:color w:val="000000"/>
                <w:sz w:val="21"/>
                <w:szCs w:val="21"/>
                <w:highlight w:val="none"/>
                <w:lang w:val="en-US" w:eastAsia="zh-CN"/>
              </w:rPr>
              <w:t xml:space="preserve">7、</w:t>
            </w:r>
            <w:r>
              <w:rPr>
                <w:rFonts w:hint="eastAsia" w:cs="Arial" w:asciiTheme="minorEastAsia" w:hAnsiTheme="minorEastAsia" w:eastAsiaTheme="minorEastAsia"/>
                <w:color w:val="000000"/>
                <w:sz w:val="21"/>
                <w:szCs w:val="21"/>
                <w:highlight w:val="none"/>
              </w:rPr>
              <w:br w:type="page" w:clear="all"/>
            </w:r>
            <w:r>
              <w:rPr>
                <w:rFonts w:hint="eastAsia" w:cs="Arial" w:asciiTheme="minorEastAsia" w:hAnsiTheme="minorEastAsia" w:eastAsiaTheme="minorEastAsia"/>
                <w:color w:val="000000"/>
                <w:sz w:val="21"/>
                <w:szCs w:val="21"/>
                <w:highlight w:val="none"/>
              </w:rPr>
              <w:t xml:space="preserve">开启方式：支持环境亮度检测，低照度下自动开启。</w:t>
            </w:r>
            <w:r/>
          </w:p>
          <w:p>
            <w:pPr>
              <w:jc w:val="left"/>
              <w:widowControl/>
              <w:rPr>
                <w:rFonts w:cs="Arial" w:asciiTheme="minorEastAsia" w:hAnsiTheme="minorEastAsia" w:eastAsiaTheme="minorEastAsia"/>
                <w:color w:val="000000"/>
                <w:sz w:val="21"/>
                <w:szCs w:val="21"/>
                <w:highlight w:val="none"/>
              </w:rPr>
            </w:pPr>
            <w:r>
              <w:rPr>
                <w:rFonts w:hint="eastAsia" w:cs="Arial" w:asciiTheme="minorEastAsia" w:hAnsiTheme="minorEastAsia" w:eastAsiaTheme="minorEastAsia"/>
                <w:color w:val="000000"/>
                <w:sz w:val="21"/>
                <w:szCs w:val="21"/>
                <w:highlight w:val="none"/>
                <w:lang w:val="en-US" w:eastAsia="zh-CN"/>
              </w:rPr>
              <w:t xml:space="preserve">8、</w:t>
            </w:r>
            <w:r>
              <w:rPr>
                <w:rFonts w:hint="eastAsia" w:cs="Arial" w:asciiTheme="minorEastAsia" w:hAnsiTheme="minorEastAsia" w:eastAsiaTheme="minorEastAsia"/>
                <w:color w:val="000000"/>
                <w:sz w:val="21"/>
                <w:szCs w:val="21"/>
                <w:highlight w:val="none"/>
              </w:rPr>
              <w:br w:type="page" w:clear="all"/>
            </w:r>
            <w:r>
              <w:rPr>
                <w:rFonts w:hint="eastAsia" w:cs="Arial" w:asciiTheme="minorEastAsia" w:hAnsiTheme="minorEastAsia" w:eastAsiaTheme="minorEastAsia"/>
                <w:color w:val="000000"/>
                <w:sz w:val="21"/>
                <w:szCs w:val="21"/>
                <w:highlight w:val="none"/>
              </w:rPr>
              <w:t xml:space="preserve">工作环境温度：-40℃~+80℃；</w:t>
            </w:r>
            <w:r/>
          </w:p>
          <w:p>
            <w:pPr>
              <w:jc w:val="left"/>
              <w:widowControl/>
              <w:rPr>
                <w:rFonts w:cs="Arial" w:asciiTheme="minorEastAsia" w:hAnsiTheme="minorEastAsia" w:eastAsiaTheme="minorEastAsia"/>
                <w:color w:val="000000"/>
                <w:sz w:val="21"/>
                <w:szCs w:val="21"/>
                <w:highlight w:val="none"/>
              </w:rPr>
            </w:pPr>
            <w:r>
              <w:rPr>
                <w:rFonts w:hint="eastAsia" w:cs="Arial" w:asciiTheme="minorEastAsia" w:hAnsiTheme="minorEastAsia" w:eastAsiaTheme="minorEastAsia"/>
                <w:color w:val="000000"/>
                <w:sz w:val="21"/>
                <w:szCs w:val="21"/>
                <w:highlight w:val="none"/>
              </w:rPr>
              <w:t xml:space="preserve">★</w:t>
            </w:r>
            <w:r>
              <w:rPr>
                <w:rFonts w:hint="eastAsia" w:cs="Arial" w:asciiTheme="minorEastAsia" w:hAnsiTheme="minorEastAsia" w:eastAsiaTheme="minorEastAsia"/>
                <w:color w:val="000000"/>
                <w:sz w:val="21"/>
                <w:szCs w:val="21"/>
                <w:highlight w:val="none"/>
                <w:lang w:val="en-US" w:eastAsia="zh-CN"/>
              </w:rPr>
              <w:t xml:space="preserve">9、</w:t>
            </w:r>
            <w:r>
              <w:rPr>
                <w:rFonts w:hint="eastAsia" w:cs="Arial" w:asciiTheme="minorEastAsia" w:hAnsiTheme="minorEastAsia" w:eastAsiaTheme="minorEastAsia"/>
                <w:color w:val="000000"/>
                <w:sz w:val="21"/>
                <w:szCs w:val="21"/>
                <w:highlight w:val="none"/>
              </w:rPr>
              <w:t xml:space="preserve">状态检查：支持通过RS485远程显示补光灯的工作状态包括正常、开启、关闭、光敏阀值、亮度等级、温度、故障状态、实时功率。</w:t>
            </w:r>
            <w:r>
              <w:rPr>
                <w:rFonts w:hint="eastAsia" w:ascii="宋体" w:hAnsi="宋体" w:eastAsia="宋体" w:cs="宋体"/>
                <w:b/>
                <w:bCs/>
                <w:color w:val="000000"/>
                <w:szCs w:val="21"/>
                <w:highlight w:val="none"/>
              </w:rPr>
              <w:t xml:space="preserve">（提供有资质的第三方检测机构出具的检测报告，原件扫描上传）</w:t>
            </w:r>
            <w:r>
              <w:rPr>
                <w:rFonts w:hint="eastAsia" w:cs="Arial" w:asciiTheme="minorEastAsia" w:hAnsiTheme="minorEastAsia" w:eastAsiaTheme="minorEastAsia"/>
                <w:b/>
                <w:bCs/>
                <w:color w:val="000000"/>
                <w:sz w:val="21"/>
                <w:szCs w:val="21"/>
                <w:highlight w:val="none"/>
              </w:rPr>
              <w:t xml:space="preserve">   </w:t>
            </w:r>
            <w:r>
              <w:rPr>
                <w:rFonts w:hint="eastAsia" w:cs="Arial" w:asciiTheme="minorEastAsia" w:hAnsiTheme="minorEastAsia" w:eastAsiaTheme="minorEastAsia"/>
                <w:color w:val="000000"/>
                <w:sz w:val="21"/>
                <w:szCs w:val="21"/>
                <w:highlight w:val="none"/>
              </w:rPr>
              <w:t xml:space="preserve"> </w:t>
            </w:r>
            <w:r/>
          </w:p>
          <w:p>
            <w:pPr>
              <w:jc w:val="left"/>
              <w:widowControl/>
              <w:rPr>
                <w:rFonts w:hint="eastAsia" w:ascii="宋体" w:hAnsi="宋体" w:eastAsia="宋体" w:cs="宋体"/>
                <w:b/>
                <w:bCs/>
                <w:color w:val="000000"/>
                <w:szCs w:val="21"/>
                <w:highlight w:val="none"/>
              </w:rPr>
            </w:pPr>
            <w:r>
              <w:rPr>
                <w:rFonts w:hint="eastAsia" w:cs="Arial" w:asciiTheme="minorEastAsia" w:hAnsiTheme="minorEastAsia" w:eastAsiaTheme="minorEastAsia"/>
                <w:color w:val="000000"/>
                <w:sz w:val="21"/>
                <w:szCs w:val="21"/>
                <w:highlight w:val="none"/>
              </w:rPr>
              <w:t xml:space="preserve">★</w:t>
            </w:r>
            <w:r>
              <w:rPr>
                <w:rFonts w:hint="eastAsia" w:cs="Arial" w:asciiTheme="minorEastAsia" w:hAnsiTheme="minorEastAsia" w:eastAsiaTheme="minorEastAsia"/>
                <w:color w:val="000000"/>
                <w:sz w:val="21"/>
                <w:szCs w:val="21"/>
                <w:highlight w:val="none"/>
                <w:lang w:val="en-US" w:eastAsia="zh-CN"/>
              </w:rPr>
              <w:t xml:space="preserve">10、</w:t>
            </w:r>
            <w:r>
              <w:rPr>
                <w:rFonts w:hint="eastAsia" w:cs="Arial" w:asciiTheme="minorEastAsia" w:hAnsiTheme="minorEastAsia" w:eastAsiaTheme="minorEastAsia"/>
                <w:color w:val="000000"/>
                <w:sz w:val="21"/>
                <w:szCs w:val="21"/>
                <w:highlight w:val="none"/>
              </w:rPr>
              <w:t xml:space="preserve">光敏控制功能：支持通过RS485或RJ45接口远程调节光敏阈值，阈值500级可调。支持光敏阈值根据环境光照度自动适应调节。支持自适应亮灯，自适应熄灯。</w:t>
            </w:r>
            <w:r>
              <w:rPr>
                <w:rFonts w:hint="eastAsia" w:ascii="宋体" w:hAnsi="宋体" w:eastAsia="宋体" w:cs="宋体"/>
                <w:b/>
                <w:bCs/>
                <w:color w:val="000000"/>
                <w:szCs w:val="21"/>
                <w:highlight w:val="none"/>
              </w:rPr>
              <w:t xml:space="preserve">（提供有资质的第三方检测机构出具的检测报告，原件扫描上传）</w:t>
            </w:r>
            <w:r/>
          </w:p>
          <w:p>
            <w:pPr>
              <w:jc w:val="left"/>
              <w:widowControl/>
              <w:rPr>
                <w:rFonts w:cs="Arial" w:asciiTheme="minorEastAsia" w:hAnsiTheme="minorEastAsia" w:eastAsiaTheme="minorEastAsia"/>
                <w:b/>
                <w:bCs/>
                <w:color w:val="000000"/>
                <w:sz w:val="21"/>
                <w:szCs w:val="21"/>
                <w:highlight w:val="none"/>
              </w:rPr>
            </w:pPr>
            <w:r>
              <w:rPr>
                <w:rFonts w:hint="eastAsia" w:cs="Arial" w:asciiTheme="minorEastAsia" w:hAnsiTheme="minorEastAsia" w:eastAsiaTheme="minorEastAsia"/>
                <w:color w:val="000000"/>
                <w:sz w:val="21"/>
                <w:szCs w:val="21"/>
                <w:highlight w:val="none"/>
              </w:rPr>
              <w:br w:type="page" w:clear="all"/>
            </w:r>
            <w:r>
              <w:rPr>
                <w:rFonts w:hint="eastAsia" w:cs="Arial" w:asciiTheme="minorEastAsia" w:hAnsiTheme="minorEastAsia" w:eastAsiaTheme="minorEastAsia"/>
                <w:color w:val="000000"/>
                <w:sz w:val="21"/>
                <w:szCs w:val="21"/>
                <w:highlight w:val="none"/>
              </w:rPr>
              <w:t xml:space="preserve">★</w:t>
            </w:r>
            <w:r>
              <w:rPr>
                <w:rFonts w:hint="eastAsia" w:cs="Arial" w:asciiTheme="minorEastAsia" w:hAnsiTheme="minorEastAsia" w:eastAsiaTheme="minorEastAsia"/>
                <w:color w:val="000000"/>
                <w:sz w:val="21"/>
                <w:szCs w:val="21"/>
                <w:highlight w:val="none"/>
                <w:lang w:val="en-US" w:eastAsia="zh-CN"/>
              </w:rPr>
              <w:t xml:space="preserve">11、</w:t>
            </w:r>
            <w:r>
              <w:rPr>
                <w:rFonts w:hint="eastAsia" w:cs="Arial" w:asciiTheme="minorEastAsia" w:hAnsiTheme="minorEastAsia" w:eastAsiaTheme="minorEastAsia"/>
                <w:color w:val="000000"/>
                <w:sz w:val="21"/>
                <w:szCs w:val="21"/>
                <w:highlight w:val="none"/>
              </w:rPr>
              <w:t xml:space="preserve">同步功能：支持补光灯与摄像机自适应同步。</w:t>
            </w:r>
            <w:r>
              <w:rPr>
                <w:rFonts w:hint="eastAsia" w:ascii="宋体" w:hAnsi="宋体" w:eastAsia="宋体" w:cs="宋体"/>
                <w:b/>
                <w:bCs/>
                <w:color w:val="000000"/>
                <w:szCs w:val="21"/>
                <w:highlight w:val="none"/>
              </w:rPr>
              <w:t xml:space="preserve">（提供有资质的第三方检测机构出具的检测报告，原件扫描上传）</w:t>
            </w:r>
            <w:r/>
          </w:p>
          <w:p>
            <w:pPr>
              <w:jc w:val="left"/>
              <w:widowControl/>
              <w:tabs>
                <w:tab w:val="left" w:pos="3309" w:leader="none"/>
              </w:tabs>
              <w:rPr>
                <w:rFonts w:hint="eastAsia" w:ascii="宋体" w:hAnsi="宋体" w:eastAsia="宋体" w:cs="Arial"/>
                <w:color w:val="000000"/>
                <w:szCs w:val="21"/>
                <w:highlight w:val="none"/>
                <w:lang w:eastAsia="zh-CN"/>
              </w:rPr>
            </w:pPr>
            <w:r>
              <w:rPr>
                <w:rFonts w:hint="eastAsia" w:cs="Arial" w:asciiTheme="minorEastAsia" w:hAnsiTheme="minorEastAsia" w:eastAsiaTheme="minorEastAsia"/>
                <w:color w:val="000000"/>
                <w:sz w:val="21"/>
                <w:szCs w:val="21"/>
                <w:highlight w:val="none"/>
              </w:rPr>
              <w:br w:type="page" w:clear="all"/>
            </w:r>
            <w:r>
              <w:rPr>
                <w:rFonts w:hint="eastAsia" w:cs="Arial" w:asciiTheme="minorEastAsia" w:hAnsiTheme="minorEastAsia" w:eastAsiaTheme="minorEastAsia"/>
                <w:color w:val="000000"/>
                <w:sz w:val="21"/>
                <w:szCs w:val="21"/>
                <w:highlight w:val="none"/>
              </w:rPr>
              <w:t xml:space="preserve">★</w:t>
            </w:r>
            <w:r>
              <w:rPr>
                <w:rFonts w:hint="eastAsia" w:cs="Arial" w:asciiTheme="minorEastAsia" w:hAnsiTheme="minorEastAsia" w:eastAsiaTheme="minorEastAsia"/>
                <w:color w:val="000000"/>
                <w:sz w:val="21"/>
                <w:szCs w:val="21"/>
                <w:highlight w:val="none"/>
                <w:lang w:val="en-US" w:eastAsia="zh-CN"/>
              </w:rPr>
              <w:t xml:space="preserve">12、</w:t>
            </w:r>
            <w:r>
              <w:rPr>
                <w:rFonts w:hint="eastAsia" w:cs="Arial" w:asciiTheme="minorEastAsia" w:hAnsiTheme="minorEastAsia" w:eastAsiaTheme="minorEastAsia"/>
                <w:color w:val="000000"/>
                <w:sz w:val="21"/>
                <w:szCs w:val="21"/>
                <w:highlight w:val="none"/>
              </w:rPr>
              <w:t xml:space="preserve">平台控制功能：支持通过智能设备箱管理平台远程控制补光装置的开启和关闭、亮度调节、光敏阀值调节，并可在线实时检测补光装置状态。</w:t>
            </w:r>
            <w:r>
              <w:rPr>
                <w:rFonts w:hint="eastAsia" w:ascii="宋体" w:hAnsi="宋体" w:eastAsia="宋体" w:cs="宋体"/>
                <w:b/>
                <w:bCs/>
                <w:color w:val="000000"/>
                <w:szCs w:val="21"/>
                <w:highlight w:val="none"/>
              </w:rPr>
              <w:t xml:space="preserve">（提供有资质的第三方检测机构出具的检测报告，原件扫描上传）</w:t>
            </w:r>
            <w:r/>
          </w:p>
        </w:tc>
        <w:tc>
          <w:tcPr>
            <w:tcW w:w="825"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szCs w:val="21"/>
              </w:rPr>
              <w:t xml:space="preserve">台</w:t>
            </w:r>
            <w:r/>
          </w:p>
        </w:tc>
        <w:tc>
          <w:tcPr>
            <w:tcW w:w="773"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szCs w:val="21"/>
                <w:lang w:val="en-US" w:eastAsia="zh-CN"/>
              </w:rPr>
              <w:t xml:space="preserve">118</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szCs w:val="21"/>
              </w:rPr>
            </w:pPr>
            <w:r>
              <w:rPr>
                <w:rFonts w:hint="eastAsia" w:ascii="宋体" w:hAnsi="宋体" w:cs="Arial"/>
                <w:color w:val="000000"/>
                <w:szCs w:val="21"/>
              </w:rPr>
              <w:t xml:space="preserve">5</w:t>
            </w:r>
            <w:r/>
          </w:p>
        </w:tc>
        <w:tc>
          <w:tcPr>
            <w:tcW w:w="1155" w:type="dxa"/>
            <w:vAlign w:val="center"/>
            <w:textDirection w:val="lrTb"/>
            <w:noWrap w:val="false"/>
          </w:tcPr>
          <w:p>
            <w:pPr>
              <w:jc w:val="center"/>
              <w:spacing w:after="0" w:line="240" w:lineRule="auto"/>
              <w:widowControl/>
              <w:rPr>
                <w:rFonts w:hint="eastAsia" w:ascii="宋体" w:hAnsi="宋体" w:cs="Arial"/>
                <w:color w:val="000000"/>
                <w:szCs w:val="21"/>
              </w:rPr>
            </w:pPr>
            <w:r>
              <w:rPr>
                <w:rFonts w:hint="eastAsia" w:ascii="宋体" w:hAnsi="宋体" w:cs="Arial"/>
                <w:color w:val="000000"/>
                <w:szCs w:val="21"/>
              </w:rPr>
              <w:t xml:space="preserve">特征抓拍杆件</w:t>
            </w:r>
            <w:r/>
          </w:p>
        </w:tc>
        <w:tc>
          <w:tcPr>
            <w:tcW w:w="5520" w:type="dxa"/>
            <w:vAlign w:val="center"/>
            <w:textDirection w:val="lrTb"/>
            <w:noWrap w:val="false"/>
          </w:tcPr>
          <w:p>
            <w:pPr>
              <w:jc w:val="left"/>
              <w:widowControl/>
              <w:rPr>
                <w:rFonts w:hint="eastAsia" w:ascii="宋体" w:hAnsi="宋体" w:eastAsia="宋体" w:cs="Arial"/>
                <w:color w:val="000000"/>
                <w:szCs w:val="21"/>
                <w:lang w:eastAsia="zh-CN"/>
              </w:rPr>
            </w:pPr>
            <w:r>
              <w:rPr>
                <w:rFonts w:hint="eastAsia" w:ascii="宋体" w:hAnsi="宋体" w:cs="Arial"/>
                <w:color w:val="000000"/>
                <w:szCs w:val="21"/>
              </w:rPr>
              <w:t xml:space="preserve">镀锌钢管，直径102毫米，高度4米双层杆件，M20*4钢筋笼,高度0.6米。</w:t>
            </w:r>
            <w:r/>
          </w:p>
        </w:tc>
        <w:tc>
          <w:tcPr>
            <w:tcW w:w="825"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szCs w:val="21"/>
                <w:lang w:val="en-US" w:eastAsia="zh-CN"/>
              </w:rPr>
              <w:t xml:space="preserve">根</w:t>
            </w:r>
            <w:r/>
          </w:p>
        </w:tc>
        <w:tc>
          <w:tcPr>
            <w:tcW w:w="773"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szCs w:val="21"/>
                <w:lang w:val="en-US" w:eastAsia="zh-CN"/>
              </w:rPr>
              <w:t xml:space="preserve">38</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szCs w:val="21"/>
              </w:rPr>
            </w:pPr>
            <w:r>
              <w:rPr>
                <w:rFonts w:hint="eastAsia" w:ascii="宋体" w:hAnsi="宋体" w:cs="Arial"/>
                <w:color w:val="000000" w:themeColor="text1"/>
                <w:szCs w:val="21"/>
                <w14:textFill>
                  <w14:solidFill>
                    <w14:schemeClr w14:val="tx1"/>
                  </w14:solidFill>
                </w14:textFill>
              </w:rPr>
              <w:t xml:space="preserve">6</w:t>
            </w:r>
            <w:r/>
          </w:p>
        </w:tc>
        <w:tc>
          <w:tcPr>
            <w:tcW w:w="1155" w:type="dxa"/>
            <w:vAlign w:val="center"/>
            <w:textDirection w:val="lrTb"/>
            <w:noWrap w:val="false"/>
          </w:tcPr>
          <w:p>
            <w:pPr>
              <w:jc w:val="center"/>
              <w:spacing w:after="0" w:line="240" w:lineRule="auto"/>
              <w:widowControl/>
              <w:rPr>
                <w:rFonts w:hint="eastAsia" w:ascii="宋体" w:hAnsi="宋体" w:cs="Arial"/>
                <w:color w:val="000000"/>
                <w:szCs w:val="21"/>
              </w:rPr>
            </w:pPr>
            <w:r>
              <w:rPr>
                <w:rFonts w:hint="eastAsia" w:ascii="宋体" w:hAnsi="宋体" w:cs="Arial"/>
                <w:color w:val="000000" w:themeColor="text1"/>
                <w:szCs w:val="21"/>
                <w14:textFill>
                  <w14:solidFill>
                    <w14:schemeClr w14:val="tx1"/>
                  </w14:solidFill>
                </w14:textFill>
              </w:rPr>
              <w:t xml:space="preserve">钢筋地笼</w:t>
            </w:r>
            <w:r/>
          </w:p>
        </w:tc>
        <w:tc>
          <w:tcPr>
            <w:tcW w:w="552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themeColor="text1"/>
                <w:szCs w:val="21"/>
                <w14:textFill>
                  <w14:solidFill>
                    <w14:schemeClr w14:val="tx1"/>
                  </w14:solidFill>
                </w14:textFill>
              </w:rPr>
              <w:t xml:space="preserve">开挖长0.5米*宽0.5米*深度0.8米，混凝土浇筑。</w:t>
            </w:r>
            <w:r/>
          </w:p>
        </w:tc>
        <w:tc>
          <w:tcPr>
            <w:tcW w:w="825"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themeColor="text1"/>
                <w:szCs w:val="21"/>
                <w:lang w:val="en-US" w:eastAsia="zh-CN"/>
                <w14:textFill>
                  <w14:solidFill>
                    <w14:schemeClr w14:val="tx1"/>
                  </w14:solidFill>
                </w14:textFill>
              </w:rPr>
              <w:t xml:space="preserve">只</w:t>
            </w:r>
            <w:r/>
          </w:p>
        </w:tc>
        <w:tc>
          <w:tcPr>
            <w:tcW w:w="773"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themeColor="text1"/>
                <w:szCs w:val="21"/>
                <w:lang w:val="en-US" w:eastAsia="zh-CN"/>
                <w14:textFill>
                  <w14:solidFill>
                    <w14:schemeClr w14:val="tx1"/>
                  </w14:solidFill>
                </w14:textFill>
              </w:rPr>
              <w:t xml:space="preserve">207</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szCs w:val="21"/>
              </w:rPr>
            </w:pPr>
            <w:r>
              <w:rPr>
                <w:rFonts w:hint="eastAsia" w:ascii="宋体" w:hAnsi="宋体" w:cs="Arial"/>
                <w:color w:val="000000" w:themeColor="text1"/>
                <w:szCs w:val="21"/>
                <w:lang w:val="en-US" w:eastAsia="zh-CN"/>
                <w14:textFill>
                  <w14:solidFill>
                    <w14:schemeClr w14:val="tx1"/>
                  </w14:solidFill>
                </w14:textFill>
              </w:rPr>
              <w:t xml:space="preserve">7</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szCs w:val="21"/>
                <w:lang w:val="en-US" w:eastAsia="zh-CN"/>
              </w:rPr>
            </w:pPr>
            <w:r>
              <w:rPr>
                <w:rFonts w:hint="eastAsia" w:ascii="宋体" w:hAnsi="宋体" w:cs="Arial"/>
                <w:color w:val="000000" w:themeColor="text1"/>
                <w:szCs w:val="21"/>
                <w14:textFill>
                  <w14:solidFill>
                    <w14:schemeClr w14:val="tx1"/>
                  </w14:solidFill>
                </w14:textFill>
              </w:rPr>
              <w:t xml:space="preserve">管道敷设</w:t>
            </w:r>
            <w:r/>
          </w:p>
        </w:tc>
        <w:tc>
          <w:tcPr>
            <w:tcW w:w="552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themeColor="text1"/>
                <w:szCs w:val="21"/>
                <w14:textFill>
                  <w14:solidFill>
                    <w14:schemeClr w14:val="tx1"/>
                  </w14:solidFill>
                </w14:textFill>
              </w:rPr>
              <w:t xml:space="preserve">PE50管道敷设，开挖、回填。</w:t>
            </w:r>
            <w:r/>
          </w:p>
        </w:tc>
        <w:tc>
          <w:tcPr>
            <w:tcW w:w="825"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themeColor="text1"/>
                <w:szCs w:val="21"/>
                <w:lang w:val="en-US" w:eastAsia="zh-CN"/>
                <w14:textFill>
                  <w14:solidFill>
                    <w14:schemeClr w14:val="tx1"/>
                  </w14:solidFill>
                </w14:textFill>
              </w:rPr>
              <w:t xml:space="preserve">米</w:t>
            </w:r>
            <w:r/>
          </w:p>
        </w:tc>
        <w:tc>
          <w:tcPr>
            <w:tcW w:w="773"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themeColor="text1"/>
                <w:szCs w:val="21"/>
                <w:lang w:val="en-US" w:eastAsia="zh-CN"/>
                <w14:textFill>
                  <w14:solidFill>
                    <w14:schemeClr w14:val="tx1"/>
                  </w14:solidFill>
                </w14:textFill>
              </w:rPr>
              <w:t xml:space="preserve">5500</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szCs w:val="21"/>
              </w:rPr>
            </w:pPr>
            <w:r>
              <w:rPr>
                <w:rFonts w:hint="eastAsia" w:ascii="宋体" w:hAnsi="宋体" w:cs="Arial"/>
                <w:color w:val="000000" w:themeColor="text1"/>
                <w:szCs w:val="21"/>
                <w:lang w:val="en-US" w:eastAsia="zh-CN"/>
                <w14:textFill>
                  <w14:solidFill>
                    <w14:schemeClr w14:val="tx1"/>
                  </w14:solidFill>
                </w14:textFill>
              </w:rPr>
              <w:t xml:space="preserve">8</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szCs w:val="21"/>
                <w:lang w:val="en-US" w:eastAsia="zh-CN"/>
              </w:rPr>
            </w:pPr>
            <w:r>
              <w:rPr>
                <w:rFonts w:hint="eastAsia" w:ascii="宋体" w:hAnsi="宋体" w:cs="Arial"/>
                <w:color w:val="000000" w:themeColor="text1"/>
                <w:szCs w:val="21"/>
                <w14:textFill>
                  <w14:solidFill>
                    <w14:schemeClr w14:val="tx1"/>
                  </w14:solidFill>
                </w14:textFill>
              </w:rPr>
              <w:t xml:space="preserve">管道敷设</w:t>
            </w:r>
            <w:r/>
          </w:p>
        </w:tc>
        <w:tc>
          <w:tcPr>
            <w:tcW w:w="552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themeColor="text1"/>
                <w:szCs w:val="21"/>
                <w14:textFill>
                  <w14:solidFill>
                    <w14:schemeClr w14:val="tx1"/>
                  </w14:solidFill>
                </w14:textFill>
              </w:rPr>
              <w:t xml:space="preserve">P50管道，国省道非开挖管道敷设。</w:t>
            </w:r>
            <w:r/>
          </w:p>
        </w:tc>
        <w:tc>
          <w:tcPr>
            <w:tcW w:w="825"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themeColor="text1"/>
                <w:szCs w:val="21"/>
                <w:lang w:val="en-US" w:eastAsia="zh-CN"/>
                <w14:textFill>
                  <w14:solidFill>
                    <w14:schemeClr w14:val="tx1"/>
                  </w14:solidFill>
                </w14:textFill>
              </w:rPr>
              <w:t xml:space="preserve">米</w:t>
            </w:r>
            <w:r/>
          </w:p>
        </w:tc>
        <w:tc>
          <w:tcPr>
            <w:tcW w:w="773"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themeColor="text1"/>
                <w:szCs w:val="21"/>
                <w:lang w:val="en-US" w:eastAsia="zh-CN"/>
                <w14:textFill>
                  <w14:solidFill>
                    <w14:schemeClr w14:val="tx1"/>
                  </w14:solidFill>
                </w14:textFill>
              </w:rPr>
              <w:t xml:space="preserve">360</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szCs w:val="21"/>
              </w:rPr>
            </w:pPr>
            <w:r>
              <w:rPr>
                <w:rFonts w:hint="eastAsia" w:ascii="宋体" w:hAnsi="宋体" w:cs="Arial"/>
                <w:color w:val="000000" w:themeColor="text1"/>
                <w:szCs w:val="21"/>
                <w:lang w:val="en-US" w:eastAsia="zh-CN"/>
                <w14:textFill>
                  <w14:solidFill>
                    <w14:schemeClr w14:val="tx1"/>
                  </w14:solidFill>
                </w14:textFill>
              </w:rPr>
              <w:t xml:space="preserve">9</w:t>
            </w:r>
            <w:r/>
          </w:p>
        </w:tc>
        <w:tc>
          <w:tcPr>
            <w:tcW w:w="1155" w:type="dxa"/>
            <w:vAlign w:val="center"/>
            <w:textDirection w:val="lrTb"/>
            <w:noWrap w:val="false"/>
          </w:tcPr>
          <w:p>
            <w:pPr>
              <w:jc w:val="center"/>
              <w:spacing w:after="0" w:line="240" w:lineRule="auto"/>
              <w:widowControl/>
              <w:rPr>
                <w:rFonts w:hint="eastAsia" w:ascii="宋体" w:hAnsi="宋体" w:cs="Arial"/>
                <w:color w:val="000000"/>
                <w:szCs w:val="21"/>
              </w:rPr>
            </w:pPr>
            <w:r>
              <w:rPr>
                <w:rFonts w:hint="eastAsia" w:ascii="宋体" w:hAnsi="宋体" w:cs="Arial"/>
                <w:color w:val="000000" w:themeColor="text1"/>
                <w:szCs w:val="21"/>
                <w14:textFill>
                  <w14:solidFill>
                    <w14:schemeClr w14:val="tx1"/>
                  </w14:solidFill>
                </w14:textFill>
              </w:rPr>
              <w:t xml:space="preserve">弱电井</w:t>
            </w:r>
            <w:r/>
          </w:p>
        </w:tc>
        <w:tc>
          <w:tcPr>
            <w:tcW w:w="552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themeColor="text1"/>
                <w:szCs w:val="21"/>
                <w14:textFill>
                  <w14:solidFill>
                    <w14:schemeClr w14:val="tx1"/>
                  </w14:solidFill>
                </w14:textFill>
              </w:rPr>
              <w:t xml:space="preserve">砖砌井、400*400铸铁井圈井盖。</w:t>
            </w:r>
            <w:r/>
          </w:p>
        </w:tc>
        <w:tc>
          <w:tcPr>
            <w:tcW w:w="825"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themeColor="text1"/>
                <w:szCs w:val="21"/>
                <w:lang w:val="en-US" w:eastAsia="zh-CN"/>
                <w14:textFill>
                  <w14:solidFill>
                    <w14:schemeClr w14:val="tx1"/>
                  </w14:solidFill>
                </w14:textFill>
              </w:rPr>
              <w:t xml:space="preserve">座</w:t>
            </w:r>
            <w:r/>
          </w:p>
        </w:tc>
        <w:tc>
          <w:tcPr>
            <w:tcW w:w="773" w:type="dxa"/>
            <w:vAlign w:val="center"/>
            <w:textDirection w:val="lrTb"/>
            <w:noWrap w:val="false"/>
          </w:tcPr>
          <w:p>
            <w:pPr>
              <w:jc w:val="center"/>
              <w:spacing w:after="0" w:line="240" w:lineRule="auto"/>
              <w:widowControl/>
              <w:rPr>
                <w:rFonts w:hint="eastAsia" w:ascii="宋体" w:hAnsi="宋体" w:cs="Arial"/>
                <w:color w:val="000000"/>
                <w:szCs w:val="21"/>
                <w:lang w:val="en-US" w:eastAsia="zh-CN"/>
              </w:rPr>
            </w:pPr>
            <w:r>
              <w:rPr>
                <w:rFonts w:hint="eastAsia" w:ascii="宋体" w:hAnsi="宋体" w:cs="Arial"/>
                <w:color w:val="000000" w:themeColor="text1"/>
                <w:szCs w:val="21"/>
                <w:lang w:val="en-US" w:eastAsia="zh-CN"/>
                <w14:textFill>
                  <w14:solidFill>
                    <w14:schemeClr w14:val="tx1"/>
                  </w14:solidFill>
                </w14:textFill>
              </w:rPr>
              <w:t xml:space="preserve">45</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10</w:t>
            </w:r>
            <w:r/>
          </w:p>
        </w:tc>
        <w:tc>
          <w:tcPr>
            <w:tcW w:w="1155" w:type="dxa"/>
            <w:vAlign w:val="center"/>
            <w:textDirection w:val="lrTb"/>
            <w:noWrap w:val="false"/>
          </w:tcPr>
          <w:p>
            <w:pPr>
              <w:jc w:val="center"/>
              <w:spacing w:after="0" w:line="240" w:lineRule="auto"/>
              <w:widowControl/>
              <w:rPr>
                <w:rFonts w:hint="eastAsia" w:ascii="宋体" w:hAnsi="宋体" w:cs="Arial"/>
                <w:color w:val="000000" w:themeColor="text1"/>
                <w:szCs w:val="21"/>
                <w14:textFill>
                  <w14:solidFill>
                    <w14:schemeClr w14:val="tx1"/>
                  </w14:solidFill>
                </w14:textFill>
              </w:rPr>
            </w:pPr>
            <w:r>
              <w:rPr>
                <w:rFonts w:hint="eastAsia" w:ascii="宋体" w:hAnsi="宋体" w:eastAsia="宋体" w:cs="Arial"/>
                <w:color w:val="000000" w:themeColor="text1"/>
                <w:szCs w:val="21"/>
                <w:lang w:val="en-US" w:eastAsia="zh-CN"/>
                <w14:textFill>
                  <w14:solidFill>
                    <w14:schemeClr w14:val="tx1"/>
                  </w14:solidFill>
                </w14:textFill>
              </w:rPr>
              <w:t xml:space="preserve">配线</w:t>
            </w:r>
            <w:r/>
          </w:p>
        </w:tc>
        <w:tc>
          <w:tcPr>
            <w:tcW w:w="5520" w:type="dxa"/>
            <w:vAlign w:val="center"/>
            <w:textDirection w:val="lrTb"/>
            <w:noWrap w:val="false"/>
          </w:tcPr>
          <w:p>
            <w:pPr>
              <w:jc w:val="left"/>
              <w:widowControl/>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单模铠甲6芯光缆敷设。</w:t>
            </w:r>
            <w:r/>
          </w:p>
        </w:tc>
        <w:tc>
          <w:tcPr>
            <w:tcW w:w="825"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米</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16000</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11</w:t>
            </w:r>
            <w:r/>
          </w:p>
        </w:tc>
        <w:tc>
          <w:tcPr>
            <w:tcW w:w="1155" w:type="dxa"/>
            <w:vAlign w:val="center"/>
            <w:textDirection w:val="lrTb"/>
            <w:noWrap w:val="false"/>
          </w:tcPr>
          <w:p>
            <w:pPr>
              <w:jc w:val="center"/>
              <w:spacing w:after="0" w:line="240" w:lineRule="auto"/>
              <w:widowControl/>
              <w:rPr>
                <w:rFonts w:hint="eastAsia" w:ascii="宋体" w:hAnsi="宋体" w:cs="Arial"/>
                <w:color w:val="000000" w:themeColor="text1"/>
                <w:szCs w:val="21"/>
                <w14:textFill>
                  <w14:solidFill>
                    <w14:schemeClr w14:val="tx1"/>
                  </w14:solidFill>
                </w14:textFill>
              </w:rPr>
            </w:pPr>
            <w:r>
              <w:rPr>
                <w:rFonts w:hint="eastAsia" w:ascii="宋体" w:hAnsi="宋体" w:eastAsia="宋体" w:cs="Arial"/>
                <w:color w:val="000000" w:themeColor="text1"/>
                <w:szCs w:val="21"/>
                <w:lang w:val="en-US" w:eastAsia="zh-CN"/>
                <w14:textFill>
                  <w14:solidFill>
                    <w14:schemeClr w14:val="tx1"/>
                  </w14:solidFill>
                </w14:textFill>
              </w:rPr>
              <w:t xml:space="preserve">配线</w:t>
            </w:r>
            <w:r/>
          </w:p>
        </w:tc>
        <w:tc>
          <w:tcPr>
            <w:tcW w:w="5520" w:type="dxa"/>
            <w:vAlign w:val="center"/>
            <w:textDirection w:val="lrTb"/>
            <w:noWrap w:val="false"/>
          </w:tcPr>
          <w:p>
            <w:pPr>
              <w:jc w:val="left"/>
              <w:widowControl/>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RVV2*2.5，无氧铜。</w:t>
            </w:r>
            <w:r/>
          </w:p>
        </w:tc>
        <w:tc>
          <w:tcPr>
            <w:tcW w:w="825"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米</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19000</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12</w:t>
            </w:r>
            <w:r/>
          </w:p>
        </w:tc>
        <w:tc>
          <w:tcPr>
            <w:tcW w:w="1155" w:type="dxa"/>
            <w:vAlign w:val="center"/>
            <w:textDirection w:val="lrTb"/>
            <w:noWrap w:val="false"/>
          </w:tcPr>
          <w:p>
            <w:pPr>
              <w:jc w:val="center"/>
              <w:spacing w:after="0" w:line="240" w:lineRule="auto"/>
              <w:widowControl/>
              <w:rPr>
                <w:rFonts w:hint="eastAsia" w:ascii="宋体" w:hAnsi="宋体" w:cs="Arial"/>
                <w:color w:val="000000" w:themeColor="text1"/>
                <w:szCs w:val="21"/>
                <w14:textFill>
                  <w14:solidFill>
                    <w14:schemeClr w14:val="tx1"/>
                  </w14:solidFill>
                </w14:textFill>
              </w:rPr>
            </w:pPr>
            <w:r>
              <w:rPr>
                <w:rFonts w:hint="eastAsia" w:ascii="宋体" w:hAnsi="宋体" w:eastAsia="宋体" w:cs="Arial"/>
                <w:color w:val="000000" w:themeColor="text1"/>
                <w:szCs w:val="21"/>
                <w:lang w:val="en-US" w:eastAsia="zh-CN"/>
                <w14:textFill>
                  <w14:solidFill>
                    <w14:schemeClr w14:val="tx1"/>
                  </w14:solidFill>
                </w14:textFill>
              </w:rPr>
              <w:t xml:space="preserve">网线</w:t>
            </w:r>
            <w:r/>
          </w:p>
        </w:tc>
        <w:tc>
          <w:tcPr>
            <w:tcW w:w="5520" w:type="dxa"/>
            <w:vAlign w:val="center"/>
            <w:textDirection w:val="lrTb"/>
            <w:noWrap w:val="false"/>
          </w:tcPr>
          <w:p>
            <w:pPr>
              <w:jc w:val="left"/>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UTP6超6类室外防水网线。</w:t>
            </w:r>
            <w:r/>
          </w:p>
          <w:p>
            <w:pPr>
              <w:jc w:val="left"/>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绝缘材质：高密度聚乙烯。</w:t>
            </w:r>
            <w:r/>
          </w:p>
          <w:p>
            <w:pPr>
              <w:jc w:val="left"/>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绝缘外径：1.0±0.005mm。</w:t>
            </w:r>
            <w:r/>
          </w:p>
          <w:p>
            <w:pPr>
              <w:jc w:val="left"/>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护套材质：内护套：HDPE；料外护套：PVC+PE。</w:t>
            </w:r>
            <w:r/>
          </w:p>
          <w:p>
            <w:pPr>
              <w:jc w:val="left"/>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护套最小厚度：0.6mm。</w:t>
            </w:r>
            <w:r/>
          </w:p>
          <w:p>
            <w:pPr>
              <w:jc w:val="left"/>
              <w:widowControl/>
              <w:rPr>
                <w:rFonts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导体线径：纯无氧铜 0.57mm。</w:t>
            </w:r>
            <w:r/>
          </w:p>
          <w:p>
            <w:pPr>
              <w:jc w:val="left"/>
              <w:widowControl/>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使用寿命：非人为或地质灾害情况下，使用寿命达20年。</w:t>
            </w:r>
            <w:r/>
          </w:p>
        </w:tc>
        <w:tc>
          <w:tcPr>
            <w:tcW w:w="825"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米</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2800</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13</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lang w:val="en-US" w:eastAsia="zh-CN"/>
                <w14:textFill>
                  <w14:solidFill>
                    <w14:schemeClr w14:val="tx1"/>
                  </w14:solidFill>
                </w14:textFill>
              </w:rPr>
            </w:pPr>
            <w:r>
              <w:rPr>
                <w:rFonts w:hint="eastAsia" w:ascii="宋体" w:hAnsi="宋体" w:eastAsia="宋体" w:cs="Arial"/>
                <w:color w:val="000000" w:themeColor="text1"/>
                <w:szCs w:val="21"/>
                <w:lang w:val="en-US" w:eastAsia="zh-CN"/>
                <w14:textFill>
                  <w14:solidFill>
                    <w14:schemeClr w14:val="tx1"/>
                  </w14:solidFill>
                </w14:textFill>
              </w:rPr>
              <w:t xml:space="preserve">终端盒</w:t>
            </w:r>
            <w:r/>
          </w:p>
        </w:tc>
        <w:tc>
          <w:tcPr>
            <w:tcW w:w="5520" w:type="dxa"/>
            <w:vAlign w:val="center"/>
            <w:textDirection w:val="lrTb"/>
            <w:noWrap w:val="false"/>
          </w:tcPr>
          <w:p>
            <w:pPr>
              <w:jc w:val="left"/>
              <w:widowControl/>
              <w:rPr>
                <w:rFonts w:hint="eastAsia" w:ascii="宋体" w:hAnsi="宋体" w:eastAsia="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钢制终端盒 含熔接配件,12芯</w:t>
            </w:r>
            <w:r/>
          </w:p>
        </w:tc>
        <w:tc>
          <w:tcPr>
            <w:tcW w:w="825"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套</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207</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14</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lang w:val="en-US" w:eastAsia="zh-CN"/>
                <w14:textFill>
                  <w14:solidFill>
                    <w14:schemeClr w14:val="tx1"/>
                  </w14:solidFill>
                </w14:textFill>
              </w:rPr>
            </w:pPr>
            <w:r>
              <w:rPr>
                <w:rFonts w:hint="eastAsia" w:ascii="宋体" w:hAnsi="宋体" w:eastAsia="宋体" w:cs="Arial"/>
                <w:color w:val="000000" w:themeColor="text1"/>
                <w:szCs w:val="21"/>
                <w:lang w:val="en-US" w:eastAsia="zh-CN"/>
                <w14:textFill>
                  <w14:solidFill>
                    <w14:schemeClr w14:val="tx1"/>
                  </w14:solidFill>
                </w14:textFill>
              </w:rPr>
              <w:t xml:space="preserve">交换机</w:t>
            </w:r>
            <w:r/>
          </w:p>
        </w:tc>
        <w:tc>
          <w:tcPr>
            <w:tcW w:w="5520" w:type="dxa"/>
            <w:vAlign w:val="center"/>
            <w:textDirection w:val="lrTb"/>
            <w:noWrap w:val="false"/>
          </w:tcPr>
          <w:p>
            <w:pPr>
              <w:jc w:val="left"/>
              <w:widowControl/>
              <w:rPr>
                <w:rFonts w:hint="eastAsia" w:ascii="宋体" w:hAnsi="宋体" w:eastAsia="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工业级8口千兆交换机</w:t>
            </w:r>
            <w:r/>
          </w:p>
        </w:tc>
        <w:tc>
          <w:tcPr>
            <w:tcW w:w="825"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台</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lang w:val="en-US" w:eastAsia="zh-CN"/>
                <w14:textFill>
                  <w14:solidFill>
                    <w14:schemeClr w14:val="tx1"/>
                  </w14:solidFill>
                </w14:textFill>
              </w:rPr>
              <w:t xml:space="preserve">207</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15</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汇聚交换机</w:t>
            </w:r>
            <w:r/>
          </w:p>
        </w:tc>
        <w:tc>
          <w:tcPr>
            <w:tcW w:w="5520" w:type="dxa"/>
            <w:vAlign w:val="center"/>
            <w:textDirection w:val="lrTb"/>
            <w:noWrap w:val="false"/>
          </w:tcPr>
          <w:p>
            <w:pPr>
              <w:jc w:val="left"/>
              <w:spacing w:after="0" w:line="240" w:lineRule="auto"/>
              <w:widowControl/>
              <w:rPr>
                <w:rFonts w:hint="eastAsia" w:cs="Arial" w:asciiTheme="minorEastAsia" w:hAnsiTheme="minorEastAsia" w:eastAsiaTheme="minorEastAsia"/>
                <w:color w:val="000000"/>
                <w:sz w:val="21"/>
                <w:szCs w:val="21"/>
                <w:highlight w:val="none"/>
                <w:lang w:eastAsia="zh-CN"/>
              </w:rPr>
            </w:pPr>
            <w:r>
              <w:rPr>
                <w:rFonts w:hint="eastAsia" w:cs="Arial" w:asciiTheme="minorEastAsia" w:hAnsiTheme="minorEastAsia" w:eastAsiaTheme="minorEastAsia"/>
                <w:color w:val="000000"/>
                <w:sz w:val="21"/>
                <w:szCs w:val="21"/>
                <w:highlight w:val="none"/>
              </w:rPr>
              <w:t xml:space="preserve">名称：光汇聚交换机 </w:t>
            </w:r>
            <w:r>
              <w:rPr>
                <w:rFonts w:hint="eastAsia" w:cs="Arial" w:asciiTheme="minorEastAsia" w:hAnsiTheme="minorEastAsia" w:eastAsiaTheme="minorEastAsia"/>
                <w:color w:val="000000"/>
                <w:sz w:val="21"/>
                <w:szCs w:val="21"/>
                <w:highlight w:val="none"/>
              </w:rPr>
              <w:br/>
            </w:r>
            <w:r>
              <w:rPr>
                <w:rFonts w:hint="eastAsia" w:cs="Arial" w:asciiTheme="minorEastAsia" w:hAnsiTheme="minorEastAsia" w:eastAsiaTheme="minorEastAsia"/>
                <w:color w:val="000000"/>
                <w:sz w:val="21"/>
                <w:szCs w:val="21"/>
                <w:highlight w:val="none"/>
              </w:rPr>
              <w:t xml:space="preserve">1</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性能：交换容量≥500Gbps；转发性能≥144Mpps</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br/>
            </w:r>
            <w:r>
              <w:rPr>
                <w:rFonts w:hint="eastAsia" w:cs="Arial" w:asciiTheme="minorEastAsia" w:hAnsiTheme="minorEastAsia" w:eastAsiaTheme="minorEastAsia"/>
                <w:color w:val="000000"/>
                <w:sz w:val="21"/>
                <w:szCs w:val="21"/>
                <w:highlight w:val="none"/>
              </w:rPr>
              <w:t xml:space="preserve">2</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接口类型：≥26个千兆SFP口，2个千兆Combo口</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br/>
            </w:r>
            <w:r>
              <w:rPr>
                <w:rFonts w:hint="eastAsia" w:cs="Arial" w:asciiTheme="minorEastAsia" w:hAnsiTheme="minorEastAsia" w:eastAsiaTheme="minorEastAsia"/>
                <w:color w:val="000000"/>
                <w:sz w:val="21"/>
                <w:szCs w:val="21"/>
                <w:highlight w:val="none"/>
              </w:rPr>
              <w:t xml:space="preserve">3</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支持≥9台设备堆叠</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br/>
            </w:r>
            <w:r>
              <w:rPr>
                <w:rFonts w:hint="eastAsia" w:cs="Arial" w:asciiTheme="minorEastAsia" w:hAnsiTheme="minorEastAsia" w:eastAsiaTheme="minorEastAsia"/>
                <w:color w:val="000000"/>
                <w:sz w:val="21"/>
                <w:szCs w:val="21"/>
                <w:highlight w:val="none"/>
              </w:rPr>
              <w:t xml:space="preserve">4</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支持基于协议的VLAN、支持基于MAC的VLAN、支持VLAN映射</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br/>
            </w:r>
            <w:r>
              <w:rPr>
                <w:rFonts w:hint="eastAsia" w:cs="Arial" w:asciiTheme="minorEastAsia" w:hAnsiTheme="minorEastAsia" w:eastAsiaTheme="minorEastAsia"/>
                <w:color w:val="000000"/>
                <w:sz w:val="21"/>
                <w:szCs w:val="21"/>
                <w:highlight w:val="none"/>
              </w:rPr>
              <w:t xml:space="preserve">★5</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支持静态路由、支持IPv6静态路由、双协议栈</w:t>
            </w:r>
            <w:r>
              <w:rPr>
                <w:rFonts w:hint="eastAsia" w:cs="Arial" w:asciiTheme="minorEastAsia" w:hAnsiTheme="minorEastAsia" w:eastAsiaTheme="minorEastAsia"/>
                <w:color w:val="000000"/>
                <w:sz w:val="21"/>
                <w:szCs w:val="21"/>
                <w:highlight w:val="none"/>
                <w:lang w:eastAsia="zh-CN"/>
              </w:rPr>
              <w:t xml:space="preserve">。</w:t>
            </w:r>
            <w:r>
              <w:rPr>
                <w:rFonts w:hint="eastAsia" w:ascii="宋体" w:hAnsi="宋体" w:cs="Arial"/>
                <w:b/>
                <w:bCs/>
                <w:color w:val="000000" w:themeColor="text1"/>
                <w:szCs w:val="21"/>
                <w:highlight w:val="none"/>
                <w14:textFill>
                  <w14:solidFill>
                    <w14:schemeClr w14:val="tx1"/>
                  </w14:solidFill>
                </w14:textFill>
              </w:rPr>
              <w:t xml:space="preserve">（提供</w:t>
            </w:r>
            <w:r>
              <w:rPr>
                <w:rFonts w:hint="eastAsia" w:ascii="宋体" w:hAnsi="宋体" w:cs="Arial"/>
                <w:b/>
                <w:bCs/>
                <w:color w:val="000000" w:themeColor="text1"/>
                <w:szCs w:val="21"/>
                <w:highlight w:val="none"/>
                <w:lang w:val="en-US" w:eastAsia="zh-CN"/>
                <w14:textFill>
                  <w14:solidFill>
                    <w14:schemeClr w14:val="tx1"/>
                  </w14:solidFill>
                </w14:textFill>
              </w:rPr>
              <w:t xml:space="preserve">投标产品官方网站</w:t>
            </w:r>
            <w:r>
              <w:rPr>
                <w:rFonts w:hint="eastAsia" w:ascii="宋体" w:hAnsi="宋体" w:cs="Arial"/>
                <w:b/>
                <w:bCs/>
                <w:color w:val="000000" w:themeColor="text1"/>
                <w:szCs w:val="21"/>
                <w:highlight w:val="none"/>
                <w14:textFill>
                  <w14:solidFill>
                    <w14:schemeClr w14:val="tx1"/>
                  </w14:solidFill>
                </w14:textFill>
              </w:rPr>
              <w:t xml:space="preserve">截图证明</w:t>
            </w:r>
            <w:r>
              <w:rPr>
                <w:rFonts w:hint="eastAsia" w:ascii="宋体" w:hAnsi="宋体" w:cs="Arial"/>
                <w:b/>
                <w:bCs/>
                <w:color w:val="000000" w:themeColor="text1"/>
                <w:szCs w:val="21"/>
                <w:highlight w:val="none"/>
                <w:lang w:eastAsia="zh-CN"/>
                <w14:textFill>
                  <w14:solidFill>
                    <w14:schemeClr w14:val="tx1"/>
                  </w14:solidFill>
                </w14:textFill>
              </w:rPr>
              <w:t xml:space="preserve">，</w:t>
            </w:r>
            <w:r>
              <w:rPr>
                <w:rFonts w:hint="eastAsia" w:ascii="宋体" w:hAnsi="宋体" w:cs="Arial"/>
                <w:b/>
                <w:bCs/>
                <w:color w:val="000000" w:themeColor="text1"/>
                <w:szCs w:val="21"/>
                <w:highlight w:val="none"/>
                <w:lang w:val="en-US" w:eastAsia="zh-CN"/>
                <w14:textFill>
                  <w14:solidFill>
                    <w14:schemeClr w14:val="tx1"/>
                  </w14:solidFill>
                </w14:textFill>
              </w:rPr>
              <w:t xml:space="preserve">扫描上传</w:t>
            </w:r>
            <w:r>
              <w:rPr>
                <w:rFonts w:hint="eastAsia" w:ascii="宋体" w:hAnsi="宋体" w:cs="Arial"/>
                <w:b/>
                <w:bCs/>
                <w:color w:val="000000" w:themeColor="text1"/>
                <w:szCs w:val="21"/>
                <w:highlight w:val="none"/>
                <w14:textFill>
                  <w14:solidFill>
                    <w14:schemeClr w14:val="tx1"/>
                  </w14:solidFill>
                </w14:textFill>
              </w:rPr>
              <w:t xml:space="preserve">）</w:t>
            </w:r>
            <w:r>
              <w:rPr>
                <w:rFonts w:hint="eastAsia" w:cs="Arial" w:asciiTheme="minorEastAsia" w:hAnsiTheme="minorEastAsia" w:eastAsiaTheme="minorEastAsia"/>
                <w:color w:val="000000"/>
                <w:sz w:val="21"/>
                <w:szCs w:val="21"/>
                <w:highlight w:val="none"/>
              </w:rPr>
              <w:br/>
            </w:r>
            <w:r>
              <w:rPr>
                <w:rFonts w:hint="eastAsia" w:cs="Arial" w:asciiTheme="minorEastAsia" w:hAnsiTheme="minorEastAsia" w:eastAsiaTheme="minorEastAsia"/>
                <w:color w:val="000000"/>
                <w:sz w:val="21"/>
                <w:szCs w:val="21"/>
                <w:highlight w:val="none"/>
              </w:rPr>
              <w:t xml:space="preserve">★6</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支持IP＋MAC+PORT绑定功能</w:t>
            </w:r>
            <w:r>
              <w:rPr>
                <w:rFonts w:hint="eastAsia" w:cs="Arial" w:asciiTheme="minorEastAsia" w:hAnsiTheme="minorEastAsia" w:eastAsiaTheme="minorEastAsia"/>
                <w:color w:val="000000"/>
                <w:sz w:val="21"/>
                <w:szCs w:val="21"/>
                <w:highlight w:val="none"/>
                <w:lang w:eastAsia="zh-CN"/>
              </w:rPr>
              <w:t xml:space="preserve">。</w:t>
            </w:r>
            <w:r>
              <w:rPr>
                <w:rFonts w:hint="eastAsia" w:ascii="宋体" w:hAnsi="宋体" w:cs="Arial"/>
                <w:b/>
                <w:bCs/>
                <w:color w:val="000000" w:themeColor="text1"/>
                <w:szCs w:val="21"/>
                <w:highlight w:val="none"/>
                <w14:textFill>
                  <w14:solidFill>
                    <w14:schemeClr w14:val="tx1"/>
                  </w14:solidFill>
                </w14:textFill>
              </w:rPr>
              <w:t xml:space="preserve">（提供</w:t>
            </w:r>
            <w:r>
              <w:rPr>
                <w:rFonts w:hint="eastAsia" w:ascii="宋体" w:hAnsi="宋体" w:cs="Arial"/>
                <w:b/>
                <w:bCs/>
                <w:color w:val="000000" w:themeColor="text1"/>
                <w:szCs w:val="21"/>
                <w:highlight w:val="none"/>
                <w:lang w:val="en-US" w:eastAsia="zh-CN"/>
                <w14:textFill>
                  <w14:solidFill>
                    <w14:schemeClr w14:val="tx1"/>
                  </w14:solidFill>
                </w14:textFill>
              </w:rPr>
              <w:t xml:space="preserve">投标产品官方网站</w:t>
            </w:r>
            <w:r>
              <w:rPr>
                <w:rFonts w:hint="eastAsia" w:ascii="宋体" w:hAnsi="宋体" w:cs="Arial"/>
                <w:b/>
                <w:bCs/>
                <w:color w:val="000000" w:themeColor="text1"/>
                <w:szCs w:val="21"/>
                <w:highlight w:val="none"/>
                <w14:textFill>
                  <w14:solidFill>
                    <w14:schemeClr w14:val="tx1"/>
                  </w14:solidFill>
                </w14:textFill>
              </w:rPr>
              <w:t xml:space="preserve">截图证明</w:t>
            </w:r>
            <w:r>
              <w:rPr>
                <w:rFonts w:hint="eastAsia" w:ascii="宋体" w:hAnsi="宋体" w:cs="Arial"/>
                <w:b/>
                <w:bCs/>
                <w:color w:val="000000" w:themeColor="text1"/>
                <w:szCs w:val="21"/>
                <w:highlight w:val="none"/>
                <w:lang w:eastAsia="zh-CN"/>
                <w14:textFill>
                  <w14:solidFill>
                    <w14:schemeClr w14:val="tx1"/>
                  </w14:solidFill>
                </w14:textFill>
              </w:rPr>
              <w:t xml:space="preserve">，</w:t>
            </w:r>
            <w:r>
              <w:rPr>
                <w:rFonts w:hint="eastAsia" w:ascii="宋体" w:hAnsi="宋体" w:cs="Arial"/>
                <w:b/>
                <w:bCs/>
                <w:color w:val="000000" w:themeColor="text1"/>
                <w:szCs w:val="21"/>
                <w:highlight w:val="none"/>
                <w:lang w:val="en-US" w:eastAsia="zh-CN"/>
                <w14:textFill>
                  <w14:solidFill>
                    <w14:schemeClr w14:val="tx1"/>
                  </w14:solidFill>
                </w14:textFill>
              </w:rPr>
              <w:t xml:space="preserve">扫描上传</w:t>
            </w:r>
            <w:r>
              <w:rPr>
                <w:rFonts w:hint="eastAsia" w:ascii="宋体" w:hAnsi="宋体" w:cs="Arial"/>
                <w:b/>
                <w:bCs/>
                <w:color w:val="000000" w:themeColor="text1"/>
                <w:szCs w:val="21"/>
                <w:highlight w:val="none"/>
                <w14:textFill>
                  <w14:solidFill>
                    <w14:schemeClr w14:val="tx1"/>
                  </w14:solidFill>
                </w14:textFill>
              </w:rPr>
              <w:t xml:space="preserve">）</w:t>
            </w:r>
            <w:r>
              <w:rPr>
                <w:rFonts w:hint="eastAsia" w:cs="Arial" w:asciiTheme="minorEastAsia" w:hAnsiTheme="minorEastAsia" w:eastAsiaTheme="minorEastAsia"/>
                <w:color w:val="000000"/>
                <w:sz w:val="21"/>
                <w:szCs w:val="21"/>
                <w:highlight w:val="none"/>
              </w:rPr>
              <w:br/>
            </w:r>
            <w:r>
              <w:rPr>
                <w:rFonts w:hint="eastAsia" w:cs="Arial" w:asciiTheme="minorEastAsia" w:hAnsiTheme="minorEastAsia" w:eastAsiaTheme="minorEastAsia"/>
                <w:color w:val="000000"/>
                <w:sz w:val="21"/>
                <w:szCs w:val="21"/>
                <w:highlight w:val="none"/>
              </w:rPr>
              <w:t xml:space="preserve">7</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支持防止ARP、未知组播报文、广播报文、未知单播报文、TTL=1报文、协议报文等攻击功能</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br/>
            </w:r>
            <w:r>
              <w:rPr>
                <w:rFonts w:hint="eastAsia" w:cs="Arial" w:asciiTheme="minorEastAsia" w:hAnsiTheme="minorEastAsia" w:eastAsiaTheme="minorEastAsia"/>
                <w:color w:val="000000"/>
                <w:sz w:val="21"/>
                <w:szCs w:val="21"/>
                <w:highlight w:val="none"/>
              </w:rPr>
              <w:t xml:space="preserve">8</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支持Console/AUX Modem/Telnet/SSH 命令行配置，支持SNMP V1/V2c/V3</w:t>
            </w:r>
            <w:r>
              <w:rPr>
                <w:rFonts w:hint="eastAsia" w:cs="Arial" w:asciiTheme="minorEastAsia" w:hAnsiTheme="minorEastAsia" w:eastAsiaTheme="minorEastAsia"/>
                <w:color w:val="000000"/>
                <w:sz w:val="21"/>
                <w:szCs w:val="21"/>
                <w:highlight w:val="none"/>
                <w:lang w:eastAsia="zh-CN"/>
              </w:rPr>
              <w:t xml:space="preserve">。</w:t>
            </w:r>
            <w:r/>
          </w:p>
          <w:p>
            <w:pPr>
              <w:jc w:val="left"/>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cs="Arial" w:asciiTheme="minorEastAsia" w:hAnsiTheme="minorEastAsia" w:eastAsiaTheme="minorEastAsia"/>
                <w:color w:val="000000"/>
                <w:sz w:val="21"/>
                <w:szCs w:val="21"/>
                <w:highlight w:val="none"/>
              </w:rPr>
              <w:t xml:space="preserve">9</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支持以太网OAM、DLDP、Monitor Link</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br/>
            </w:r>
            <w:r>
              <w:rPr>
                <w:rFonts w:hint="eastAsia" w:cs="Arial" w:asciiTheme="minorEastAsia" w:hAnsiTheme="minorEastAsia" w:eastAsiaTheme="minorEastAsia"/>
                <w:color w:val="000000"/>
                <w:sz w:val="21"/>
                <w:szCs w:val="21"/>
                <w:highlight w:val="none"/>
              </w:rPr>
              <w:t xml:space="preserve">10</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绿色节能，节能设计大幅降低设备的功耗以及故障点，产品整机满足材料环保与安全性的欧盟RoHS标准</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br/>
            </w:r>
            <w:r>
              <w:rPr>
                <w:rFonts w:hint="eastAsia" w:cs="Arial" w:asciiTheme="minorEastAsia" w:hAnsiTheme="minorEastAsia" w:eastAsiaTheme="minorEastAsia"/>
                <w:color w:val="000000"/>
                <w:sz w:val="21"/>
                <w:szCs w:val="21"/>
                <w:highlight w:val="none"/>
              </w:rPr>
              <w:t xml:space="preserve">11</w:t>
            </w:r>
            <w:r>
              <w:rPr>
                <w:rFonts w:hint="eastAsia" w:cs="Arial" w:asciiTheme="minorEastAsia" w:hAnsiTheme="minorEastAsia" w:eastAsiaTheme="minorEastAsia"/>
                <w:color w:val="000000"/>
                <w:sz w:val="21"/>
                <w:szCs w:val="21"/>
                <w:highlight w:val="none"/>
                <w:lang w:eastAsia="zh-CN"/>
              </w:rPr>
              <w:t xml:space="preserve">、</w:t>
            </w:r>
            <w:r>
              <w:rPr>
                <w:rFonts w:hint="eastAsia" w:cs="Arial" w:asciiTheme="minorEastAsia" w:hAnsiTheme="minorEastAsia" w:eastAsiaTheme="minorEastAsia"/>
                <w:color w:val="000000"/>
                <w:sz w:val="21"/>
                <w:szCs w:val="21"/>
                <w:highlight w:val="none"/>
              </w:rPr>
              <w:t xml:space="preserve">提供进网许可证、CQC自愿认证证书和进网检测报告</w:t>
            </w:r>
            <w:r>
              <w:rPr>
                <w:rFonts w:hint="eastAsia" w:cs="Arial" w:asciiTheme="minorEastAsia" w:hAnsiTheme="minorEastAsia" w:eastAsiaTheme="minorEastAsia"/>
                <w:color w:val="000000"/>
                <w:sz w:val="21"/>
                <w:szCs w:val="21"/>
                <w:highlight w:val="none"/>
                <w:lang w:eastAsia="zh-CN"/>
              </w:rPr>
              <w:t xml:space="preserve">。</w:t>
            </w:r>
            <w:r/>
          </w:p>
        </w:tc>
        <w:tc>
          <w:tcPr>
            <w:tcW w:w="825"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台</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4</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16</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光模块</w:t>
            </w:r>
            <w:r/>
          </w:p>
        </w:tc>
        <w:tc>
          <w:tcPr>
            <w:tcW w:w="5520" w:type="dxa"/>
            <w:vAlign w:val="center"/>
            <w:textDirection w:val="lrTb"/>
            <w:noWrap w:val="false"/>
          </w:tcPr>
          <w:p>
            <w:pPr>
              <w:jc w:val="left"/>
              <w:widowControl/>
              <w:rPr>
                <w:rFonts w:hint="eastAsia" w:ascii="宋体" w:hAnsi="宋体" w:eastAsia="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单模千兆 双纤80km</w:t>
            </w:r>
            <w:r/>
          </w:p>
        </w:tc>
        <w:tc>
          <w:tcPr>
            <w:tcW w:w="825"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只</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8</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17</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光传输设备</w:t>
            </w:r>
            <w:r/>
          </w:p>
        </w:tc>
        <w:tc>
          <w:tcPr>
            <w:tcW w:w="5520" w:type="dxa"/>
            <w:vAlign w:val="center"/>
            <w:textDirection w:val="lrTb"/>
            <w:noWrap w:val="false"/>
          </w:tcPr>
          <w:p>
            <w:pPr>
              <w:jc w:val="left"/>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单模单纤千兆工业级 80km</w:t>
            </w:r>
            <w:r/>
          </w:p>
        </w:tc>
        <w:tc>
          <w:tcPr>
            <w:tcW w:w="82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对</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207</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18</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管道警示桩</w:t>
            </w:r>
            <w:r/>
          </w:p>
        </w:tc>
        <w:tc>
          <w:tcPr>
            <w:tcW w:w="5520" w:type="dxa"/>
            <w:vAlign w:val="center"/>
            <w:textDirection w:val="lrTb"/>
            <w:noWrap w:val="false"/>
          </w:tcPr>
          <w:p>
            <w:pPr>
              <w:jc w:val="left"/>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高度0.8米埋地安装，玻璃钢材质</w:t>
            </w:r>
            <w:r/>
          </w:p>
        </w:tc>
        <w:tc>
          <w:tcPr>
            <w:tcW w:w="82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根</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350</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19</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辅材</w:t>
            </w:r>
            <w:r/>
          </w:p>
        </w:tc>
        <w:tc>
          <w:tcPr>
            <w:tcW w:w="5520" w:type="dxa"/>
            <w:vAlign w:val="center"/>
            <w:textDirection w:val="lrTb"/>
            <w:noWrap w:val="false"/>
          </w:tcPr>
          <w:p>
            <w:pPr>
              <w:jc w:val="left"/>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r>
            <w:r/>
          </w:p>
        </w:tc>
        <w:tc>
          <w:tcPr>
            <w:tcW w:w="82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项</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1</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20</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安装及调试费</w:t>
            </w:r>
            <w:r/>
          </w:p>
        </w:tc>
        <w:tc>
          <w:tcPr>
            <w:tcW w:w="5520" w:type="dxa"/>
            <w:vAlign w:val="center"/>
            <w:textDirection w:val="lrTb"/>
            <w:noWrap w:val="false"/>
          </w:tcPr>
          <w:p>
            <w:pPr>
              <w:jc w:val="center"/>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r>
            <w:r/>
          </w:p>
        </w:tc>
        <w:tc>
          <w:tcPr>
            <w:tcW w:w="82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项</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1</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21</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维护费</w:t>
            </w:r>
            <w:r/>
          </w:p>
        </w:tc>
        <w:tc>
          <w:tcPr>
            <w:tcW w:w="5520" w:type="dxa"/>
            <w:vAlign w:val="center"/>
            <w:textDirection w:val="lrTb"/>
            <w:noWrap w:val="false"/>
          </w:tcPr>
          <w:p>
            <w:pPr>
              <w:jc w:val="left"/>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3年（不含质保期）</w:t>
            </w:r>
            <w:r/>
          </w:p>
        </w:tc>
        <w:tc>
          <w:tcPr>
            <w:tcW w:w="82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项</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1</w:t>
            </w:r>
            <w:r/>
          </w:p>
        </w:tc>
      </w:tr>
      <w:tr>
        <w:trPr>
          <w:trHeight w:val="485"/>
        </w:trPr>
        <w:tc>
          <w:tcPr>
            <w:tcW w:w="484"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highlight w:val="none"/>
                <w:lang w:val="en-US" w:eastAsia="zh-CN"/>
                <w14:textFill>
                  <w14:solidFill>
                    <w14:schemeClr w14:val="tx1"/>
                  </w14:solidFill>
                </w14:textFill>
              </w:rPr>
              <w:t xml:space="preserve">22</w:t>
            </w:r>
            <w:r/>
          </w:p>
        </w:tc>
        <w:tc>
          <w:tcPr>
            <w:tcW w:w="115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网络专线费</w:t>
            </w:r>
            <w:r/>
          </w:p>
        </w:tc>
        <w:tc>
          <w:tcPr>
            <w:tcW w:w="5520" w:type="dxa"/>
            <w:vAlign w:val="center"/>
            <w:textDirection w:val="lrTb"/>
            <w:noWrap w:val="false"/>
          </w:tcPr>
          <w:p>
            <w:pPr>
              <w:jc w:val="left"/>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75条网络专线（租期3年）</w:t>
            </w:r>
            <w:r/>
          </w:p>
        </w:tc>
        <w:tc>
          <w:tcPr>
            <w:tcW w:w="825" w:type="dxa"/>
            <w:vAlign w:val="center"/>
            <w:textDirection w:val="lrTb"/>
            <w:noWrap w:val="false"/>
          </w:tcPr>
          <w:p>
            <w:pPr>
              <w:jc w:val="center"/>
              <w:spacing w:after="0" w:line="240" w:lineRule="auto"/>
              <w:widowControl/>
              <w:rPr>
                <w:rFonts w:hint="eastAsia" w:ascii="宋体" w:hAnsi="宋体" w:eastAsia="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月</w:t>
            </w:r>
            <w:r/>
          </w:p>
        </w:tc>
        <w:tc>
          <w:tcPr>
            <w:tcW w:w="773" w:type="dxa"/>
            <w:vAlign w:val="center"/>
            <w:textDirection w:val="lrTb"/>
            <w:noWrap w:val="false"/>
          </w:tcPr>
          <w:p>
            <w:pPr>
              <w:jc w:val="center"/>
              <w:spacing w:after="0" w:line="240" w:lineRule="auto"/>
              <w:widowControl/>
              <w:rPr>
                <w:rFonts w:hint="eastAsia" w:ascii="宋体" w:hAnsi="宋体" w:cs="Arial"/>
                <w:color w:val="000000" w:themeColor="text1"/>
                <w:szCs w:val="21"/>
                <w:highlight w:val="none"/>
                <w:lang w:val="en-US" w:eastAsia="zh-CN"/>
                <w14:textFill>
                  <w14:solidFill>
                    <w14:schemeClr w14:val="tx1"/>
                  </w14:solidFill>
                </w14:textFill>
              </w:rPr>
            </w:pPr>
            <w:r>
              <w:rPr>
                <w:rFonts w:hint="eastAsia" w:ascii="宋体" w:hAnsi="宋体" w:eastAsia="宋体" w:cs="Arial"/>
                <w:color w:val="000000" w:themeColor="text1"/>
                <w:szCs w:val="21"/>
                <w:highlight w:val="none"/>
                <w:lang w:val="en-US" w:eastAsia="zh-CN"/>
                <w14:textFill>
                  <w14:solidFill>
                    <w14:schemeClr w14:val="tx1"/>
                  </w14:solidFill>
                </w14:textFill>
              </w:rPr>
              <w:t xml:space="preserve">2700</w:t>
            </w:r>
            <w:r/>
          </w:p>
        </w:tc>
      </w:tr>
    </w:tbl>
    <w:p>
      <w:pPr>
        <w:jc w:val="left"/>
        <w:spacing w:line="520" w:lineRule="exact"/>
        <w:rPr>
          <w:rFonts w:hint="eastAsia" w:ascii="宋体" w:hAnsi="宋体" w:cs="宋体"/>
          <w:b/>
          <w:bCs/>
          <w:sz w:val="24"/>
          <w:highlight w:val="yellow"/>
          <w:lang w:val="en-US" w:eastAsia="zh-CN"/>
        </w:rPr>
      </w:pPr>
      <w:r>
        <w:rPr>
          <w:rFonts w:hint="eastAsia" w:ascii="宋体" w:hAnsi="宋体" w:cs="宋体"/>
          <w:b/>
          <w:bCs/>
          <w:sz w:val="24"/>
          <w:highlight w:val="yellow"/>
          <w:lang w:val="en-US" w:eastAsia="zh-CN"/>
        </w:rPr>
      </w:r>
      <w:r/>
    </w:p>
    <w:p>
      <w:pPr>
        <w:jc w:val="left"/>
        <w:spacing w:line="52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、售后服务方案</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1、售后服务内容</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投标人向采购人提供7*24小时故障报修受理服务机构的联系方式；投标人接到报修通知后，维修人员4小时内到达现场，并根据现场情况开展故障排除工作。针对前端设备故障需要返厂维修，能在24小时内提供设备备件。处理线路、软件升级等非前端设备硬件损坏故障，在24小时内恢复运行。</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2、售后服务、培训</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投标人应编制售后服务方案，方案中体现完善的售后服务体系、售后服务保证措施等。 应根据采购人的要求对设备使用提供技术培训和指导。</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3、设备维护</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（1）设备维护：</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定期巡检：对监控设备进行定期巡检，确保设备正常运行。</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故障处理：及时排查和处理出现的故障，确保故障设备尽快恢复正常。</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定期更新：根据设备使用情况和需求，定期更新软件和固件，确保系统安全性。</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数据备份：定期对监控数据进行备份，以防数据丢失或损坏。</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（2）系统更新与补丁管理：</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系统补丁升级：因应用系统软件改版或功能扩充等原因进行系统升级。</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巡检服务：提供系统运行性能诊断及设备检修保养服务，减少故障发生率及延长使用周期。</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（3）服务人员配备：</w:t>
      </w:r>
      <w:r/>
    </w:p>
    <w:p>
      <w:pPr>
        <w:pStyle w:val="934"/>
        <w:ind w:firstLine="420"/>
        <w:rPr>
          <w:rFonts w:hint="eastAsia" w:asciiTheme="minorEastAsia" w:hAnsiTheme="minorEastAsia"/>
          <w:highlight w:val="none"/>
        </w:rPr>
      </w:pPr>
      <w:r>
        <w:rPr>
          <w:rFonts w:hint="eastAsia" w:asciiTheme="minorEastAsia" w:hAnsiTheme="minorEastAsia"/>
          <w:highlight w:val="none"/>
        </w:rPr>
        <w:t xml:space="preserve">设立售后服务组织架构，组员包含但不限于售后服务经理、售后服务人员等。相关人员应具有专业知识和技能。并结合建设点位的覆盖范围，配置维修小组。明确各类人员的工作职责及范围。保障维修小组能够在规定的时间内完成故障点位的修复。</w:t>
      </w:r>
      <w:r/>
    </w:p>
    <w:p>
      <w:pPr>
        <w:jc w:val="left"/>
        <w:spacing w:line="52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、系统建设实施</w:t>
      </w:r>
      <w:r/>
    </w:p>
    <w:p>
      <w:pPr>
        <w:pStyle w:val="934"/>
        <w:ind w:firstLine="420"/>
        <w:rPr>
          <w:rFonts w:asciiTheme="minorEastAsia" w:hAnsiTheme="minorEastAsia"/>
        </w:rPr>
      </w:pPr>
      <w:r>
        <w:rPr>
          <w:rFonts w:hint="eastAsia" w:asciiTheme="minorEastAsia" w:hAnsiTheme="minorEastAsia"/>
        </w:rPr>
        <w:t xml:space="preserve">1、建设原则</w:t>
      </w:r>
      <w:r/>
    </w:p>
    <w:p>
      <w:pPr>
        <w:pStyle w:val="934"/>
        <w:ind w:firstLine="420"/>
        <w:rPr>
          <w:rFonts w:asciiTheme="minorEastAsia" w:hAnsiTheme="minorEastAsia"/>
        </w:rPr>
      </w:pPr>
      <w:r>
        <w:rPr>
          <w:rFonts w:hint="eastAsia" w:asciiTheme="minorEastAsia" w:hAnsiTheme="minorEastAsia"/>
        </w:rPr>
        <w:t xml:space="preserve">本项目建设时应遵循技术先进、功能齐全、性能稳定、节约成本的原则。综合考虑后期维护及操作等因素，并为今后的扩建、改造等留有扩充的余地。建设方案应完整、全面，具有科学性、合理性及可操作性。</w:t>
      </w:r>
      <w:r/>
    </w:p>
    <w:p>
      <w:pPr>
        <w:pStyle w:val="934"/>
        <w:ind w:firstLine="420"/>
        <w:rPr>
          <w:rFonts w:asciiTheme="minorEastAsia" w:hAnsiTheme="minorEastAsia"/>
        </w:rPr>
      </w:pPr>
      <w:r>
        <w:rPr>
          <w:rFonts w:hint="eastAsia" w:asciiTheme="minorEastAsia" w:hAnsiTheme="minorEastAsia"/>
        </w:rPr>
        <w:t xml:space="preserve">2、实施要求</w:t>
      </w:r>
      <w:r/>
    </w:p>
    <w:p>
      <w:pPr>
        <w:pStyle w:val="934"/>
        <w:ind w:firstLine="420"/>
        <w:rPr>
          <w:rFonts w:asciiTheme="minorEastAsia" w:hAnsiTheme="minorEastAsia"/>
        </w:rPr>
      </w:pPr>
      <w:r>
        <w:rPr>
          <w:rFonts w:hint="eastAsia" w:asciiTheme="minorEastAsia" w:hAnsiTheme="minorEastAsia"/>
        </w:rPr>
        <w:t xml:space="preserve">(1)与仪征市公安视频图像信息应用平台系统无缝对接​</w:t>
      </w:r>
      <w:r/>
    </w:p>
    <w:p>
      <w:pPr>
        <w:pStyle w:val="934"/>
        <w:ind w:firstLine="420"/>
        <w:rPr>
          <w:rFonts w:asciiTheme="minorEastAsia" w:hAnsiTheme="minorEastAsia"/>
        </w:rPr>
      </w:pPr>
      <w:r>
        <w:rPr>
          <w:rFonts w:hint="eastAsia" w:asciiTheme="minorEastAsia" w:hAnsiTheme="minorEastAsia"/>
        </w:rPr>
        <w:t xml:space="preserve">资源统一管理：建立统一的资源管理数据库，将本项目涉及的所有前端相机以及视频图像数据、人员信息、车辆信息等业务数据进行集中管理。制定统一的数据标准与接口规范，确保与仪征市公安视频图像信息应用平台系统的数据格式一致，实现数据的无缝对接与共享。​</w:t>
      </w:r>
      <w:r/>
    </w:p>
    <w:p>
      <w:pPr>
        <w:pStyle w:val="934"/>
        <w:ind w:firstLine="420"/>
        <w:rPr>
          <w:rFonts w:asciiTheme="minorEastAsia" w:hAnsiTheme="minorEastAsia"/>
        </w:rPr>
      </w:pPr>
      <w:r>
        <w:rPr>
          <w:rFonts w:hint="eastAsia" w:asciiTheme="minorEastAsia" w:hAnsiTheme="minorEastAsia"/>
        </w:rPr>
        <w:t xml:space="preserve">(2)总体管理方案​</w:t>
      </w:r>
      <w:r/>
    </w:p>
    <w:p>
      <w:pPr>
        <w:pStyle w:val="934"/>
        <w:ind w:firstLine="420"/>
        <w:rPr>
          <w:rFonts w:asciiTheme="minorEastAsia" w:hAnsiTheme="minorEastAsia"/>
        </w:rPr>
      </w:pPr>
      <w:r>
        <w:rPr>
          <w:rFonts w:hint="eastAsia" w:asciiTheme="minorEastAsia" w:hAnsiTheme="minorEastAsia"/>
        </w:rPr>
        <w:t xml:space="preserve">设备安装调试：制定详细的设备安装调试计划，明确各设备的安装位置、安装步骤与调试方法。安排专业的技术人员进行设备安装，在安装过程中严格按照设备安装手册与相关规范进行操作。设备安装完成后，及时进行调试，确保设备各项功能正常运行。​</w:t>
      </w:r>
      <w:r/>
    </w:p>
    <w:p>
      <w:pPr>
        <w:pStyle w:val="934"/>
        <w:ind w:firstLine="420"/>
        <w:rPr>
          <w:rFonts w:asciiTheme="minorEastAsia" w:hAnsiTheme="minorEastAsia"/>
          <w:highlight w:val="none"/>
        </w:rPr>
      </w:pPr>
      <w:r>
        <w:rPr>
          <w:rFonts w:hint="eastAsia" w:asciiTheme="minorEastAsia" w:hAnsiTheme="minorEastAsia"/>
          <w:highlight w:val="none"/>
        </w:rPr>
        <w:t xml:space="preserve">外场</w:t>
      </w:r>
      <w:r>
        <w:rPr>
          <w:rFonts w:hint="eastAsia" w:ascii="宋体" w:hAnsi="宋体" w:cs="Arial"/>
          <w:color w:val="000000"/>
          <w:szCs w:val="21"/>
          <w:highlight w:val="none"/>
        </w:rPr>
        <w:t xml:space="preserve">道路交通安全警示主体设备和</w:t>
      </w:r>
      <w:r>
        <w:rPr>
          <w:rFonts w:hint="eastAsia" w:asciiTheme="minorEastAsia" w:hAnsiTheme="minorEastAsia"/>
          <w:highlight w:val="none"/>
        </w:rPr>
        <w:t xml:space="preserve">立杆施工：在主体与立杆施工前，进行详细的现场勘查，确定主体与立杆的位置、高度与基础形式。制定相应施工方案，包括施工流程、安全保障措施等。选用专业的施工队伍进行主体与立杆施工，在施工过程中确保主体与立杆的垂直度、稳定性符合要求，同时做好主体与立杆的防锈、防腐处理。​</w:t>
      </w:r>
      <w:r/>
    </w:p>
    <w:p>
      <w:pPr>
        <w:pStyle w:val="934"/>
        <w:ind w:firstLine="420"/>
        <w:rPr>
          <w:rFonts w:asciiTheme="minorEastAsia" w:hAnsiTheme="minorEastAsia"/>
        </w:rPr>
      </w:pPr>
      <w:r>
        <w:rPr>
          <w:rFonts w:hint="eastAsia" w:asciiTheme="minorEastAsia" w:hAnsiTheme="minorEastAsia"/>
        </w:rPr>
        <w:t xml:space="preserve">总体联调：在所有设备安装调试完成后，进行系统的总体联调。制定总体联调方案，明确联调的范围、步骤与测试方法。组织相关技术人员进行联调工作，对系统的各项功能进行全面测试，包括视频图像传输、智能分析、平台对接等功能，及时发现并解决联调过程中出现的问题。​</w:t>
      </w:r>
      <w:r/>
    </w:p>
    <w:p>
      <w:pPr>
        <w:pStyle w:val="934"/>
        <w:ind w:firstLine="420"/>
        <w:rPr>
          <w:rFonts w:asciiTheme="minorEastAsia" w:hAnsiTheme="minorEastAsia"/>
        </w:rPr>
      </w:pPr>
      <w:r>
        <w:rPr>
          <w:rFonts w:hint="eastAsia" w:asciiTheme="minorEastAsia" w:hAnsiTheme="minorEastAsia"/>
        </w:rPr>
        <w:t xml:space="preserve">“一机一档” 工作：安排专人负责收集整理本项目所有设备的相关信息，包括设备名称、型号、生产厂家、采购时间、安装位置、设备参数等。按照省公安厅、市公安局 “一机一档” 建设要求，将设备信息录入到指定的系统中，并确保信息的准确性与完整性。同时，对立杆点位信息、线路走向信息等进行整理录入，建立完善的项目档案。</w:t>
      </w:r>
      <w:r/>
    </w:p>
    <w:p>
      <w:pPr>
        <w:pStyle w:val="934"/>
        <w:ind w:firstLine="420"/>
        <w:rPr>
          <w:rFonts w:asciiTheme="minorEastAsia" w:hAnsiTheme="minorEastAsia"/>
        </w:rPr>
      </w:pPr>
      <w:r>
        <w:rPr>
          <w:rFonts w:hint="eastAsia" w:asciiTheme="minorEastAsia" w:hAnsiTheme="minorEastAsia"/>
        </w:rPr>
        <w:t xml:space="preserve">(3)接口对接方案</w:t>
      </w:r>
      <w:r/>
    </w:p>
    <w:p>
      <w:pPr>
        <w:pStyle w:val="934"/>
        <w:ind w:firstLine="420"/>
        <w:rPr>
          <w:rFonts w:asciiTheme="minorEastAsia" w:hAnsiTheme="minorEastAsia"/>
        </w:rPr>
      </w:pPr>
      <w:r>
        <w:rPr>
          <w:rFonts w:hint="eastAsia" w:asciiTheme="minorEastAsia" w:hAnsiTheme="minorEastAsia"/>
        </w:rPr>
        <w:t xml:space="preserve">国标、SDK 对接：本期项目所有前端相机，按照国标 GB/T28181 标准以及现有平台要求的 SDK 接口规范进行开发对接。对于新开发的接口，组织专业的软件开发团队进行开发，确保接口的稳定性与兼容性。在接口开发完成后，进行全面的测试，包括功能测试、性能测试、兼容性测试等，确保接口能够与仪征市公安视频图像信息应用平台、人脸大数据平台、车辆大数据平台等现有平台实现无缝对接。</w:t>
      </w:r>
      <w:r/>
    </w:p>
    <w:p>
      <w:pPr>
        <w:pStyle w:val="934"/>
        <w:ind w:firstLine="420"/>
        <w:rPr>
          <w:rFonts w:asciiTheme="minorEastAsia" w:hAnsiTheme="minorEastAsia"/>
        </w:rPr>
      </w:pPr>
      <w:r>
        <w:rPr>
          <w:rFonts w:hint="eastAsia" w:asciiTheme="minorEastAsia" w:hAnsiTheme="minorEastAsia"/>
        </w:rPr>
        <w:t xml:space="preserve">(4)进度管理方案</w:t>
      </w:r>
      <w:r/>
    </w:p>
    <w:p>
      <w:pPr>
        <w:pStyle w:val="934"/>
        <w:ind w:firstLine="420"/>
        <w:rPr>
          <w:rFonts w:asciiTheme="minorEastAsia" w:hAnsiTheme="minorEastAsia"/>
        </w:rPr>
      </w:pPr>
      <w:r>
        <w:rPr>
          <w:rFonts w:hint="eastAsia" w:asciiTheme="minorEastAsia" w:hAnsiTheme="minorEastAsia"/>
        </w:rPr>
        <w:t xml:space="preserve">供货方案：与设备供应商建立良好的合作关系，签订详细的供货合同，明确设备的供货时间、型号、数量等。制定设备采购计划，按照项目建设进度要求合理安排设备采购时间。建立设备到货验收机制，确保设备到货的及时性与质量符合要求。</w:t>
      </w:r>
      <w:r/>
    </w:p>
    <w:p>
      <w:pPr>
        <w:pStyle w:val="934"/>
        <w:ind w:firstLine="420"/>
        <w:rPr>
          <w:rFonts w:asciiTheme="minorEastAsia" w:hAnsiTheme="minorEastAsia"/>
        </w:rPr>
      </w:pPr>
      <w:r>
        <w:rPr>
          <w:rFonts w:hint="eastAsia" w:asciiTheme="minorEastAsia" w:hAnsiTheme="minorEastAsia"/>
        </w:rPr>
        <w:t xml:space="preserve">进度控制方案：制定详细的项目进度计划，对项目进度进行可视化管理。明确项目各个阶段的任务、责任人与时间节点。建立进度跟踪机制，定期对项目进度进行检查与评估，及时发现进度偏差并采取相应的纠正措施。</w:t>
      </w:r>
      <w:r/>
    </w:p>
    <w:p>
      <w:pPr>
        <w:pStyle w:val="934"/>
        <w:ind w:firstLine="420"/>
        <w:rPr>
          <w:rFonts w:asciiTheme="minorEastAsia" w:hAnsiTheme="minorEastAsia"/>
        </w:rPr>
      </w:pPr>
      <w:r>
        <w:rPr>
          <w:rFonts w:hint="eastAsia" w:asciiTheme="minorEastAsia" w:hAnsiTheme="minorEastAsia"/>
        </w:rPr>
        <w:t xml:space="preserve">进度跟踪方案及工作措施：安排专人负责项目进度跟踪工作，每周对项目进度进行检查，收集项目进展情况信息。对项目进度进行分析，判断是否存在进度滞后的风险。如果发现进度滞后，及时组织相关人员进行原因分析，并采取增加人员、调整施工计划等措施加快项目进度，确保项目在规定期限内完成。</w:t>
      </w:r>
      <w:r/>
    </w:p>
    <w:p>
      <w:pPr>
        <w:pStyle w:val="934"/>
        <w:ind w:firstLine="420"/>
        <w:rPr>
          <w:rFonts w:asciiTheme="minorEastAsia" w:hAnsiTheme="minorEastAsia"/>
        </w:rPr>
      </w:pPr>
      <w:r>
        <w:rPr>
          <w:rFonts w:hint="eastAsia" w:asciiTheme="minorEastAsia" w:hAnsiTheme="minorEastAsia"/>
        </w:rPr>
        <w:t xml:space="preserve">(5)安全保障方案</w:t>
      </w:r>
      <w:r/>
    </w:p>
    <w:p>
      <w:pPr>
        <w:pStyle w:val="934"/>
        <w:ind w:firstLine="420"/>
        <w:rPr>
          <w:rFonts w:asciiTheme="minorEastAsia" w:hAnsiTheme="minorEastAsia"/>
        </w:rPr>
      </w:pPr>
      <w:r>
        <w:rPr>
          <w:rFonts w:hint="eastAsia" w:asciiTheme="minorEastAsia" w:hAnsiTheme="minorEastAsia"/>
        </w:rPr>
        <w:t xml:space="preserve">项目现场管理：制定项目现场管理制度，明确中标人工作人员在项目现场的行为规范。进入项目现场的车辆、设备必须按照指定的地点停放，不得随意停放妨碍施工和阻碍交通。项目结束后，中标人负责及时清理现场，恢复现场原状。如有损坏现场设施、地面等情况，必须按照相关标准进行修复。​</w:t>
      </w:r>
      <w:r/>
    </w:p>
    <w:p>
      <w:pPr>
        <w:pStyle w:val="934"/>
        <w:ind w:firstLine="420"/>
        <w:rPr>
          <w:rFonts w:hint="eastAsia" w:asciiTheme="minorEastAsia" w:hAnsiTheme="minorEastAsia"/>
          <w:highlight w:val="none"/>
        </w:rPr>
      </w:pPr>
      <w:r>
        <w:rPr>
          <w:rFonts w:hint="eastAsia" w:asciiTheme="minorEastAsia" w:hAnsiTheme="minorEastAsia"/>
        </w:rPr>
        <w:t xml:space="preserve">安全事故处理：中标人在项目实施期间，必须建立完善的安全保障体系，制定安全事故应急预案。加强对工作人员的安全教育培训，提高安全意识。如果发生安全事故、人身伤害和其它财产安全事故，中标人必须立即启动应急预案，进行事故处理，并承担全部责任。同时，及时向相关部门报告事故情况，配合相关部门进行事故调查。</w:t>
      </w:r>
      <w:r/>
    </w:p>
    <w:p>
      <w:pPr>
        <w:jc w:val="left"/>
        <w:spacing w:line="52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九</w:t>
      </w:r>
      <w:r>
        <w:rPr>
          <w:rFonts w:hint="eastAsia" w:ascii="宋体" w:hAnsi="宋体" w:cs="宋体"/>
          <w:b/>
          <w:bCs/>
          <w:sz w:val="24"/>
          <w:highlight w:val="none"/>
        </w:rPr>
        <w:t xml:space="preserve">、验收标准</w:t>
      </w:r>
      <w:r/>
    </w:p>
    <w:p>
      <w:pPr>
        <w:pStyle w:val="934"/>
        <w:ind w:firstLine="420"/>
        <w:rPr>
          <w:rFonts w:asciiTheme="minorEastAsia" w:hAnsiTheme="minorEastAsia"/>
        </w:rPr>
      </w:pPr>
      <w:r>
        <w:rPr>
          <w:rFonts w:hint="eastAsia" w:asciiTheme="minorEastAsia" w:hAnsiTheme="minorEastAsia"/>
        </w:rPr>
        <w:t xml:space="preserve">江苏省公安厅《关于加强全省社会治安监控系统联网调度和资源整合建设工作的规划指导意见》</w:t>
      </w:r>
      <w:r/>
    </w:p>
    <w:p>
      <w:pPr>
        <w:pStyle w:val="934"/>
        <w:ind w:firstLine="420"/>
        <w:rPr>
          <w:rFonts w:asciiTheme="minorEastAsia" w:hAnsiTheme="minorEastAsia"/>
        </w:rPr>
      </w:pPr>
      <w:r>
        <w:rPr>
          <w:rFonts w:hint="eastAsia" w:asciiTheme="minorEastAsia" w:hAnsiTheme="minorEastAsia"/>
        </w:rPr>
        <w:t xml:space="preserve">江苏省公安厅《社会治安监控系统布建指导意见》</w:t>
      </w:r>
      <w:r/>
    </w:p>
    <w:p>
      <w:pPr>
        <w:pStyle w:val="934"/>
        <w:ind w:firstLine="420"/>
        <w:rPr>
          <w:rFonts w:asciiTheme="minorEastAsia" w:hAnsiTheme="minorEastAsia"/>
        </w:rPr>
      </w:pPr>
      <w:r>
        <w:rPr>
          <w:rFonts w:hint="eastAsia" w:asciiTheme="minorEastAsia" w:hAnsiTheme="minorEastAsia"/>
        </w:rPr>
        <w:t xml:space="preserve">《安全防范工程通用规范》(GB 55029-2022  )</w:t>
      </w:r>
      <w:r/>
    </w:p>
    <w:p>
      <w:pPr>
        <w:pStyle w:val="934"/>
        <w:ind w:firstLine="420"/>
        <w:rPr>
          <w:rFonts w:asciiTheme="minorEastAsia" w:hAnsiTheme="minorEastAsia"/>
        </w:rPr>
      </w:pPr>
      <w:r>
        <w:rPr>
          <w:rFonts w:hint="eastAsia" w:asciiTheme="minorEastAsia" w:hAnsiTheme="minorEastAsia"/>
        </w:rPr>
        <w:t xml:space="preserve">《视频安防监控系统工程设计规范》(中华人民共和国国家标准 GB50395-2007)</w:t>
      </w:r>
      <w:r/>
    </w:p>
    <w:p>
      <w:pPr>
        <w:pStyle w:val="934"/>
        <w:ind w:firstLine="420"/>
        <w:rPr>
          <w:rFonts w:asciiTheme="minorEastAsia" w:hAnsiTheme="minorEastAsia"/>
        </w:rPr>
      </w:pPr>
      <w:r>
        <w:rPr>
          <w:rFonts w:hint="eastAsia" w:asciiTheme="minorEastAsia" w:hAnsiTheme="minorEastAsia"/>
        </w:rPr>
        <w:t xml:space="preserve">《交通电视监视系统工程验收规范》 (GA/T514-2004)</w:t>
      </w:r>
      <w:r/>
    </w:p>
    <w:p>
      <w:pPr>
        <w:pStyle w:val="934"/>
        <w:ind w:firstLine="420"/>
        <w:rPr>
          <w:rFonts w:asciiTheme="minorEastAsia" w:hAnsiTheme="minorEastAsia"/>
        </w:rPr>
      </w:pPr>
      <w:r>
        <w:rPr>
          <w:rFonts w:hint="eastAsia" w:asciiTheme="minorEastAsia" w:hAnsiTheme="minorEastAsia"/>
        </w:rPr>
        <w:t xml:space="preserve">《公安交通指挥系统设计规范 第4部分:制图》（GA/T 515.4-2011）</w:t>
      </w:r>
      <w:r/>
    </w:p>
    <w:p>
      <w:pPr>
        <w:pStyle w:val="934"/>
        <w:ind w:firstLine="420"/>
        <w:rPr>
          <w:rFonts w:asciiTheme="minorEastAsia" w:hAnsiTheme="minorEastAsia"/>
        </w:rPr>
      </w:pPr>
      <w:r>
        <w:rPr>
          <w:rFonts w:hint="eastAsia" w:asciiTheme="minorEastAsia" w:hAnsiTheme="minorEastAsia"/>
        </w:rPr>
        <w:t xml:space="preserve">《公安交通管理设备外场设备施工要求》（GA/T652-2017）</w:t>
      </w:r>
      <w:r/>
    </w:p>
    <w:p>
      <w:pPr>
        <w:pStyle w:val="934"/>
        <w:ind w:firstLine="420"/>
        <w:rPr>
          <w:rFonts w:asciiTheme="minorEastAsia" w:hAnsiTheme="minorEastAsia"/>
        </w:rPr>
      </w:pPr>
      <w:r>
        <w:rPr>
          <w:rFonts w:hint="eastAsia" w:asciiTheme="minorEastAsia" w:hAnsiTheme="minorEastAsia"/>
        </w:rPr>
        <w:t xml:space="preserve">《民用闭路监视电视系统工程技术规范(附条文说明)》 （GB 50198-2011）</w:t>
      </w:r>
      <w:r/>
    </w:p>
    <w:p>
      <w:pPr>
        <w:pStyle w:val="934"/>
        <w:ind w:firstLine="420"/>
        <w:rPr>
          <w:rFonts w:asciiTheme="minorEastAsia" w:hAnsiTheme="minorEastAsia"/>
        </w:rPr>
      </w:pPr>
      <w:r>
        <w:rPr>
          <w:rFonts w:hint="eastAsia" w:asciiTheme="minorEastAsia" w:hAnsiTheme="minorEastAsia"/>
        </w:rPr>
        <w:t xml:space="preserve">《信息技术 软件生存周期过程》（GB/T 8566-2007）</w:t>
      </w:r>
      <w:r/>
    </w:p>
    <w:p>
      <w:pPr>
        <w:pStyle w:val="934"/>
        <w:ind w:firstLine="420"/>
        <w:rPr>
          <w:rFonts w:asciiTheme="minorEastAsia" w:hAnsiTheme="minorEastAsia"/>
        </w:rPr>
      </w:pPr>
      <w:r>
        <w:rPr>
          <w:rFonts w:hint="eastAsia" w:asciiTheme="minorEastAsia" w:hAnsiTheme="minorEastAsia"/>
        </w:rPr>
        <w:t xml:space="preserve">《安全防范工程程序与要求》 (GA/T75-94)</w:t>
      </w:r>
      <w:r/>
    </w:p>
    <w:p>
      <w:pPr>
        <w:pStyle w:val="934"/>
        <w:ind w:firstLine="420"/>
        <w:rPr>
          <w:rFonts w:asciiTheme="minorEastAsia" w:hAnsiTheme="minorEastAsia"/>
        </w:rPr>
      </w:pPr>
      <w:r>
        <w:rPr>
          <w:rFonts w:hint="eastAsia" w:asciiTheme="minorEastAsia" w:hAnsiTheme="minorEastAsia"/>
        </w:rPr>
        <w:t xml:space="preserve">《电子政务标准化指南 第3部分:网络建设》（GB/T 30850.3-2014）</w:t>
      </w:r>
      <w:r/>
    </w:p>
    <w:p>
      <w:pPr>
        <w:pStyle w:val="934"/>
        <w:ind w:firstLine="420"/>
        <w:rPr>
          <w:rFonts w:asciiTheme="minorEastAsia" w:hAnsiTheme="minorEastAsia"/>
        </w:rPr>
      </w:pPr>
      <w:r>
        <w:rPr>
          <w:rFonts w:hint="eastAsia" w:asciiTheme="minorEastAsia" w:hAnsiTheme="minorEastAsia"/>
        </w:rPr>
        <w:t xml:space="preserve">GB/T 2423.1 电工电子产品环境试验 第2部分：试验方法 试验A：低温</w:t>
      </w:r>
      <w:r/>
    </w:p>
    <w:p>
      <w:pPr>
        <w:pStyle w:val="934"/>
        <w:ind w:firstLine="420"/>
        <w:rPr>
          <w:rFonts w:asciiTheme="minorEastAsia" w:hAnsiTheme="minorEastAsia"/>
        </w:rPr>
      </w:pPr>
      <w:r>
        <w:rPr>
          <w:rFonts w:hint="eastAsia" w:asciiTheme="minorEastAsia" w:hAnsiTheme="minorEastAsia"/>
        </w:rPr>
        <w:t xml:space="preserve">GB/T 2423.2 电工电子产品环境试验 第2部分：试验方法 试验B：高温</w:t>
      </w:r>
      <w:r/>
    </w:p>
    <w:p>
      <w:pPr>
        <w:pStyle w:val="934"/>
        <w:ind w:firstLine="420"/>
        <w:rPr>
          <w:rFonts w:asciiTheme="minorEastAsia" w:hAnsiTheme="minorEastAsia"/>
        </w:rPr>
      </w:pPr>
      <w:r>
        <w:rPr>
          <w:rFonts w:hint="eastAsia" w:asciiTheme="minorEastAsia" w:hAnsiTheme="minorEastAsia"/>
        </w:rPr>
        <w:t xml:space="preserve">GB/T 2423.3 电工电子产品环境试验 第2部分：试验方法 试验Cab：恒定湿热试验</w:t>
      </w:r>
      <w:r/>
    </w:p>
    <w:p>
      <w:pPr>
        <w:pStyle w:val="934"/>
        <w:ind w:firstLine="420"/>
        <w:rPr>
          <w:rFonts w:asciiTheme="minorEastAsia" w:hAnsiTheme="minorEastAsia"/>
        </w:rPr>
      </w:pPr>
      <w:r>
        <w:rPr>
          <w:rFonts w:hint="eastAsia" w:asciiTheme="minorEastAsia" w:hAnsiTheme="minorEastAsia"/>
        </w:rPr>
        <w:t xml:space="preserve">GB/T 2423.5 电工电子产品环境试验 第2部分：试验方法 试验Ea和导则：冲击</w:t>
      </w:r>
      <w:r/>
    </w:p>
    <w:p>
      <w:pPr>
        <w:pStyle w:val="934"/>
        <w:ind w:firstLine="420"/>
        <w:rPr>
          <w:rFonts w:asciiTheme="minorEastAsia" w:hAnsiTheme="minorEastAsia"/>
        </w:rPr>
      </w:pPr>
      <w:r>
        <w:rPr>
          <w:rFonts w:hint="eastAsia" w:asciiTheme="minorEastAsia" w:hAnsiTheme="minorEastAsia"/>
        </w:rPr>
        <w:t xml:space="preserve">GB/T 2423.10 电工电子产品环境试验 第2部分：试验方法 试验Fc：振动（正弦）</w:t>
      </w:r>
      <w:r/>
    </w:p>
    <w:p>
      <w:pPr>
        <w:pStyle w:val="934"/>
        <w:ind w:firstLine="420"/>
        <w:rPr>
          <w:rFonts w:asciiTheme="minorEastAsia" w:hAnsiTheme="minorEastAsia"/>
        </w:rPr>
      </w:pPr>
      <w:r>
        <w:rPr>
          <w:rFonts w:hint="eastAsia" w:asciiTheme="minorEastAsia" w:hAnsiTheme="minorEastAsia"/>
        </w:rPr>
        <w:t xml:space="preserve">GB/T 17626.2 电磁兼容 试验和测量技术 静电放电抗扰度试验</w:t>
      </w:r>
      <w:r/>
    </w:p>
    <w:p>
      <w:pPr>
        <w:pStyle w:val="934"/>
        <w:ind w:firstLine="420"/>
        <w:rPr>
          <w:rFonts w:asciiTheme="minorEastAsia" w:hAnsiTheme="minorEastAsia"/>
        </w:rPr>
      </w:pPr>
      <w:r>
        <w:rPr>
          <w:rFonts w:hint="eastAsia" w:asciiTheme="minorEastAsia" w:hAnsiTheme="minorEastAsia"/>
        </w:rPr>
        <w:t xml:space="preserve">GB/T 17626.4 电磁兼容 试验和测量技术 电快速瞬变脉冲群抗扰度试验</w:t>
      </w:r>
      <w:r/>
    </w:p>
    <w:p>
      <w:pPr>
        <w:pStyle w:val="934"/>
        <w:ind w:firstLine="420"/>
        <w:rPr>
          <w:rFonts w:asciiTheme="minorEastAsia" w:hAnsiTheme="minorEastAsia"/>
        </w:rPr>
      </w:pPr>
      <w:r>
        <w:rPr>
          <w:rFonts w:hint="eastAsia" w:asciiTheme="minorEastAsia" w:hAnsiTheme="minorEastAsia"/>
        </w:rPr>
        <w:t xml:space="preserve">GB/T 17626.5 电磁兼容 试验和测量技术 浪涌（冲击）抗扰度试验</w:t>
      </w:r>
      <w:r/>
    </w:p>
    <w:p>
      <w:pPr>
        <w:pStyle w:val="934"/>
        <w:ind w:firstLine="420"/>
        <w:rPr>
          <w:rFonts w:asciiTheme="minorEastAsia" w:hAnsiTheme="minorEastAsia"/>
        </w:rPr>
      </w:pPr>
      <w:r>
        <w:rPr>
          <w:rFonts w:hint="eastAsia" w:asciiTheme="minorEastAsia" w:hAnsiTheme="minorEastAsia"/>
        </w:rPr>
        <w:t xml:space="preserve">GB/T 17626.11电磁兼容 试验和测量技术 电压暂降、短时中断和电压变化的抗扰度试验</w:t>
      </w:r>
      <w:r/>
    </w:p>
    <w:p>
      <w:pPr>
        <w:pStyle w:val="934"/>
        <w:ind w:firstLine="420"/>
        <w:rPr>
          <w:rFonts w:asciiTheme="minorEastAsia" w:hAnsiTheme="minorEastAsia"/>
        </w:rPr>
      </w:pPr>
      <w:r>
        <w:rPr>
          <w:rFonts w:hint="eastAsia" w:asciiTheme="minorEastAsia" w:hAnsiTheme="minorEastAsia"/>
        </w:rPr>
        <w:t xml:space="preserve">安全设备必须符合“公安部300系列安全标准”的要求</w:t>
      </w:r>
      <w:r/>
    </w:p>
    <w:p>
      <w:pPr>
        <w:pStyle w:val="934"/>
        <w:ind w:firstLine="420"/>
        <w:rPr>
          <w:rFonts w:asciiTheme="minorEastAsia" w:hAnsiTheme="minorEastAsia"/>
        </w:rPr>
      </w:pPr>
      <w:r>
        <w:rPr>
          <w:rFonts w:hint="eastAsia" w:asciiTheme="minorEastAsia" w:hAnsiTheme="minorEastAsia"/>
        </w:rPr>
        <w:t xml:space="preserve">满足所有硬件产品均符合国产化要求</w:t>
      </w:r>
      <w:r/>
    </w:p>
    <w:p>
      <w:pPr>
        <w:pStyle w:val="934"/>
        <w:ind w:firstLine="420"/>
        <w:rPr>
          <w:b/>
          <w:szCs w:val="24"/>
        </w:rPr>
      </w:pPr>
      <w:r>
        <w:rPr>
          <w:rFonts w:hint="eastAsia" w:asciiTheme="minorEastAsia" w:hAnsiTheme="minorEastAsia"/>
        </w:rPr>
        <w:t xml:space="preserve">上述规范以外，遵循国家现行规范。</w:t>
      </w:r>
      <w:r/>
    </w:p>
    <w:p>
      <w:pPr>
        <w:pStyle w:val="884"/>
        <w:rPr>
          <w:b/>
          <w:color w:val="auto"/>
          <w:sz w:val="24"/>
          <w:szCs w:val="24"/>
          <w:highlight w:val="none"/>
        </w:rPr>
      </w:pPr>
      <w:r>
        <w:rPr>
          <w:rFonts w:hint="eastAsia"/>
          <w:b/>
          <w:color w:val="auto"/>
          <w:sz w:val="24"/>
          <w:szCs w:val="24"/>
          <w:highlight w:val="none"/>
          <w:lang w:val="en-US" w:eastAsia="zh-CN"/>
        </w:rPr>
        <w:t xml:space="preserve">十</w:t>
      </w:r>
      <w:r>
        <w:rPr>
          <w:rFonts w:hint="eastAsia"/>
          <w:b/>
          <w:color w:val="auto"/>
          <w:sz w:val="24"/>
          <w:szCs w:val="24"/>
          <w:highlight w:val="none"/>
          <w:lang w:eastAsia="zh-CN"/>
        </w:rPr>
        <w:t xml:space="preserve">、</w:t>
      </w:r>
      <w:r>
        <w:rPr>
          <w:rFonts w:hint="eastAsia"/>
          <w:b/>
          <w:color w:val="auto"/>
          <w:sz w:val="24"/>
          <w:szCs w:val="24"/>
          <w:highlight w:val="none"/>
        </w:rPr>
        <w:t xml:space="preserve">付款方式</w:t>
      </w:r>
      <w:bookmarkEnd w:id="56"/>
      <w:r/>
      <w:bookmarkEnd w:id="57"/>
      <w:r/>
      <w:r/>
    </w:p>
    <w:p>
      <w:pPr>
        <w:numPr>
          <w:ilvl w:val="0"/>
          <w:numId w:val="0"/>
        </w:numPr>
        <w:ind w:firstLine="480"/>
        <w:spacing w:after="156" w:line="360" w:lineRule="auto"/>
        <w:rPr>
          <w:rFonts w:hint="eastAsia" w:ascii="宋体" w:hAnsi="宋体"/>
          <w:bCs/>
          <w:color w:val="auto"/>
          <w:sz w:val="24"/>
          <w:szCs w:val="24"/>
          <w:highlight w:val="none"/>
          <w:u w:val="single"/>
          <w:lang w:eastAsia="zh-CN"/>
        </w:rPr>
      </w:pP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none"/>
          <w:lang w:val="en-US" w:eastAsia="zh-CN"/>
        </w:rPr>
        <w:t xml:space="preserve">1</w:t>
      </w: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single"/>
          <w:lang w:eastAsia="zh-CN"/>
        </w:rPr>
        <w:t xml:space="preserve">合同签订后，甲方自收到发票之日（乙方开票日期）起10个工作日内支付乙方合同金额30%的预付款；</w:t>
      </w:r>
      <w:r/>
    </w:p>
    <w:p>
      <w:pPr>
        <w:numPr>
          <w:ilvl w:val="0"/>
          <w:numId w:val="0"/>
        </w:numPr>
        <w:ind w:firstLine="480"/>
        <w:spacing w:after="156" w:line="360" w:lineRule="auto"/>
        <w:rPr>
          <w:rFonts w:hint="eastAsia" w:ascii="宋体" w:hAnsi="宋体"/>
          <w:bCs/>
          <w:color w:val="auto"/>
          <w:sz w:val="24"/>
          <w:szCs w:val="24"/>
          <w:highlight w:val="none"/>
          <w:u w:val="single"/>
          <w:lang w:eastAsia="zh-CN"/>
        </w:rPr>
      </w:pP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none"/>
          <w:lang w:val="en-US" w:eastAsia="zh-CN"/>
        </w:rPr>
        <w:t xml:space="preserve">2</w:t>
      </w: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single"/>
          <w:lang w:eastAsia="zh-CN"/>
        </w:rPr>
        <w:t xml:space="preserve">项目建设完毕，并实现所有数据与仪征市公安视频图像信息应用平台级联互通后，甲方自收到发票之日（乙方开票日期）起10个工作日内支付乙方合同总价的10%；</w:t>
      </w:r>
      <w:r/>
    </w:p>
    <w:p>
      <w:pPr>
        <w:numPr>
          <w:ilvl w:val="0"/>
          <w:numId w:val="0"/>
        </w:numPr>
        <w:ind w:firstLine="480"/>
        <w:spacing w:after="156" w:line="360" w:lineRule="auto"/>
        <w:rPr>
          <w:rFonts w:hint="eastAsia" w:ascii="宋体" w:hAnsi="宋体"/>
          <w:bCs/>
          <w:color w:val="auto"/>
          <w:sz w:val="24"/>
          <w:szCs w:val="24"/>
          <w:highlight w:val="none"/>
          <w:u w:val="none"/>
          <w:lang w:eastAsia="zh-CN"/>
        </w:rPr>
      </w:pPr>
      <w:r>
        <w:rPr>
          <w:rFonts w:hint="eastAsia" w:ascii="宋体" w:hAnsi="宋体"/>
          <w:bCs/>
          <w:color w:val="auto"/>
          <w:sz w:val="24"/>
          <w:szCs w:val="24"/>
          <w:highlight w:val="none"/>
          <w:u w:val="none"/>
          <w:lang w:eastAsia="zh-CN"/>
        </w:rPr>
        <w:t xml:space="preserve">（3）</w:t>
      </w:r>
      <w:r>
        <w:rPr>
          <w:rFonts w:hint="eastAsia" w:ascii="宋体" w:hAnsi="宋体"/>
          <w:bCs/>
          <w:color w:val="auto"/>
          <w:sz w:val="24"/>
          <w:szCs w:val="24"/>
          <w:highlight w:val="none"/>
          <w:u w:val="single"/>
          <w:lang w:eastAsia="zh-CN"/>
        </w:rPr>
        <w:t xml:space="preserve">项目试运行三个月，验收合格并审计结束后，甲方自收到发票之日起10个工作日内支付结算审定价的余款。</w:t>
      </w:r>
      <w:r/>
    </w:p>
    <w:p>
      <w:pPr>
        <w:numPr>
          <w:ilvl w:val="0"/>
          <w:numId w:val="0"/>
        </w:numPr>
        <w:ind w:firstLine="482"/>
        <w:spacing w:after="156" w:line="400" w:lineRule="exact"/>
        <w:rPr>
          <w:color w:val="auto"/>
          <w:sz w:val="24"/>
          <w:szCs w:val="24"/>
          <w:highlight w:val="none"/>
        </w:rPr>
      </w:pPr>
      <w:r>
        <w:rPr>
          <w:rFonts w:hint="eastAsia" w:ascii="宋体" w:hAnsi="宋体" w:cs="Times New Roman"/>
          <w:b/>
          <w:bCs/>
          <w:color w:val="auto"/>
          <w:sz w:val="24"/>
          <w:szCs w:val="24"/>
          <w:highlight w:val="none"/>
          <w:lang w:val="en-US" w:eastAsia="zh-CN"/>
        </w:rPr>
        <w:t xml:space="preserve">十一、</w:t>
      </w:r>
      <w:r>
        <w:rPr>
          <w:rFonts w:hint="eastAsia" w:ascii="宋体" w:hAnsi="宋体" w:eastAsia="宋体" w:cs="Times New Roman"/>
          <w:b/>
          <w:bCs/>
          <w:color w:val="auto"/>
          <w:sz w:val="24"/>
          <w:szCs w:val="24"/>
          <w:highlight w:val="none"/>
          <w:lang w:val="en-US" w:eastAsia="zh-CN"/>
        </w:rPr>
        <w:t xml:space="preserve">其他：</w:t>
      </w:r>
      <w:r>
        <w:rPr>
          <w:rFonts w:hint="eastAsia" w:ascii="宋体" w:hAnsi="宋体"/>
          <w:b/>
          <w:color w:val="auto"/>
          <w:sz w:val="24"/>
          <w:szCs w:val="24"/>
          <w:highlight w:val="none"/>
        </w:rPr>
        <w:t xml:space="preserve">本</w:t>
      </w:r>
      <w:r>
        <w:rPr>
          <w:rFonts w:hint="eastAsia" w:ascii="宋体" w:hAnsi="宋体" w:eastAsia="宋体" w:cs="Times New Roman"/>
          <w:b/>
          <w:bCs/>
          <w:color w:val="auto"/>
          <w:sz w:val="24"/>
          <w:szCs w:val="24"/>
          <w:highlight w:val="none"/>
          <w:lang w:val="en-US" w:eastAsia="zh-CN" w:bidi="ar-SA"/>
        </w:rPr>
        <w:t xml:space="preserve">项目为电子投标，中标单位在领取</w:t>
      </w:r>
      <w:r>
        <w:rPr>
          <w:rFonts w:hint="eastAsia" w:ascii="宋体" w:hAnsi="宋体" w:cs="Times New Roman"/>
          <w:b/>
          <w:bCs/>
          <w:color w:val="auto"/>
          <w:sz w:val="24"/>
          <w:szCs w:val="24"/>
          <w:highlight w:val="none"/>
          <w:lang w:val="en-US" w:eastAsia="zh-CN" w:bidi="ar-SA"/>
        </w:rPr>
        <w:t xml:space="preserve">中标</w:t>
      </w:r>
      <w:r>
        <w:rPr>
          <w:rFonts w:hint="eastAsia" w:ascii="宋体" w:hAnsi="宋体" w:eastAsia="宋体" w:cs="Times New Roman"/>
          <w:b/>
          <w:bCs/>
          <w:color w:val="auto"/>
          <w:sz w:val="24"/>
          <w:szCs w:val="24"/>
          <w:highlight w:val="none"/>
          <w:lang w:val="en-US" w:eastAsia="zh-CN" w:bidi="ar-SA"/>
        </w:rPr>
        <w:t xml:space="preserve">通知书时需递交二份完整的投标书。</w:t>
      </w:r>
      <w:r/>
    </w:p>
    <w:p>
      <w:pPr>
        <w:pStyle w:val="875"/>
        <w:rPr>
          <w:rFonts w:hint="eastAsia"/>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pStyle w:val="873"/>
        <w:jc w:val="center"/>
        <w:rPr>
          <w:rFonts w:hint="eastAsia" w:ascii="宋体" w:hAnsi="宋体"/>
          <w:color w:val="auto"/>
          <w:sz w:val="36"/>
          <w:highlight w:val="none"/>
        </w:rPr>
      </w:pPr>
      <w:r/>
      <w:bookmarkStart w:id="58" w:name="_Toc501353475"/>
      <w:r/>
      <w:bookmarkStart w:id="59" w:name="_Toc12363"/>
      <w:r/>
      <w:bookmarkStart w:id="60" w:name="_Hlk525739388"/>
      <w:r>
        <w:rPr>
          <w:rFonts w:hint="eastAsia" w:ascii="宋体" w:hAnsi="宋体"/>
          <w:color w:val="auto"/>
          <w:sz w:val="36"/>
          <w:highlight w:val="none"/>
        </w:rPr>
        <w:t xml:space="preserve">第五章 评标方法及评标标准</w:t>
      </w:r>
      <w:bookmarkEnd w:id="58"/>
      <w:r/>
      <w:bookmarkEnd w:id="59"/>
      <w:r/>
      <w:r/>
    </w:p>
    <w:p>
      <w:pPr>
        <w:pStyle w:val="920"/>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20"/>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before="120" w:after="120" w:line="360" w:lineRule="auto"/>
        <w:rPr>
          <w:rFonts w:hint="eastAsia" w:ascii="宋体" w:hAnsi="宋体"/>
          <w:b/>
          <w:color w:val="auto"/>
          <w:szCs w:val="21"/>
          <w:highlight w:val="none"/>
        </w:rPr>
      </w:pPr>
      <w:r/>
      <w:bookmarkStart w:id="61" w:name="_Toc449016388"/>
      <w:r/>
      <w:bookmarkStart w:id="62" w:name="_Toc449017024"/>
      <w:r>
        <w:rPr>
          <w:rFonts w:hint="eastAsia" w:ascii="宋体" w:hAnsi="宋体"/>
          <w:b/>
          <w:color w:val="auto"/>
          <w:szCs w:val="21"/>
          <w:highlight w:val="none"/>
        </w:rPr>
        <w:t xml:space="preserve">二、政府采购政策功能落实</w:t>
      </w:r>
      <w:bookmarkEnd w:id="61"/>
      <w:r/>
      <w:bookmarkEnd w:id="62"/>
      <w:r/>
      <w:r/>
    </w:p>
    <w:p>
      <w:pPr>
        <w:pStyle w:val="920"/>
        <w:ind w:firstLine="420"/>
        <w:rPr>
          <w:rFonts w:ascii="宋体" w:hAnsi="宋体"/>
          <w:color w:val="auto"/>
          <w:sz w:val="21"/>
          <w:szCs w:val="21"/>
          <w:highlight w:val="none"/>
        </w:rPr>
      </w:pPr>
      <w:r>
        <w:rPr>
          <w:rFonts w:hint="eastAsia" w:ascii="宋体" w:hAnsi="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315" w:firstLine="105"/>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1、小微型企业价格扣除</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（1）本项目对小型和微型企业产品给予</w:t>
      </w:r>
      <w:r>
        <w:rPr>
          <w:rFonts w:ascii="宋体" w:hAnsi="宋体"/>
          <w:color w:val="auto"/>
          <w:szCs w:val="21"/>
          <w:highlight w:val="none"/>
        </w:rPr>
        <w:t xml:space="preserve">20</w:t>
      </w:r>
      <w:r>
        <w:rPr>
          <w:rFonts w:hint="eastAsia" w:ascii="宋体" w:hAnsi="宋体"/>
          <w:color w:val="auto"/>
          <w:szCs w:val="21"/>
          <w:highlight w:val="none"/>
        </w:rPr>
        <w:t xml:space="preserve">%的扣除价格，用扣除后的价格参与评审。</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（2）供应商需按照采购文件的要求提供相应的《企业声明函》。</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2、残疾人福利单位价格扣除</w:t>
      </w:r>
      <w:r/>
    </w:p>
    <w:p>
      <w:pPr>
        <w:ind w:left="315" w:firstLine="105"/>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（1）本项目对残疾人福利性单位视同小型、微型企业，给予</w:t>
      </w:r>
      <w:r>
        <w:rPr>
          <w:rFonts w:ascii="宋体" w:hAnsi="宋体"/>
          <w:color w:val="auto"/>
          <w:szCs w:val="21"/>
          <w:highlight w:val="none"/>
        </w:rPr>
        <w:t xml:space="preserve">20</w:t>
      </w:r>
      <w:r>
        <w:rPr>
          <w:rFonts w:hint="eastAsia" w:ascii="宋体" w:hAnsi="宋体"/>
          <w:color w:val="auto"/>
          <w:szCs w:val="21"/>
          <w:highlight w:val="none"/>
        </w:rPr>
        <w:t xml:space="preserve">%的价格扣除，用扣除</w:t>
      </w:r>
      <w:r/>
    </w:p>
    <w:p>
      <w:p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〔2017〕141号）。</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3、监狱和戒毒企业价格扣除</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（1）本项目对监狱和戒毒企业（简称监狱企业）视同小型、微型企业，给予20%的价</w:t>
      </w:r>
      <w:r/>
    </w:p>
    <w:p>
      <w:p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格扣除，用扣除后的价格参与评审。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疆生产建设兵团)出具的属于监狱企业的证明文件。供应商如不提供上述证明文件，价格将</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不做相应扣除。</w:t>
      </w:r>
      <w:r/>
    </w:p>
    <w:p>
      <w:pPr>
        <w:numPr>
          <w:ilvl w:val="0"/>
          <w:numId w:val="3"/>
        </w:numPr>
        <w:ind w:left="420"/>
        <w:jc w:val="left"/>
        <w:spacing w:before="120" w:after="120" w:line="360" w:lineRule="auto"/>
        <w:rPr>
          <w:rFonts w:hint="eastAsia" w:ascii="宋体" w:hAnsi="宋体"/>
          <w:color w:val="auto"/>
          <w:szCs w:val="21"/>
          <w:highlight w:val="none"/>
        </w:rPr>
      </w:pPr>
      <w:r>
        <w:rPr>
          <w:rFonts w:hint="eastAsia" w:ascii="宋体" w:hAnsi="宋体"/>
          <w:color w:val="auto"/>
          <w:szCs w:val="21"/>
          <w:highlight w:val="none"/>
        </w:rPr>
        <w:t xml:space="preserve">监狱企业标准请参照《关于政府采购支持监狱企业发展有关问题的通知》（财库</w:t>
      </w:r>
      <w:r/>
    </w:p>
    <w:p>
      <w:pPr>
        <w:numPr>
          <w:ilvl w:val="0"/>
          <w:numId w:val="0"/>
        </w:num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[2014]68号）。</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5、大中型企业和其他自然人、法人或者其他组织并与小型、微型企业（残疾人福利单</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位、监狱企业）组成联合体共同参加政府采购活动。联合协议中约定，小型、微型企业（残</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疾人福利单位、监狱企业）的协议合同金额占到联合体协议合同总金额30%以上的，给予联</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合体6%的价格扣除，用扣除后的价格参与评审。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6、联合体各方均为小型、微型企业（残疾人福利单位、监狱企业）的，联合体享受20%</w:t>
      </w:r>
      <w:r/>
    </w:p>
    <w:p>
      <w:pPr>
        <w:ind w:left="420" w:hanging="420"/>
        <w:jc w:val="left"/>
        <w:spacing w:before="120" w:after="120" w:line="360" w:lineRule="auto"/>
        <w:rPr>
          <w:rFonts w:hint="eastAsia" w:ascii="宋体" w:hAnsi="宋体"/>
          <w:color w:val="auto"/>
          <w:szCs w:val="21"/>
          <w:highlight w:val="none"/>
        </w:rPr>
      </w:pPr>
      <w:r>
        <w:rPr>
          <w:rFonts w:hint="eastAsia" w:ascii="宋体" w:hAnsi="宋体"/>
          <w:color w:val="auto"/>
          <w:szCs w:val="21"/>
          <w:highlight w:val="none"/>
        </w:rPr>
        <w:t xml:space="preserve">价格扣除，用扣除后的价格参与评审。</w:t>
      </w:r>
      <w:r/>
    </w:p>
    <w:p>
      <w:pPr>
        <w:ind w:left="315" w:firstLine="105"/>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7、采购本国产品的支持政策</w:t>
      </w:r>
      <w:r/>
    </w:p>
    <w:p>
      <w:pPr>
        <w:ind w:firstLine="420"/>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left="420"/>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420"/>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供应商需按照招标文件的要求提供《关于符合本国产品标准的声明函》（以下简称《声明函》），如不提供将不享受本国产品价格评审优惠。</w:t>
      </w:r>
      <w:r/>
    </w:p>
    <w:p>
      <w:pPr>
        <w:ind w:left="420"/>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420"/>
        <w:jc w:val="left"/>
        <w:spacing w:before="120" w:after="12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spacing w:line="360" w:lineRule="auto"/>
        <w:rPr>
          <w:rFonts w:hint="eastAsia" w:ascii="宋体" w:hAnsi="宋体"/>
          <w:b/>
          <w:color w:val="auto"/>
          <w:szCs w:val="21"/>
          <w:highlight w:val="none"/>
        </w:rPr>
      </w:pPr>
      <w:r>
        <w:rPr>
          <w:rFonts w:hint="eastAsia" w:ascii="宋体" w:hAnsi="宋体"/>
          <w:b/>
          <w:color w:val="auto"/>
          <w:szCs w:val="21"/>
          <w:highlight w:val="none"/>
          <w:lang w:val="en-US" w:eastAsia="zh-CN"/>
        </w:rPr>
        <w:t xml:space="preserve">三、</w:t>
      </w:r>
      <w:r>
        <w:rPr>
          <w:rFonts w:hint="eastAsia" w:ascii="宋体" w:hAnsi="宋体"/>
          <w:b/>
          <w:color w:val="auto"/>
          <w:szCs w:val="21"/>
          <w:highlight w:val="none"/>
        </w:rPr>
        <w:t xml:space="preserve">评标标准</w:t>
      </w:r>
      <w:bookmarkEnd w:id="60"/>
      <w:r/>
      <w:bookmarkStart w:id="63" w:name="_Toc9577"/>
      <w:r/>
      <w:r/>
    </w:p>
    <w:tbl>
      <w:tblPr>
        <w:tblStyle w:val="878"/>
        <w:tblpPr w:horzAnchor="page" w:tblpXSpec="center" w:vertAnchor="text" w:tblpY="168" w:leftFromText="180" w:topFromText="0" w:rightFromText="180" w:bottomFromText="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250"/>
        <w:gridCol w:w="8308"/>
      </w:tblGrid>
      <w:tr>
        <w:trPr>
          <w:jc w:val="center"/>
          <w:trHeight w:val="354"/>
        </w:trPr>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894"/>
              <w:jc w:val="center"/>
              <w:spacing w:before="0" w:beforeAutospacing="0" w:after="0" w:afterAutospacing="0"/>
              <w:rPr>
                <w:rFonts w:hint="eastAsia" w:eastAsia="宋体"/>
                <w:bCs/>
                <w:color w:val="auto"/>
                <w:highlight w:val="none"/>
                <w:lang w:eastAsia="zh-CN"/>
              </w:rPr>
            </w:pPr>
            <w:r>
              <w:rPr>
                <w:rFonts w:hint="eastAsia"/>
                <w:bCs/>
                <w:color w:val="auto"/>
                <w:highlight w:val="none"/>
                <w:lang w:val="en-US" w:eastAsia="zh-CN"/>
              </w:rPr>
              <w:t xml:space="preserve">评分因素</w:t>
            </w:r>
            <w:r/>
          </w:p>
        </w:tc>
        <w:tc>
          <w:tcPr>
            <w:tcBorders>
              <w:top w:val="single" w:color="auto" w:sz="4" w:space="0"/>
              <w:left w:val="single" w:color="auto" w:sz="4" w:space="0"/>
              <w:bottom w:val="single" w:color="auto" w:sz="4" w:space="0"/>
              <w:right w:val="single" w:color="auto" w:sz="4" w:space="0"/>
            </w:tcBorders>
            <w:tcW w:w="8308" w:type="dxa"/>
            <w:vAlign w:val="center"/>
            <w:textDirection w:val="lrTb"/>
            <w:noWrap w:val="false"/>
          </w:tcPr>
          <w:p>
            <w:pPr>
              <w:pStyle w:val="894"/>
              <w:jc w:val="center"/>
              <w:spacing w:before="0" w:beforeAutospacing="0" w:after="0" w:afterAutospacing="0"/>
              <w:rPr>
                <w:rFonts w:hint="eastAsia"/>
                <w:bCs/>
                <w:color w:val="auto"/>
                <w:highlight w:val="none"/>
              </w:rPr>
            </w:pPr>
            <w:r>
              <w:rPr>
                <w:rFonts w:hint="eastAsia"/>
                <w:bCs/>
                <w:color w:val="auto"/>
                <w:highlight w:val="none"/>
              </w:rPr>
              <w:t xml:space="preserve">评分标准</w:t>
            </w:r>
            <w:r/>
          </w:p>
        </w:tc>
      </w:tr>
      <w:tr>
        <w:trPr>
          <w:jc w:val="center"/>
          <w:trHeight w:val="1540"/>
        </w:trPr>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价格</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（30分）</w:t>
            </w:r>
            <w:r/>
          </w:p>
        </w:tc>
        <w:tc>
          <w:tcPr>
            <w:tcBorders>
              <w:top w:val="single" w:color="auto" w:sz="4" w:space="0"/>
              <w:left w:val="single" w:color="auto" w:sz="4" w:space="0"/>
              <w:bottom w:val="single" w:color="auto" w:sz="4" w:space="0"/>
              <w:right w:val="single" w:color="auto" w:sz="4" w:space="0"/>
            </w:tcBorders>
            <w:tcW w:w="8308" w:type="dxa"/>
            <w:vAlign w:val="center"/>
            <w:textDirection w:val="lrTb"/>
            <w:noWrap w:val="false"/>
          </w:tcPr>
          <w:p>
            <w:pPr>
              <w:ind w:firstLine="420"/>
              <w:jc w:val="both"/>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满足招标文件要求且投标价格最低的有效投标报价为评标基准价，其价格分为满分。其他投标人的价格分统一按照下列公式计算：</w:t>
            </w:r>
            <w:r/>
          </w:p>
          <w:p>
            <w:pPr>
              <w:ind w:firstLine="420"/>
              <w:jc w:val="both"/>
              <w:spacing w:line="360" w:lineRule="auto"/>
              <w:rPr>
                <w:rFonts w:hint="eastAsia" w:ascii="宋体" w:hAnsi="宋体" w:cs="宋体"/>
                <w:color w:val="auto"/>
                <w:sz w:val="22"/>
                <w:szCs w:val="22"/>
                <w:highlight w:val="none"/>
              </w:rPr>
            </w:pPr>
            <w:r>
              <w:rPr>
                <w:rFonts w:hint="eastAsia" w:ascii="宋体" w:hAnsi="宋体"/>
                <w:color w:val="auto"/>
                <w:sz w:val="21"/>
                <w:szCs w:val="21"/>
                <w:highlight w:val="none"/>
                <w:lang w:val="zh-CN"/>
              </w:rPr>
              <w:t xml:space="preserve">投标报价得分=（评标基准价／投标报价)×</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0。（小数点保留两位）</w:t>
            </w:r>
            <w:r/>
          </w:p>
        </w:tc>
      </w:tr>
      <w:tr>
        <w:trPr>
          <w:jc w:val="center"/>
          <w:trHeight w:val="1289"/>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技术性能</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（30分）</w:t>
            </w:r>
            <w:r/>
          </w:p>
        </w:tc>
        <w:tc>
          <w:tcPr>
            <w:tcBorders>
              <w:left w:val="single" w:color="auto" w:sz="4" w:space="0"/>
              <w:right w:val="single" w:color="auto" w:sz="4" w:space="0"/>
            </w:tcBorders>
            <w:tcW w:w="8308" w:type="dxa"/>
            <w:vAlign w:val="center"/>
            <w:textDirection w:val="lrTb"/>
            <w:noWrap w:val="false"/>
          </w:tcPr>
          <w:p>
            <w:pPr>
              <w:ind w:firstLine="42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根据招标文件详细技术要求，完全响应即满足招标文件各项技术指标、参数要求的得30分。</w:t>
            </w:r>
            <w:r/>
          </w:p>
          <w:p>
            <w:pPr>
              <w:ind w:firstLine="42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主要技术指标（标注“★”的条款）每出现一项偏离扣2分，扣完为止。</w:t>
            </w:r>
            <w:r/>
          </w:p>
          <w:p>
            <w:pPr>
              <w:ind w:firstLine="42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其他指标（未标注“★”的条款）每出现一项偏离扣1分，扣完为止。</w:t>
            </w:r>
            <w:r/>
          </w:p>
          <w:p>
            <w:pPr>
              <w:jc w:val="both"/>
              <w:spacing w:line="360" w:lineRule="auto"/>
              <w:rPr>
                <w:rFonts w:hint="eastAsia" w:ascii="宋体" w:hAnsi="宋体" w:cs="宋体"/>
                <w:color w:val="auto"/>
                <w:sz w:val="22"/>
                <w:szCs w:val="22"/>
                <w:highlight w:val="none"/>
              </w:rPr>
            </w:pPr>
            <w:r>
              <w:rPr>
                <w:rFonts w:hint="eastAsia" w:ascii="宋体" w:hAnsi="宋体"/>
                <w:b/>
                <w:bCs/>
                <w:i w:val="0"/>
                <w:iCs w:val="0"/>
                <w:color w:val="auto"/>
                <w:sz w:val="21"/>
                <w:szCs w:val="21"/>
                <w:highlight w:val="none"/>
                <w:u w:val="none"/>
                <w:lang w:val="en-US" w:eastAsia="zh-CN"/>
              </w:rPr>
              <w:t xml:space="preserve">（标注“★”的须提供相关证明材料</w:t>
            </w:r>
            <w:r>
              <w:rPr>
                <w:rFonts w:hint="default" w:ascii="宋体" w:hAnsi="宋体"/>
                <w:b/>
                <w:bCs/>
                <w:i w:val="0"/>
                <w:iCs w:val="0"/>
                <w:color w:val="auto"/>
                <w:sz w:val="21"/>
                <w:szCs w:val="21"/>
                <w:highlight w:val="none"/>
                <w:u w:val="none"/>
                <w:lang w:val="en-US" w:eastAsia="zh-CN"/>
              </w:rPr>
              <w:t xml:space="preserve">的</w:t>
            </w:r>
            <w:r>
              <w:rPr>
                <w:rFonts w:hint="eastAsia" w:ascii="宋体" w:hAnsi="宋体"/>
                <w:b/>
                <w:bCs/>
                <w:i w:val="0"/>
                <w:iCs w:val="0"/>
                <w:color w:val="auto"/>
                <w:sz w:val="21"/>
                <w:szCs w:val="21"/>
                <w:highlight w:val="none"/>
                <w:u w:val="none"/>
                <w:lang w:val="en-US" w:eastAsia="zh-CN"/>
              </w:rPr>
              <w:t xml:space="preserve">原件并扫描上传；未标注“★”的条款提供技术参数响应及偏离表；不提供的不得分）</w:t>
            </w:r>
            <w:r/>
          </w:p>
        </w:tc>
      </w:tr>
      <w:tr>
        <w:trPr>
          <w:jc w:val="center"/>
          <w:trHeight w:val="600"/>
        </w:trPr>
        <w:tc>
          <w:tcPr>
            <w:tcBorders>
              <w:left w:val="single" w:color="auto" w:sz="4" w:space="0"/>
              <w:right w:val="single" w:color="auto" w:sz="4" w:space="0"/>
            </w:tcBorders>
            <w:tcW w:w="1250" w:type="dxa"/>
            <w:vAlign w:val="center"/>
            <w:vMerge w:val="restart"/>
            <w:textDirection w:val="lrTb"/>
            <w:noWrap w:val="false"/>
          </w:tcPr>
          <w:p>
            <w:pPr>
              <w:contextualSpacing/>
              <w:jc w:val="center"/>
              <w:spacing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实施方案</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（18分）</w:t>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1、</w:t>
            </w:r>
            <w:r>
              <w:rPr>
                <w:rFonts w:hint="eastAsia" w:asciiTheme="minorEastAsia" w:hAnsiTheme="minorEastAsia"/>
                <w:color w:val="000000" w:themeColor="text1"/>
                <w:highlight w:val="none"/>
                <w14:textFill>
                  <w14:solidFill>
                    <w14:schemeClr w14:val="tx1"/>
                  </w14:solidFill>
                </w14:textFill>
              </w:rPr>
              <w:t xml:space="preserve">平台系统维护方案：</w:t>
            </w:r>
            <w:r>
              <w:rPr>
                <w:rFonts w:hint="eastAsia" w:ascii="宋体" w:hAnsi="宋体"/>
                <w:color w:val="000000" w:themeColor="text1"/>
                <w:highlight w:val="none"/>
                <w14:textFill>
                  <w14:solidFill>
                    <w14:schemeClr w14:val="tx1"/>
                  </w14:solidFill>
                </w14:textFill>
              </w:rPr>
              <w:t xml:space="preserve">优于招标文件要求得3分；符合招标文件要求得1.5分；不符合招标文件要求或未提供的不得分。</w:t>
            </w:r>
            <w:r/>
          </w:p>
        </w:tc>
      </w:tr>
      <w:tr>
        <w:trPr>
          <w:jc w:val="center"/>
          <w:trHeight w:val="55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2、总体管理方案：优于招标文件要求得3分；符合招标文件要求得1.5分；不符合招标文件要求或未提供的不得分。</w:t>
            </w:r>
            <w:r/>
          </w:p>
        </w:tc>
      </w:tr>
      <w:tr>
        <w:trPr>
          <w:jc w:val="center"/>
          <w:trHeight w:val="61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3、接口对接方案：优于招标文件要求得3分；符合招标文件要求得1.5分；不符合招标文件要求或未提供的不得分。</w:t>
            </w:r>
            <w:r/>
          </w:p>
        </w:tc>
      </w:tr>
      <w:tr>
        <w:trPr>
          <w:jc w:val="center"/>
          <w:trHeight w:val="55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4、网络方案：优于招标文件要求得3分；符合招标文件要求得1.5分；不符合招标文件要求或未提供的不得分。</w:t>
            </w:r>
            <w:r/>
          </w:p>
        </w:tc>
      </w:tr>
      <w:tr>
        <w:trPr>
          <w:jc w:val="center"/>
          <w:trHeight w:val="58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5、进度管理方案：优于招标文件要求得3分；符合招标文件要求得1.5分；不符合招标文件要求或未提供的不得分。</w:t>
            </w:r>
            <w:r/>
          </w:p>
        </w:tc>
      </w:tr>
      <w:tr>
        <w:trPr>
          <w:jc w:val="center"/>
          <w:trHeight w:val="70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6、安全保障方案：优于招标文件要求得3分；符合招标文件要求得1.5分；不符合招标文件要求或未提供的不得分。</w:t>
            </w:r>
            <w:r/>
          </w:p>
        </w:tc>
      </w:tr>
      <w:tr>
        <w:trPr>
          <w:jc w:val="center"/>
          <w:trHeight w:val="660"/>
        </w:trPr>
        <w:tc>
          <w:tcPr>
            <w:tcBorders>
              <w:left w:val="single" w:color="auto" w:sz="4" w:space="0"/>
              <w:right w:val="single" w:color="auto" w:sz="4" w:space="0"/>
            </w:tcBorders>
            <w:tcW w:w="1250" w:type="dxa"/>
            <w:vAlign w:val="center"/>
            <w:vMerge w:val="restart"/>
            <w:textDirection w:val="lrTb"/>
            <w:noWrap w:val="false"/>
          </w:tcPr>
          <w:p>
            <w:pPr>
              <w:contextualSpacing/>
              <w:jc w:val="center"/>
              <w:spacing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售后服务</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（6分）</w:t>
            </w:r>
            <w:r/>
          </w:p>
        </w:tc>
        <w:tc>
          <w:tcPr>
            <w:tcBorders>
              <w:left w:val="single" w:color="auto" w:sz="4" w:space="0"/>
              <w:right w:val="single" w:color="auto" w:sz="4" w:space="0"/>
            </w:tcBorders>
            <w:tcW w:w="8308" w:type="dxa"/>
            <w:vAlign w:val="top"/>
            <w:textDirection w:val="lrTb"/>
            <w:noWrap w:val="false"/>
          </w:tcPr>
          <w:p>
            <w:pPr>
              <w:contextualSpacing/>
              <w:ind w:firstLine="420"/>
              <w:jc w:val="left"/>
              <w:spacing w:after="0"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1、投标人承诺处理前端设备故障，到达现场时间在1小时以内得2分、2小时以内得1分。</w:t>
            </w:r>
            <w:r/>
          </w:p>
        </w:tc>
      </w:tr>
      <w:tr>
        <w:trPr>
          <w:jc w:val="center"/>
          <w:trHeight w:val="69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jc w:val="left"/>
              <w:spacing w:after="0"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2、投标人承诺处理线路、软件升级等非前端设备硬件损坏故障，在12小时内恢复运行的得2分。</w:t>
            </w:r>
            <w:r/>
          </w:p>
        </w:tc>
      </w:tr>
      <w:tr>
        <w:trPr>
          <w:jc w:val="center"/>
          <w:trHeight w:val="85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3、投标人承诺在接到采购人通知后，针对前端设备故障需要返厂维修，能在12小时内提供设备备件的得2分。</w:t>
            </w:r>
            <w:r/>
          </w:p>
          <w:p>
            <w:pPr>
              <w:contextualSpacing/>
              <w:jc w:val="left"/>
              <w:spacing w:after="0" w:line="360" w:lineRule="auto"/>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（须提供以上1-3项承诺函，原件扫描上传）</w:t>
            </w:r>
            <w:r/>
          </w:p>
        </w:tc>
      </w:tr>
      <w:tr>
        <w:trPr>
          <w:jc w:val="center"/>
          <w:trHeight w:val="570"/>
        </w:trPr>
        <w:tc>
          <w:tcPr>
            <w:tcBorders>
              <w:left w:val="single" w:color="auto" w:sz="4" w:space="0"/>
              <w:right w:val="single" w:color="auto" w:sz="4" w:space="0"/>
            </w:tcBorders>
            <w:tcW w:w="1250" w:type="dxa"/>
            <w:vAlign w:val="center"/>
            <w:vMerge w:val="restart"/>
            <w:textDirection w:val="lrTb"/>
            <w:noWrap w:val="false"/>
          </w:tcPr>
          <w:p>
            <w:pPr>
              <w:jc w:val="center"/>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综合能力及人员配备</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13</w:t>
            </w:r>
            <w:r>
              <w:rPr>
                <w:rFonts w:hint="eastAsia" w:ascii="宋体" w:hAnsi="宋体"/>
                <w:color w:val="000000" w:themeColor="text1"/>
                <w:highlight w:val="none"/>
                <w14:textFill>
                  <w14:solidFill>
                    <w14:schemeClr w14:val="tx1"/>
                  </w14:solidFill>
                </w14:textFill>
              </w:rPr>
              <w:t xml:space="preserve">分）</w:t>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1、投标人具有CCIA信息系统业务安全服务资质一级证书且在有效期以内的得</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分，具有二级证书且在有效期以内的得1分，没有不得分。</w:t>
            </w:r>
            <w:r/>
          </w:p>
        </w:tc>
      </w:tr>
      <w:tr>
        <w:trPr>
          <w:jc w:val="center"/>
          <w:trHeight w:val="66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 投标人具有信息系统服务交付能力（CCID）等级一级证书且在有效期以内的得</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分，具有信息系统服务交付能力（CCID）等级二级证书且在有效期以内的得1分。</w:t>
            </w:r>
            <w:r/>
          </w:p>
        </w:tc>
      </w:tr>
      <w:tr>
        <w:trPr>
          <w:jc w:val="center"/>
          <w:trHeight w:val="85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after="0"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3、投标人具有电子与智能化工程专业承包一级资质证书且在有效期以内的得</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分；具有电子与智能化工程专业承包二级资质证书且在有效期以内的得1分。</w:t>
            </w:r>
            <w:r/>
          </w:p>
        </w:tc>
      </w:tr>
      <w:tr>
        <w:trPr>
          <w:jc w:val="center"/>
          <w:trHeight w:val="85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4、投标人具有ISO27001信息安全管理体系认证、ISO27040数据储存安全管理体系认证有一项得1分，满分2分。</w:t>
            </w:r>
            <w:r/>
          </w:p>
          <w:p>
            <w:pPr>
              <w:contextualSpacing/>
              <w:jc w:val="left"/>
              <w:spacing w:after="0"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（须提供以上1-</w:t>
            </w:r>
            <w:r>
              <w:rPr>
                <w:rFonts w:hint="eastAsia" w:ascii="宋体" w:hAnsi="宋体"/>
                <w:b/>
                <w:bCs/>
                <w:color w:val="000000" w:themeColor="text1"/>
                <w:highlight w:val="none"/>
                <w:lang w:val="en-US" w:eastAsia="zh-CN"/>
                <w14:textFill>
                  <w14:solidFill>
                    <w14:schemeClr w14:val="tx1"/>
                  </w14:solidFill>
                </w14:textFill>
              </w:rPr>
              <w:t xml:space="preserve">4</w:t>
            </w:r>
            <w:r>
              <w:rPr>
                <w:rFonts w:hint="eastAsia" w:ascii="宋体" w:hAnsi="宋体"/>
                <w:b/>
                <w:bCs/>
                <w:color w:val="000000" w:themeColor="text1"/>
                <w:highlight w:val="none"/>
                <w14:textFill>
                  <w14:solidFill>
                    <w14:schemeClr w14:val="tx1"/>
                  </w14:solidFill>
                </w14:textFill>
              </w:rPr>
              <w:t xml:space="preserve">项证书，原件扫描上传）</w:t>
            </w:r>
            <w:r/>
          </w:p>
        </w:tc>
      </w:tr>
      <w:tr>
        <w:trPr>
          <w:jc w:val="center"/>
          <w:trHeight w:val="645"/>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jc w:val="left"/>
              <w:spacing w:after="0" w:line="360" w:lineRule="auto"/>
              <w:rPr>
                <w:rFonts w:hint="eastAsia" w:ascii="宋体" w:hAnsi="宋体"/>
                <w:b/>
                <w:bCs/>
                <w:color w:val="000000" w:themeColor="text1"/>
                <w:highlight w:val="yellow"/>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、投标人配备的项目负责人，具有信息系统集成高级项目经理证书，得2分；具有信息系统集成中级项目经理证书，得1分。</w:t>
            </w:r>
            <w:r/>
          </w:p>
        </w:tc>
      </w:tr>
      <w:tr>
        <w:trPr>
          <w:jc w:val="center"/>
          <w:trHeight w:val="420"/>
        </w:trPr>
        <w:tc>
          <w:tcPr>
            <w:tcBorders>
              <w:left w:val="single" w:color="auto" w:sz="4" w:space="0"/>
              <w:right w:val="single" w:color="auto" w:sz="4" w:space="0"/>
            </w:tcBorders>
            <w:tcW w:w="1250" w:type="dxa"/>
            <w:vAlign w:val="center"/>
            <w:vMerge w:val="continue"/>
            <w:textDirection w:val="lrTb"/>
            <w:noWrap w:val="false"/>
          </w:tcPr>
          <w:p>
            <w:pPr>
              <w:jc w:val="center"/>
              <w:spacing w:line="400" w:lineRule="exact"/>
              <w:rPr>
                <w:rFonts w:hint="eastAsia" w:ascii="宋体" w:hAnsi="宋体"/>
                <w:color w:val="auto"/>
                <w:sz w:val="21"/>
                <w:szCs w:val="21"/>
                <w:highlight w:val="yellow"/>
                <w:lang w:val="en-US" w:eastAsia="zh-CN"/>
              </w:rPr>
            </w:pPr>
            <w:r>
              <w:rPr>
                <w:rFonts w:hint="eastAsia" w:ascii="宋体" w:hAnsi="宋体"/>
                <w:color w:val="auto"/>
                <w:sz w:val="21"/>
                <w:szCs w:val="21"/>
                <w:highlight w:val="yellow"/>
                <w:lang w:val="en-US" w:eastAsia="zh-CN"/>
              </w:rPr>
            </w:r>
            <w:r/>
          </w:p>
        </w:tc>
        <w:tc>
          <w:tcPr>
            <w:tcBorders>
              <w:left w:val="single" w:color="auto" w:sz="4" w:space="0"/>
              <w:right w:val="single" w:color="auto" w:sz="4" w:space="0"/>
            </w:tcBorders>
            <w:tcW w:w="8308" w:type="dxa"/>
            <w:vAlign w:val="top"/>
            <w:textDirection w:val="lrTb"/>
            <w:noWrap w:val="false"/>
          </w:tcPr>
          <w:p>
            <w:pPr>
              <w:contextualSpacing/>
              <w:ind w:firstLine="420"/>
              <w:jc w:val="left"/>
              <w:spacing w:after="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、项目服务团队（不含项目负责人），具有CISP信息安全专家工程师认证证书、IT服务工程师ITSS证书、IT运维工程师证书，有一个得1分，满分3分。</w:t>
            </w:r>
            <w:r/>
          </w:p>
          <w:p>
            <w:pPr>
              <w:contextualSpacing/>
              <w:spacing w:after="0" w:line="360" w:lineRule="auto"/>
              <w:rPr>
                <w:rFonts w:hint="eastAsia" w:ascii="宋体" w:hAnsi="宋体"/>
                <w:b/>
                <w:bCs/>
                <w:color w:val="000000" w:themeColor="text1"/>
                <w:highlight w:val="yellow"/>
                <w14:textFill>
                  <w14:solidFill>
                    <w14:schemeClr w14:val="tx1"/>
                  </w14:solidFill>
                </w14:textFill>
              </w:rPr>
            </w:pPr>
            <w:r>
              <w:rPr>
                <w:rFonts w:hint="eastAsia" w:hAnsi="宋体"/>
                <w:b/>
                <w:bCs/>
                <w:color w:val="000000" w:themeColor="text1"/>
                <w:highlight w:val="none"/>
                <w14:textFill>
                  <w14:solidFill>
                    <w14:schemeClr w14:val="tx1"/>
                  </w14:solidFill>
                </w14:textFill>
              </w:rPr>
              <w:t xml:space="preserve">（</w:t>
            </w:r>
            <w:r>
              <w:rPr>
                <w:rFonts w:hint="eastAsia" w:ascii="宋体" w:hAnsi="宋体"/>
                <w:b/>
                <w:bCs/>
                <w:color w:val="000000" w:themeColor="text1"/>
                <w:highlight w:val="none"/>
                <w14:textFill>
                  <w14:solidFill>
                    <w14:schemeClr w14:val="tx1"/>
                  </w14:solidFill>
                </w14:textFill>
              </w:rPr>
              <w:t xml:space="preserve">须提供以上</w:t>
            </w:r>
            <w:r>
              <w:rPr>
                <w:rFonts w:hint="eastAsia" w:ascii="宋体" w:hAnsi="宋体"/>
                <w:b/>
                <w:bCs/>
                <w:color w:val="000000" w:themeColor="text1"/>
                <w:highlight w:val="none"/>
                <w:lang w:val="en-US" w:eastAsia="zh-CN"/>
                <w14:textFill>
                  <w14:solidFill>
                    <w14:schemeClr w14:val="tx1"/>
                  </w14:solidFill>
                </w14:textFill>
              </w:rPr>
              <w:t xml:space="preserve">5</w:t>
            </w:r>
            <w:r>
              <w:rPr>
                <w:rFonts w:hint="eastAsia" w:ascii="宋体" w:hAnsi="宋体"/>
                <w:b/>
                <w:bCs/>
                <w:color w:val="000000" w:themeColor="text1"/>
                <w:highlight w:val="none"/>
                <w14:textFill>
                  <w14:solidFill>
                    <w14:schemeClr w14:val="tx1"/>
                  </w14:solidFill>
                </w14:textFill>
              </w:rPr>
              <w:t xml:space="preserve">-</w:t>
            </w:r>
            <w:r>
              <w:rPr>
                <w:rFonts w:hint="eastAsia" w:ascii="宋体" w:hAnsi="宋体"/>
                <w:b/>
                <w:bCs/>
                <w:color w:val="000000" w:themeColor="text1"/>
                <w:highlight w:val="none"/>
                <w:lang w:val="en-US" w:eastAsia="zh-CN"/>
                <w14:textFill>
                  <w14:solidFill>
                    <w14:schemeClr w14:val="tx1"/>
                  </w14:solidFill>
                </w14:textFill>
              </w:rPr>
              <w:t xml:space="preserve">6</w:t>
            </w:r>
            <w:r>
              <w:rPr>
                <w:rFonts w:hint="eastAsia" w:ascii="宋体" w:hAnsi="宋体"/>
                <w:b/>
                <w:bCs/>
                <w:color w:val="000000" w:themeColor="text1"/>
                <w:highlight w:val="none"/>
                <w14:textFill>
                  <w14:solidFill>
                    <w14:schemeClr w14:val="tx1"/>
                  </w14:solidFill>
                </w14:textFill>
              </w:rPr>
              <w:t xml:space="preserve">项</w:t>
            </w:r>
            <w:r>
              <w:rPr>
                <w:rFonts w:hint="eastAsia" w:ascii="宋体" w:hAnsi="宋体"/>
                <w:b/>
                <w:bCs/>
                <w:color w:val="000000" w:themeColor="text1"/>
                <w:highlight w:val="none"/>
                <w:lang w:val="en-US" w:eastAsia="zh-CN"/>
                <w14:textFill>
                  <w14:solidFill>
                    <w14:schemeClr w14:val="tx1"/>
                  </w14:solidFill>
                </w14:textFill>
              </w:rPr>
              <w:t xml:space="preserve">相关</w:t>
            </w:r>
            <w:r>
              <w:rPr>
                <w:rFonts w:hint="eastAsia" w:ascii="宋体" w:hAnsi="宋体"/>
                <w:b/>
                <w:bCs/>
                <w:color w:val="000000" w:themeColor="text1"/>
                <w:highlight w:val="none"/>
                <w14:textFill>
                  <w14:solidFill>
                    <w14:schemeClr w14:val="tx1"/>
                  </w14:solidFill>
                </w14:textFill>
              </w:rPr>
              <w:t xml:space="preserve">证书和</w:t>
            </w:r>
            <w:r>
              <w:rPr>
                <w:rFonts w:hint="eastAsia" w:ascii="宋体" w:hAnsi="宋体" w:cs="宋体"/>
                <w:b/>
                <w:bCs/>
                <w:color w:val="000000" w:themeColor="text1"/>
                <w:szCs w:val="21"/>
                <w:highlight w:val="none"/>
                <w14:textFill>
                  <w14:solidFill>
                    <w14:schemeClr w14:val="tx1"/>
                  </w14:solidFill>
                </w14:textFill>
              </w:rPr>
              <w:t xml:space="preserve">投标人为其缴纳近三个月内任意一个月的社保证明</w:t>
            </w:r>
            <w:r>
              <w:rPr>
                <w:rFonts w:hint="eastAsia" w:ascii="宋体" w:hAnsi="宋体"/>
                <w:b/>
                <w:bCs/>
                <w:color w:val="000000" w:themeColor="text1"/>
                <w:highlight w:val="none"/>
                <w14:textFill>
                  <w14:solidFill>
                    <w14:schemeClr w14:val="tx1"/>
                  </w14:solidFill>
                </w14:textFill>
              </w:rPr>
              <w:t xml:space="preserve">，原件扫描上传，一人多证不重复计分）</w:t>
            </w:r>
            <w:r/>
          </w:p>
        </w:tc>
      </w:tr>
      <w:tr>
        <w:trPr>
          <w:jc w:val="center"/>
          <w:trHeight w:val="850"/>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类似业绩</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（3分）</w:t>
            </w:r>
            <w:r/>
          </w:p>
        </w:tc>
        <w:tc>
          <w:tcPr>
            <w:tcBorders>
              <w:left w:val="single" w:color="auto" w:sz="4" w:space="0"/>
              <w:right w:val="single" w:color="auto" w:sz="4" w:space="0"/>
            </w:tcBorders>
            <w:tcW w:w="8308" w:type="dxa"/>
            <w:vAlign w:val="center"/>
            <w:textDirection w:val="lrTb"/>
            <w:noWrap w:val="false"/>
          </w:tcPr>
          <w:p>
            <w:pPr>
              <w:ind w:firstLine="420"/>
              <w:jc w:val="both"/>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投标人20</w:t>
            </w:r>
            <w:r>
              <w:rPr>
                <w:rFonts w:hint="eastAsia" w:ascii="宋体" w:hAnsi="宋体"/>
                <w:color w:val="auto"/>
                <w:sz w:val="21"/>
                <w:szCs w:val="21"/>
                <w:highlight w:val="none"/>
                <w:lang w:val="en-US" w:eastAsia="zh-CN"/>
              </w:rPr>
              <w:t xml:space="preserve">22</w:t>
            </w:r>
            <w:r>
              <w:rPr>
                <w:rFonts w:hint="eastAsia" w:ascii="宋体" w:hAnsi="宋体"/>
                <w:color w:val="auto"/>
                <w:sz w:val="21"/>
                <w:szCs w:val="21"/>
                <w:highlight w:val="none"/>
                <w:lang w:val="zh-CN"/>
              </w:rPr>
              <w:t xml:space="preserve">年1月1日以来（以合同签订时间为准），具有类似项目业绩，每有1个得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val="zh-CN"/>
              </w:rPr>
              <w:t xml:space="preserve">分，满分</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分。</w:t>
            </w:r>
            <w:r/>
          </w:p>
          <w:p>
            <w:pPr>
              <w:jc w:val="left"/>
              <w:spacing w:line="360" w:lineRule="auto"/>
              <w:rPr>
                <w:rFonts w:hint="eastAsia" w:hAnsi="宋体"/>
                <w:b/>
                <w:bCs/>
                <w:color w:val="000000" w:themeColor="text1"/>
                <w:highlight w:val="none"/>
                <w14:textFill>
                  <w14:solidFill>
                    <w14:schemeClr w14:val="tx1"/>
                  </w14:solidFill>
                </w14:textFill>
              </w:rPr>
            </w:pPr>
            <w:r>
              <w:rPr>
                <w:rFonts w:hint="eastAsia" w:ascii="宋体" w:hAnsi="宋体" w:cs="宋体"/>
                <w:b/>
                <w:bCs/>
                <w:color w:val="auto"/>
                <w:sz w:val="22"/>
                <w:szCs w:val="22"/>
                <w:highlight w:val="none"/>
              </w:rPr>
              <w:t xml:space="preserve">（</w:t>
            </w:r>
            <w:r>
              <w:rPr>
                <w:rFonts w:hint="eastAsia" w:ascii="宋体" w:hAnsi="宋体" w:cs="宋体"/>
                <w:b/>
                <w:bCs/>
                <w:color w:val="auto"/>
                <w:szCs w:val="21"/>
                <w:highlight w:val="none"/>
              </w:rPr>
              <w:t xml:space="preserve">以合同签订时间为准，提供合同原件</w:t>
            </w:r>
            <w:r>
              <w:rPr>
                <w:rFonts w:hint="eastAsia" w:ascii="宋体" w:hAnsi="宋体" w:cs="宋体"/>
                <w:b/>
                <w:bCs/>
                <w:color w:val="auto"/>
                <w:szCs w:val="21"/>
                <w:highlight w:val="none"/>
                <w:lang w:val="en-US" w:eastAsia="zh-CN"/>
              </w:rPr>
              <w:t xml:space="preserve">并</w:t>
            </w:r>
            <w:r>
              <w:rPr>
                <w:rFonts w:hint="eastAsia" w:ascii="宋体" w:hAnsi="宋体" w:cs="宋体"/>
                <w:b/>
                <w:bCs/>
                <w:color w:val="auto"/>
                <w:szCs w:val="21"/>
                <w:highlight w:val="none"/>
              </w:rPr>
              <w:t xml:space="preserve">扫描上传</w:t>
            </w:r>
            <w:r>
              <w:rPr>
                <w:rFonts w:hint="eastAsia" w:ascii="宋体" w:hAnsi="宋体" w:cs="宋体"/>
                <w:b/>
                <w:bCs/>
                <w:color w:val="auto"/>
                <w:sz w:val="22"/>
                <w:szCs w:val="22"/>
                <w:highlight w:val="none"/>
              </w:rPr>
              <w:t xml:space="preserve">）</w:t>
            </w:r>
            <w:r/>
          </w:p>
        </w:tc>
      </w:tr>
    </w:tbl>
    <w:p>
      <w:pPr>
        <w:ind w:firstLine="420"/>
        <w:jc w:val="both"/>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pStyle w:val="884"/>
        <w:rPr>
          <w:rFonts w:hint="eastAsia"/>
          <w:color w:val="auto"/>
          <w:highlight w:val="none"/>
        </w:rPr>
      </w:pPr>
      <w:r>
        <w:rPr>
          <w:rFonts w:hint="eastAsia"/>
          <w:color w:val="auto"/>
          <w:highlight w:val="none"/>
        </w:rPr>
      </w:r>
      <w:r/>
    </w:p>
    <w:p>
      <w:pPr>
        <w:pStyle w:val="884"/>
        <w:ind w:left="0"/>
        <w:rPr>
          <w:rFonts w:hint="eastAsia"/>
          <w:color w:val="auto"/>
          <w:highlight w:val="none"/>
        </w:rPr>
      </w:pPr>
      <w:r>
        <w:rPr>
          <w:rFonts w:hint="eastAsia"/>
          <w:color w:val="auto"/>
          <w:highlight w:val="none"/>
        </w:rPr>
      </w:r>
      <w:r/>
    </w:p>
    <w:p>
      <w:pPr>
        <w:pStyle w:val="884"/>
        <w:ind w:left="0"/>
        <w:rPr>
          <w:rFonts w:hint="eastAsia"/>
          <w:color w:val="auto"/>
          <w:highlight w:val="none"/>
        </w:rPr>
      </w:pPr>
      <w:r>
        <w:rPr>
          <w:rFonts w:hint="eastAsia"/>
          <w:color w:val="auto"/>
          <w:highlight w:val="none"/>
        </w:rPr>
      </w:r>
      <w:r/>
    </w:p>
    <w:p>
      <w:pPr>
        <w:pStyle w:val="879"/>
        <w:rPr>
          <w:rFonts w:hint="eastAsia"/>
        </w:rPr>
      </w:pPr>
      <w:r>
        <w:rPr>
          <w:rFonts w:hint="eastAsia"/>
        </w:rPr>
      </w:r>
      <w:bookmarkEnd w:id="2"/>
      <w:r/>
      <w:bookmarkEnd w:id="3"/>
      <w:r/>
      <w:bookmarkEnd w:id="63"/>
      <w:r/>
      <w:r/>
    </w:p>
    <w:p>
      <w:pPr>
        <w:pStyle w:val="873"/>
        <w:jc w:val="center"/>
        <w:rPr>
          <w:rFonts w:ascii="宋体" w:hAnsi="宋体"/>
          <w:color w:val="auto"/>
          <w:highlight w:val="none"/>
        </w:rPr>
      </w:pPr>
      <w:r>
        <w:rPr>
          <w:rStyle w:val="900"/>
          <w:rFonts w:hint="eastAsia" w:ascii="Times New Roman" w:hAnsi="Times New Roman" w:eastAsia="宋体" w:cs="Times New Roman"/>
          <w:b/>
          <w:bCs/>
          <w:color w:val="auto"/>
          <w:sz w:val="36"/>
          <w:szCs w:val="36"/>
          <w:highlight w:val="none"/>
          <w:lang w:val="en-US" w:eastAsia="zh-CN" w:bidi="ar-SA"/>
        </w:rPr>
        <w:t xml:space="preserve">第六章 投标文件格式</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（加盖CA电子公章）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一、</w:t>
      </w:r>
      <w:r>
        <w:rPr>
          <w:rFonts w:hint="eastAsia" w:ascii="宋体" w:hAnsi="宋体" w:cs="宋体"/>
          <w:i/>
          <w:iCs/>
          <w:color w:val="auto"/>
          <w:sz w:val="24"/>
          <w:szCs w:val="24"/>
          <w:highlight w:val="none"/>
          <w:u w:val="single"/>
        </w:rPr>
        <w:t xml:space="preserve">法人或者其他组织的营业执照等证明文件，自然人的身份证明</w:t>
      </w:r>
      <w:r/>
    </w:p>
    <w:p>
      <w:pPr>
        <w:ind w:firstLine="480"/>
        <w:spacing w:line="360" w:lineRule="auto"/>
        <w:rPr>
          <w:rFonts w:hint="eastAsia" w:ascii="宋体" w:hAnsi="宋体" w:cs="宋体"/>
          <w:b/>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二、</w:t>
      </w:r>
      <w:r>
        <w:rPr>
          <w:rFonts w:hint="eastAsia" w:ascii="宋体" w:hAnsi="宋体" w:cs="宋体"/>
          <w:i/>
          <w:iCs/>
          <w:color w:val="auto"/>
          <w:sz w:val="24"/>
          <w:szCs w:val="24"/>
          <w:highlight w:val="none"/>
          <w:u w:val="single"/>
        </w:rPr>
        <w:t xml:space="preserve"> 依法缴纳税收和社会保障资金的相关材料</w:t>
      </w:r>
      <w:r>
        <w:rPr>
          <w:rFonts w:hint="eastAsia" w:ascii="宋体" w:hAnsi="宋体" w:cs="宋体"/>
          <w:b/>
          <w:bCs/>
          <w:i/>
          <w:iCs/>
          <w:color w:val="auto"/>
          <w:sz w:val="24"/>
          <w:szCs w:val="24"/>
          <w:highlight w:val="none"/>
          <w:u w:val="single"/>
        </w:rPr>
        <w:t xml:space="preserve">（提供提交投标文件截止时间前</w:t>
      </w:r>
      <w:r>
        <w:rPr>
          <w:rFonts w:hint="eastAsia" w:ascii="宋体" w:hAnsi="宋体" w:cs="宋体"/>
          <w:b/>
          <w:bCs/>
          <w:i/>
          <w:iCs/>
          <w:color w:val="auto"/>
          <w:sz w:val="24"/>
          <w:szCs w:val="24"/>
          <w:highlight w:val="none"/>
          <w:u w:val="single"/>
          <w:lang w:val="en-US" w:eastAsia="zh-CN"/>
        </w:rPr>
        <w:t xml:space="preserve">三个月</w:t>
      </w:r>
      <w:r>
        <w:rPr>
          <w:rFonts w:hint="eastAsia" w:ascii="宋体" w:hAnsi="宋体" w:cs="宋体"/>
          <w:b/>
          <w:bCs/>
          <w:i/>
          <w:iCs/>
          <w:color w:val="auto"/>
          <w:sz w:val="24"/>
          <w:szCs w:val="24"/>
          <w:highlight w:val="none"/>
          <w:u w:val="single"/>
        </w:rPr>
        <w:t xml:space="preserve">内任意一个月依法缴纳税收及缴纳社会保障资金的证明材料。投标人依法享受缓缴、免缴税收、社会保障资金的提供证明材料。）</w:t>
      </w:r>
      <w:r/>
    </w:p>
    <w:p>
      <w:pPr>
        <w:ind w:firstLine="480"/>
        <w:spacing w:line="360" w:lineRule="auto"/>
        <w:rPr>
          <w:rFonts w:hint="eastAsia" w:ascii="宋体" w:hAnsi="宋体" w:cs="宋体"/>
          <w:b/>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三、</w:t>
      </w:r>
      <w:r>
        <w:rPr>
          <w:rFonts w:hint="eastAsia" w:ascii="宋体" w:hAnsi="宋体" w:cs="宋体"/>
          <w:i/>
          <w:iCs/>
          <w:color w:val="auto"/>
          <w:sz w:val="24"/>
          <w:szCs w:val="24"/>
          <w:highlight w:val="none"/>
          <w:u w:val="single"/>
        </w:rPr>
        <w:t xml:space="preserve"> 上一年度的财务报告情况</w:t>
      </w:r>
      <w:r>
        <w:rPr>
          <w:rFonts w:hint="eastAsia" w:ascii="宋体" w:hAnsi="宋体" w:cs="宋体"/>
          <w:b/>
          <w:bCs/>
          <w:i/>
          <w:iCs/>
          <w:color w:val="auto"/>
          <w:sz w:val="24"/>
          <w:szCs w:val="24"/>
          <w:highlight w:val="none"/>
          <w:u w:val="single"/>
        </w:rPr>
        <w:t xml:space="preserve">（成立不满一年不需提供）</w:t>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四、</w:t>
      </w:r>
      <w:r>
        <w:rPr>
          <w:rFonts w:hint="eastAsia" w:ascii="宋体" w:hAnsi="宋体" w:cs="宋体"/>
          <w:i/>
          <w:iCs/>
          <w:color w:val="auto"/>
          <w:sz w:val="24"/>
          <w:szCs w:val="24"/>
          <w:highlight w:val="none"/>
          <w:u w:val="single"/>
        </w:rPr>
        <w:t xml:space="preserve"> 具备履行合同所必需的设备和专业技术能力的书面声明</w:t>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五、</w:t>
      </w:r>
      <w:r>
        <w:rPr>
          <w:rFonts w:hint="eastAsia" w:ascii="宋体" w:hAnsi="宋体" w:cs="宋体"/>
          <w:i/>
          <w:iCs/>
          <w:color w:val="auto"/>
          <w:sz w:val="24"/>
          <w:szCs w:val="24"/>
          <w:highlight w:val="none"/>
          <w:u w:val="single"/>
        </w:rPr>
        <w:t xml:space="preserve"> 参加本次政府采购活动前3年内在经营活动中没有重大违法记录的书面声明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 w:val="24"/>
          <w:szCs w:val="24"/>
          <w:highlight w:val="none"/>
          <w:u w:val="single"/>
          <w:lang w:val="en-US" w:eastAsia="zh-CN"/>
        </w:rPr>
        <w:t xml:space="preserve">（提供网页截图）</w:t>
      </w:r>
      <w:r/>
    </w:p>
    <w:p>
      <w:pPr>
        <w:ind w:left="480"/>
        <w:keepLines w:val="0"/>
        <w:keepNext w:val="0"/>
        <w:pageBreakBefore w:val="0"/>
        <w:spacing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七、</w:t>
      </w:r>
      <w:r>
        <w:rPr>
          <w:rFonts w:hint="eastAsia" w:ascii="宋体" w:hAnsi="宋体" w:eastAsia="宋体" w:cs="宋体"/>
          <w:i/>
          <w:iCs/>
          <w:color w:val="auto"/>
          <w:sz w:val="24"/>
          <w:szCs w:val="24"/>
          <w:highlight w:val="none"/>
          <w:u w:val="single"/>
        </w:rPr>
        <w:t xml:space="preserve">供应商信用承诺函</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八</w:t>
      </w:r>
      <w:r>
        <w:rPr>
          <w:rFonts w:hint="eastAsia" w:ascii="宋体" w:hAnsi="宋体"/>
          <w:i/>
          <w:color w:val="000000"/>
          <w:sz w:val="24"/>
          <w:szCs w:val="24"/>
          <w:highlight w:val="none"/>
          <w:u w:val="single"/>
        </w:rPr>
        <w:t xml:space="preserve">、特定资格要求的证明文件（如果本项目设置特定资格要求，则需要提供）</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九</w:t>
      </w:r>
      <w:r>
        <w:rPr>
          <w:rFonts w:hint="eastAsia" w:ascii="宋体" w:hAnsi="宋体"/>
          <w:i/>
          <w:color w:val="000000"/>
          <w:sz w:val="24"/>
          <w:szCs w:val="24"/>
          <w:highlight w:val="none"/>
          <w:u w:val="single"/>
        </w:rPr>
        <w:t xml:space="preserve">、法人授权书</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十</w:t>
      </w:r>
      <w:r>
        <w:rPr>
          <w:rFonts w:hint="eastAsia" w:ascii="宋体" w:hAnsi="宋体"/>
          <w:i/>
          <w:color w:val="000000"/>
          <w:sz w:val="24"/>
          <w:szCs w:val="24"/>
          <w:highlight w:val="none"/>
          <w:u w:val="single"/>
        </w:rPr>
        <w:t xml:space="preserve">、投标函</w:t>
      </w:r>
      <w:r/>
    </w:p>
    <w:p>
      <w:pPr>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一</w:t>
      </w:r>
      <w:r>
        <w:rPr>
          <w:rFonts w:hint="eastAsia" w:ascii="宋体" w:hAnsi="宋体"/>
          <w:color w:val="000000"/>
          <w:sz w:val="24"/>
          <w:szCs w:val="24"/>
          <w:highlight w:val="none"/>
          <w:u w:val="none"/>
        </w:rPr>
        <w:t xml:space="preserve">、企业报价折扣证明（</w:t>
      </w:r>
      <w:r>
        <w:rPr>
          <w:rFonts w:hint="eastAsia" w:ascii="宋体" w:hAnsi="宋体"/>
          <w:i w:val="0"/>
          <w:iCs w:val="0"/>
          <w:color w:val="000000"/>
          <w:sz w:val="24"/>
          <w:szCs w:val="24"/>
          <w:highlight w:val="none"/>
          <w:u w:val="none"/>
        </w:rPr>
        <w:t xml:space="preserve">中小企业声明函、</w:t>
      </w:r>
      <w:r>
        <w:rPr>
          <w:rFonts w:hint="eastAsia" w:ascii="宋体" w:hAnsi="宋体"/>
          <w:color w:val="000000"/>
          <w:sz w:val="24"/>
          <w:szCs w:val="24"/>
          <w:highlight w:val="none"/>
          <w:u w:val="none"/>
        </w:rPr>
        <w:t xml:space="preserve">残疾人福利性单位声明函）</w:t>
      </w:r>
      <w:r/>
    </w:p>
    <w:p>
      <w:pPr>
        <w:ind w:firstLine="480"/>
        <w:keepLines w:val="0"/>
        <w:keepNext w:val="0"/>
        <w:pageBreakBefore w:val="0"/>
        <w:spacing w:line="360" w:lineRule="auto"/>
        <w:widowControl w:val="off"/>
        <w:rPr>
          <w:rFonts w:hint="eastAsia" w:ascii="宋体" w:hAnsi="宋体" w:eastAsia="宋体"/>
          <w:sz w:val="24"/>
          <w:szCs w:val="24"/>
          <w:highlight w:val="none"/>
          <w:u w:val="none"/>
          <w:lang w:eastAsia="zh-CN"/>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二</w:t>
      </w:r>
      <w:r>
        <w:rPr>
          <w:rFonts w:hint="eastAsia" w:ascii="宋体" w:hAnsi="宋体"/>
          <w:sz w:val="24"/>
          <w:szCs w:val="24"/>
          <w:highlight w:val="none"/>
          <w:u w:val="none"/>
        </w:rPr>
        <w:t xml:space="preserve">、联合体协议</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如有</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i w:val="0"/>
          <w:iCs/>
          <w:sz w:val="24"/>
          <w:szCs w:val="24"/>
          <w:highlight w:val="none"/>
          <w:u w:val="none"/>
        </w:rPr>
      </w:pPr>
      <w:r>
        <w:rPr>
          <w:rFonts w:hint="eastAsia" w:ascii="宋体" w:hAnsi="宋体"/>
          <w:i w:val="0"/>
          <w:iCs/>
          <w:sz w:val="24"/>
          <w:szCs w:val="24"/>
          <w:highlight w:val="none"/>
          <w:u w:val="none"/>
          <w:lang w:val="en-US" w:eastAsia="zh-CN"/>
        </w:rPr>
        <w:t xml:space="preserve">十三、</w:t>
      </w:r>
      <w:r>
        <w:rPr>
          <w:rFonts w:hint="eastAsia" w:ascii="宋体" w:hAnsi="宋体"/>
          <w:i w:val="0"/>
          <w:iCs/>
          <w:sz w:val="24"/>
          <w:szCs w:val="24"/>
          <w:highlight w:val="none"/>
          <w:u w:val="none"/>
        </w:rPr>
        <w:t xml:space="preserve">符合性审查响应对照表</w:t>
      </w:r>
      <w:r/>
    </w:p>
    <w:p>
      <w:pPr>
        <w:ind w:firstLine="480"/>
        <w:keepLines w:val="0"/>
        <w:keepNext w:val="0"/>
        <w:pageBreakBefore w:val="0"/>
        <w:spacing w:line="360" w:lineRule="auto"/>
        <w:widowControl w:val="off"/>
        <w:rPr>
          <w:rFonts w:ascii="宋体" w:hAnsi="宋体"/>
          <w:color w:val="0000ff"/>
          <w:sz w:val="24"/>
          <w:szCs w:val="24"/>
          <w:highlight w:val="none"/>
          <w:u w:val="none"/>
        </w:rPr>
      </w:pPr>
      <w:r>
        <w:rPr>
          <w:rFonts w:hint="eastAsia" w:ascii="宋体" w:hAnsi="宋体"/>
          <w:i w:val="0"/>
          <w:iCs/>
          <w:sz w:val="24"/>
          <w:szCs w:val="24"/>
          <w:highlight w:val="none"/>
          <w:u w:val="none"/>
          <w:lang w:val="en-US" w:eastAsia="zh-CN"/>
        </w:rPr>
        <w:t xml:space="preserve">十四、</w:t>
      </w:r>
      <w:r>
        <w:rPr>
          <w:rFonts w:hint="eastAsia" w:ascii="宋体" w:hAnsi="宋体"/>
          <w:i w:val="0"/>
          <w:iCs/>
          <w:sz w:val="24"/>
          <w:szCs w:val="24"/>
          <w:highlight w:val="none"/>
          <w:u w:val="none"/>
        </w:rPr>
        <w:t xml:space="preserve">投标分项报价表 </w:t>
      </w:r>
      <w:r>
        <w:rPr>
          <w:rFonts w:hint="eastAsia" w:ascii="宋体" w:hAnsi="宋体"/>
          <w:sz w:val="24"/>
          <w:szCs w:val="24"/>
          <w:highlight w:val="none"/>
          <w:u w:val="none"/>
        </w:rPr>
        <w:t xml:space="preserve">  </w:t>
      </w:r>
      <w:r/>
    </w:p>
    <w:p>
      <w:pPr>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五</w:t>
      </w:r>
      <w:r>
        <w:rPr>
          <w:rFonts w:hint="eastAsia" w:ascii="宋体" w:hAnsi="宋体"/>
          <w:sz w:val="24"/>
          <w:szCs w:val="24"/>
          <w:highlight w:val="none"/>
          <w:u w:val="none"/>
        </w:rPr>
        <w:t xml:space="preserve">、技术要求响应及偏离表</w:t>
      </w:r>
      <w:r/>
    </w:p>
    <w:p>
      <w:pPr>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六</w:t>
      </w:r>
      <w:r>
        <w:rPr>
          <w:rFonts w:hint="eastAsia" w:ascii="宋体" w:hAnsi="宋体"/>
          <w:sz w:val="24"/>
          <w:szCs w:val="24"/>
          <w:highlight w:val="none"/>
          <w:u w:val="none"/>
        </w:rPr>
        <w:t xml:space="preserve">、商务要求响应及偏离表</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十</w:t>
      </w:r>
      <w:r>
        <w:rPr>
          <w:rFonts w:hint="eastAsia" w:ascii="宋体" w:hAnsi="宋体"/>
          <w:i/>
          <w:color w:val="000000"/>
          <w:sz w:val="24"/>
          <w:szCs w:val="24"/>
          <w:highlight w:val="none"/>
          <w:u w:val="single"/>
          <w:lang w:val="en-US" w:eastAsia="zh-CN"/>
        </w:rPr>
        <w:t xml:space="preserve">七</w:t>
      </w:r>
      <w:r>
        <w:rPr>
          <w:rFonts w:hint="eastAsia" w:ascii="宋体" w:hAnsi="宋体"/>
          <w:i/>
          <w:color w:val="000000"/>
          <w:sz w:val="24"/>
          <w:szCs w:val="24"/>
          <w:highlight w:val="none"/>
          <w:u w:val="single"/>
        </w:rPr>
        <w:t xml:space="preserve">、开标一览表</w:t>
      </w:r>
      <w:r/>
    </w:p>
    <w:p>
      <w:pPr>
        <w:ind w:firstLine="480"/>
        <w:keepLines w:val="0"/>
        <w:keepNext w:val="0"/>
        <w:pageBreakBefore w:val="0"/>
        <w:spacing w:line="360" w:lineRule="auto"/>
        <w:widowControl w:val="off"/>
        <w:rPr>
          <w:rFonts w:hint="eastAsia" w:ascii="宋体" w:hAnsi="宋体"/>
          <w:iCs/>
          <w:color w:val="000000"/>
          <w:sz w:val="24"/>
          <w:szCs w:val="24"/>
          <w:highlight w:val="none"/>
          <w:u w:val="none"/>
        </w:rPr>
      </w:pPr>
      <w:r>
        <w:rPr>
          <w:rFonts w:hint="eastAsia" w:ascii="宋体" w:hAnsi="宋体"/>
          <w:iCs/>
          <w:color w:val="000000"/>
          <w:sz w:val="24"/>
          <w:szCs w:val="24"/>
          <w:highlight w:val="none"/>
          <w:u w:val="none"/>
        </w:rPr>
        <w:t xml:space="preserve">十</w:t>
      </w:r>
      <w:r>
        <w:rPr>
          <w:rFonts w:hint="eastAsia" w:ascii="宋体" w:hAnsi="宋体"/>
          <w:iCs/>
          <w:color w:val="000000"/>
          <w:sz w:val="24"/>
          <w:szCs w:val="24"/>
          <w:highlight w:val="none"/>
          <w:u w:val="none"/>
          <w:lang w:val="en-US" w:eastAsia="zh-CN"/>
        </w:rPr>
        <w:t xml:space="preserve">八</w:t>
      </w:r>
      <w:r>
        <w:rPr>
          <w:rFonts w:hint="eastAsia" w:ascii="宋体" w:hAnsi="宋体"/>
          <w:iCs/>
          <w:color w:val="000000"/>
          <w:sz w:val="24"/>
          <w:szCs w:val="24"/>
          <w:highlight w:val="none"/>
          <w:u w:val="none"/>
        </w:rPr>
        <w:t xml:space="preserve">、主要标的信息</w:t>
      </w:r>
      <w:r>
        <w:rPr>
          <w:rFonts w:hint="eastAsia" w:ascii="宋体" w:hAnsi="宋体" w:eastAsia="宋体" w:cs="Times New Roman"/>
          <w:iCs/>
          <w:color w:val="000000"/>
          <w:sz w:val="24"/>
          <w:szCs w:val="24"/>
          <w:highlight w:val="none"/>
          <w:u w:val="none"/>
        </w:rPr>
        <w:t xml:space="preserve">（中标后将公示）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十九、</w:t>
      </w:r>
      <w:r>
        <w:rPr>
          <w:rFonts w:hint="eastAsia" w:ascii="宋体" w:hAnsi="宋体"/>
          <w:color w:val="auto"/>
          <w:sz w:val="24"/>
          <w:highlight w:val="none"/>
        </w:rPr>
        <w:t xml:space="preserve">其他 （投标人认为有必要提供的声明和文件，如有自拟并自行添加）</w:t>
      </w:r>
      <w:r/>
    </w:p>
    <w:p>
      <w:pPr>
        <w:numPr>
          <w:ilvl w:val="0"/>
          <w:numId w:val="0"/>
        </w:numPr>
        <w:jc w:val="left"/>
        <w:keepLines/>
        <w:keepNext/>
        <w:pageBreakBefore w:val="0"/>
        <w:spacing w:after="480" w:line="360" w:lineRule="auto"/>
        <w:widowControl w:val="off"/>
        <w:rPr>
          <w:sz w:val="32"/>
          <w:szCs w:val="32"/>
          <w:highlight w:val="none"/>
        </w:rPr>
        <w:outlineLvl w:val="1"/>
      </w:pPr>
      <w:r>
        <w:rPr>
          <w:rFonts w:hint="eastAsia" w:ascii="宋体" w:hAnsi="宋体"/>
          <w:b/>
          <w:bCs/>
          <w:color w:val="auto"/>
          <w:highlight w:val="none"/>
        </w:rPr>
        <w:br w:type="page" w:clear="all"/>
      </w:r>
      <w:r>
        <w:rPr>
          <w:rFonts w:hint="eastAsia" w:ascii="宋体" w:hAnsi="宋体"/>
          <w:b/>
          <w:bCs/>
          <w:i/>
          <w:iCs/>
          <w:color w:val="auto"/>
          <w:sz w:val="24"/>
          <w:szCs w:val="28"/>
          <w:highlight w:val="none"/>
          <w:u w:val="single"/>
          <w:lang w:val="en-US" w:eastAsia="zh-CN"/>
        </w:rPr>
        <w:t xml:space="preserve">一、</w:t>
      </w:r>
      <w:r>
        <w:rPr>
          <w:rFonts w:hint="eastAsia" w:ascii="宋体" w:hAnsi="宋体" w:cs="宋体"/>
          <w:b/>
          <w:bCs/>
          <w:i/>
          <w:iCs/>
          <w:sz w:val="24"/>
          <w:szCs w:val="24"/>
          <w:highlight w:val="none"/>
          <w:u w:val="single"/>
        </w:rPr>
        <w:t xml:space="preserve">法人</w:t>
      </w:r>
      <w:r>
        <w:rPr>
          <w:rFonts w:hint="eastAsia" w:ascii="宋体" w:hAnsi="宋体" w:cs="宋体"/>
          <w:b/>
          <w:bCs/>
          <w:i/>
          <w:sz w:val="24"/>
          <w:szCs w:val="24"/>
          <w:highlight w:val="none"/>
          <w:u w:val="single"/>
        </w:rPr>
        <w:t xml:space="preserve">或者其他组织的营业执照等证明文件，自然人的身份证明</w:t>
      </w:r>
      <w:r/>
    </w:p>
    <w:p>
      <w:pPr>
        <w:jc w:val="left"/>
        <w:keepLines/>
        <w:keepNext/>
        <w:spacing w:before="260" w:line="415" w:lineRule="auto"/>
        <w:rPr>
          <w:rFonts w:hint="eastAsia" w:ascii="宋体" w:hAnsi="宋体" w:cs="宋体"/>
          <w:b/>
          <w:bCs/>
          <w:i/>
          <w:sz w:val="24"/>
          <w:szCs w:val="24"/>
          <w:highlight w:val="none"/>
          <w:u w:val="single"/>
        </w:rPr>
        <w:outlineLvl w:val="1"/>
      </w:pPr>
      <w:r/>
      <w:bookmarkStart w:id="64" w:name="OLE_LINK1"/>
      <w:r/>
      <w:bookmarkStart w:id="65" w:name="OLE_LINK2"/>
      <w:r>
        <w:rPr>
          <w:rFonts w:hint="eastAsia" w:ascii="宋体" w:hAnsi="宋体" w:cs="宋体"/>
          <w:b/>
          <w:bCs/>
          <w:i/>
          <w:sz w:val="24"/>
          <w:szCs w:val="24"/>
          <w:highlight w:val="none"/>
          <w:u w:val="single"/>
        </w:rPr>
        <w:t xml:space="preserve">二、依法缴纳税收和社会保障资金的相关材料</w:t>
      </w:r>
      <w:r/>
    </w:p>
    <w:p>
      <w:pPr>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4"/>
          <w:highlight w:val="none"/>
        </w:rPr>
        <w:t xml:space="preserve">提供提交投标文件截止时间前</w:t>
      </w:r>
      <w:r>
        <w:rPr>
          <w:rFonts w:hint="eastAsia" w:ascii="宋体" w:hAnsi="宋体"/>
          <w:bCs/>
          <w:sz w:val="24"/>
          <w:szCs w:val="24"/>
          <w:highlight w:val="none"/>
          <w:lang w:val="en-US" w:eastAsia="zh-CN"/>
        </w:rPr>
        <w:t xml:space="preserve">三个月</w:t>
      </w:r>
      <w:r>
        <w:rPr>
          <w:rFonts w:hint="eastAsia" w:ascii="宋体" w:hAnsi="宋体"/>
          <w:bCs/>
          <w:sz w:val="24"/>
          <w:szCs w:val="24"/>
          <w:highlight w:val="none"/>
        </w:rPr>
        <w:t xml:space="preserve">内</w:t>
      </w:r>
      <w:r>
        <w:rPr>
          <w:rFonts w:hint="eastAsia" w:ascii="宋体" w:hAnsi="宋体"/>
          <w:bCs/>
          <w:sz w:val="24"/>
          <w:szCs w:val="24"/>
          <w:highlight w:val="none"/>
          <w:lang w:val="en-US" w:eastAsia="zh-CN"/>
        </w:rPr>
        <w:t xml:space="preserve">任意</w:t>
      </w:r>
      <w:r>
        <w:rPr>
          <w:rFonts w:hint="eastAsia" w:ascii="宋体" w:hAnsi="宋体"/>
          <w:bCs/>
          <w:sz w:val="24"/>
          <w:szCs w:val="24"/>
          <w:highlight w:val="none"/>
        </w:rPr>
        <w:t xml:space="preserve">一个月依法缴纳税收及缴纳社会保障资金的证明材料。投标人依法享受缓缴、免缴税收、社会保障资金的提供证明材料。</w:t>
      </w:r>
      <w:bookmarkEnd w:id="64"/>
      <w:r/>
      <w:bookmarkEnd w:id="65"/>
      <w:r/>
      <w:bookmarkStart w:id="66" w:name="OLE_LINK4"/>
      <w:r/>
      <w:bookmarkStart w:id="67" w:name="OLE_LINK3"/>
      <w:r/>
      <w:r/>
    </w:p>
    <w:p>
      <w:pPr>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三、上一年度的财务状况报告</w:t>
      </w:r>
      <w:r/>
    </w:p>
    <w:p>
      <w:pPr>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2"/>
          <w:highlight w:val="none"/>
        </w:rPr>
        <w:t xml:space="preserve">投标人成立不满一年不需提供</w:t>
      </w:r>
      <w:bookmarkEnd w:id="66"/>
      <w:r/>
      <w:bookmarkEnd w:id="67"/>
      <w:r/>
      <w:bookmarkStart w:id="68" w:name="OLE_LINK5"/>
      <w:r/>
      <w:bookmarkStart w:id="69" w:name="OLE_LINK6"/>
      <w:r/>
      <w:r/>
    </w:p>
    <w:p>
      <w:pPr>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四、具备履行合同所必需的设备和专业技术能力的书面声明</w:t>
      </w:r>
      <w:r/>
    </w:p>
    <w:p>
      <w:pPr>
        <w:ind w:firstLine="493"/>
        <w:jc w:val="center"/>
        <w:keepLines w:val="0"/>
        <w:keepNext w:val="0"/>
        <w:pageBreakBefore w:val="0"/>
        <w:spacing w:before="161"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声  明</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主要设备有：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主要专业技术能力有：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bookmarkEnd w:id="68"/>
      <w:r/>
      <w:bookmarkEnd w:id="69"/>
      <w:r/>
      <w:r/>
    </w:p>
    <w:p>
      <w:pPr>
        <w:jc w:val="left"/>
        <w:keepLines/>
        <w:keepNext/>
        <w:pageBreakBefore w:val="0"/>
        <w:spacing w:line="416" w:lineRule="auto"/>
        <w:widowControl w:val="off"/>
        <w:rPr>
          <w:rFonts w:hint="eastAsia" w:ascii="宋体" w:hAnsi="宋体" w:cs="宋体"/>
          <w:b/>
          <w:bCs/>
          <w:i/>
          <w:sz w:val="24"/>
          <w:szCs w:val="24"/>
          <w:highlight w:val="none"/>
          <w:u w:val="single"/>
        </w:rPr>
        <w:outlineLvl w:val="1"/>
      </w:pPr>
      <w:r>
        <w:rPr>
          <w:rFonts w:hint="eastAsia" w:ascii="宋体" w:hAnsi="宋体" w:cs="宋体"/>
          <w:b/>
          <w:bCs/>
          <w:i/>
          <w:sz w:val="24"/>
          <w:szCs w:val="24"/>
          <w:highlight w:val="none"/>
          <w:u w:val="single"/>
        </w:rPr>
      </w:r>
      <w:r/>
    </w:p>
    <w:p>
      <w:pPr>
        <w:jc w:val="left"/>
        <w:keepLines/>
        <w:keepNext/>
        <w:pageBreakBefore w:val="0"/>
        <w:spacing w:line="416" w:lineRule="auto"/>
        <w:widowControl w:val="off"/>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五、参加政府采购活动前 3 年内在经营活动中没有重大违法记录的书面声明</w:t>
      </w:r>
      <w:r/>
    </w:p>
    <w:p>
      <w:pPr>
        <w:jc w:val="center"/>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声  明</w:t>
      </w:r>
      <w:r/>
    </w:p>
    <w:p>
      <w:pPr>
        <w:ind w:firstLine="481"/>
        <w:jc w:val="left"/>
        <w:spacing w:before="156" w:after="156"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六、</w:t>
      </w:r>
      <w:r>
        <w:rPr>
          <w:rFonts w:hint="eastAsia" w:ascii="宋体" w:hAnsi="宋体" w:eastAsia="宋体" w:cs="宋体"/>
          <w:b/>
          <w:bCs/>
          <w:i/>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p>
    <w:p>
      <w:pPr>
        <w:numPr>
          <w:ilvl w:val="0"/>
          <w:numId w:val="0"/>
        </w:numPr>
        <w:ind w:firstLine="480"/>
        <w:jc w:val="left"/>
        <w:keepLines/>
        <w:keepNext/>
        <w:pageBreakBefore w:val="0"/>
        <w:spacing w:line="416" w:lineRule="auto"/>
        <w:widowControl w:val="off"/>
        <w:rPr>
          <w:rFonts w:ascii="宋体" w:hAnsi="宋体" w:cs="宋体"/>
          <w:i/>
          <w:sz w:val="28"/>
          <w:szCs w:val="28"/>
          <w:highlight w:val="none"/>
          <w:u w:val="single"/>
        </w:rPr>
        <w:outlineLvl w:val="1"/>
      </w:pPr>
      <w:r>
        <w:rPr>
          <w:rFonts w:hint="eastAsia" w:ascii="宋体" w:hAnsi="宋体" w:eastAsia="宋体" w:cs="宋体"/>
          <w:bCs/>
          <w:sz w:val="24"/>
          <w:szCs w:val="24"/>
          <w:highlight w:val="none"/>
        </w:rPr>
        <w:t xml:space="preserve">提供网页截图</w:t>
      </w:r>
      <w:r>
        <w:rPr>
          <w:rFonts w:hint="eastAsia" w:ascii="宋体" w:hAnsi="宋体" w:eastAsia="宋体" w:cs="宋体"/>
          <w:b/>
          <w:bCs/>
          <w:i/>
          <w:sz w:val="24"/>
          <w:szCs w:val="24"/>
          <w:highlight w:val="none"/>
          <w:u w:val="single"/>
        </w:rPr>
        <w:br w:type="page" w:clear="all"/>
      </w:r>
      <w:r>
        <w:rPr>
          <w:rFonts w:hint="eastAsia" w:ascii="宋体" w:hAnsi="宋体" w:eastAsia="宋体" w:cs="宋体"/>
          <w:b/>
          <w:bCs/>
          <w:i/>
          <w:sz w:val="24"/>
          <w:szCs w:val="24"/>
          <w:highlight w:val="none"/>
          <w:u w:val="single"/>
          <w:lang w:val="en-US" w:eastAsia="zh-CN"/>
        </w:rPr>
        <w:t xml:space="preserve">七</w:t>
      </w:r>
      <w:r>
        <w:rPr>
          <w:rFonts w:hint="eastAsia" w:ascii="宋体" w:hAnsi="宋体" w:eastAsia="宋体" w:cs="宋体"/>
          <w:b/>
          <w:bCs/>
          <w:i/>
          <w:sz w:val="24"/>
          <w:szCs w:val="24"/>
          <w:highlight w:val="none"/>
          <w:u w:val="single"/>
        </w:rPr>
        <w:t xml:space="preserve">、供应商信用承诺函</w:t>
      </w:r>
      <w:r/>
    </w:p>
    <w:p>
      <w:pPr>
        <w:jc w:val="center"/>
        <w:spacing w:line="500" w:lineRule="exact"/>
        <w:rPr>
          <w:rFonts w:ascii="方正仿宋_GBK"/>
          <w:color w:val="auto"/>
          <w:szCs w:val="32"/>
          <w:highlight w:val="none"/>
        </w:rPr>
      </w:pPr>
      <w:r>
        <w:rPr>
          <w:rFonts w:hint="eastAsia" w:ascii="宋体" w:hAnsi="宋体"/>
          <w:b/>
          <w:color w:val="auto"/>
          <w:szCs w:val="21"/>
          <w:highlight w:val="none"/>
        </w:rPr>
        <w:t xml:space="preserve">供应商信用承诺书</w:t>
      </w:r>
      <w:r/>
    </w:p>
    <w:p>
      <w:pPr>
        <w:keepLines w:val="0"/>
        <w:keepNext w:val="0"/>
        <w:pageBreakBefore w:val="0"/>
        <w:spacing w:line="480" w:lineRule="exact"/>
        <w:widowControl w:val="off"/>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keepLines w:val="0"/>
        <w:keepNext w:val="0"/>
        <w:pageBreakBefore w:val="0"/>
        <w:spacing w:line="480" w:lineRule="exact"/>
        <w:widowControl w:val="off"/>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承诺单位</w:t>
      </w:r>
      <w:r>
        <w:rPr>
          <w:rFonts w:hint="eastAsia" w:ascii="宋体" w:hAnsi="宋体" w:cs="宋体"/>
          <w:sz w:val="21"/>
          <w:szCs w:val="21"/>
          <w:highlight w:val="none"/>
        </w:rPr>
        <w:t xml:space="preserve">（加盖CA电子公章）</w:t>
      </w:r>
      <w:r>
        <w:rPr>
          <w:rFonts w:hint="eastAsia" w:ascii="宋体" w:hAnsi="宋体"/>
          <w:color w:val="auto"/>
          <w:sz w:val="21"/>
          <w:szCs w:val="21"/>
          <w:highlight w:val="none"/>
        </w:rPr>
        <w:t xml:space="preserve">：</w:t>
      </w:r>
      <w:r>
        <w:rPr>
          <w:rFonts w:hint="eastAsia" w:ascii="宋体" w:hAnsi="宋体"/>
          <w:color w:val="auto"/>
          <w:szCs w:val="21"/>
          <w:highlight w:val="none"/>
        </w:rPr>
        <w:t xml:space="preserve">           </w:t>
      </w:r>
      <w:r/>
    </w:p>
    <w:p>
      <w:pPr>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pStyle w:val="875"/>
        <w:jc w:val="right"/>
        <w:rPr>
          <w:rFonts w:hint="eastAsia" w:ascii="宋体" w:hAnsi="宋体" w:eastAsia="宋体" w:cs="Times New Roman"/>
          <w:b w:val="0"/>
          <w:bCs w:val="0"/>
          <w:color w:val="auto"/>
          <w:sz w:val="21"/>
          <w:szCs w:val="21"/>
          <w:highlight w:val="none"/>
          <w:lang w:val="en-US" w:eastAsia="zh-CN" w:bidi="ar-SA"/>
        </w:rPr>
      </w:pPr>
      <w:r/>
      <w:bookmarkStart w:id="70" w:name="_Toc20792"/>
      <w:r>
        <w:rPr>
          <w:rFonts w:hint="eastAsia" w:ascii="宋体" w:hAnsi="宋体" w:eastAsia="宋体" w:cs="Times New Roman"/>
          <w:b w:val="0"/>
          <w:bCs w:val="0"/>
          <w:color w:val="auto"/>
          <w:sz w:val="21"/>
          <w:szCs w:val="21"/>
          <w:highlight w:val="none"/>
          <w:lang w:val="en-US" w:eastAsia="zh-CN" w:bidi="ar-SA"/>
        </w:rPr>
        <w:t xml:space="preserve">年    月    日</w:t>
      </w:r>
      <w:bookmarkEnd w:id="70"/>
      <w:r/>
      <w:r/>
    </w:p>
    <w:p>
      <w:pPr>
        <w:jc w:val="left"/>
        <w:keepLines/>
        <w:keepNext/>
        <w:spacing w:before="260" w:line="415" w:lineRule="auto"/>
        <w:rPr>
          <w:rFonts w:hint="eastAsia" w:ascii="宋体" w:hAnsi="宋体" w:eastAsia="宋体" w:cs="宋体"/>
          <w:i/>
          <w:sz w:val="32"/>
          <w:szCs w:val="32"/>
          <w:highlight w:val="none"/>
          <w:u w:val="single"/>
          <w:lang w:eastAsia="zh-CN"/>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八</w:t>
      </w:r>
      <w:r>
        <w:rPr>
          <w:rFonts w:hint="eastAsia" w:ascii="宋体" w:hAnsi="宋体" w:eastAsia="宋体" w:cs="宋体"/>
          <w:b/>
          <w:bCs/>
          <w:i/>
          <w:sz w:val="24"/>
          <w:szCs w:val="24"/>
          <w:highlight w:val="none"/>
          <w:u w:val="single"/>
        </w:rPr>
        <w:t xml:space="preserve">、特定资格要求的证明文件（如果本项目设置特定资格要求，则需要提供）</w:t>
      </w:r>
      <w:r/>
    </w:p>
    <w:p>
      <w:pPr>
        <w:jc w:val="left"/>
        <w:spacing w:line="360" w:lineRule="auto"/>
        <w:rPr>
          <w:rFonts w:hint="eastAsia" w:ascii="宋体" w:hAnsi="宋体"/>
          <w:sz w:val="24"/>
          <w:highlight w:val="none"/>
        </w:rPr>
      </w:pPr>
      <w:r>
        <w:rPr>
          <w:rFonts w:hint="eastAsia" w:ascii="宋体" w:hAnsi="宋体"/>
          <w:sz w:val="24"/>
          <w:highlight w:val="none"/>
        </w:rPr>
      </w:r>
      <w:r/>
    </w:p>
    <w:p>
      <w:pPr>
        <w:jc w:val="left"/>
        <w:keepLines/>
        <w:keepNext/>
        <w:spacing w:before="260" w:line="415" w:lineRule="auto"/>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b/>
          <w:bCs/>
          <w:i/>
          <w:sz w:val="24"/>
          <w:szCs w:val="24"/>
          <w:highlight w:val="none"/>
          <w:u w:val="single"/>
          <w:lang w:val="en-US" w:eastAsia="zh-CN"/>
        </w:rPr>
      </w:r>
      <w:r/>
    </w:p>
    <w:p>
      <w:pPr>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rPr>
        <w:t xml:space="preserve">九</w:t>
      </w:r>
      <w:r>
        <w:rPr>
          <w:rFonts w:hint="eastAsia" w:ascii="宋体" w:hAnsi="宋体" w:eastAsia="宋体" w:cs="宋体"/>
          <w:b/>
          <w:bCs/>
          <w:i/>
          <w:sz w:val="24"/>
          <w:szCs w:val="24"/>
          <w:highlight w:val="none"/>
          <w:u w:val="single"/>
        </w:rPr>
        <w:t xml:space="preserve">、法人授权书</w:t>
      </w:r>
      <w:r/>
    </w:p>
    <w:p>
      <w:pPr>
        <w:pStyle w:val="927"/>
        <w:ind w:left="0" w:firstLine="0"/>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2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2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27"/>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p>
    <w:p>
      <w:pPr>
        <w:pStyle w:val="927"/>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2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（加盖CA电子公章）</w:t>
      </w:r>
      <w:r/>
    </w:p>
    <w:p>
      <w:pPr>
        <w:pStyle w:val="927"/>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27"/>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p>
    <w:p>
      <w:pPr>
        <w:spacing w:line="460" w:lineRule="exact"/>
        <w:rPr>
          <w:rFonts w:ascii="宋体" w:hAnsi="宋体"/>
          <w:bCs/>
          <w:color w:val="auto"/>
          <w:highlight w:val="none"/>
        </w:rPr>
      </w:pPr>
      <w:r>
        <w:rPr>
          <w:rFonts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被授权人身份证复印件：</w:t>
      </w:r>
      <w:r/>
    </w:p>
    <w:p>
      <w:pPr>
        <w:ind w:firstLine="640"/>
        <w:jc w:val="left"/>
        <w:keepLines/>
        <w:keepNext/>
        <w:pageBreakBefore w:val="0"/>
        <w:spacing w:line="416" w:lineRule="auto"/>
        <w:widowControl w:val="off"/>
        <w:rPr>
          <w:rFonts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十</w:t>
      </w:r>
      <w:r>
        <w:rPr>
          <w:rFonts w:hint="eastAsia" w:ascii="宋体" w:hAnsi="宋体" w:eastAsia="宋体" w:cs="宋体"/>
          <w:b/>
          <w:bCs/>
          <w:i/>
          <w:sz w:val="24"/>
          <w:szCs w:val="24"/>
          <w:highlight w:val="none"/>
          <w:u w:val="single"/>
          <w:lang w:eastAsia="zh-CN"/>
        </w:rPr>
        <w:t xml:space="preserve">、</w:t>
      </w:r>
      <w:r>
        <w:rPr>
          <w:rFonts w:hint="eastAsia" w:ascii="宋体" w:hAnsi="宋体" w:eastAsia="宋体" w:cs="宋体"/>
          <w:b/>
          <w:bCs/>
          <w:i/>
          <w:sz w:val="24"/>
          <w:szCs w:val="24"/>
          <w:highlight w:val="none"/>
          <w:u w:val="single"/>
        </w:rPr>
        <w:t xml:space="preserve">投标函</w:t>
      </w:r>
      <w:r/>
    </w:p>
    <w:p>
      <w:pPr>
        <w:jc w:val="center"/>
        <w:spacing w:line="360" w:lineRule="auto"/>
        <w:rPr>
          <w:rFonts w:hint="eastAsia" w:ascii="宋体" w:hAnsi="宋体"/>
          <w:b/>
          <w:color w:val="auto"/>
          <w:highlight w:val="none"/>
        </w:rPr>
      </w:pPr>
      <w:r>
        <w:rPr>
          <w:rFonts w:hint="eastAsia" w:ascii="宋体" w:hAnsi="宋体"/>
          <w:b/>
          <w:color w:val="auto"/>
          <w:highlight w:val="none"/>
        </w:rPr>
        <w:t xml:space="preserve">投标函</w:t>
      </w:r>
      <w:r/>
    </w:p>
    <w:p>
      <w:pPr>
        <w:pStyle w:val="927"/>
        <w:ind w:left="0" w:firstLine="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u w:val="single"/>
          <w:lang w:eastAsia="zh-CN"/>
        </w:rPr>
        <w:t xml:space="preserve">扬州博远工程咨询有限公司</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）号</w:t>
      </w:r>
      <w:r>
        <w:rPr>
          <w:rFonts w:hint="eastAsia" w:ascii="宋体" w:hAnsi="宋体"/>
          <w:color w:val="auto"/>
          <w:sz w:val="21"/>
          <w:szCs w:val="21"/>
          <w:highlight w:val="none"/>
        </w:rPr>
        <w:t xml:space="preserve">招标文件，正式授权下述签字人_________________(姓名)代表我方______________（投标人的名称），全权处理本次项目投标的有关事宜。</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20"/>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0"/>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20"/>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ind w:firstLine="420"/>
        <w:spacing w:line="360" w:lineRule="auto"/>
        <w:rPr>
          <w:rFonts w:hint="eastAsia" w:ascii="宋体" w:hAnsi="宋体"/>
          <w:b/>
          <w:bCs/>
          <w:color w:val="auto"/>
          <w:highlight w:val="none"/>
        </w:rPr>
      </w:pPr>
      <w:r>
        <w:rPr>
          <w:rFonts w:hint="eastAsia" w:ascii="宋体" w:hAnsi="宋体"/>
          <w:color w:val="auto"/>
          <w:sz w:val="21"/>
          <w:szCs w:val="21"/>
          <w:highlight w:val="none"/>
        </w:rPr>
        <w:t xml:space="preserve">日 期：________年____月____日</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十一、</w:t>
      </w:r>
      <w:r>
        <w:rPr>
          <w:rFonts w:hint="eastAsia" w:ascii="宋体" w:hAnsi="宋体" w:eastAsia="宋体" w:cs="宋体"/>
          <w:b/>
          <w:bCs/>
          <w:i/>
          <w:sz w:val="24"/>
          <w:szCs w:val="24"/>
          <w:highlight w:val="none"/>
          <w:u w:val="single"/>
        </w:rPr>
        <w:t xml:space="preserve">中小企业声明函（货物）</w:t>
      </w:r>
      <w:r/>
    </w:p>
    <w:p>
      <w:pPr>
        <w:jc w:val="center"/>
        <w:spacing w:line="360" w:lineRule="auto"/>
        <w:rPr>
          <w:rFonts w:hint="eastAsia"/>
          <w:highlight w:val="none"/>
        </w:rPr>
      </w:pPr>
      <w:r>
        <w:rPr>
          <w:rFonts w:hint="eastAsia" w:ascii="宋体" w:hAnsi="宋体" w:eastAsia="宋体" w:cs="Times New Roman"/>
          <w:b/>
          <w:color w:val="auto"/>
          <w:highlight w:val="none"/>
        </w:rPr>
        <w:t xml:space="preserve">中小企业声明函（货物）</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本公司（联合体）郑重声明，根据《政府采购促进中小企业发展管理办法》(财库[2020]46号)的规定，本公司（联合体）参加的</w:t>
      </w:r>
      <w:r>
        <w:rPr>
          <w:rFonts w:hint="eastAsia" w:ascii="宋体" w:hAnsi="宋体" w:eastAsia="宋体" w:cs="Times New Roman"/>
          <w:color w:val="auto"/>
          <w:sz w:val="21"/>
          <w:szCs w:val="21"/>
          <w:highlight w:val="none"/>
          <w:u w:val="single"/>
        </w:rPr>
        <w:t xml:space="preserve">（单位名称）</w:t>
      </w:r>
      <w:r>
        <w:rPr>
          <w:rFonts w:hint="eastAsia" w:ascii="宋体" w:hAnsi="宋体" w:eastAsia="宋体" w:cs="Times New Roman"/>
          <w:color w:val="auto"/>
          <w:sz w:val="21"/>
          <w:szCs w:val="21"/>
          <w:highlight w:val="none"/>
          <w:lang w:val="en-US" w:eastAsia="zh-CN"/>
        </w:rPr>
        <w:t xml:space="preserve">的</w:t>
      </w:r>
      <w:r>
        <w:rPr>
          <w:rFonts w:hint="eastAsia" w:ascii="宋体" w:hAnsi="宋体" w:eastAsia="宋体" w:cs="Times New Roman"/>
          <w:color w:val="auto"/>
          <w:sz w:val="21"/>
          <w:szCs w:val="21"/>
          <w:highlight w:val="none"/>
          <w:u w:val="single"/>
        </w:rPr>
        <w:t xml:space="preserve">（项目名称）</w:t>
      </w:r>
      <w:r>
        <w:rPr>
          <w:rFonts w:hint="eastAsia" w:ascii="宋体" w:hAnsi="宋体" w:eastAsia="宋体" w:cs="Times New Roman"/>
          <w:color w:val="auto"/>
          <w:sz w:val="21"/>
          <w:szCs w:val="21"/>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u w:val="single"/>
        </w:rPr>
        <w:t xml:space="preserve">（标的名称）</w:t>
      </w:r>
      <w:r>
        <w:rPr>
          <w:rFonts w:hint="eastAsia" w:ascii="宋体" w:hAnsi="宋体" w:eastAsia="宋体" w:cs="Times New Roman"/>
          <w:color w:val="auto"/>
          <w:sz w:val="21"/>
          <w:szCs w:val="21"/>
          <w:highlight w:val="none"/>
        </w:rPr>
        <w:t xml:space="preserve">，属于</w:t>
      </w:r>
      <w:r>
        <w:rPr>
          <w:rFonts w:hint="eastAsia" w:ascii="宋体" w:hAnsi="宋体" w:eastAsia="宋体" w:cs="Times New Roman"/>
          <w:b/>
          <w:bCs/>
          <w:color w:val="auto"/>
          <w:sz w:val="21"/>
          <w:szCs w:val="21"/>
          <w:highlight w:val="none"/>
          <w:u w:val="single"/>
        </w:rPr>
        <w:t xml:space="preserve"> </w:t>
      </w:r>
      <w:r>
        <w:rPr>
          <w:rFonts w:hint="eastAsia" w:ascii="宋体" w:hAnsi="宋体" w:eastAsia="宋体" w:cs="Times New Roman"/>
          <w:b/>
          <w:bCs/>
          <w:color w:val="ff0000"/>
          <w:sz w:val="21"/>
          <w:szCs w:val="21"/>
          <w:highlight w:val="none"/>
          <w:u w:val="single"/>
        </w:rPr>
        <w:t xml:space="preserve">工业</w:t>
      </w:r>
      <w:r>
        <w:rPr>
          <w:rFonts w:hint="eastAsia" w:ascii="宋体" w:hAnsi="宋体" w:eastAsia="宋体" w:cs="Times New Roman"/>
          <w:b/>
          <w:bCs/>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行业；制造商为（企业名称），从业人员</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人，营业收入为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万元，资产总额为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万元，属于</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 xml:space="preserve">（中型企业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小型企业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微型企业）</w:t>
      </w:r>
      <w:r>
        <w:rPr>
          <w:rFonts w:hint="eastAsia" w:ascii="宋体" w:hAnsi="宋体" w:eastAsia="宋体" w:cs="Times New Roman"/>
          <w:color w:val="auto"/>
          <w:sz w:val="21"/>
          <w:szCs w:val="21"/>
          <w:highlight w:val="none"/>
        </w:rPr>
        <w:t xml:space="preserve">；</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u w:val="single"/>
        </w:rPr>
        <w:t xml:space="preserve">（标的名称）</w:t>
      </w:r>
      <w:r>
        <w:rPr>
          <w:rFonts w:hint="eastAsia" w:ascii="宋体" w:hAnsi="宋体" w:eastAsia="宋体" w:cs="Times New Roman"/>
          <w:color w:val="auto"/>
          <w:sz w:val="21"/>
          <w:szCs w:val="21"/>
          <w:highlight w:val="none"/>
        </w:rPr>
        <w:t xml:space="preserve">，属于</w:t>
      </w:r>
      <w:r>
        <w:rPr>
          <w:rFonts w:hint="eastAsia" w:ascii="宋体" w:hAnsi="宋体" w:eastAsia="宋体" w:cs="Times New Roman"/>
          <w:b/>
          <w:bCs/>
          <w:color w:val="auto"/>
          <w:sz w:val="21"/>
          <w:szCs w:val="21"/>
          <w:highlight w:val="none"/>
          <w:u w:val="single"/>
        </w:rPr>
        <w:t xml:space="preserve"> </w:t>
      </w:r>
      <w:r>
        <w:rPr>
          <w:rFonts w:hint="eastAsia" w:ascii="宋体" w:hAnsi="宋体" w:eastAsia="宋体" w:cs="Times New Roman"/>
          <w:b/>
          <w:bCs/>
          <w:color w:val="ff0000"/>
          <w:sz w:val="21"/>
          <w:szCs w:val="21"/>
          <w:highlight w:val="none"/>
          <w:u w:val="single"/>
        </w:rPr>
        <w:t xml:space="preserve">工业 </w:t>
      </w:r>
      <w:r>
        <w:rPr>
          <w:rFonts w:hint="eastAsia" w:ascii="宋体" w:hAnsi="宋体" w:eastAsia="宋体" w:cs="Times New Roman"/>
          <w:b/>
          <w:bCs/>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行业；制造商为（企业名称），从业人员</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人，营业收入为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万元，资产总额为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万元，属于</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 xml:space="preserve">（中型企业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小型企业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微型企业）</w:t>
      </w:r>
      <w:r>
        <w:rPr>
          <w:rFonts w:hint="eastAsia" w:ascii="宋体" w:hAnsi="宋体" w:eastAsia="宋体" w:cs="Times New Roman"/>
          <w:color w:val="auto"/>
          <w:sz w:val="21"/>
          <w:szCs w:val="21"/>
          <w:highlight w:val="none"/>
        </w:rPr>
        <w:t xml:space="preserve">；</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以上企业，不属于大企业的分支机构，不存在控股股东为大企业的情形，也不存在与大企业的负责人为同一人的情形。</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本企业对上述声明内容的真实性负责。如有虚假，将依法承担相应责任</w:t>
      </w:r>
      <w:r/>
    </w:p>
    <w:p>
      <w:pPr>
        <w:pStyle w:val="920"/>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lang w:val="en-US" w:eastAsia="zh-CN"/>
        </w:rPr>
        <w:t xml:space="preserve">2</w:t>
      </w:r>
      <w:r>
        <w:rPr>
          <w:rFonts w:hint="eastAsia" w:ascii="宋体" w:hAnsi="宋体"/>
          <w:color w:val="auto"/>
          <w:highlight w:val="none"/>
        </w:rPr>
        <w:t xml:space="preserve">、企业声明函请完整填写，中标后将公示。</w:t>
      </w:r>
      <w:r/>
    </w:p>
    <w:p>
      <w:pPr>
        <w:ind w:firstLine="420"/>
        <w:jc w:val="left"/>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、投标人应当对其出具的《中小企业声明函》真实性负责，投标人出具的《中小企业声明函》内容不实的，属于提供虚假材料谋取中标。</w:t>
      </w:r>
      <w:r/>
    </w:p>
    <w:p>
      <w:pPr>
        <w:ind w:firstLine="420"/>
        <w:jc w:val="left"/>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、中小企业不得属于大企业的分支机构，不得存在控股股东为大企业的情形，不得存在与大企业的负责人为同一人的情形。</w:t>
      </w:r>
      <w:r/>
    </w:p>
    <w:p>
      <w:pPr>
        <w:ind w:firstLine="420"/>
        <w:jc w:val="left"/>
        <w:rPr>
          <w:color w:val="auto"/>
          <w:highlight w:val="none"/>
        </w:rPr>
      </w:pPr>
      <w:r>
        <w:rPr>
          <w:rFonts w:hint="eastAsia"/>
          <w:color w:val="auto"/>
          <w:highlight w:val="none"/>
          <w:lang w:val="en-US" w:eastAsia="zh-CN"/>
        </w:rPr>
        <w:t xml:space="preserve">5</w:t>
      </w:r>
      <w:r>
        <w:rPr>
          <w:rFonts w:hint="eastAsia"/>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20"/>
        <w:ind w:firstLine="480"/>
        <w:spacing w:before="0" w:after="0"/>
        <w:rPr>
          <w:rFonts w:hint="eastAsia" w:ascii="宋体" w:hAnsi="宋体" w:eastAsia="宋体" w:cs="Times New Roman"/>
          <w:color w:val="auto"/>
          <w:sz w:val="21"/>
          <w:szCs w:val="21"/>
          <w:highlight w:val="none"/>
        </w:rPr>
      </w:pPr>
      <w:r>
        <w:rPr>
          <w:rFonts w:ascii="宋体" w:hAnsi="宋体"/>
          <w:sz w:val="24"/>
          <w:szCs w:val="24"/>
          <w:highlight w:val="none"/>
        </w:rPr>
        <w:t xml:space="preserve">           </w:t>
      </w:r>
      <w:r/>
    </w:p>
    <w:p>
      <w:pPr>
        <w:pStyle w:val="920"/>
        <w:ind w:firstLine="420"/>
        <w:jc w:val="right"/>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企业名称（加盖CA电子公章）：</w:t>
      </w:r>
      <w:r/>
    </w:p>
    <w:p>
      <w:pPr>
        <w:pStyle w:val="920"/>
        <w:ind w:firstLine="5880"/>
        <w:jc w:val="both"/>
        <w:spacing w:before="0" w:after="0"/>
        <w:rPr>
          <w:rFonts w:ascii="宋体" w:hAnsi="宋体"/>
          <w:sz w:val="24"/>
          <w:szCs w:val="24"/>
          <w:highlight w:val="none"/>
        </w:rPr>
      </w:pPr>
      <w:r>
        <w:rPr>
          <w:rFonts w:hint="eastAsia" w:ascii="宋体" w:hAnsi="宋体" w:eastAsia="宋体" w:cs="Times New Roman"/>
          <w:color w:val="auto"/>
          <w:sz w:val="21"/>
          <w:szCs w:val="21"/>
          <w:highlight w:val="none"/>
        </w:rPr>
        <w:t xml:space="preserve">日  期：</w:t>
      </w:r>
      <w:r/>
    </w:p>
    <w:p>
      <w:pPr>
        <w:pStyle w:val="874"/>
        <w:jc w:val="center"/>
        <w:pageBreakBefore w:val="0"/>
        <w:spacing w:before="0" w:beforeAutospacing="0" w:after="300" w:line="300" w:lineRule="exact"/>
        <w:widowControl/>
        <w:rPr>
          <w:rFonts w:ascii="宋体" w:hAnsi="宋体"/>
          <w:color w:val="auto"/>
          <w:sz w:val="21"/>
          <w:szCs w:val="21"/>
          <w:highlight w:val="none"/>
        </w:rPr>
      </w:pPr>
      <w:r>
        <w:rPr>
          <w:rFonts w:hint="eastAsia" w:ascii="宋体" w:hAnsi="宋体"/>
          <w:b w:val="0"/>
          <w:bCs w:val="0"/>
          <w:color w:val="auto"/>
          <w:highlight w:val="none"/>
        </w:rPr>
        <w:br w:type="page" w:clear="all"/>
      </w:r>
      <w:bookmarkStart w:id="71" w:name="_Toc91061195"/>
      <w:r/>
      <w:bookmarkStart w:id="72" w:name="_Toc22620"/>
      <w:r/>
      <w:bookmarkStart w:id="73" w:name="_Toc19691"/>
      <w:r/>
      <w:bookmarkStart w:id="74" w:name="_Toc19182"/>
      <w:r/>
      <w:bookmarkStart w:id="75" w:name="_Toc13394"/>
      <w:r/>
      <w:bookmarkStart w:id="76" w:name="_Toc19241"/>
      <w:r>
        <w:rPr>
          <w:rFonts w:hint="eastAsia" w:ascii="宋体" w:hAnsi="宋体" w:cs="微软雅黑"/>
          <w:bCs w:val="0"/>
          <w:color w:val="auto"/>
          <w:sz w:val="21"/>
          <w:szCs w:val="21"/>
          <w:highlight w:val="none"/>
        </w:rPr>
        <w:t xml:space="preserve">中小微企业划型标准</w:t>
      </w:r>
      <w:bookmarkEnd w:id="71"/>
      <w:r/>
      <w:bookmarkEnd w:id="72"/>
      <w:r/>
      <w:bookmarkEnd w:id="73"/>
      <w:r/>
      <w:bookmarkEnd w:id="74"/>
      <w:r/>
      <w:bookmarkEnd w:id="75"/>
      <w:r/>
      <w:bookmarkEnd w:id="76"/>
      <w:r/>
      <w:r/>
    </w:p>
    <w:p>
      <w:pPr>
        <w:pStyle w:val="894"/>
        <w:pageBreakBefore w:val="0"/>
        <w:spacing w:before="0" w:beforeAutospacing="0" w:after="452" w:line="300" w:lineRule="exact"/>
        <w:widowControl/>
        <w:rPr>
          <w:rStyle w:val="897"/>
          <w:rFonts w:hint="eastAsia" w:ascii="宋体" w:hAnsi="宋体" w:cs="仿宋"/>
          <w:color w:val="auto"/>
          <w:sz w:val="21"/>
          <w:szCs w:val="21"/>
          <w:highlight w:val="none"/>
        </w:rPr>
      </w:pPr>
      <w:r>
        <w:rPr>
          <w:rStyle w:val="897"/>
          <w:rFonts w:hint="eastAsia" w:ascii="宋体" w:hAnsi="宋体" w:cs="仿宋"/>
          <w:color w:val="auto"/>
          <w:sz w:val="21"/>
          <w:szCs w:val="21"/>
          <w:highlight w:val="none"/>
        </w:rPr>
        <w:t xml:space="preserve">中小微企业划型标准如下：</w:t>
      </w:r>
      <w:r/>
    </w:p>
    <w:tbl>
      <w:tblPr>
        <w:tblStyle w:val="878"/>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jc w:val="center"/>
          <w:tblCellSpacing w:w="15" w:type="dxa"/>
          <w:trHeight w:val="285"/>
        </w:trPr>
        <w:tc>
          <w:tcPr>
            <w:tcW w:w="1803"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行业名称</w:t>
            </w:r>
            <w:r/>
          </w:p>
        </w:tc>
        <w:tc>
          <w:tcPr>
            <w:tcW w:w="1558"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指标名称</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计量单位</w:t>
            </w:r>
            <w:r/>
          </w:p>
        </w:tc>
        <w:tc>
          <w:tcPr>
            <w:tcW w:w="1886"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中型</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小型</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微型</w:t>
            </w:r>
            <w:r/>
          </w:p>
        </w:tc>
      </w:tr>
      <w:tr>
        <w:trPr>
          <w:jc w:val="center"/>
          <w:tblCellSpacing w:w="15" w:type="dxa"/>
          <w:trHeight w:val="225"/>
        </w:trPr>
        <w:tc>
          <w:tcPr>
            <w:tcW w:w="1803"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农、林、牧、渔</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50≤Y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工业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300≤X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2000≤Y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40000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300≤Y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建筑业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6000≤Y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80000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300≤Y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6000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资产总额（</w:t>
            </w:r>
            <w:r>
              <w:rPr>
                <w:rStyle w:val="936"/>
                <w:rFonts w:hint="eastAsia" w:ascii="宋体" w:hAnsi="宋体" w:cs="仿宋"/>
                <w:sz w:val="21"/>
                <w:highlight w:val="none"/>
              </w:rPr>
              <w:t xml:space="preserve">Z</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5000≤Z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80000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300≤Z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批发业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20≤X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5≤X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40000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零售业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交通运输业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300≤X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3000≤Y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仓储业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邮政业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300≤X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2000≤Y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住宿业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2000≤Y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餐饮业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2000≤Y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信息传输业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软件和信息技术服务业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50≤Y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房地产开发经营</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资产总额（</w:t>
            </w:r>
            <w:r>
              <w:rPr>
                <w:rStyle w:val="936"/>
                <w:rFonts w:hint="eastAsia" w:ascii="宋体" w:hAnsi="宋体" w:cs="仿宋"/>
                <w:sz w:val="21"/>
                <w:highlight w:val="none"/>
              </w:rPr>
              <w:t xml:space="preserve">Z</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5000≤Z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2000≤Y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2000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物业管理</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300≤X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营业收入（</w:t>
            </w: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500≤Y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500</w:t>
            </w:r>
            <w:r/>
          </w:p>
        </w:tc>
      </w:tr>
      <w:tr>
        <w:trPr>
          <w:jc w:val="center"/>
          <w:tblCellSpacing w:w="15" w:type="dxa"/>
          <w:trHeight w:val="225"/>
        </w:trPr>
        <w:tc>
          <w:tcPr>
            <w:tcW w:w="1803" w:type="dxa"/>
            <w:vAlign w:val="center"/>
            <w:vMerge w:val="restart"/>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租赁和商务服务业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资产总额（</w:t>
            </w:r>
            <w:r>
              <w:rPr>
                <w:rStyle w:val="936"/>
                <w:rFonts w:hint="eastAsia" w:ascii="宋体" w:hAnsi="宋体" w:cs="仿宋"/>
                <w:sz w:val="21"/>
                <w:highlight w:val="none"/>
              </w:rPr>
              <w:t xml:space="preserve">Z</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万元</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8000≤Z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120000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100≤Z</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8000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Y</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r>
      <w:tr>
        <w:trPr>
          <w:jc w:val="center"/>
          <w:tblCellSpacing w:w="15" w:type="dxa"/>
          <w:trHeight w:val="225"/>
        </w:trPr>
        <w:tc>
          <w:tcPr>
            <w:tcW w:w="1803" w:type="dxa"/>
            <w:vAlign w:val="center"/>
            <w:textDirection w:val="lrTb"/>
            <w:noWrap w:val="false"/>
          </w:tcPr>
          <w:p>
            <w:pPr>
              <w:pStyle w:val="935"/>
              <w:jc w:val="center"/>
              <w:rPr>
                <w:rFonts w:ascii="宋体" w:hAnsi="宋体"/>
                <w:sz w:val="21"/>
                <w:highlight w:val="none"/>
              </w:rPr>
            </w:pPr>
            <w:r>
              <w:rPr>
                <w:rStyle w:val="936"/>
                <w:rFonts w:hint="eastAsia" w:ascii="宋体" w:hAnsi="宋体" w:cs="宋体"/>
                <w:sz w:val="21"/>
                <w:highlight w:val="none"/>
              </w:rPr>
              <w:t xml:space="preserve">其他未列明行业</w:t>
            </w:r>
            <w:r/>
          </w:p>
        </w:tc>
        <w:tc>
          <w:tcPr>
            <w:tcW w:w="1558"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从业人员（</w:t>
            </w: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p>
        </w:tc>
        <w:tc>
          <w:tcPr>
            <w:tcW w:w="907" w:type="dxa"/>
            <w:vAlign w:val="center"/>
            <w:textDirection w:val="lrTb"/>
            <w:noWrap w:val="false"/>
          </w:tcPr>
          <w:p>
            <w:pPr>
              <w:pStyle w:val="935"/>
              <w:rPr>
                <w:rFonts w:ascii="宋体" w:hAnsi="宋体"/>
                <w:sz w:val="21"/>
                <w:highlight w:val="none"/>
              </w:rPr>
            </w:pPr>
            <w:r>
              <w:rPr>
                <w:rStyle w:val="936"/>
                <w:rFonts w:hint="eastAsia" w:ascii="宋体" w:hAnsi="宋体" w:cs="宋体"/>
                <w:sz w:val="21"/>
                <w:highlight w:val="none"/>
              </w:rPr>
              <w:t xml:space="preserve">人</w:t>
            </w:r>
            <w:r/>
          </w:p>
        </w:tc>
        <w:tc>
          <w:tcPr>
            <w:tcW w:w="1886"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100≤X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300</w:t>
            </w:r>
            <w:r/>
          </w:p>
        </w:tc>
        <w:tc>
          <w:tcPr>
            <w:tcW w:w="1792" w:type="dxa"/>
            <w:vAlign w:val="center"/>
            <w:textDirection w:val="lrTb"/>
            <w:noWrap w:val="false"/>
          </w:tcPr>
          <w:p>
            <w:pPr>
              <w:pStyle w:val="935"/>
              <w:jc w:val="center"/>
              <w:rPr>
                <w:rFonts w:ascii="宋体" w:hAnsi="宋体"/>
                <w:sz w:val="21"/>
                <w:highlight w:val="none"/>
              </w:rPr>
            </w:pPr>
            <w:r>
              <w:rPr>
                <w:rStyle w:val="936"/>
                <w:rFonts w:hint="eastAsia" w:ascii="宋体" w:hAnsi="宋体" w:cs="仿宋"/>
                <w:sz w:val="21"/>
                <w:highlight w:val="none"/>
              </w:rPr>
              <w:t xml:space="preserve">10≤X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100</w:t>
            </w:r>
            <w:r/>
          </w:p>
        </w:tc>
        <w:tc>
          <w:tcPr>
            <w:tcW w:w="1054" w:type="dxa"/>
            <w:vAlign w:val="center"/>
            <w:textDirection w:val="lrTb"/>
            <w:noWrap w:val="false"/>
          </w:tcPr>
          <w:p>
            <w:pPr>
              <w:pStyle w:val="935"/>
              <w:rPr>
                <w:rFonts w:ascii="宋体" w:hAnsi="宋体"/>
                <w:sz w:val="21"/>
                <w:highlight w:val="none"/>
              </w:rPr>
            </w:pPr>
            <w:r>
              <w:rPr>
                <w:rStyle w:val="936"/>
                <w:rFonts w:hint="eastAsia" w:ascii="宋体" w:hAnsi="宋体" w:cs="仿宋"/>
                <w:sz w:val="21"/>
                <w:highlight w:val="none"/>
              </w:rPr>
              <w:t xml:space="preserve">X</w:t>
            </w:r>
            <w:r>
              <w:rPr>
                <w:rStyle w:val="936"/>
                <w:rFonts w:hint="eastAsia" w:ascii="宋体" w:hAnsi="宋体" w:cs="宋体"/>
                <w:sz w:val="21"/>
                <w:highlight w:val="none"/>
              </w:rPr>
              <w:t xml:space="preserve">＜</w:t>
            </w:r>
            <w:r>
              <w:rPr>
                <w:rStyle w:val="936"/>
                <w:rFonts w:hint="eastAsia" w:ascii="宋体" w:hAnsi="宋体" w:cs="仿宋"/>
                <w:sz w:val="21"/>
                <w:highlight w:val="none"/>
              </w:rPr>
              <w:t xml:space="preserve">10</w:t>
            </w:r>
            <w:r/>
          </w:p>
        </w:tc>
      </w:tr>
    </w:tbl>
    <w:p>
      <w:pPr>
        <w:keepLines w:val="0"/>
        <w:keepNext w:val="0"/>
        <w:pageBreakBefore w:val="0"/>
        <w:spacing w:line="240" w:lineRule="auto"/>
        <w:widowControl w:val="off"/>
        <w:rPr>
          <w:rStyle w:val="897"/>
          <w:rFonts w:hint="eastAsia" w:ascii="宋体" w:hAnsi="宋体" w:cs="仿宋"/>
          <w:color w:val="auto"/>
          <w:sz w:val="21"/>
          <w:szCs w:val="21"/>
          <w:highlight w:val="none"/>
        </w:rPr>
      </w:pPr>
      <w:r>
        <w:rPr>
          <w:rStyle w:val="897"/>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keepLines w:val="0"/>
        <w:keepNext w:val="0"/>
        <w:pageBreakBefore w:val="0"/>
        <w:spacing w:line="360" w:lineRule="auto"/>
        <w:widowControl w:val="off"/>
        <w:rPr>
          <w:rFonts w:hint="eastAsia" w:ascii="黑体" w:hAnsi="黑体" w:eastAsia="黑体"/>
          <w:b/>
          <w:sz w:val="32"/>
          <w:szCs w:val="32"/>
          <w:highlight w:val="none"/>
        </w:rPr>
      </w:pPr>
      <w:r>
        <w:rPr>
          <w:rStyle w:val="897"/>
          <w:rFonts w:hint="eastAsia" w:ascii="宋体" w:hAnsi="宋体" w:cs="仿宋"/>
          <w:color w:val="auto"/>
          <w:sz w:val="21"/>
          <w:szCs w:val="21"/>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、残疾人福利性单位声明函</w:t>
      </w:r>
      <w:r>
        <w:rPr>
          <w:rFonts w:hint="eastAsia" w:ascii="宋体" w:hAnsi="宋体" w:cs="宋体"/>
          <w:b/>
          <w:bCs/>
          <w:sz w:val="24"/>
          <w:szCs w:val="24"/>
          <w:highlight w:val="none"/>
        </w:rPr>
        <w:t xml:space="preserve">（如适用）</w:t>
      </w:r>
      <w:r/>
    </w:p>
    <w:p>
      <w:pPr>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p>
    <w:p>
      <w:pPr>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p>
    <w:p>
      <w:pPr>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p>
    <w:p>
      <w:pPr>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w:t>
      </w:r>
      <w:r/>
    </w:p>
    <w:p>
      <w:pPr>
        <w:ind w:firstLine="211"/>
        <w:jc w:val="left"/>
        <w:keepLines w:val="0"/>
        <w:keepNext w:val="0"/>
        <w:pageBreakBefore w:val="0"/>
        <w:spacing w:before="157" w:line="480" w:lineRule="auto"/>
        <w:widowControl w:val="off"/>
        <w:rPr>
          <w:rFonts w:hint="eastAsia" w:ascii="方正魏碑_GBK" w:hAnsi="方正魏碑_GBK" w:eastAsia="方正魏碑_GBK" w:cs="方正魏碑_GBK"/>
          <w:b w:val="0"/>
          <w:bCs/>
          <w:color w:val="auto"/>
          <w:sz w:val="24"/>
          <w:szCs w:val="24"/>
        </w:rPr>
      </w:pPr>
      <w:r>
        <w:rPr>
          <w:rFonts w:hint="eastAsia" w:ascii="宋体" w:hAnsi="宋体"/>
          <w:b/>
          <w:bCs/>
          <w:szCs w:val="21"/>
          <w:highlight w:val="none"/>
          <w:lang w:val="en-US" w:eastAsia="zh-CN"/>
        </w:rPr>
        <w:t xml:space="preserve">十一、</w:t>
      </w:r>
      <w:r>
        <w:rPr>
          <w:rFonts w:hint="eastAsia" w:ascii="宋体" w:hAnsi="宋体"/>
          <w:b/>
          <w:bCs/>
          <w:szCs w:val="21"/>
          <w:highlight w:val="none"/>
        </w:rPr>
        <w:t xml:space="preserve">关于符合本国产品标准的声明函</w:t>
      </w:r>
      <w:r/>
    </w:p>
    <w:p>
      <w:pPr>
        <w:pStyle w:val="894"/>
        <w:ind w:firstLine="420"/>
        <w:spacing w:before="0" w:beforeAutospacing="0" w:after="0" w:afterAutospacing="0" w:line="0" w:lineRule="atLeast"/>
        <w:rPr>
          <w:rFonts w:ascii="方正魏碑_GBK" w:hAnsi="方正魏碑_GBK" w:eastAsia="方正魏碑_GBK" w:cs="方正魏碑_GBK"/>
          <w:b w:val="0"/>
          <w:bCs/>
          <w:color w:val="auto"/>
        </w:rPr>
      </w:pPr>
      <w:r>
        <w:rPr>
          <w:rFonts w:ascii="方正魏碑_GBK" w:hAnsi="方正魏碑_GBK" w:eastAsia="方正魏碑_GBK" w:cs="方正魏碑_GBK"/>
          <w:b w:val="0"/>
          <w:bCs/>
          <w:color w:val="auto"/>
        </w:rPr>
      </w:r>
      <w:r/>
    </w:p>
    <w:p>
      <w:pPr>
        <w:pStyle w:val="894"/>
        <w:ind w:firstLine="420"/>
        <w:spacing w:before="0" w:beforeAutospacing="0" w:after="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shd w:val="clear" w:color="auto" w:fill="ffffff"/>
        </w:rPr>
        <w:t xml:space="preserve">1.</w:t>
      </w:r>
      <w:r>
        <w:rPr>
          <w:rStyle w:val="898"/>
          <w:rFonts w:hint="eastAsia" w:ascii="方正魏碑_GBK" w:hAnsi="方正魏碑_GBK" w:eastAsia="方正魏碑_GBK" w:cs="方正魏碑_GBK"/>
          <w:b w:val="0"/>
          <w:bCs/>
          <w:i w:val="0"/>
          <w:color w:val="auto"/>
          <w:u w:val="single"/>
          <w:shd w:val="clear" w:color="auto" w:fill="ffffff"/>
        </w:rPr>
        <w:t xml:space="preserve">（产品名称1）</w:t>
      </w:r>
      <w:r>
        <w:rPr>
          <w:rStyle w:val="898"/>
          <w:rFonts w:hint="eastAsia" w:ascii="方正魏碑_GBK" w:hAnsi="方正魏碑_GBK" w:eastAsia="方正魏碑_GBK" w:cs="方正魏碑_GBK"/>
          <w:b w:val="0"/>
          <w:bCs/>
          <w:i w:val="0"/>
          <w:color w:val="auto"/>
          <w:shd w:val="clear" w:color="auto" w:fill="ffffff"/>
          <w:vertAlign w:val="superscript"/>
        </w:rPr>
        <w:t xml:space="preserve">1</w:t>
      </w:r>
      <w:r>
        <w:rPr>
          <w:rFonts w:hint="eastAsia" w:ascii="方正魏碑_GBK" w:hAnsi="方正魏碑_GBK" w:eastAsia="方正魏碑_GBK" w:cs="方正魏碑_GBK"/>
          <w:b w:val="0"/>
          <w:bCs/>
          <w:color w:val="auto"/>
          <w:shd w:val="clear" w:color="auto" w:fill="ffffff"/>
        </w:rPr>
        <w:t xml:space="preserve">，生产厂为</w:t>
      </w:r>
      <w:r>
        <w:rPr>
          <w:rStyle w:val="898"/>
          <w:rFonts w:hint="eastAsia" w:ascii="方正魏碑_GBK" w:hAnsi="方正魏碑_GBK" w:eastAsia="方正魏碑_GBK" w:cs="方正魏碑_GBK"/>
          <w:b w:val="0"/>
          <w:bCs/>
          <w:i w:val="0"/>
          <w:color w:val="auto"/>
          <w:u w:val="single"/>
          <w:shd w:val="clear" w:color="auto" w:fill="ffffff"/>
        </w:rPr>
        <w:t xml:space="preserve">（厂名）</w:t>
      </w:r>
      <w:r>
        <w:rPr>
          <w:rStyle w:val="898"/>
          <w:rFonts w:hint="eastAsia" w:ascii="方正魏碑_GBK" w:hAnsi="方正魏碑_GBK" w:eastAsia="方正魏碑_GBK" w:cs="方正魏碑_GBK"/>
          <w:b w:val="0"/>
          <w:bCs/>
          <w:i w:val="0"/>
          <w:color w:val="auto"/>
          <w:shd w:val="clear" w:color="auto" w:fill="ffffff"/>
          <w:vertAlign w:val="superscript"/>
        </w:rPr>
        <w:t xml:space="preserve">2</w:t>
      </w:r>
      <w:r>
        <w:rPr>
          <w:rFonts w:hint="eastAsia" w:ascii="方正魏碑_GBK" w:hAnsi="方正魏碑_GBK" w:eastAsia="方正魏碑_GBK" w:cs="方正魏碑_GBK"/>
          <w:b w:val="0"/>
          <w:bCs/>
          <w:color w:val="auto"/>
          <w:shd w:val="clear" w:color="auto" w:fill="ffffff"/>
        </w:rPr>
        <w:t xml:space="preserve">，厂址为</w:t>
      </w:r>
      <w:r>
        <w:rPr>
          <w:rStyle w:val="898"/>
          <w:rFonts w:hint="eastAsia" w:ascii="方正魏碑_GBK" w:hAnsi="方正魏碑_GBK" w:eastAsia="方正魏碑_GBK" w:cs="方正魏碑_GBK"/>
          <w:b w:val="0"/>
          <w:bCs/>
          <w:i w:val="0"/>
          <w:color w:val="auto"/>
          <w:u w:val="single"/>
          <w:shd w:val="clear" w:color="auto" w:fill="ffffff"/>
        </w:rPr>
        <w:t xml:space="preserve">（生产厂址）</w:t>
      </w:r>
      <w:r>
        <w:rPr>
          <w:rFonts w:hint="eastAsia" w:ascii="方正魏碑_GBK" w:hAnsi="方正魏碑_GBK" w:eastAsia="方正魏碑_GBK" w:cs="方正魏碑_GBK"/>
          <w:b w:val="0"/>
          <w:bCs/>
          <w:color w:val="auto"/>
          <w:shd w:val="clear" w:color="auto" w:fill="ffffff"/>
        </w:rPr>
        <w:t xml:space="preserve">。</w:t>
      </w:r>
      <w:r>
        <w:rPr>
          <w:rFonts w:hint="eastAsia" w:ascii="方正魏碑_GBK" w:hAnsi="方正魏碑_GBK" w:eastAsia="方正魏碑_GBK" w:cs="方正魏碑_GBK"/>
          <w:b w:val="0"/>
          <w:bCs/>
          <w:color w:val="auto"/>
          <w:u w:val="single"/>
          <w:shd w:val="clear" w:color="auto" w:fill="ffffff"/>
        </w:rPr>
        <w:t xml:space="preserve"> </w:t>
      </w:r>
      <w:r>
        <w:rPr>
          <w:rStyle w:val="898"/>
          <w:rFonts w:hint="eastAsia" w:ascii="方正魏碑_GBK" w:hAnsi="方正魏碑_GBK" w:eastAsia="方正魏碑_GBK" w:cs="方正魏碑_GBK"/>
          <w:b w:val="0"/>
          <w:bCs/>
          <w:i w:val="0"/>
          <w:color w:val="auto"/>
          <w:u w:val="single"/>
          <w:shd w:val="clear" w:color="auto" w:fill="ffffff"/>
        </w:rPr>
        <w:t xml:space="preserve">（产品名称1） </w:t>
      </w:r>
      <w:r>
        <w:rPr>
          <w:rFonts w:hint="eastAsia" w:ascii="方正魏碑_GBK" w:hAnsi="方正魏碑_GBK" w:eastAsia="方正魏碑_GBK" w:cs="方正魏碑_GBK"/>
          <w:b w:val="0"/>
          <w:bCs/>
          <w:color w:val="auto"/>
          <w:shd w:val="clear" w:color="auto" w:fill="ffffff"/>
        </w:rPr>
        <w:t xml:space="preserve">的中国境内生产的组件成本占比≥</w:t>
      </w:r>
      <w:r>
        <w:rPr>
          <w:rStyle w:val="898"/>
          <w:rFonts w:hint="eastAsia" w:ascii="方正魏碑_GBK" w:hAnsi="方正魏碑_GBK" w:eastAsia="方正魏碑_GBK" w:cs="方正魏碑_GBK"/>
          <w:b w:val="0"/>
          <w:bCs/>
          <w:i w:val="0"/>
          <w:color w:val="auto"/>
          <w:u w:val="single"/>
          <w:shd w:val="clear" w:color="auto" w:fill="ffffff"/>
        </w:rPr>
        <w:t xml:space="preserve">（规定</w:t>
      </w:r>
      <w:r>
        <w:rPr>
          <w:rStyle w:val="898"/>
          <w:rFonts w:ascii="方正魏碑_GBK" w:hAnsi="方正魏碑_GBK" w:eastAsia="方正魏碑_GBK" w:cs="方正魏碑_GBK"/>
          <w:b w:val="0"/>
          <w:bCs/>
          <w:i w:val="0"/>
          <w:color w:val="auto"/>
          <w:u w:val="single"/>
          <w:shd w:val="clear" w:color="auto" w:fill="ffffff"/>
        </w:rPr>
        <w:t xml:space="preserve">比例</w:t>
      </w:r>
      <w:r>
        <w:rPr>
          <w:rStyle w:val="898"/>
          <w:rFonts w:hint="eastAsia" w:ascii="方正魏碑_GBK" w:hAnsi="方正魏碑_GBK" w:eastAsia="方正魏碑_GBK" w:cs="方正魏碑_GBK"/>
          <w:b w:val="0"/>
          <w:bCs/>
          <w:i w:val="0"/>
          <w:color w:val="auto"/>
          <w:u w:val="single"/>
          <w:shd w:val="clear" w:color="auto" w:fill="ffffff"/>
        </w:rPr>
        <w:t xml:space="preserve">）</w:t>
      </w:r>
      <w:r>
        <w:rPr>
          <w:rStyle w:val="898"/>
          <w:rFonts w:hint="eastAsia" w:ascii="方正魏碑_GBK" w:hAnsi="方正魏碑_GBK" w:eastAsia="方正魏碑_GBK" w:cs="方正魏碑_GBK"/>
          <w:b w:val="0"/>
          <w:bCs/>
          <w:i w:val="0"/>
          <w:color w:val="auto"/>
          <w:shd w:val="clear" w:color="auto" w:fill="ffffff"/>
          <w:vertAlign w:val="superscript"/>
        </w:rPr>
        <w:t xml:space="preserve">3</w:t>
      </w:r>
      <w:r>
        <w:rPr>
          <w:rFonts w:hint="eastAsia" w:ascii="方正魏碑_GBK" w:hAnsi="方正魏碑_GBK" w:eastAsia="方正魏碑_GBK" w:cs="方正魏碑_GBK"/>
          <w:b w:val="0"/>
          <w:bCs/>
          <w:color w:val="auto"/>
          <w:shd w:val="clear" w:color="auto" w:fill="ffffff"/>
        </w:rPr>
        <w:t xml:space="preserve">。</w:t>
      </w:r>
      <w:r>
        <w:rPr>
          <w:rStyle w:val="898"/>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898"/>
          <w:rFonts w:hint="eastAsia" w:ascii="方正魏碑_GBK" w:hAnsi="方正魏碑_GBK" w:eastAsia="方正魏碑_GBK" w:cs="方正魏碑_GBK"/>
          <w:b w:val="0"/>
          <w:bCs/>
          <w:i w:val="0"/>
          <w:color w:val="auto"/>
          <w:u w:val="single"/>
          <w:shd w:val="clear" w:color="auto" w:fill="ffffff"/>
        </w:rPr>
        <w:t xml:space="preserve">（关键</w:t>
      </w:r>
      <w:r>
        <w:rPr>
          <w:rStyle w:val="898"/>
          <w:rFonts w:ascii="方正魏碑_GBK" w:hAnsi="方正魏碑_GBK" w:eastAsia="方正魏碑_GBK" w:cs="方正魏碑_GBK"/>
          <w:b w:val="0"/>
          <w:bCs/>
          <w:i w:val="0"/>
          <w:color w:val="auto"/>
          <w:u w:val="single"/>
          <w:shd w:val="clear" w:color="auto" w:fill="ffffff"/>
        </w:rPr>
        <w:t xml:space="preserve">组件</w:t>
      </w:r>
      <w:r>
        <w:rPr>
          <w:rStyle w:val="898"/>
          <w:rFonts w:hint="eastAsia" w:ascii="方正魏碑_GBK" w:hAnsi="方正魏碑_GBK" w:eastAsia="方正魏碑_GBK" w:cs="方正魏碑_GBK"/>
          <w:b w:val="0"/>
          <w:bCs/>
          <w:i w:val="0"/>
          <w:color w:val="auto"/>
          <w:u w:val="single"/>
          <w:shd w:val="clear" w:color="auto" w:fill="ffffff"/>
        </w:rPr>
        <w:t xml:space="preserve">）</w:t>
      </w:r>
      <w:r>
        <w:rPr>
          <w:rStyle w:val="898"/>
          <w:rFonts w:hint="eastAsia" w:ascii="方正魏碑_GBK" w:hAnsi="方正魏碑_GBK" w:eastAsia="方正魏碑_GBK" w:cs="方正魏碑_GBK"/>
          <w:b w:val="0"/>
          <w:bCs/>
          <w:i w:val="0"/>
          <w:color w:val="auto"/>
          <w:shd w:val="clear" w:color="auto" w:fill="ffffff"/>
          <w:vertAlign w:val="superscript"/>
        </w:rPr>
        <w:t xml:space="preserve">4</w:t>
      </w:r>
      <w:r>
        <w:rPr>
          <w:rFonts w:hint="eastAsia" w:ascii="方正魏碑_GBK" w:hAnsi="方正魏碑_GBK" w:eastAsia="方正魏碑_GBK" w:cs="方正魏碑_GBK"/>
          <w:b w:val="0"/>
          <w:bCs/>
          <w:color w:val="auto"/>
          <w:shd w:val="clear" w:color="auto" w:fill="ffffff"/>
        </w:rPr>
        <w:t xml:space="preserve">在中国境内生产。</w:t>
      </w:r>
      <w:r>
        <w:rPr>
          <w:rStyle w:val="898"/>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898"/>
          <w:rFonts w:hint="eastAsia" w:ascii="方正魏碑_GBK" w:hAnsi="方正魏碑_GBK" w:eastAsia="方正魏碑_GBK" w:cs="方正魏碑_GBK"/>
          <w:b w:val="0"/>
          <w:bCs/>
          <w:i w:val="0"/>
          <w:color w:val="auto"/>
          <w:u w:val="single"/>
          <w:shd w:val="clear" w:color="auto" w:fill="ffffff"/>
        </w:rPr>
        <w:t xml:space="preserve">（关键工序）</w:t>
      </w:r>
      <w:r>
        <w:rPr>
          <w:rStyle w:val="898"/>
          <w:rFonts w:hint="eastAsia" w:ascii="方正魏碑_GBK" w:hAnsi="方正魏碑_GBK" w:eastAsia="方正魏碑_GBK" w:cs="方正魏碑_GBK"/>
          <w:b w:val="0"/>
          <w:bCs/>
          <w:i w:val="0"/>
          <w:color w:val="auto"/>
          <w:shd w:val="clear" w:color="auto" w:fill="ffffff"/>
          <w:vertAlign w:val="superscript"/>
        </w:rPr>
        <w:t xml:space="preserve">5</w:t>
      </w:r>
      <w:r>
        <w:rPr>
          <w:rFonts w:hint="eastAsia" w:ascii="方正魏碑_GBK" w:hAnsi="方正魏碑_GBK" w:eastAsia="方正魏碑_GBK" w:cs="方正魏碑_GBK"/>
          <w:b w:val="0"/>
          <w:bCs/>
          <w:color w:val="auto"/>
          <w:shd w:val="clear" w:color="auto" w:fill="ffffff"/>
        </w:rPr>
        <w:t xml:space="preserve">在中国境内完成。</w:t>
      </w:r>
      <w:r/>
    </w:p>
    <w:p>
      <w:pPr>
        <w:pStyle w:val="89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b w:val="0"/>
          <w:bCs/>
          <w:color w:val="auto"/>
          <w:shd w:val="clear" w:color="auto" w:fill="ffffff"/>
        </w:rPr>
        <w:t xml:space="preserve">2.</w:t>
      </w:r>
      <w:r>
        <w:rPr>
          <w:rStyle w:val="898"/>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，生产厂为</w:t>
      </w:r>
      <w:r>
        <w:rPr>
          <w:rStyle w:val="898"/>
          <w:rFonts w:hint="eastAsia" w:ascii="方正魏碑_GBK" w:hAnsi="方正魏碑_GBK" w:eastAsia="方正魏碑_GBK" w:cs="方正魏碑_GBK"/>
          <w:b w:val="0"/>
          <w:bCs/>
          <w:i w:val="0"/>
          <w:color w:val="auto"/>
          <w:u w:val="single"/>
          <w:shd w:val="clear" w:color="auto" w:fill="ffffff"/>
        </w:rPr>
        <w:t xml:space="preserve">（厂名）</w:t>
      </w:r>
      <w:r>
        <w:rPr>
          <w:rFonts w:hint="eastAsia" w:ascii="方正魏碑_GBK" w:hAnsi="方正魏碑_GBK" w:eastAsia="方正魏碑_GBK" w:cs="方正魏碑_GBK"/>
          <w:b w:val="0"/>
          <w:bCs/>
          <w:color w:val="auto"/>
          <w:shd w:val="clear" w:color="auto" w:fill="ffffff"/>
        </w:rPr>
        <w:t xml:space="preserve">，厂址为</w:t>
      </w:r>
      <w:r>
        <w:rPr>
          <w:rStyle w:val="898"/>
          <w:rFonts w:hint="eastAsia" w:ascii="方正魏碑_GBK" w:hAnsi="方正魏碑_GBK" w:eastAsia="方正魏碑_GBK" w:cs="方正魏碑_GBK"/>
          <w:b w:val="0"/>
          <w:bCs/>
          <w:i w:val="0"/>
          <w:color w:val="auto"/>
          <w:u w:val="single"/>
          <w:shd w:val="clear" w:color="auto" w:fill="ffffff"/>
        </w:rPr>
        <w:t xml:space="preserve">（生产厂址）</w:t>
      </w:r>
      <w:r>
        <w:rPr>
          <w:rFonts w:hint="eastAsia" w:ascii="方正魏碑_GBK" w:hAnsi="方正魏碑_GBK" w:eastAsia="方正魏碑_GBK" w:cs="方正魏碑_GBK"/>
          <w:b w:val="0"/>
          <w:bCs/>
          <w:color w:val="auto"/>
          <w:shd w:val="clear" w:color="auto" w:fill="ffffff"/>
        </w:rPr>
        <w:t xml:space="preserve">。</w:t>
      </w:r>
      <w:r>
        <w:rPr>
          <w:rStyle w:val="898"/>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的中国境内生产的组件成本占比≥</w:t>
      </w:r>
      <w:r>
        <w:rPr>
          <w:rStyle w:val="898"/>
          <w:rFonts w:hint="eastAsia" w:ascii="方正魏碑_GBK" w:hAnsi="方正魏碑_GBK" w:eastAsia="方正魏碑_GBK" w:cs="方正魏碑_GBK"/>
          <w:b w:val="0"/>
          <w:bCs/>
          <w:i w:val="0"/>
          <w:color w:val="auto"/>
          <w:u w:val="single"/>
          <w:shd w:val="clear" w:color="auto" w:fill="ffffff"/>
        </w:rPr>
        <w:t xml:space="preserve">（规定</w:t>
      </w:r>
      <w:r>
        <w:rPr>
          <w:rStyle w:val="898"/>
          <w:rFonts w:ascii="方正魏碑_GBK" w:hAnsi="方正魏碑_GBK" w:eastAsia="方正魏碑_GBK" w:cs="方正魏碑_GBK"/>
          <w:b w:val="0"/>
          <w:bCs/>
          <w:i w:val="0"/>
          <w:color w:val="auto"/>
          <w:u w:val="single"/>
          <w:shd w:val="clear" w:color="auto" w:fill="ffffff"/>
        </w:rPr>
        <w:t xml:space="preserve">比例</w:t>
      </w:r>
      <w:r>
        <w:rPr>
          <w:rStyle w:val="898"/>
          <w:rFonts w:hint="eastAsia" w:ascii="方正魏碑_GBK" w:hAnsi="方正魏碑_GBK" w:eastAsia="方正魏碑_GBK" w:cs="方正魏碑_GBK"/>
          <w:b w:val="0"/>
          <w:bCs/>
          <w:i w:val="0"/>
          <w:color w:val="auto"/>
          <w:u w:val="single"/>
          <w:shd w:val="clear" w:color="auto" w:fill="ffffff"/>
        </w:rPr>
        <w:t xml:space="preserve">）</w:t>
      </w:r>
      <w:r>
        <w:rPr>
          <w:rFonts w:hint="eastAsia" w:ascii="方正魏碑_GBK" w:hAnsi="方正魏碑_GBK" w:eastAsia="方正魏碑_GBK" w:cs="方正魏碑_GBK"/>
          <w:b w:val="0"/>
          <w:bCs/>
          <w:color w:val="auto"/>
          <w:shd w:val="clear" w:color="auto" w:fill="ffffff"/>
        </w:rPr>
        <w:t xml:space="preserve">。</w:t>
      </w:r>
      <w:r>
        <w:rPr>
          <w:rStyle w:val="898"/>
          <w:rFonts w:hint="eastAsia" w:ascii="方正魏碑_GBK" w:hAnsi="方正魏碑_GBK" w:eastAsia="方正魏碑_GBK" w:cs="方正魏碑_GBK"/>
          <w:b w:val="0"/>
          <w:bCs/>
          <w:i w:val="0"/>
          <w:color w:val="auto"/>
          <w:u w:val="single"/>
          <w:shd w:val="clear" w:color="auto" w:fill="ffffff"/>
        </w:rPr>
        <w:t xml:space="preserve">（产品名称2）</w:t>
      </w:r>
      <w:r>
        <w:rPr>
          <w:rFonts w:hint="eastAsia" w:ascii="方正魏碑_GBK" w:hAnsi="方正魏碑_GBK" w:eastAsia="方正魏碑_GBK" w:cs="方正魏碑_GBK"/>
          <w:b w:val="0"/>
          <w:bCs/>
          <w:color w:val="auto"/>
          <w:shd w:val="clear" w:color="auto" w:fill="ffffff"/>
        </w:rPr>
        <w:t xml:space="preserve">的</w:t>
      </w:r>
      <w:r>
        <w:rPr>
          <w:rStyle w:val="898"/>
          <w:rFonts w:hint="eastAsia" w:ascii="方正魏碑_GBK" w:hAnsi="方正魏碑_GBK" w:eastAsia="方正魏碑_GBK" w:cs="方正魏碑_GBK"/>
          <w:b w:val="0"/>
          <w:bCs/>
          <w:i w:val="0"/>
          <w:color w:val="auto"/>
          <w:u w:val="single"/>
          <w:shd w:val="clear" w:color="auto" w:fill="ffffff"/>
        </w:rPr>
        <w:t xml:space="preserve">（关键</w:t>
      </w:r>
      <w:r>
        <w:rPr>
          <w:rStyle w:val="898"/>
          <w:rFonts w:ascii="方正魏碑_GBK" w:hAnsi="方正魏碑_GBK" w:eastAsia="方正魏碑_GBK" w:cs="方正魏碑_GBK"/>
          <w:b w:val="0"/>
          <w:bCs/>
          <w:i w:val="0"/>
          <w:color w:val="auto"/>
          <w:u w:val="single"/>
          <w:shd w:val="clear" w:color="auto" w:fill="ffffff"/>
        </w:rPr>
        <w:t xml:space="preserve">组件</w:t>
      </w:r>
      <w:r>
        <w:rPr>
          <w:rStyle w:val="898"/>
          <w:rFonts w:hint="eastAsia" w:ascii="方正魏碑_GBK" w:hAnsi="方正魏碑_GBK" w:eastAsia="方正魏碑_GBK" w:cs="方正魏碑_GBK"/>
          <w:b w:val="0"/>
          <w:bCs/>
          <w:i w:val="0"/>
          <w:color w:val="auto"/>
          <w:u w:val="single"/>
          <w:shd w:val="clear" w:color="auto" w:fill="ffffff"/>
        </w:rPr>
        <w:t xml:space="preserve">）</w:t>
      </w:r>
      <w:r>
        <w:rPr>
          <w:rFonts w:hint="eastAsia" w:ascii="方正魏碑_GBK" w:hAnsi="方正魏碑_GBK" w:eastAsia="方正魏碑_GBK" w:cs="方正魏碑_GBK"/>
          <w:b w:val="0"/>
          <w:bCs/>
          <w:color w:val="auto"/>
          <w:shd w:val="clear" w:color="auto" w:fill="ffffff"/>
        </w:rPr>
        <w:t xml:space="preserve">在中国境内生产。</w:t>
      </w:r>
      <w:r>
        <w:rPr>
          <w:rStyle w:val="898"/>
          <w:rFonts w:hint="eastAsia" w:ascii="方正魏碑_GBK" w:hAnsi="方正魏碑_GBK" w:eastAsia="方正魏碑_GBK" w:cs="方正魏碑_GBK"/>
          <w:b w:val="0"/>
          <w:bCs/>
          <w:i w:val="0"/>
          <w:color w:val="auto"/>
          <w:u w:val="single"/>
          <w:shd w:val="clear" w:color="auto" w:fill="ffffff"/>
        </w:rPr>
        <w:t xml:space="preserve">（产品名称1）</w:t>
      </w:r>
      <w:r>
        <w:rPr>
          <w:rFonts w:hint="eastAsia" w:ascii="方正魏碑_GBK" w:hAnsi="方正魏碑_GBK" w:eastAsia="方正魏碑_GBK" w:cs="方正魏碑_GBK"/>
          <w:b w:val="0"/>
          <w:bCs/>
          <w:color w:val="auto"/>
          <w:shd w:val="clear" w:color="auto" w:fill="ffffff"/>
        </w:rPr>
        <w:t xml:space="preserve">的</w:t>
      </w:r>
      <w:r>
        <w:rPr>
          <w:rStyle w:val="898"/>
          <w:rFonts w:hint="eastAsia" w:ascii="方正魏碑_GBK" w:hAnsi="方正魏碑_GBK" w:eastAsia="方正魏碑_GBK" w:cs="方正魏碑_GBK"/>
          <w:b w:val="0"/>
          <w:bCs/>
          <w:i w:val="0"/>
          <w:color w:val="auto"/>
          <w:u w:val="single"/>
          <w:shd w:val="clear" w:color="auto" w:fill="ffffff"/>
        </w:rPr>
        <w:t xml:space="preserve">（关键工序）</w:t>
      </w:r>
      <w:r>
        <w:rPr>
          <w:rFonts w:hint="eastAsia" w:ascii="方正魏碑_GBK" w:hAnsi="方正魏碑_GBK" w:eastAsia="方正魏碑_GBK" w:cs="方正魏碑_GBK"/>
          <w:b w:val="0"/>
          <w:bCs/>
          <w:color w:val="auto"/>
          <w:shd w:val="clear" w:color="auto" w:fill="ffffff"/>
        </w:rPr>
        <w:t xml:space="preserve">在中国境内完成。</w:t>
      </w:r>
      <w:r/>
    </w:p>
    <w:p>
      <w:pPr>
        <w:pStyle w:val="89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w:t>
      </w:r>
      <w:r/>
    </w:p>
    <w:p>
      <w:pPr>
        <w:pStyle w:val="894"/>
        <w:ind w:firstLine="420"/>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本公司（单位）对上述声明内容的真实性负责。如有虚假，愿承担相应法律责任。</w:t>
      </w:r>
      <w:r/>
    </w:p>
    <w:p>
      <w:pPr>
        <w:pStyle w:val="894"/>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rPr>
      </w:r>
      <w:r/>
    </w:p>
    <w:p>
      <w:pPr>
        <w:pStyle w:val="894"/>
        <w:ind w:firstLine="420"/>
        <w:jc w:val="right"/>
        <w:spacing w:before="30" w:beforeAutospacing="0" w:after="30" w:afterAutospacing="0" w:line="0" w:lineRule="atLeast"/>
        <w:rPr>
          <w:rFonts w:hint="eastAsia" w:ascii="方正魏碑_GBK" w:hAnsi="方正魏碑_GBK" w:eastAsia="方正魏碑_GBK" w:cs="方正魏碑_GBK"/>
          <w:b w:val="0"/>
          <w:bCs/>
          <w:color w:val="auto"/>
          <w:shd w:val="clear" w:color="auto" w:fill="ffffff"/>
        </w:rPr>
      </w:pPr>
      <w:r>
        <w:rPr>
          <w:rFonts w:hint="eastAsia" w:ascii="方正魏碑_GBK" w:hAnsi="方正魏碑_GBK" w:eastAsia="方正魏碑_GBK" w:cs="方正魏碑_GBK"/>
          <w:b w:val="0"/>
          <w:bCs/>
          <w:color w:val="auto"/>
          <w:shd w:val="clear" w:color="auto" w:fill="ffffff"/>
        </w:rPr>
        <w:t xml:space="preserve">供应商名称（加盖CA电子公章）：</w:t>
      </w:r>
      <w:r/>
    </w:p>
    <w:p>
      <w:pPr>
        <w:pStyle w:val="894"/>
        <w:ind w:firstLine="420"/>
        <w:jc w:val="right"/>
        <w:spacing w:before="30" w:beforeAutospacing="0" w:after="30" w:afterAutospacing="0" w:line="0" w:lineRule="atLeast"/>
        <w:rPr>
          <w:rFonts w:hint="eastAsia" w:ascii="方正魏碑_GBK" w:hAnsi="方正魏碑_GBK" w:eastAsia="方正魏碑_GBK" w:cs="方正魏碑_GBK"/>
          <w:b w:val="0"/>
          <w:bCs/>
          <w:color w:val="auto"/>
          <w:shd w:val="clear" w:color="auto" w:fill="ffffff"/>
        </w:rPr>
      </w:pPr>
      <w:r>
        <w:rPr>
          <w:rFonts w:hint="eastAsia" w:ascii="方正魏碑_GBK" w:hAnsi="方正魏碑_GBK" w:eastAsia="方正魏碑_GBK" w:cs="方正魏碑_GBK"/>
          <w:b w:val="0"/>
          <w:bCs/>
          <w:color w:val="auto"/>
          <w:shd w:val="clear" w:color="auto" w:fill="ffffff"/>
        </w:rPr>
        <w:t xml:space="preserve">日 期： 年 月 日</w:t>
      </w:r>
      <w:r/>
    </w:p>
    <w:p>
      <w:pPr>
        <w:pStyle w:val="894"/>
        <w:spacing w:before="30" w:beforeAutospacing="0" w:after="30" w:afterAutospacing="0" w:line="0" w:lineRule="atLeast"/>
        <w:rPr>
          <w:rFonts w:hint="eastAsia" w:ascii="方正魏碑_GBK" w:hAnsi="方正魏碑_GBK" w:eastAsia="方正魏碑_GBK" w:cs="方正魏碑_GBK"/>
          <w:b w:val="0"/>
          <w:bCs/>
          <w:color w:val="auto"/>
        </w:rPr>
      </w:pPr>
      <w:r>
        <w:rPr>
          <w:rFonts w:hint="eastAsia" w:ascii="方正魏碑_GBK" w:hAnsi="方正魏碑_GBK" w:eastAsia="方正魏碑_GBK" w:cs="方正魏碑_GBK"/>
          <w:b w:val="0"/>
          <w:bCs/>
          <w:color w:val="auto"/>
          <w:shd w:val="clear" w:color="auto" w:fill="ffffff"/>
        </w:rPr>
        <w:t xml:space="preserve">__________________</w:t>
      </w:r>
      <w:r/>
    </w:p>
    <w:p>
      <w:pPr>
        <w:pStyle w:val="89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1.产品如有型号，请在“产品名称”栏一并填写。</w:t>
      </w:r>
      <w:r/>
    </w:p>
    <w:p>
      <w:pPr>
        <w:pStyle w:val="89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2.生产厂名与厂址应与生产厂营业执照载明的相关信息保持一致。</w:t>
      </w:r>
      <w:r/>
    </w:p>
    <w:p>
      <w:pPr>
        <w:pStyle w:val="89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3.该产品的中国境内生产的组件成本占比相关要求实施前，“规定比例”栏可不填，下同。</w:t>
      </w:r>
      <w:r/>
    </w:p>
    <w:p>
      <w:pPr>
        <w:pStyle w:val="894"/>
        <w:spacing w:before="30" w:beforeAutospacing="0" w:after="30" w:afterAutospacing="0" w:line="0" w:lineRule="atLeast"/>
        <w:rPr>
          <w:rFonts w:hint="eastAsia" w:ascii="方正魏碑_GBK" w:hAnsi="方正魏碑_GBK" w:eastAsia="方正魏碑_GBK" w:cs="方正魏碑_GBK"/>
          <w:b w:val="0"/>
          <w:bCs/>
          <w:color w:val="auto"/>
          <w:sz w:val="22"/>
        </w:rPr>
      </w:pPr>
      <w:r>
        <w:rPr>
          <w:rFonts w:hint="eastAsia" w:ascii="方正魏碑_GBK" w:hAnsi="方正魏碑_GBK" w:eastAsia="方正魏碑_GBK" w:cs="方正魏碑_GBK"/>
          <w:b w:val="0"/>
          <w:bCs/>
          <w:color w:val="auto"/>
          <w:sz w:val="22"/>
          <w:shd w:val="clear" w:color="auto" w:fill="ffffff"/>
        </w:rPr>
        <w:t xml:space="preserve">4.该产品的关键组件要求实施前，“关键组件”栏可不填，下同。</w:t>
      </w:r>
      <w:r/>
    </w:p>
    <w:p>
      <w:pPr>
        <w:pStyle w:val="894"/>
        <w:spacing w:before="30" w:beforeAutospacing="0" w:after="30" w:afterAutospacing="0" w:line="0" w:lineRule="atLeast"/>
        <w:rPr>
          <w:rFonts w:ascii="方正魏碑_GBK" w:hAnsi="方正魏碑_GBK" w:eastAsia="方正魏碑_GBK" w:cs="方正魏碑_GBK"/>
          <w:b w:val="0"/>
          <w:bCs/>
          <w:color w:val="auto"/>
          <w:sz w:val="22"/>
          <w:shd w:val="clear" w:color="auto" w:fill="ffffff"/>
        </w:rPr>
      </w:pPr>
      <w:r>
        <w:rPr>
          <w:rFonts w:hint="eastAsia" w:ascii="方正魏碑_GBK" w:hAnsi="方正魏碑_GBK" w:eastAsia="方正魏碑_GBK" w:cs="方正魏碑_GBK"/>
          <w:b w:val="0"/>
          <w:bCs/>
          <w:color w:val="auto"/>
          <w:sz w:val="22"/>
          <w:shd w:val="clear" w:color="auto" w:fill="ffffff"/>
        </w:rPr>
        <w:t xml:space="preserve">5.该产品的关键工序要求实施前，“关键工序”栏可不填，下同。</w:t>
      </w:r>
      <w:r/>
    </w:p>
    <w:p>
      <w:pPr>
        <w:pStyle w:val="894"/>
        <w:spacing w:before="30" w:beforeAutospacing="0" w:after="30" w:afterAutospacing="0" w:line="0" w:lineRule="atLeast"/>
        <w:rPr>
          <w:rFonts w:ascii="方正魏碑_GBK" w:hAnsi="方正魏碑_GBK" w:eastAsia="方正魏碑_GBK" w:cs="方正魏碑_GBK"/>
          <w:b w:val="0"/>
          <w:bCs/>
          <w:color w:val="auto"/>
          <w:sz w:val="22"/>
          <w:shd w:val="clear" w:color="auto" w:fill="ffffff"/>
        </w:rPr>
      </w:pPr>
      <w:r>
        <w:rPr>
          <w:rFonts w:hint="eastAsia" w:ascii="方正魏碑_GBK" w:hAnsi="方正魏碑_GBK" w:eastAsia="方正魏碑_GBK" w:cs="方正魏碑_GBK"/>
          <w:b w:val="0"/>
          <w:bCs/>
          <w:color w:val="auto"/>
          <w:sz w:val="22"/>
          <w:shd w:val="clear" w:color="auto" w:fill="ffffff"/>
        </w:rPr>
        <w:t xml:space="preserve">6.用斜线划除的地方无需填写。</w:t>
      </w:r>
      <w:r/>
    </w:p>
    <w:p>
      <w:pPr>
        <w:jc w:val="left"/>
        <w:pageBreakBefore w:val="0"/>
        <w:spacing w:line="360" w:lineRule="auto"/>
        <w:rPr>
          <w:rFonts w:hint="eastAsia" w:ascii="宋体" w:hAnsi="宋体" w:eastAsia="宋体" w:cs="宋体"/>
          <w:sz w:val="32"/>
          <w:szCs w:val="32"/>
          <w:highlight w:val="none"/>
        </w:rPr>
      </w:pPr>
      <w:r>
        <w:rPr>
          <w:rFonts w:hint="eastAsia" w:ascii="宋体" w:hAnsi="宋体"/>
          <w:sz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、联合体协议（参考格式）</w:t>
      </w:r>
      <w:r/>
    </w:p>
    <w:p>
      <w:pPr>
        <w:keepLines w:val="0"/>
        <w:keepNext w:val="0"/>
        <w:pageBreakBefore w:val="0"/>
        <w:spacing w:before="161" w:line="360" w:lineRule="auto"/>
        <w:widowControl w:val="off"/>
        <w:rPr>
          <w:rFonts w:ascii="宋体" w:hAnsi="宋体"/>
          <w:sz w:val="21"/>
          <w:szCs w:val="21"/>
          <w:highlight w:val="none"/>
        </w:rPr>
      </w:pPr>
      <w:r>
        <w:rPr>
          <w:rFonts w:hint="eastAsia" w:ascii="宋体" w:hAnsi="宋体"/>
          <w:sz w:val="21"/>
          <w:szCs w:val="21"/>
          <w:highlight w:val="none"/>
        </w:rPr>
        <w:t xml:space="preserve">（联合体中各供应商全称）在此达成以下协议：</w:t>
      </w:r>
      <w:r/>
    </w:p>
    <w:p>
      <w:pPr>
        <w:ind w:firstLine="645"/>
        <w:pageBreakBefore w:val="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p>
    <w:p>
      <w:pPr>
        <w:ind w:firstLine="645"/>
        <w:pageBreakBefore w:val="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p>
    <w:p>
      <w:pPr>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p>
    <w:p>
      <w:pPr>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645"/>
        <w:pageBreakBefore w:val="0"/>
        <w:spacing w:line="360" w:lineRule="auto"/>
        <w:rPr>
          <w:rFonts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p>
    <w:p>
      <w:pPr>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p>
    <w:p>
      <w:pPr>
        <w:ind w:firstLine="645"/>
        <w:jc w:val="right"/>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p>
    <w:p>
      <w:pPr>
        <w:jc w:val="left"/>
        <w:spacing w:line="360" w:lineRule="auto"/>
        <w:rPr>
          <w:rFonts w:hint="eastAsia" w:ascii="宋体" w:hAnsi="宋体"/>
          <w:b/>
          <w:bCs/>
          <w:color w:val="auto"/>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p>
    <w:p>
      <w:pPr>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符合性审查响应对照表</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before="161" w:after="161"/>
        <w:widowControl w:val="off"/>
        <w:rPr>
          <w:rFonts w:hint="eastAsia" w:ascii="宋体" w:hAnsi="宋体"/>
          <w:b/>
          <w:sz w:val="32"/>
          <w:szCs w:val="32"/>
          <w:highlight w:val="none"/>
        </w:rPr>
      </w:pPr>
      <w:r>
        <w:rPr>
          <w:rFonts w:hint="eastAsia" w:ascii="宋体" w:hAnsi="宋体" w:eastAsia="宋体" w:cs="宋体"/>
          <w:b/>
          <w:bCs/>
          <w:sz w:val="24"/>
          <w:szCs w:val="24"/>
          <w:highlight w:val="none"/>
        </w:rPr>
        <w:t xml:space="preserve">符合性审查响应对照表</w:t>
      </w:r>
      <w:r/>
    </w:p>
    <w:tbl>
      <w:tblPr>
        <w:tblStyle w:val="878"/>
        <w:tblW w:w="8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jc w:val="center"/>
          <w:trHeight w:val="876"/>
        </w:trPr>
        <w:tc>
          <w:tcPr>
            <w:tcW w:w="840"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4993"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p>
        </w:tc>
        <w:tc>
          <w:tcPr>
            <w:tcW w:w="1794"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p>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p>
        </w:tc>
        <w:tc>
          <w:tcPr>
            <w:tcW w:w="1186"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1</w:t>
            </w:r>
            <w:r/>
          </w:p>
        </w:tc>
        <w:tc>
          <w:tcPr>
            <w:tcW w:w="4993" w:type="dxa"/>
            <w:vAlign w:val="center"/>
            <w:textDirection w:val="lrTb"/>
            <w:noWrap w:val="false"/>
          </w:tcPr>
          <w:p>
            <w:pPr>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794" w:type="dxa"/>
            <w:vAlign w:val="center"/>
            <w:textDirection w:val="lrTb"/>
            <w:noWrap w:val="false"/>
          </w:tcPr>
          <w:p>
            <w:pPr>
              <w:rPr>
                <w:rFonts w:ascii="宋体" w:hAnsi="宋体"/>
                <w:b/>
                <w:szCs w:val="21"/>
                <w:highlight w:val="none"/>
              </w:rPr>
            </w:pPr>
            <w:r>
              <w:rPr>
                <w:rFonts w:ascii="宋体" w:hAnsi="宋体"/>
                <w:b/>
                <w:szCs w:val="21"/>
                <w:highlight w:val="none"/>
              </w:rPr>
            </w:r>
            <w:r/>
          </w:p>
        </w:tc>
        <w:tc>
          <w:tcPr>
            <w:tcW w:w="1186" w:type="dxa"/>
            <w:vAlign w:val="center"/>
            <w:textDirection w:val="lrTb"/>
            <w:noWrap w:val="false"/>
          </w:tcPr>
          <w:p>
            <w:pPr>
              <w:rPr>
                <w:rFonts w:ascii="宋体" w:hAnsi="宋体"/>
                <w:b/>
                <w:szCs w:val="21"/>
                <w:highlight w:val="none"/>
              </w:rPr>
            </w:pPr>
            <w:r>
              <w:rPr>
                <w:rFonts w:ascii="宋体" w:hAnsi="宋体"/>
                <w:b/>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2</w:t>
            </w:r>
            <w:r/>
          </w:p>
        </w:tc>
        <w:tc>
          <w:tcPr>
            <w:tcW w:w="4993"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3</w:t>
            </w:r>
            <w:r/>
          </w:p>
        </w:tc>
        <w:tc>
          <w:tcPr>
            <w:tcW w:w="4993" w:type="dxa"/>
            <w:vAlign w:val="center"/>
            <w:textDirection w:val="lrTb"/>
            <w:noWrap w:val="false"/>
          </w:tcPr>
          <w:p>
            <w:pPr>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4</w:t>
            </w:r>
            <w:r/>
          </w:p>
        </w:tc>
        <w:tc>
          <w:tcPr>
            <w:tcW w:w="4993" w:type="dxa"/>
            <w:vAlign w:val="center"/>
            <w:textDirection w:val="lrTb"/>
            <w:noWrap w:val="false"/>
          </w:tcPr>
          <w:p>
            <w:pPr>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5</w:t>
            </w:r>
            <w:r/>
          </w:p>
        </w:tc>
        <w:tc>
          <w:tcPr>
            <w:tcW w:w="4993"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t xml:space="preserve">……</w:t>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bl>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360" w:lineRule="auto"/>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注：</w:t>
      </w:r>
      <w:r/>
    </w:p>
    <w:p>
      <w:pPr>
        <w:spacing w:line="360" w:lineRule="auto"/>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1.投标人必须对采购需求中的实质性要求（</w:t>
      </w:r>
      <w:r>
        <w:rPr>
          <w:rFonts w:hint="eastAsia" w:ascii="宋体" w:hAnsi="宋体" w:eastAsia="宋体" w:cs="Times New Roman"/>
          <w:b/>
          <w:bCs/>
          <w:i/>
          <w:iCs/>
          <w:strike w:val="0"/>
          <w:color w:val="auto"/>
          <w:sz w:val="21"/>
          <w:szCs w:val="21"/>
          <w:highlight w:val="none"/>
          <w:u w:val="single"/>
        </w:rPr>
        <w:t xml:space="preserve">斜体且有下划线部分</w:t>
      </w:r>
      <w:r>
        <w:rPr>
          <w:rFonts w:hint="eastAsia" w:ascii="宋体" w:hAnsi="宋体" w:eastAsia="宋体" w:cs="Times New Roman"/>
          <w:b/>
          <w:bCs/>
          <w:color w:val="auto"/>
          <w:sz w:val="21"/>
          <w:szCs w:val="21"/>
          <w:highlight w:val="none"/>
        </w:rPr>
        <w:t xml:space="preserve">）逐条做出明确响应。</w:t>
      </w:r>
      <w:r/>
    </w:p>
    <w:p>
      <w:pPr>
        <w:spacing w:line="360" w:lineRule="auto"/>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2.如果招标文件要求提供证明材料，投标人必须将证明材料列于该表之下。</w:t>
      </w:r>
      <w:r/>
    </w:p>
    <w:p>
      <w:pPr>
        <w:spacing w:line="360" w:lineRule="auto"/>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3.投标人未对实质性要求逐条作出明确响应的，或未按招标文件要求提供证明材料的，该</w:t>
      </w:r>
      <w:r>
        <w:rPr>
          <w:rFonts w:hint="eastAsia" w:ascii="宋体" w:hAnsi="宋体" w:eastAsia="宋体" w:cs="Times New Roman"/>
          <w:b/>
          <w:bCs/>
          <w:color w:val="auto"/>
          <w:sz w:val="21"/>
          <w:szCs w:val="21"/>
          <w:highlight w:val="none"/>
          <w:lang w:val="en-US" w:eastAsia="zh-CN"/>
        </w:rPr>
        <w:t xml:space="preserve">项目</w:t>
      </w:r>
      <w:r>
        <w:rPr>
          <w:rFonts w:hint="eastAsia" w:ascii="宋体" w:hAnsi="宋体" w:eastAsia="宋体" w:cs="Times New Roman"/>
          <w:b/>
          <w:bCs/>
          <w:color w:val="auto"/>
          <w:sz w:val="21"/>
          <w:szCs w:val="21"/>
          <w:highlight w:val="none"/>
        </w:rPr>
        <w:t xml:space="preserve">作无效投标处理。</w:t>
      </w:r>
      <w:r/>
    </w:p>
    <w:p>
      <w:pPr>
        <w:jc w:val="left"/>
        <w:keepLines w:val="0"/>
        <w:keepNext w:val="0"/>
        <w:pageBreakBefore w:val="0"/>
        <w:spacing w:line="360" w:lineRule="auto"/>
        <w:widowControl w:val="off"/>
        <w:rPr>
          <w:rFonts w:hint="eastAsia" w:ascii="宋体" w:hAnsi="宋体"/>
          <w:bCs/>
          <w:color w:val="auto"/>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、投标分项报价表</w:t>
      </w:r>
      <w:r/>
    </w:p>
    <w:p>
      <w:pPr>
        <w:jc w:val="center"/>
        <w:pageBreakBefore w:val="0"/>
        <w:spacing w:line="360" w:lineRule="auto"/>
        <w:rPr>
          <w:rFonts w:hint="eastAsia" w:ascii="黑体" w:hAnsi="黑体" w:eastAsia="黑体"/>
          <w:b/>
          <w:sz w:val="32"/>
          <w:szCs w:val="32"/>
          <w:highlight w:val="none"/>
        </w:rPr>
      </w:pPr>
      <w:r>
        <w:rPr>
          <w:rFonts w:hint="eastAsia" w:ascii="宋体" w:hAnsi="宋体" w:eastAsia="宋体" w:cs="宋体"/>
          <w:b/>
          <w:sz w:val="28"/>
          <w:szCs w:val="28"/>
          <w:highlight w:val="none"/>
        </w:rPr>
        <w:t xml:space="preserve">投标分项报价表</w:t>
      </w:r>
      <w:r/>
    </w:p>
    <w:tbl>
      <w:tblPr>
        <w:tblStyle w:val="878"/>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vAlign w:val="top"/>
            <w:textDirection w:val="lrTb"/>
            <w:noWrap w:val="false"/>
          </w:tcPr>
          <w:p>
            <w:pPr>
              <w:pStyle w:val="894"/>
              <w:spacing w:before="0" w:beforeAutospacing="0" w:after="0" w:afterAutospacing="0" w:line="0" w:lineRule="atLeast"/>
              <w:rPr>
                <w:rFonts w:hint="eastAsia"/>
              </w:rPr>
            </w:pPr>
            <w:r>
              <w:rPr>
                <w:rFonts w:hint="eastAsia" w:ascii="宋体" w:hAnsi="宋体" w:eastAsia="宋体" w:cs="宋体"/>
                <w:color w:val="auto"/>
                <w:sz w:val="24"/>
                <w:szCs w:val="24"/>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tc>
      </w:tr>
    </w:tbl>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备</w:t>
      </w:r>
      <w:r>
        <w:rPr>
          <w:rFonts w:hint="eastAsia" w:ascii="宋体" w:hAnsi="宋体" w:eastAsia="宋体" w:cs="Times New Roman"/>
          <w:color w:val="auto"/>
          <w:sz w:val="21"/>
          <w:szCs w:val="21"/>
          <w:highlight w:val="none"/>
        </w:rPr>
        <w:t xml:space="preserve">注：</w:t>
      </w:r>
      <w:r/>
    </w:p>
    <w:p>
      <w:pPr>
        <w:ind w:firstLine="42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2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2.“投标分项报价表”中“投标总报价”数额应当与“开标一览表”中“投标总报价”数额一致。</w:t>
      </w:r>
      <w:r/>
    </w:p>
    <w:p>
      <w:pPr>
        <w:ind w:firstLine="42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4.投标人需认真填写本报价表，尤其注意规格型号的准确填写。</w:t>
      </w:r>
      <w:r/>
    </w:p>
    <w:p>
      <w:pPr>
        <w:ind w:firstLine="420"/>
        <w:spacing w:line="360" w:lineRule="auto"/>
        <w:rPr>
          <w:rFonts w:hint="eastAsia" w:ascii="宋体" w:hAnsi="宋体"/>
          <w:color w:val="auto"/>
          <w:szCs w:val="21"/>
          <w:highlight w:val="none"/>
        </w:rPr>
      </w:pPr>
      <w:r>
        <w:rPr>
          <w:rFonts w:hint="eastAsia" w:ascii="宋体" w:hAnsi="宋体" w:eastAsia="宋体" w:cs="Times New Roman"/>
          <w:color w:val="auto"/>
          <w:sz w:val="21"/>
          <w:szCs w:val="21"/>
          <w:highlight w:val="none"/>
          <w:lang w:val="en-US" w:eastAsia="zh-CN" w:bidi="ar-SA"/>
        </w:rPr>
        <w:t xml:space="preserve">5.项目经办人可以根据项目实际需要对表格结构进行调整。</w:t>
      </w:r>
      <w:r/>
    </w:p>
    <w:p>
      <w:pPr>
        <w:jc w:val="left"/>
        <w:keepLines w:val="0"/>
        <w:keepNext w:val="0"/>
        <w:pageBreakBefore w:val="0"/>
        <w:spacing w:line="360" w:lineRule="auto"/>
        <w:widowControl w:val="off"/>
        <w:rPr>
          <w:rFonts w:ascii="宋体" w:hAnsi="宋体" w:cs="宋体"/>
          <w:sz w:val="32"/>
          <w:szCs w:val="32"/>
          <w:highlight w:val="none"/>
        </w:rPr>
      </w:pPr>
      <w:r/>
      <w:bookmarkStart w:id="77" w:name="_Toc18185"/>
      <w:r>
        <w:rPr>
          <w:rFonts w:hint="eastAsia" w:ascii="宋体" w:hAnsi="宋体"/>
          <w:color w:val="auto"/>
          <w:highlight w:val="none"/>
        </w:rPr>
        <w:br w:type="page" w:clear="all"/>
      </w:r>
      <w:bookmarkEnd w:id="77"/>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、技术要求响应及偏离表</w:t>
      </w:r>
      <w:r/>
    </w:p>
    <w:p>
      <w:pPr>
        <w:pStyle w:val="874"/>
        <w:jc w:val="center"/>
        <w:rPr>
          <w:rFonts w:hint="eastAsia" w:ascii="宋体" w:hAnsi="宋体"/>
          <w:color w:val="auto"/>
          <w:sz w:val="28"/>
          <w:szCs w:val="28"/>
          <w:highlight w:val="none"/>
        </w:rPr>
      </w:pPr>
      <w:r/>
      <w:bookmarkStart w:id="78" w:name="_Toc12761"/>
      <w:r>
        <w:rPr>
          <w:rFonts w:hint="eastAsia" w:ascii="宋体" w:hAnsi="宋体"/>
          <w:color w:val="auto"/>
          <w:sz w:val="28"/>
          <w:szCs w:val="28"/>
          <w:highlight w:val="none"/>
        </w:rPr>
        <w:t xml:space="preserve">技术要求响应及偏离表</w:t>
      </w:r>
      <w:bookmarkEnd w:id="78"/>
      <w:r/>
      <w:r/>
    </w:p>
    <w:p>
      <w:pPr>
        <w:rPr>
          <w:highlight w:val="none"/>
        </w:rPr>
      </w:pPr>
      <w:r>
        <w:rPr>
          <w:highlight w:val="none"/>
        </w:rPr>
      </w:r>
      <w:r/>
    </w:p>
    <w:tbl>
      <w:tblPr>
        <w:tblStyle w:val="878"/>
        <w:tblW w:w="8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687"/>
        <w:gridCol w:w="1232"/>
        <w:gridCol w:w="1105"/>
      </w:tblGrid>
      <w:tr>
        <w:trPr>
          <w:cantSplit/>
          <w:trHeight w:val="642"/>
        </w:trPr>
        <w:tc>
          <w:tcPr>
            <w:tcW w:w="927"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2687"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招标文件要求</w:t>
            </w:r>
            <w:r/>
          </w:p>
        </w:tc>
        <w:tc>
          <w:tcPr>
            <w:tcW w:w="2687"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投标响应情况</w:t>
            </w:r>
            <w:r/>
          </w:p>
        </w:tc>
        <w:tc>
          <w:tcPr>
            <w:tcW w:w="1232"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超出、符合或偏离</w:t>
            </w:r>
            <w:r/>
          </w:p>
        </w:tc>
        <w:tc>
          <w:tcPr>
            <w:tcW w:w="1105" w:type="dxa"/>
            <w:vAlign w:val="center"/>
            <w:textDirection w:val="lrTb"/>
            <w:noWrap w:val="false"/>
          </w:tcPr>
          <w:p>
            <w:pPr>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证明</w:t>
            </w:r>
            <w:r/>
          </w:p>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材料</w:t>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5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注：行数不够，可自行添加</w:t>
      </w:r>
      <w:r>
        <w:rPr>
          <w:rFonts w:hint="eastAsia" w:ascii="宋体" w:hAnsi="宋体"/>
          <w:color w:val="auto"/>
          <w:sz w:val="21"/>
          <w:szCs w:val="21"/>
          <w:highlight w:val="none"/>
          <w:lang w:eastAsia="zh-CN"/>
        </w:rPr>
        <w:t xml:space="preserve">；</w:t>
      </w:r>
      <w:r/>
    </w:p>
    <w:p>
      <w:pPr>
        <w:pStyle w:val="875"/>
        <w:rPr>
          <w:highlight w:val="none"/>
        </w:rPr>
      </w:pPr>
      <w:r>
        <w:rPr>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、商务要求响应及偏离表</w:t>
      </w:r>
      <w:r/>
    </w:p>
    <w:p>
      <w:pPr>
        <w:pStyle w:val="874"/>
        <w:jc w:val="center"/>
        <w:rPr>
          <w:rFonts w:hint="eastAsia" w:ascii="宋体" w:hAnsi="宋体"/>
          <w:bCs w:val="0"/>
          <w:color w:val="auto"/>
          <w:sz w:val="28"/>
          <w:szCs w:val="28"/>
          <w:highlight w:val="none"/>
        </w:rPr>
      </w:pPr>
      <w:r/>
      <w:bookmarkStart w:id="79" w:name="_Toc113352363"/>
      <w:r/>
      <w:bookmarkStart w:id="80" w:name="_Toc11043"/>
      <w:r/>
      <w:bookmarkStart w:id="81" w:name="_Toc11513"/>
      <w:r/>
      <w:bookmarkStart w:id="82" w:name="_Toc14047"/>
      <w:r/>
      <w:bookmarkStart w:id="83" w:name="_Toc15565"/>
      <w:r>
        <w:rPr>
          <w:rFonts w:hint="eastAsia" w:ascii="宋体" w:hAnsi="宋体"/>
          <w:bCs w:val="0"/>
          <w:color w:val="auto"/>
          <w:sz w:val="28"/>
          <w:szCs w:val="28"/>
          <w:highlight w:val="none"/>
        </w:rPr>
        <w:t xml:space="preserve">商务</w:t>
      </w:r>
      <w:r>
        <w:rPr>
          <w:rFonts w:hint="eastAsia" w:ascii="宋体" w:hAnsi="宋体"/>
          <w:bCs w:val="0"/>
          <w:color w:val="auto"/>
          <w:sz w:val="28"/>
          <w:szCs w:val="28"/>
          <w:highlight w:val="none"/>
          <w:lang w:val="en-US" w:eastAsia="zh-CN"/>
        </w:rPr>
        <w:t xml:space="preserve">要求</w:t>
      </w:r>
      <w:r>
        <w:rPr>
          <w:rFonts w:hint="eastAsia" w:ascii="宋体" w:hAnsi="宋体"/>
          <w:bCs w:val="0"/>
          <w:color w:val="auto"/>
          <w:sz w:val="28"/>
          <w:szCs w:val="28"/>
          <w:highlight w:val="none"/>
        </w:rPr>
        <w:t xml:space="preserve">响应及偏离表</w:t>
      </w:r>
      <w:bookmarkEnd w:id="79"/>
      <w:r/>
      <w:bookmarkEnd w:id="80"/>
      <w:r/>
      <w:bookmarkEnd w:id="81"/>
      <w:r/>
      <w:bookmarkEnd w:id="82"/>
      <w:r/>
      <w:bookmarkEnd w:id="83"/>
      <w:r/>
      <w:r/>
    </w:p>
    <w:p>
      <w:pPr>
        <w:rPr>
          <w:highlight w:val="none"/>
        </w:rPr>
      </w:pPr>
      <w:r>
        <w:rPr>
          <w:highlight w:val="none"/>
        </w:rPr>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015"/>
        <w:gridCol w:w="2852"/>
        <w:gridCol w:w="1308"/>
        <w:gridCol w:w="1173"/>
      </w:tblGrid>
      <w:tr>
        <w:trPr>
          <w:cantSplit/>
          <w:trHeight w:val="640"/>
        </w:trPr>
        <w:tc>
          <w:tcPr>
            <w:tcW w:w="821"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序号</w:t>
            </w:r>
            <w:r/>
          </w:p>
        </w:tc>
        <w:tc>
          <w:tcPr>
            <w:tcW w:w="3015"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招标文件要求</w:t>
            </w:r>
            <w:r/>
          </w:p>
        </w:tc>
        <w:tc>
          <w:tcPr>
            <w:tcW w:w="2852"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投标响应情况</w:t>
            </w:r>
            <w:r/>
          </w:p>
        </w:tc>
        <w:tc>
          <w:tcPr>
            <w:tcW w:w="1308"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超出、符合或偏离</w:t>
            </w:r>
            <w:r/>
          </w:p>
        </w:tc>
        <w:tc>
          <w:tcPr>
            <w:tcW w:w="1173"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证明</w:t>
            </w:r>
            <w:r/>
          </w:p>
          <w:p>
            <w:pPr>
              <w:jc w:val="center"/>
              <w:rPr>
                <w:rFonts w:ascii="宋体" w:hAnsi="宋体" w:cs="宋体"/>
                <w:sz w:val="21"/>
                <w:szCs w:val="21"/>
                <w:highlight w:val="none"/>
              </w:rPr>
            </w:pPr>
            <w:r>
              <w:rPr>
                <w:rFonts w:hint="eastAsia" w:ascii="宋体" w:hAnsi="宋体" w:cs="宋体"/>
                <w:sz w:val="21"/>
                <w:szCs w:val="21"/>
                <w:highlight w:val="none"/>
              </w:rPr>
              <w:t xml:space="preserve">材料</w:t>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w:t>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bl>
    <w:p>
      <w:pPr>
        <w:pStyle w:val="894"/>
        <w:spacing w:before="300" w:after="452" w:line="360" w:lineRule="auto"/>
        <w:widowControl/>
        <w:rPr>
          <w:rStyle w:val="897"/>
          <w:rFonts w:hint="eastAsia" w:ascii="宋体" w:hAnsi="宋体" w:cs="仿宋"/>
          <w:color w:val="auto"/>
          <w:sz w:val="21"/>
          <w:szCs w:val="21"/>
          <w:highlight w:val="none"/>
        </w:rPr>
      </w:pPr>
      <w:r>
        <w:rPr>
          <w:rFonts w:hint="eastAsia" w:ascii="宋体" w:hAnsi="宋体" w:cs="宋体"/>
          <w:sz w:val="21"/>
          <w:szCs w:val="21"/>
          <w:highlight w:val="none"/>
        </w:rPr>
        <w:t xml:space="preserve">注： 行数不够，可自行添加。</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pStyle w:val="874"/>
        <w:jc w:val="left"/>
        <w:keepLines/>
        <w:keepNext/>
        <w:pageBreakBefore w:val="0"/>
        <w:spacing w:before="0" w:after="0" w:line="360" w:lineRule="auto"/>
        <w:widowControl w:val="off"/>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 </w:t>
      </w:r>
      <w:bookmarkStart w:id="84" w:name="_Toc8938"/>
      <w:r/>
      <w:bookmarkStart w:id="85" w:name="_Toc14628"/>
      <w:r/>
      <w:bookmarkStart w:id="86" w:name="_Toc4311"/>
      <w:r/>
      <w:bookmarkStart w:id="87" w:name="_Toc6924"/>
      <w:r/>
      <w:r/>
    </w:p>
    <w:p>
      <w:pPr>
        <w:jc w:val="left"/>
        <w:keepLines w:val="0"/>
        <w:keepNext w:val="0"/>
        <w:pageBreakBefore w:val="0"/>
        <w:spacing w:line="360" w:lineRule="auto"/>
        <w:widowControl w:val="off"/>
        <w:rPr>
          <w:rFonts w:hint="eastAsia" w:ascii="宋体" w:hAnsi="宋体"/>
          <w:b w:val="0"/>
          <w:bCs w:val="0"/>
          <w:color w:val="auto"/>
          <w:sz w:val="28"/>
          <w:szCs w:val="28"/>
          <w:highlight w:val="none"/>
        </w:rPr>
      </w:pPr>
      <w:r>
        <w:rPr>
          <w:rFonts w:hint="eastAsia" w:ascii="宋体" w:hAnsi="宋体"/>
          <w:b w:val="0"/>
          <w:bCs w:val="0"/>
          <w:color w:val="auto"/>
          <w:szCs w:val="21"/>
          <w:highlight w:val="none"/>
        </w:rPr>
        <w:br w:type="page" w:clear="all"/>
      </w:r>
      <w:r>
        <w:rPr>
          <w:rFonts w:hint="eastAsia" w:ascii="宋体" w:hAnsi="宋体" w:eastAsia="宋体" w:cs="宋体"/>
          <w:b/>
          <w:bCs/>
          <w:i/>
          <w:iCs/>
          <w:sz w:val="24"/>
          <w:szCs w:val="24"/>
          <w:highlight w:val="none"/>
          <w:u w:val="single"/>
        </w:rPr>
        <w:t xml:space="preserve">十</w:t>
      </w:r>
      <w:r>
        <w:rPr>
          <w:rFonts w:hint="eastAsia" w:ascii="宋体" w:hAnsi="宋体" w:eastAsia="宋体" w:cs="宋体"/>
          <w:b/>
          <w:bCs/>
          <w:i/>
          <w:iCs/>
          <w:sz w:val="24"/>
          <w:szCs w:val="24"/>
          <w:highlight w:val="none"/>
          <w:u w:val="single"/>
          <w:lang w:val="en-US" w:eastAsia="zh-CN"/>
        </w:rPr>
        <w:t xml:space="preserve">七</w:t>
      </w:r>
      <w:r>
        <w:rPr>
          <w:rFonts w:hint="eastAsia" w:ascii="宋体" w:hAnsi="宋体" w:eastAsia="宋体" w:cs="宋体"/>
          <w:b/>
          <w:bCs/>
          <w:i/>
          <w:iCs/>
          <w:sz w:val="24"/>
          <w:szCs w:val="24"/>
          <w:highlight w:val="none"/>
          <w:u w:val="single"/>
        </w:rPr>
        <w:t xml:space="preserve">、开标一览表</w:t>
      </w:r>
      <w:bookmarkEnd w:id="84"/>
      <w:r/>
      <w:r/>
    </w:p>
    <w:p>
      <w:pPr>
        <w:pStyle w:val="874"/>
        <w:jc w:val="center"/>
        <w:spacing w:line="360" w:lineRule="auto"/>
        <w:rPr>
          <w:rFonts w:eastAsia="仿宋_GB2312"/>
          <w:color w:val="auto"/>
          <w:sz w:val="28"/>
          <w:szCs w:val="28"/>
          <w:highlight w:val="none"/>
        </w:rPr>
      </w:pPr>
      <w:r/>
      <w:bookmarkStart w:id="88" w:name="_Toc3814"/>
      <w:r>
        <w:rPr>
          <w:rFonts w:hint="eastAsia" w:ascii="宋体" w:hAnsi="宋体"/>
          <w:color w:val="auto"/>
          <w:sz w:val="28"/>
          <w:szCs w:val="28"/>
          <w:highlight w:val="none"/>
        </w:rPr>
        <w:t xml:space="preserve">开标一览表</w:t>
      </w:r>
      <w:bookmarkEnd w:id="85"/>
      <w:r/>
      <w:bookmarkEnd w:id="86"/>
      <w:r/>
      <w:bookmarkEnd w:id="87"/>
      <w:r/>
      <w:bookmarkEnd w:id="88"/>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投标人全称（加盖CA电子签章）：</w:t>
      </w:r>
      <w:r/>
    </w:p>
    <w:p>
      <w:pPr>
        <w:ind w:firstLine="480"/>
        <w:pageBreakBefore w:val="0"/>
        <w:spacing w:line="360" w:lineRule="auto"/>
        <w:rPr>
          <w:sz w:val="24"/>
          <w:szCs w:val="24"/>
          <w:highlight w:val="none"/>
        </w:rPr>
      </w:pPr>
      <w:r>
        <w:rPr>
          <w:rFonts w:hint="eastAsia" w:ascii="宋体" w:hAnsi="宋体"/>
          <w:sz w:val="24"/>
          <w:szCs w:val="24"/>
          <w:highlight w:val="none"/>
        </w:rPr>
        <w:t xml:space="preserve">项目名称：</w:t>
      </w:r>
      <w:r/>
    </w:p>
    <w:p>
      <w:pPr>
        <w:ind w:firstLine="480"/>
        <w:pageBreakBefore w:val="0"/>
        <w:spacing w:line="360" w:lineRule="auto"/>
        <w:rPr>
          <w:rFonts w:ascii="宋体" w:hAnsi="宋体"/>
          <w:sz w:val="24"/>
          <w:szCs w:val="24"/>
          <w:highlight w:val="none"/>
        </w:rPr>
      </w:pPr>
      <w:r>
        <w:rPr>
          <w:rFonts w:hint="eastAsia" w:ascii="宋体" w:hAnsi="宋体"/>
          <w:sz w:val="24"/>
          <w:szCs w:val="24"/>
          <w:highlight w:val="none"/>
        </w:rPr>
        <w:t xml:space="preserve">招标编号：                                   分包号：</w:t>
      </w:r>
      <w:r/>
    </w:p>
    <w:tbl>
      <w:tblPr>
        <w:tblStyle w:val="87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cantSplit/>
          <w:trHeight w:val="912"/>
        </w:trPr>
        <w:tc>
          <w:tcPr>
            <w:tcW w:w="890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72"/>
        </w:trPr>
        <w:tc>
          <w:tcPr>
            <w:tcW w:w="8900" w:type="dxa"/>
            <w:vAlign w:val="center"/>
            <w:textDirection w:val="lrTb"/>
            <w:noWrap w:val="false"/>
          </w:tcPr>
          <w:p>
            <w:pPr>
              <w:pStyle w:val="920"/>
              <w:ind w:firstLine="0"/>
              <w:pageBreakBefore w:val="0"/>
              <w:spacing w:before="0" w:after="0" w:line="360" w:lineRule="auto"/>
              <w:rPr>
                <w:rFonts w:hint="eastAsia" w:ascii="宋体" w:hAnsi="宋体"/>
                <w:sz w:val="24"/>
                <w:szCs w:val="24"/>
                <w:highlight w:val="none"/>
              </w:rPr>
            </w:pPr>
            <w:r>
              <w:rPr>
                <w:rFonts w:hint="eastAsia" w:ascii="宋体" w:hAnsi="宋体" w:cs="宋体"/>
                <w:sz w:val="24"/>
                <w:szCs w:val="24"/>
                <w:highlight w:val="none"/>
              </w:rPr>
              <w:t xml:space="preserve">小写：                             （人民币：</w:t>
            </w:r>
            <w:r>
              <w:rPr>
                <w:rFonts w:hint="eastAsia" w:ascii="宋体" w:hAnsi="宋体"/>
                <w:sz w:val="24"/>
                <w:szCs w:val="24"/>
                <w:highlight w:val="none"/>
                <w:lang w:val="en-US" w:eastAsia="zh-CN"/>
              </w:rPr>
              <w:t xml:space="preserve">元</w:t>
            </w:r>
            <w:r>
              <w:rPr>
                <w:rFonts w:hint="eastAsia" w:ascii="宋体" w:hAnsi="宋体" w:cs="宋体"/>
                <w:sz w:val="24"/>
                <w:szCs w:val="24"/>
                <w:highlight w:val="none"/>
              </w:rPr>
              <w:t xml:space="preserve">）</w:t>
            </w:r>
            <w:r/>
          </w:p>
        </w:tc>
      </w:tr>
      <w:tr>
        <w:trPr>
          <w:cantSplit/>
          <w:trHeight w:val="784"/>
        </w:trPr>
        <w:tc>
          <w:tcPr>
            <w:tcW w:w="8900" w:type="dxa"/>
            <w:vAlign w:val="center"/>
            <w:textDirection w:val="lrTb"/>
            <w:noWrap w:val="false"/>
          </w:tcPr>
          <w:p>
            <w:pPr>
              <w:pStyle w:val="920"/>
              <w:ind w:firstLine="0"/>
              <w:pageBreakBefore w:val="0"/>
              <w:spacing w:before="0" w:after="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大写：                             （人民币：圆）</w:t>
            </w:r>
            <w:r/>
          </w:p>
        </w:tc>
      </w:tr>
    </w:tbl>
    <w:p>
      <w:pPr>
        <w:pageBreakBefore w:val="0"/>
        <w:spacing w:line="360" w:lineRule="auto"/>
        <w:rPr>
          <w:rFonts w:ascii="宋体" w:hAnsi="宋体"/>
          <w:sz w:val="24"/>
          <w:szCs w:val="24"/>
          <w:highlight w:val="none"/>
        </w:rPr>
      </w:pPr>
      <w:r>
        <w:rPr>
          <w:rFonts w:ascii="宋体" w:hAnsi="宋体"/>
          <w:sz w:val="24"/>
          <w:szCs w:val="24"/>
          <w:highlight w:val="none"/>
        </w:rPr>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pStyle w:val="874"/>
        <w:ind w:firstLine="3202"/>
        <w:rPr>
          <w:rFonts w:ascii="宋体" w:hAnsi="宋体"/>
          <w:bCs w:val="0"/>
          <w:color w:val="auto"/>
          <w:highlight w:val="none"/>
        </w:rPr>
      </w:pPr>
      <w:r>
        <w:rPr>
          <w:rFonts w:ascii="宋体" w:hAnsi="宋体"/>
          <w:bCs w:val="0"/>
          <w:color w:val="auto"/>
          <w:highlight w:val="none"/>
        </w:rPr>
      </w:r>
      <w:r/>
    </w:p>
    <w:p>
      <w:pPr>
        <w:pStyle w:val="881"/>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ascii="宋体" w:hAnsi="宋体"/>
          <w:color w:val="auto"/>
          <w:sz w:val="32"/>
          <w:szCs w:val="32"/>
          <w:highlight w:val="none"/>
        </w:rPr>
      </w:r>
      <w:r/>
    </w:p>
    <w:p>
      <w:pPr>
        <w:jc w:val="left"/>
        <w:keepLines w:val="0"/>
        <w:keepNext w:val="0"/>
        <w:pageBreakBefore w:val="0"/>
        <w:spacing w:line="360" w:lineRule="auto"/>
        <w:widowControl w:val="off"/>
        <w:rPr>
          <w:rFonts w:ascii="宋体" w:hAnsi="宋体"/>
          <w:color w:val="auto"/>
          <w:sz w:val="24"/>
          <w:highlight w:val="none"/>
        </w:rPr>
      </w:pPr>
      <w:r/>
      <w:bookmarkStart w:id="89" w:name="_Toc113352361"/>
      <w:r/>
      <w:bookmarkStart w:id="90" w:name="_Toc32648"/>
      <w:r>
        <w:rPr>
          <w:rFonts w:hint="eastAsia" w:ascii="宋体" w:hAnsi="宋体"/>
          <w:bCs/>
          <w:color w:val="auto"/>
          <w:highlight w:val="none"/>
        </w:rPr>
        <w:br w:type="page" w:clear="all"/>
      </w:r>
      <w:bookmarkEnd w:id="89"/>
      <w:r/>
      <w:bookmarkEnd w:id="90"/>
      <w:r>
        <w:rPr>
          <w:rFonts w:hint="eastAsia" w:ascii="宋体" w:hAnsi="宋体" w:eastAsia="宋体" w:cs="宋体"/>
          <w:b/>
          <w:bCs/>
          <w:i w:val="0"/>
          <w:iCs w:val="0"/>
          <w:sz w:val="24"/>
          <w:szCs w:val="24"/>
          <w:highlight w:val="none"/>
          <w:u w:val="none"/>
        </w:rPr>
        <w:t xml:space="preserve">十</w:t>
      </w:r>
      <w:r>
        <w:rPr>
          <w:rFonts w:hint="eastAsia" w:ascii="宋体" w:hAnsi="宋体" w:eastAsia="宋体" w:cs="宋体"/>
          <w:b/>
          <w:bCs/>
          <w:i w:val="0"/>
          <w:iCs w:val="0"/>
          <w:sz w:val="24"/>
          <w:szCs w:val="24"/>
          <w:highlight w:val="none"/>
          <w:u w:val="none"/>
          <w:lang w:val="en-US" w:eastAsia="zh-CN"/>
        </w:rPr>
        <w:t xml:space="preserve">八</w:t>
      </w:r>
      <w:r>
        <w:rPr>
          <w:rFonts w:hint="eastAsia" w:ascii="宋体" w:hAnsi="宋体" w:eastAsia="宋体" w:cs="宋体"/>
          <w:b/>
          <w:bCs/>
          <w:i w:val="0"/>
          <w:iCs w:val="0"/>
          <w:sz w:val="24"/>
          <w:szCs w:val="24"/>
          <w:highlight w:val="none"/>
          <w:u w:val="none"/>
        </w:rPr>
        <w:t xml:space="preserve">、主要标的信息</w:t>
      </w:r>
      <w:r/>
    </w:p>
    <w:p>
      <w:pPr>
        <w:jc w:val="center"/>
        <w:spacing w:before="312" w:line="360" w:lineRule="auto"/>
        <w:rPr>
          <w:rFonts w:ascii="宋体" w:hAnsi="宋体"/>
          <w:b/>
          <w:color w:val="auto"/>
          <w:highlight w:val="none"/>
        </w:rPr>
      </w:pPr>
      <w:r>
        <w:rPr>
          <w:rFonts w:hint="eastAsia" w:ascii="宋体" w:hAnsi="宋体"/>
          <w:b/>
          <w:color w:val="auto"/>
          <w:sz w:val="28"/>
          <w:szCs w:val="28"/>
          <w:highlight w:val="none"/>
        </w:rPr>
        <w:t xml:space="preserve">主要标的信息（中标后将公示）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投标人全称：</w:t>
      </w:r>
      <w:r/>
    </w:p>
    <w:tbl>
      <w:tblPr>
        <w:tblStyle w:val="878"/>
        <w:tblW w:w="91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3"/>
      </w:tblGrid>
      <w:tr>
        <w:trPr>
          <w:trHeight w:val="624"/>
        </w:trPr>
        <w:tc>
          <w:tcPr>
            <w:tcW w:w="9153" w:type="dxa"/>
            <w:vAlign w:val="center"/>
            <w:textDirection w:val="lrTb"/>
            <w:noWrap w:val="false"/>
          </w:tcPr>
          <w:p>
            <w:pPr>
              <w:jc w:val="center"/>
              <w:rPr>
                <w:rFonts w:ascii="宋体" w:hAnsi="宋体" w:cs="宋体"/>
                <w:color w:val="auto"/>
                <w:highlight w:val="none"/>
              </w:rPr>
            </w:pPr>
            <w:r>
              <w:rPr>
                <w:rFonts w:hint="eastAsia" w:ascii="宋体" w:hAnsi="宋体" w:cs="宋体"/>
                <w:highlight w:val="none"/>
              </w:rPr>
              <w:t xml:space="preserve">货物类</w:t>
            </w:r>
            <w:r/>
          </w:p>
        </w:tc>
      </w:tr>
      <w:tr>
        <w:trPr>
          <w:trHeight w:val="2670"/>
        </w:trPr>
        <w:tc>
          <w:tcPr>
            <w:tcW w:w="9153" w:type="dxa"/>
            <w:vAlign w:val="top"/>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color w:val="auto"/>
                <w:highlight w:val="none"/>
              </w:rPr>
            </w:pPr>
            <w:r>
              <w:rPr>
                <w:rFonts w:hint="eastAsia" w:ascii="宋体" w:hAnsi="宋体" w:cs="宋体"/>
                <w:highlight w:val="none"/>
              </w:rPr>
              <w:t xml:space="preserve">单价：</w:t>
            </w:r>
            <w:r/>
          </w:p>
        </w:tc>
      </w:tr>
    </w:tbl>
    <w:p>
      <w:pPr>
        <w:jc w:val="left"/>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color w:val="auto"/>
          <w:highlight w:val="none"/>
        </w:rPr>
      </w:pPr>
      <w:r>
        <w:rPr>
          <w:color w:val="auto"/>
          <w:highlight w:val="none"/>
        </w:rPr>
      </w:r>
      <w:r/>
    </w:p>
    <w:sectPr>
      <w:headerReference w:type="default" r:id="rId10"/>
      <w:footerReference w:type="default" r:id="rId12"/>
      <w:footnotePr/>
      <w:endnotePr/>
      <w:type w:val="nextPage"/>
      <w:pgSz w:w="11906" w:h="16838" w:orient="portrait"/>
      <w:pgMar w:top="1440" w:right="1800" w:bottom="1440" w:left="1800" w:header="56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libri">
    <w:panose1 w:val="020F0502020204030204"/>
  </w:font>
  <w:font w:name="微软雅黑">
    <w:panose1 w:val="020B0503020204020204"/>
  </w:font>
  <w:font w:name="方正仿宋_GBK">
    <w:panose1 w:val="020B0503020202020204"/>
  </w:font>
  <w:font w:name="Cambria">
    <w:panose1 w:val="02040503050406030204"/>
  </w:font>
  <w:font w:name="Courier New">
    <w:panose1 w:val="02070309020205020404"/>
  </w:font>
  <w:font w:name="楷体_GB2312">
    <w:panose1 w:val="02010609060101010101"/>
  </w:font>
  <w:font w:name="宋体_GB2312">
    <w:panose1 w:val="02010600030101010101"/>
  </w:font>
  <w:font w:name="仿宋_GB2312">
    <w:panose1 w:val="02010609060101010101"/>
  </w:font>
  <w:font w:name="黑体">
    <w:panose1 w:val="02010609060101010101"/>
  </w:font>
  <w:font w:name="等线 Light">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Fonts w:hint="eastAsia"/>
      </w:rPr>
    </w:pPr>
    <w:r>
      <w:rPr>
        <w:rFonts w:hint="eastAsia"/>
        <w:lang w:eastAsia="zh-CN"/>
      </w:rPr>
      <w:t xml:space="preserve">JSZC-321081-BYGC-G2026-000</w:t>
    </w:r>
    <w:r>
      <w:rPr>
        <w:rFonts w:hint="eastAsia"/>
        <w:lang w:val="en-US" w:eastAsia="zh-CN"/>
      </w:rPr>
      <w:t xml:space="preserve">5</w:t>
    </w:r>
    <w:r>
      <w:rPr>
        <w:rFonts w:hint="eastAsia"/>
      </w:rPr>
      <w:t xml:space="preserve">                </w:t>
    </w:r>
    <w:r>
      <w:t xml:space="preserve">    </w:t>
    </w:r>
    <w:r>
      <w:rPr>
        <w:rFonts w:hint="eastAsia"/>
        <w:lang w:val="en-US" w:eastAsia="zh-CN"/>
      </w:rPr>
      <w:t xml:space="preserve">       </w:t>
    </w:r>
    <w:r>
      <w:rPr>
        <w:rFonts w:hint="eastAsia"/>
      </w:rPr>
      <w:t xml:space="preserve">             </w:t>
    </w:r>
    <w:r>
      <w:rPr>
        <w:rFonts w:hint="eastAsia"/>
        <w:lang w:eastAsia="zh-CN"/>
      </w:rPr>
      <w:t xml:space="preserve">扬州博远工程咨询有限公司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both"/>
      <w:rPr>
        <w:rFonts w:hint="eastAsia"/>
        <w:lang w:val="en-US" w:eastAsia="zh-CN"/>
      </w:rPr>
    </w:pPr>
    <w:r>
      <w:rPr>
        <w:rFonts w:hint="eastAsia"/>
        <w:lang w:val="en-US" w:eastAsia="zh-CN"/>
      </w:rPr>
    </w:r>
    <w:r/>
  </w:p>
  <w:p>
    <w:pPr>
      <w:pStyle w:val="891"/>
      <w:jc w:val="right"/>
    </w:pPr>
    <w:r>
      <w:rPr>
        <w:rFonts w:hint="eastAsia"/>
        <w:lang w:eastAsia="zh-CN"/>
      </w:rPr>
      <w:t xml:space="preserve">JSZC-321081-BYGC-G2026-000</w:t>
    </w:r>
    <w:r>
      <w:rPr>
        <w:rFonts w:hint="eastAsia"/>
        <w:lang w:val="en-US" w:eastAsia="zh-CN"/>
      </w:rPr>
      <w:t xml:space="preserve">5</w:t>
    </w:r>
    <w:r>
      <w:rPr>
        <w:rFonts w:hint="eastAsia"/>
      </w:rPr>
      <w:t xml:space="preserve">                                   </w:t>
    </w:r>
    <w:r>
      <w:rPr>
        <w:rFonts w:hint="eastAsia"/>
        <w:sz w:val="16"/>
        <w:szCs w:val="16"/>
      </w:rPr>
      <w:t xml:space="preserve"> </w:t>
    </w:r>
    <w:r>
      <w:rPr>
        <w:rFonts w:hint="eastAsia" w:ascii="宋体" w:hAnsi="宋体"/>
        <w:sz w:val="20"/>
        <w:szCs w:val="20"/>
      </w:rPr>
      <w:t xml:space="preserve">扬州博远工程咨询有限公司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1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7"/>
    <w:link w:val="873"/>
    <w:uiPriority w:val="9"/>
    <w:rPr>
      <w:rFonts w:ascii="Arial" w:hAnsi="Arial" w:eastAsia="Arial" w:cs="Arial"/>
      <w:sz w:val="40"/>
      <w:szCs w:val="40"/>
    </w:rPr>
  </w:style>
  <w:style w:type="character" w:styleId="707">
    <w:name w:val="Heading 2 Char"/>
    <w:basedOn w:val="877"/>
    <w:link w:val="874"/>
    <w:uiPriority w:val="9"/>
    <w:rPr>
      <w:rFonts w:ascii="Arial" w:hAnsi="Arial" w:eastAsia="Arial" w:cs="Arial"/>
      <w:sz w:val="34"/>
    </w:rPr>
  </w:style>
  <w:style w:type="character" w:styleId="708">
    <w:name w:val="Heading 3 Char"/>
    <w:basedOn w:val="877"/>
    <w:link w:val="875"/>
    <w:uiPriority w:val="9"/>
    <w:rPr>
      <w:rFonts w:ascii="Arial" w:hAnsi="Arial" w:eastAsia="Arial" w:cs="Arial"/>
      <w:sz w:val="30"/>
      <w:szCs w:val="30"/>
    </w:rPr>
  </w:style>
  <w:style w:type="character" w:styleId="709">
    <w:name w:val="Heading 4 Char"/>
    <w:basedOn w:val="877"/>
    <w:link w:val="876"/>
    <w:uiPriority w:val="9"/>
    <w:rPr>
      <w:rFonts w:ascii="Arial" w:hAnsi="Arial" w:eastAsia="Arial" w:cs="Arial"/>
      <w:b/>
      <w:bCs/>
      <w:sz w:val="26"/>
      <w:szCs w:val="26"/>
    </w:rPr>
  </w:style>
  <w:style w:type="paragraph" w:styleId="710">
    <w:name w:val="Heading 5"/>
    <w:basedOn w:val="872"/>
    <w:next w:val="872"/>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77"/>
    <w:link w:val="710"/>
    <w:uiPriority w:val="9"/>
    <w:rPr>
      <w:rFonts w:ascii="Arial" w:hAnsi="Arial" w:eastAsia="Arial" w:cs="Arial"/>
      <w:b/>
      <w:bCs/>
      <w:sz w:val="24"/>
      <w:szCs w:val="24"/>
    </w:rPr>
  </w:style>
  <w:style w:type="paragraph" w:styleId="712">
    <w:name w:val="Heading 6"/>
    <w:basedOn w:val="872"/>
    <w:next w:val="872"/>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77"/>
    <w:link w:val="712"/>
    <w:uiPriority w:val="9"/>
    <w:rPr>
      <w:rFonts w:ascii="Arial" w:hAnsi="Arial" w:eastAsia="Arial" w:cs="Arial"/>
      <w:b/>
      <w:bCs/>
      <w:sz w:val="22"/>
      <w:szCs w:val="22"/>
    </w:rPr>
  </w:style>
  <w:style w:type="paragraph" w:styleId="714">
    <w:name w:val="Heading 7"/>
    <w:basedOn w:val="872"/>
    <w:next w:val="872"/>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7"/>
    <w:link w:val="714"/>
    <w:uiPriority w:val="9"/>
    <w:rPr>
      <w:rFonts w:ascii="Arial" w:hAnsi="Arial" w:eastAsia="Arial" w:cs="Arial"/>
      <w:b/>
      <w:bCs/>
      <w:i/>
      <w:iCs/>
      <w:sz w:val="22"/>
      <w:szCs w:val="22"/>
    </w:rPr>
  </w:style>
  <w:style w:type="paragraph" w:styleId="716">
    <w:name w:val="Heading 8"/>
    <w:basedOn w:val="872"/>
    <w:next w:val="872"/>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7"/>
    <w:link w:val="716"/>
    <w:uiPriority w:val="9"/>
    <w:rPr>
      <w:rFonts w:ascii="Arial" w:hAnsi="Arial" w:eastAsia="Arial" w:cs="Arial"/>
      <w:i/>
      <w:iCs/>
      <w:sz w:val="22"/>
      <w:szCs w:val="22"/>
    </w:rPr>
  </w:style>
  <w:style w:type="paragraph" w:styleId="718">
    <w:name w:val="Heading 9"/>
    <w:basedOn w:val="872"/>
    <w:next w:val="872"/>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7"/>
    <w:link w:val="718"/>
    <w:uiPriority w:val="9"/>
    <w:rPr>
      <w:rFonts w:ascii="Arial" w:hAnsi="Arial" w:eastAsia="Arial" w:cs="Arial"/>
      <w:i/>
      <w:iCs/>
      <w:sz w:val="21"/>
      <w:szCs w:val="21"/>
    </w:rPr>
  </w:style>
  <w:style w:type="paragraph" w:styleId="720">
    <w:name w:val="Title"/>
    <w:basedOn w:val="872"/>
    <w:next w:val="872"/>
    <w:link w:val="721"/>
    <w:uiPriority w:val="10"/>
    <w:qFormat/>
    <w:pPr>
      <w:contextualSpacing/>
      <w:spacing w:before="300" w:after="200"/>
    </w:pPr>
    <w:rPr>
      <w:sz w:val="48"/>
      <w:szCs w:val="48"/>
    </w:rPr>
  </w:style>
  <w:style w:type="character" w:styleId="721">
    <w:name w:val="Title Char"/>
    <w:basedOn w:val="877"/>
    <w:link w:val="720"/>
    <w:uiPriority w:val="10"/>
    <w:rPr>
      <w:sz w:val="48"/>
      <w:szCs w:val="48"/>
    </w:rPr>
  </w:style>
  <w:style w:type="character" w:styleId="722">
    <w:name w:val="Subtitle Char"/>
    <w:basedOn w:val="877"/>
    <w:link w:val="893"/>
    <w:uiPriority w:val="11"/>
    <w:rPr>
      <w:sz w:val="24"/>
      <w:szCs w:val="24"/>
    </w:rPr>
  </w:style>
  <w:style w:type="paragraph" w:styleId="723">
    <w:name w:val="Quote"/>
    <w:basedOn w:val="872"/>
    <w:next w:val="872"/>
    <w:link w:val="724"/>
    <w:uiPriority w:val="29"/>
    <w:qFormat/>
    <w:pPr>
      <w:ind w:left="720" w:right="720"/>
    </w:pPr>
    <w:rPr>
      <w:i/>
    </w:rPr>
  </w:style>
  <w:style w:type="character" w:styleId="724">
    <w:name w:val="Quote Char"/>
    <w:link w:val="723"/>
    <w:uiPriority w:val="29"/>
    <w:rPr>
      <w:i/>
    </w:rPr>
  </w:style>
  <w:style w:type="paragraph" w:styleId="725">
    <w:name w:val="Intense Quote"/>
    <w:basedOn w:val="872"/>
    <w:next w:val="872"/>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7"/>
    <w:link w:val="891"/>
    <w:uiPriority w:val="99"/>
  </w:style>
  <w:style w:type="character" w:styleId="728">
    <w:name w:val="Footer Char"/>
    <w:basedOn w:val="877"/>
    <w:link w:val="890"/>
    <w:uiPriority w:val="99"/>
  </w:style>
  <w:style w:type="paragraph" w:styleId="729">
    <w:name w:val="Caption"/>
    <w:basedOn w:val="872"/>
    <w:next w:val="872"/>
    <w:uiPriority w:val="35"/>
    <w:semiHidden/>
    <w:unhideWhenUsed/>
    <w:qFormat/>
    <w:pPr>
      <w:spacing w:line="276" w:lineRule="auto"/>
    </w:pPr>
    <w:rPr>
      <w:b/>
      <w:bCs/>
      <w:color w:val="4f81bd" w:themeColor="accent1"/>
      <w:sz w:val="18"/>
      <w:szCs w:val="18"/>
    </w:rPr>
  </w:style>
  <w:style w:type="character" w:styleId="730">
    <w:name w:val="Caption Char"/>
    <w:basedOn w:val="729"/>
    <w:link w:val="890"/>
    <w:uiPriority w:val="99"/>
  </w:style>
  <w:style w:type="table" w:styleId="731">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6">
    <w:name w:val="footnote text"/>
    <w:basedOn w:val="872"/>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77"/>
    <w:uiPriority w:val="99"/>
    <w:unhideWhenUsed/>
    <w:rPr>
      <w:vertAlign w:val="superscript"/>
    </w:rPr>
  </w:style>
  <w:style w:type="paragraph" w:styleId="859">
    <w:name w:val="endnote text"/>
    <w:basedOn w:val="872"/>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7"/>
    <w:uiPriority w:val="99"/>
    <w:semiHidden/>
    <w:unhideWhenUsed/>
    <w:rPr>
      <w:vertAlign w:val="superscript"/>
    </w:r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9"/>
    <w:uiPriority w:val="0"/>
    <w:qFormat/>
    <w:pPr>
      <w:jc w:val="both"/>
      <w:widowControl w:val="off"/>
    </w:pPr>
    <w:rPr>
      <w:rFonts w:ascii="Times New Roman" w:hAnsi="Times New Roman" w:eastAsia="宋体" w:cs="Times New Roman"/>
      <w:sz w:val="21"/>
      <w:szCs w:val="22"/>
      <w:lang w:val="en-US" w:eastAsia="zh-CN" w:bidi="ar-SA"/>
    </w:rPr>
  </w:style>
  <w:style w:type="paragraph" w:styleId="873">
    <w:name w:val="Heading 1"/>
    <w:basedOn w:val="872"/>
    <w:next w:val="872"/>
    <w:link w:val="900"/>
    <w:uiPriority w:val="9"/>
    <w:qFormat/>
    <w:pPr>
      <w:keepLines/>
      <w:keepNext/>
      <w:spacing w:before="340" w:after="330" w:line="578" w:lineRule="auto"/>
      <w:outlineLvl w:val="0"/>
    </w:pPr>
    <w:rPr>
      <w:b/>
      <w:bCs/>
      <w:sz w:val="44"/>
      <w:szCs w:val="44"/>
    </w:rPr>
  </w:style>
  <w:style w:type="paragraph" w:styleId="874">
    <w:name w:val="Heading 2"/>
    <w:basedOn w:val="872"/>
    <w:next w:val="872"/>
    <w:link w:val="901"/>
    <w:uiPriority w:val="9"/>
    <w:unhideWhenUsed/>
    <w:qFormat/>
    <w:pPr>
      <w:keepLines/>
      <w:keepNext/>
      <w:spacing w:before="260" w:after="260" w:line="416" w:lineRule="auto"/>
      <w:outlineLvl w:val="1"/>
    </w:pPr>
    <w:rPr>
      <w:rFonts w:ascii="等线 Light" w:hAnsi="等线 Light" w:eastAsia="等线 Light"/>
      <w:b/>
      <w:bCs/>
      <w:sz w:val="32"/>
      <w:szCs w:val="32"/>
    </w:rPr>
  </w:style>
  <w:style w:type="paragraph" w:styleId="875">
    <w:name w:val="Heading 3"/>
    <w:basedOn w:val="872"/>
    <w:next w:val="872"/>
    <w:uiPriority w:val="0"/>
    <w:qFormat/>
    <w:pPr>
      <w:keepLines/>
      <w:keepNext/>
      <w:spacing w:before="260" w:after="260" w:line="413" w:lineRule="auto"/>
      <w:outlineLvl w:val="2"/>
    </w:pPr>
    <w:rPr>
      <w:b/>
      <w:sz w:val="32"/>
    </w:rPr>
  </w:style>
  <w:style w:type="paragraph" w:styleId="876">
    <w:name w:val="Heading 4"/>
    <w:basedOn w:val="872"/>
    <w:next w:val="872"/>
    <w:link w:val="903"/>
    <w:uiPriority w:val="0"/>
    <w:qFormat/>
    <w:pPr>
      <w:spacing w:before="280" w:after="290" w:line="377" w:lineRule="auto"/>
      <w:outlineLvl w:val="3"/>
    </w:pPr>
    <w:rPr>
      <w:rFonts w:ascii="Arial" w:hAnsi="Arial" w:eastAsia="黑体"/>
      <w:b/>
      <w:bCs/>
      <w:sz w:val="28"/>
      <w:szCs w:val="28"/>
    </w:rPr>
  </w:style>
  <w:style w:type="character" w:styleId="877" w:default="1">
    <w:name w:val="Default Paragraph Font"/>
    <w:uiPriority w:val="1"/>
    <w:unhideWhenUsed/>
    <w:qFormat/>
  </w:style>
  <w:style w:type="table" w:styleId="878" w:default="1">
    <w:name w:val="Normal Table"/>
    <w:uiPriority w:val="99"/>
    <w:unhideWhenUsed/>
    <w:qFormat/>
    <w:tblPr>
      <w:tblCellMar>
        <w:left w:w="108" w:type="dxa"/>
        <w:top w:w="0" w:type="dxa"/>
        <w:right w:w="108" w:type="dxa"/>
        <w:bottom w:w="0" w:type="dxa"/>
      </w:tblCellMar>
    </w:tblPr>
  </w:style>
  <w:style w:type="paragraph" w:styleId="879" w:customStyle="1">
    <w:name w:val="Default"/>
    <w:next w:val="872"/>
    <w:uiPriority w:val="0"/>
    <w:qFormat/>
    <w:pPr>
      <w:widowControl w:val="off"/>
    </w:pPr>
    <w:rPr>
      <w:rFonts w:ascii="宋体" w:hAnsi="Times New Roman" w:eastAsia="宋体" w:cs="宋体"/>
      <w:color w:val="000000"/>
      <w:sz w:val="24"/>
      <w:szCs w:val="24"/>
      <w:lang w:val="en-US" w:eastAsia="zh-CN" w:bidi="ar-SA"/>
    </w:rPr>
  </w:style>
  <w:style w:type="paragraph" w:styleId="880">
    <w:name w:val="table of authorities"/>
    <w:basedOn w:val="872"/>
    <w:next w:val="872"/>
    <w:uiPriority w:val="0"/>
    <w:qFormat/>
    <w:pPr>
      <w:ind w:left="420" w:firstLine="200"/>
      <w:spacing w:line="360" w:lineRule="auto"/>
    </w:pPr>
    <w:rPr>
      <w:rFonts w:ascii="Times New Roman" w:hAnsi="Times New Roman"/>
      <w:sz w:val="24"/>
      <w:szCs w:val="24"/>
    </w:rPr>
  </w:style>
  <w:style w:type="paragraph" w:styleId="881">
    <w:name w:val="Normal Indent"/>
    <w:basedOn w:val="872"/>
    <w:link w:val="902"/>
    <w:uiPriority w:val="0"/>
    <w:unhideWhenUsed/>
    <w:qFormat/>
    <w:pPr>
      <w:ind w:firstLine="420"/>
    </w:pPr>
  </w:style>
  <w:style w:type="paragraph" w:styleId="882">
    <w:name w:val="annotation text"/>
    <w:basedOn w:val="872"/>
    <w:link w:val="904"/>
    <w:uiPriority w:val="0"/>
    <w:qFormat/>
    <w:pPr>
      <w:jc w:val="left"/>
    </w:pPr>
  </w:style>
  <w:style w:type="paragraph" w:styleId="883">
    <w:name w:val="Body Text"/>
    <w:basedOn w:val="872"/>
    <w:next w:val="872"/>
    <w:link w:val="905"/>
    <w:uiPriority w:val="0"/>
    <w:qFormat/>
    <w:rPr>
      <w:rFonts w:ascii="楷体_GB2312" w:hAnsi="Arial" w:eastAsia="楷体_GB2312"/>
      <w:sz w:val="28"/>
      <w:szCs w:val="28"/>
    </w:rPr>
  </w:style>
  <w:style w:type="paragraph" w:styleId="884">
    <w:name w:val="Body Text Indent"/>
    <w:basedOn w:val="872"/>
    <w:link w:val="906"/>
    <w:uiPriority w:val="99"/>
    <w:unhideWhenUsed/>
    <w:qFormat/>
    <w:pPr>
      <w:ind w:left="420"/>
      <w:spacing w:after="120"/>
    </w:pPr>
  </w:style>
  <w:style w:type="paragraph" w:styleId="885">
    <w:name w:val="Block Text"/>
    <w:basedOn w:val="872"/>
    <w:uiPriority w:val="0"/>
    <w:qFormat/>
    <w:pPr>
      <w:ind w:left="1440" w:right="1440"/>
      <w:spacing w:after="120"/>
    </w:pPr>
  </w:style>
  <w:style w:type="paragraph" w:styleId="886">
    <w:name w:val="index 4"/>
    <w:basedOn w:val="872"/>
    <w:next w:val="872"/>
    <w:uiPriority w:val="0"/>
    <w:qFormat/>
    <w:pPr>
      <w:ind w:left="600"/>
    </w:pPr>
  </w:style>
  <w:style w:type="paragraph" w:styleId="887">
    <w:name w:val="Plain Text"/>
    <w:basedOn w:val="872"/>
    <w:link w:val="907"/>
    <w:uiPriority w:val="0"/>
    <w:qFormat/>
    <w:rPr>
      <w:rFonts w:ascii="宋体" w:hAnsi="Courier New"/>
      <w:sz w:val="20"/>
      <w:szCs w:val="21"/>
    </w:rPr>
  </w:style>
  <w:style w:type="paragraph" w:styleId="888">
    <w:name w:val="Date"/>
    <w:basedOn w:val="872"/>
    <w:next w:val="872"/>
    <w:link w:val="908"/>
    <w:uiPriority w:val="99"/>
    <w:unhideWhenUsed/>
    <w:qFormat/>
    <w:pPr>
      <w:ind w:left="100"/>
    </w:pPr>
  </w:style>
  <w:style w:type="paragraph" w:styleId="889">
    <w:name w:val="Balloon Text"/>
    <w:basedOn w:val="872"/>
    <w:link w:val="909"/>
    <w:uiPriority w:val="99"/>
    <w:unhideWhenUsed/>
    <w:qFormat/>
    <w:rPr>
      <w:sz w:val="18"/>
      <w:szCs w:val="18"/>
    </w:rPr>
  </w:style>
  <w:style w:type="paragraph" w:styleId="890">
    <w:name w:val="Footer"/>
    <w:basedOn w:val="872"/>
    <w:link w:val="910"/>
    <w:uiPriority w:val="99"/>
    <w:unhideWhenUsed/>
    <w:qFormat/>
    <w:pPr>
      <w:jc w:val="left"/>
      <w:tabs>
        <w:tab w:val="center" w:pos="4153" w:leader="none"/>
        <w:tab w:val="right" w:pos="8306" w:leader="none"/>
      </w:tabs>
    </w:pPr>
    <w:rPr>
      <w:sz w:val="18"/>
      <w:szCs w:val="18"/>
    </w:rPr>
  </w:style>
  <w:style w:type="paragraph" w:styleId="891">
    <w:name w:val="Header"/>
    <w:basedOn w:val="872"/>
    <w:link w:val="9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72"/>
    <w:next w:val="872"/>
    <w:uiPriority w:val="39"/>
    <w:unhideWhenUsed/>
    <w:qFormat/>
  </w:style>
  <w:style w:type="paragraph" w:styleId="893">
    <w:name w:val="Subtitle"/>
    <w:basedOn w:val="872"/>
    <w:next w:val="872"/>
    <w:uiPriority w:val="11"/>
    <w:qFormat/>
    <w:pPr>
      <w:jc w:val="center"/>
      <w:spacing w:before="240" w:after="60" w:line="312" w:lineRule="auto"/>
      <w:outlineLvl w:val="1"/>
    </w:pPr>
    <w:rPr>
      <w:rFonts w:ascii="Cambria" w:hAnsi="Cambria"/>
      <w:b/>
      <w:bCs/>
      <w:sz w:val="32"/>
      <w:szCs w:val="32"/>
    </w:rPr>
  </w:style>
  <w:style w:type="paragraph" w:styleId="894">
    <w:name w:val="Normal (Web)"/>
    <w:basedOn w:val="872"/>
    <w:uiPriority w:val="99"/>
    <w:unhideWhenUsed/>
    <w:qFormat/>
    <w:pPr>
      <w:jc w:val="left"/>
      <w:spacing w:before="100" w:beforeAutospacing="1" w:after="100" w:afterAutospacing="1"/>
      <w:widowControl/>
    </w:pPr>
    <w:rPr>
      <w:rFonts w:ascii="宋体" w:hAnsi="宋体" w:cs="宋体"/>
      <w:sz w:val="24"/>
      <w:szCs w:val="24"/>
    </w:rPr>
  </w:style>
  <w:style w:type="paragraph" w:styleId="895">
    <w:name w:val="Body Text First Indent 2"/>
    <w:basedOn w:val="884"/>
    <w:uiPriority w:val="0"/>
    <w:qFormat/>
    <w:pPr>
      <w:ind w:firstLine="420"/>
    </w:pPr>
  </w:style>
  <w:style w:type="table" w:styleId="896">
    <w:name w:val="Table Grid"/>
    <w:basedOn w:val="8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uiPriority w:val="0"/>
    <w:qFormat/>
    <w:rPr>
      <w:b/>
      <w:bCs/>
    </w:rPr>
  </w:style>
  <w:style w:type="character" w:styleId="898">
    <w:name w:val="Emphasis"/>
    <w:uiPriority w:val="0"/>
    <w:qFormat/>
    <w:rPr>
      <w:i/>
    </w:rPr>
  </w:style>
  <w:style w:type="character" w:styleId="899">
    <w:name w:val="Hyperlink"/>
    <w:basedOn w:val="877"/>
    <w:uiPriority w:val="99"/>
    <w:semiHidden/>
    <w:unhideWhenUsed/>
    <w:qFormat/>
    <w:rPr>
      <w:color w:val="0000ff"/>
      <w:u w:val="single"/>
    </w:rPr>
  </w:style>
  <w:style w:type="character" w:styleId="900" w:customStyle="1">
    <w:name w:val="标题 1 字符"/>
    <w:link w:val="873"/>
    <w:uiPriority w:val="9"/>
    <w:qFormat/>
    <w:rPr>
      <w:b/>
      <w:bCs/>
      <w:sz w:val="44"/>
      <w:szCs w:val="44"/>
    </w:rPr>
  </w:style>
  <w:style w:type="character" w:styleId="901" w:customStyle="1">
    <w:name w:val="标题 2 字符"/>
    <w:link w:val="874"/>
    <w:uiPriority w:val="9"/>
    <w:semiHidden/>
    <w:qFormat/>
    <w:rPr>
      <w:rFonts w:ascii="等线 Light" w:hAnsi="等线 Light" w:eastAsia="等线 Light" w:cs="Times New Roman"/>
      <w:b/>
      <w:bCs/>
      <w:sz w:val="32"/>
      <w:szCs w:val="32"/>
    </w:rPr>
  </w:style>
  <w:style w:type="character" w:styleId="902" w:customStyle="1">
    <w:name w:val="正文缩进 字符"/>
    <w:link w:val="881"/>
    <w:uiPriority w:val="0"/>
    <w:qFormat/>
  </w:style>
  <w:style w:type="character" w:styleId="903" w:customStyle="1">
    <w:name w:val="标题 4 字符"/>
    <w:link w:val="876"/>
    <w:uiPriority w:val="0"/>
    <w:qFormat/>
    <w:rPr>
      <w:rFonts w:ascii="Arial" w:hAnsi="Arial" w:eastAsia="黑体" w:cs="Times New Roman"/>
      <w:b/>
      <w:bCs/>
      <w:sz w:val="28"/>
      <w:szCs w:val="28"/>
    </w:rPr>
  </w:style>
  <w:style w:type="character" w:styleId="904" w:customStyle="1">
    <w:name w:val="批注文字 字符"/>
    <w:link w:val="882"/>
    <w:uiPriority w:val="0"/>
    <w:qFormat/>
    <w:rPr>
      <w:sz w:val="21"/>
      <w:szCs w:val="22"/>
    </w:rPr>
  </w:style>
  <w:style w:type="character" w:styleId="905" w:customStyle="1">
    <w:name w:val="正文文本 字符"/>
    <w:link w:val="883"/>
    <w:uiPriority w:val="0"/>
    <w:qFormat/>
    <w:rPr>
      <w:rFonts w:ascii="楷体_GB2312" w:hAnsi="Arial" w:eastAsia="楷体_GB2312" w:cs="Times New Roman"/>
      <w:sz w:val="28"/>
      <w:szCs w:val="28"/>
    </w:rPr>
  </w:style>
  <w:style w:type="character" w:styleId="906" w:customStyle="1">
    <w:name w:val="正文文本缩进 Char"/>
    <w:link w:val="884"/>
    <w:uiPriority w:val="99"/>
    <w:qFormat/>
    <w:rPr>
      <w:sz w:val="21"/>
      <w:szCs w:val="22"/>
    </w:rPr>
  </w:style>
  <w:style w:type="character" w:styleId="907" w:customStyle="1">
    <w:name w:val="纯文本 字符"/>
    <w:link w:val="887"/>
    <w:uiPriority w:val="0"/>
    <w:qFormat/>
    <w:rPr>
      <w:rFonts w:ascii="宋体" w:hAnsi="Courier New" w:eastAsia="宋体" w:cs="Times New Roman"/>
      <w:szCs w:val="21"/>
    </w:rPr>
  </w:style>
  <w:style w:type="character" w:styleId="908" w:customStyle="1">
    <w:name w:val="日期 字符"/>
    <w:link w:val="888"/>
    <w:uiPriority w:val="99"/>
    <w:semiHidden/>
    <w:qFormat/>
    <w:rPr>
      <w:sz w:val="21"/>
      <w:szCs w:val="22"/>
    </w:rPr>
  </w:style>
  <w:style w:type="character" w:styleId="909" w:customStyle="1">
    <w:name w:val="批注框文本 字符"/>
    <w:link w:val="889"/>
    <w:uiPriority w:val="99"/>
    <w:semiHidden/>
    <w:qFormat/>
    <w:rPr>
      <w:sz w:val="18"/>
      <w:szCs w:val="18"/>
    </w:rPr>
  </w:style>
  <w:style w:type="character" w:styleId="910" w:customStyle="1">
    <w:name w:val="页脚 字符"/>
    <w:link w:val="890"/>
    <w:uiPriority w:val="99"/>
    <w:qFormat/>
    <w:rPr>
      <w:sz w:val="18"/>
      <w:szCs w:val="18"/>
    </w:rPr>
  </w:style>
  <w:style w:type="character" w:styleId="911" w:customStyle="1">
    <w:name w:val="页眉 字符"/>
    <w:link w:val="891"/>
    <w:uiPriority w:val="99"/>
    <w:qFormat/>
    <w:rPr>
      <w:sz w:val="18"/>
      <w:szCs w:val="18"/>
    </w:rPr>
  </w:style>
  <w:style w:type="paragraph" w:styleId="912" w:customStyle="1">
    <w:name w:val="列表项目符号 21"/>
    <w:basedOn w:val="872"/>
    <w:uiPriority w:val="99"/>
    <w:unhideWhenUsed/>
    <w:qFormat/>
    <w:pPr>
      <w:numPr>
        <w:ilvl w:val="0"/>
        <w:numId w:val="1"/>
      </w:numPr>
    </w:pPr>
  </w:style>
  <w:style w:type="character" w:styleId="913" w:customStyle="1">
    <w:name w:val="NormalCharacter"/>
    <w:uiPriority w:val="0"/>
    <w:semiHidden/>
    <w:qFormat/>
    <w:rPr>
      <w:sz w:val="21"/>
      <w:szCs w:val="22"/>
      <w:lang w:val="en-US" w:eastAsia="zh-CN" w:bidi="ar-SA"/>
    </w:rPr>
  </w:style>
  <w:style w:type="character" w:styleId="914" w:customStyle="1">
    <w:name w:val="列出段落 Char"/>
    <w:link w:val="915"/>
    <w:uiPriority w:val="0"/>
    <w:qFormat/>
    <w:rPr>
      <w:sz w:val="24"/>
      <w:szCs w:val="24"/>
      <w:lang w:eastAsia="en-US" w:bidi="en-US"/>
    </w:rPr>
  </w:style>
  <w:style w:type="paragraph" w:styleId="915" w:customStyle="1">
    <w:name w:val="列出段落1"/>
    <w:basedOn w:val="872"/>
    <w:link w:val="914"/>
    <w:uiPriority w:val="0"/>
    <w:qFormat/>
    <w:pPr>
      <w:contextualSpacing/>
      <w:ind w:left="720"/>
      <w:jc w:val="left"/>
      <w:widowControl/>
    </w:pPr>
    <w:rPr>
      <w:sz w:val="24"/>
      <w:szCs w:val="24"/>
      <w:lang w:eastAsia="en-US" w:bidi="en-US"/>
    </w:rPr>
  </w:style>
  <w:style w:type="character" w:styleId="916" w:customStyle="1">
    <w:name w:val="font61"/>
    <w:uiPriority w:val="0"/>
    <w:qFormat/>
    <w:rPr>
      <w:rFonts w:hint="eastAsia" w:ascii="宋体" w:hAnsi="宋体" w:eastAsia="宋体" w:cs="宋体"/>
      <w:color w:val="000000"/>
      <w:sz w:val="24"/>
      <w:szCs w:val="24"/>
      <w:u w:val="none"/>
    </w:rPr>
  </w:style>
  <w:style w:type="character" w:styleId="917" w:customStyle="1">
    <w:name w:val="font21"/>
    <w:uiPriority w:val="0"/>
    <w:qFormat/>
    <w:rPr>
      <w:rFonts w:hint="default" w:ascii="Times New Roman" w:hAnsi="Times New Roman" w:cs="Times New Roman"/>
      <w:color w:val="000000"/>
      <w:sz w:val="24"/>
      <w:szCs w:val="24"/>
      <w:u w:val="none"/>
    </w:rPr>
  </w:style>
  <w:style w:type="character" w:styleId="918" w:customStyle="1">
    <w:name w:val="font71"/>
    <w:uiPriority w:val="0"/>
    <w:qFormat/>
    <w:rPr>
      <w:rFonts w:hint="eastAsia" w:ascii="宋体" w:hAnsi="宋体" w:eastAsia="宋体" w:cs="宋体"/>
      <w:color w:val="000000"/>
      <w:sz w:val="21"/>
      <w:szCs w:val="21"/>
      <w:u w:val="none"/>
    </w:rPr>
  </w:style>
  <w:style w:type="character" w:styleId="919" w:customStyle="1">
    <w:name w:val="font101"/>
    <w:uiPriority w:val="0"/>
    <w:qFormat/>
    <w:rPr>
      <w:rFonts w:hint="default" w:ascii="Times New Roman" w:hAnsi="Times New Roman" w:cs="Times New Roman"/>
      <w:color w:val="000000"/>
      <w:sz w:val="24"/>
      <w:szCs w:val="24"/>
      <w:u w:val="none"/>
    </w:rPr>
  </w:style>
  <w:style w:type="paragraph" w:styleId="920" w:customStyle="1">
    <w:name w:val="普通正文"/>
    <w:basedOn w:val="921"/>
    <w:uiPriority w:val="0"/>
    <w:qFormat/>
    <w:pPr>
      <w:ind w:firstLine="480"/>
      <w:jc w:val="left"/>
      <w:spacing w:before="120" w:after="120" w:line="360" w:lineRule="auto"/>
    </w:pPr>
    <w:rPr>
      <w:rFonts w:ascii="Arial" w:hAnsi="Arial" w:eastAsia="宋体" w:cs="Times New Roman"/>
      <w:sz w:val="24"/>
      <w:szCs w:val="24"/>
    </w:rPr>
  </w:style>
  <w:style w:type="paragraph" w:styleId="921" w:customStyle="1">
    <w:name w:val="正文1"/>
    <w:basedOn w:val="922"/>
    <w:next w:val="923"/>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922" w:customStyle="1">
    <w:name w:val="正文缩进1"/>
    <w:basedOn w:val="872"/>
    <w:uiPriority w:val="0"/>
    <w:unhideWhenUsed/>
    <w:qFormat/>
    <w:pPr>
      <w:ind w:firstLine="420"/>
    </w:pPr>
  </w:style>
  <w:style w:type="paragraph" w:styleId="923" w:customStyle="1">
    <w:name w:val="正文文本1"/>
    <w:basedOn w:val="921"/>
    <w:next w:val="924"/>
    <w:uiPriority w:val="0"/>
    <w:qFormat/>
    <w:pPr>
      <w:spacing w:after="120"/>
    </w:pPr>
    <w:rPr>
      <w:lang w:val="en-US" w:eastAsia="en-US"/>
    </w:rPr>
  </w:style>
  <w:style w:type="paragraph" w:styleId="924" w:customStyle="1">
    <w:name w:val="一级条标题"/>
    <w:basedOn w:val="925"/>
    <w:next w:val="9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5" w:customStyle="1">
    <w:name w:val="章标题"/>
    <w:next w:val="87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6" w:customStyle="1">
    <w:name w:val="段"/>
    <w:basedOn w:val="921"/>
    <w:next w:val="872"/>
    <w:uiPriority w:val="0"/>
    <w:qFormat/>
    <w:pPr>
      <w:ind w:firstLine="200"/>
      <w:widowControl/>
    </w:pPr>
    <w:rPr>
      <w:rFonts w:ascii="宋体"/>
      <w:sz w:val="20"/>
      <w:szCs w:val="20"/>
    </w:rPr>
  </w:style>
  <w:style w:type="paragraph" w:styleId="927" w:customStyle="1">
    <w:name w:val="Char"/>
    <w:basedOn w:val="872"/>
    <w:uiPriority w:val="0"/>
    <w:qFormat/>
    <w:pPr>
      <w:ind w:firstLine="200"/>
      <w:tabs>
        <w:tab w:val="left" w:pos="360" w:leader="none"/>
      </w:tabs>
    </w:pPr>
    <w:rPr>
      <w:rFonts w:ascii="Times New Roman" w:hAnsi="Times New Roman" w:eastAsia="宋体" w:cs="Times New Roman"/>
      <w:sz w:val="28"/>
      <w:szCs w:val="30"/>
    </w:rPr>
  </w:style>
  <w:style w:type="paragraph" w:styleId="928" w:customStyle="1">
    <w:name w:val="p0"/>
    <w:basedOn w:val="872"/>
    <w:uiPriority w:val="0"/>
    <w:qFormat/>
    <w:pPr>
      <w:widowControl/>
    </w:pPr>
    <w:rPr>
      <w:rFonts w:ascii="Times New Roman" w:hAnsi="Times New Roman" w:eastAsia="宋体" w:cs="Times New Roman"/>
      <w:szCs w:val="21"/>
    </w:rPr>
  </w:style>
  <w:style w:type="character" w:styleId="929" w:customStyle="1">
    <w:name w:val="纯文本 字符1"/>
    <w:uiPriority w:val="0"/>
    <w:qFormat/>
    <w:rPr>
      <w:rFonts w:ascii="宋体" w:hAnsi="Courier New" w:eastAsia="宋体" w:cs="Times New Roman"/>
      <w:sz w:val="20"/>
      <w:szCs w:val="21"/>
    </w:rPr>
  </w:style>
  <w:style w:type="paragraph" w:styleId="930">
    <w:name w:val="List Paragraph"/>
    <w:basedOn w:val="872"/>
    <w:uiPriority w:val="34"/>
    <w:qFormat/>
    <w:pPr>
      <w:ind w:firstLine="420"/>
    </w:pPr>
    <w:rPr>
      <w:rFonts w:ascii="Calibri" w:hAnsi="Calibri"/>
    </w:rPr>
  </w:style>
  <w:style w:type="paragraph" w:styleId="93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32" w:customStyle="1">
    <w:name w:val="表内文字居左"/>
    <w:uiPriority w:val="0"/>
    <w:qFormat/>
    <w:pPr>
      <w:jc w:val="both"/>
      <w:widowControl w:val="off"/>
    </w:pPr>
    <w:rPr>
      <w:rFonts w:ascii="Times New Roman" w:hAnsi="Times New Roman" w:eastAsia="宋体" w:cs="Times New Roman"/>
      <w:sz w:val="24"/>
      <w:szCs w:val="24"/>
      <w:lang w:val="en-US" w:eastAsia="zh-CN" w:bidi="ar-SA"/>
    </w:rPr>
  </w:style>
  <w:style w:type="paragraph" w:styleId="933" w:customStyle="1">
    <w:name w:val="UserStyle_0"/>
    <w:basedOn w:val="872"/>
    <w:uiPriority w:val="0"/>
    <w:qFormat/>
    <w:pPr>
      <w:ind w:firstLine="420"/>
      <w:jc w:val="both"/>
    </w:pPr>
    <w:rPr>
      <w:rFonts w:ascii="Calibri" w:hAnsi="Calibri" w:eastAsia="宋体"/>
      <w:sz w:val="21"/>
      <w:szCs w:val="21"/>
      <w:lang w:val="en-US" w:eastAsia="zh-CN" w:bidi="ar-SA"/>
    </w:rPr>
  </w:style>
  <w:style w:type="paragraph" w:styleId="934" w:customStyle="1">
    <w:name w:val="样式 首行缩进:  0 字符"/>
    <w:basedOn w:val="872"/>
    <w:uiPriority w:val="0"/>
    <w:qFormat/>
    <w:pPr>
      <w:ind w:firstLine="200"/>
      <w:spacing w:after="0" w:line="360" w:lineRule="auto"/>
    </w:pPr>
    <w:rPr>
      <w:sz w:val="24"/>
    </w:rPr>
  </w:style>
  <w:style w:type="paragraph" w:styleId="935" w:customStyle="1">
    <w:name w:val="普通(网站)1"/>
    <w:basedOn w:val="872"/>
    <w:uiPriority w:val="0"/>
    <w:qFormat/>
    <w:rPr>
      <w:rFonts w:ascii="Times New Roman" w:hAnsi="Times New Roman"/>
      <w:sz w:val="24"/>
    </w:rPr>
  </w:style>
  <w:style w:type="character" w:styleId="936" w:customStyle="1">
    <w:name w:val="要点1"/>
    <w:uiPriority w:val="0"/>
    <w:qFormat/>
    <w:rPr>
      <w:rFonts w:ascii="Calibri" w:hAnsi="Calibri"/>
      <w:sz w:val="21"/>
      <w:szCs w:val="22"/>
      <w:lang w:val="en-US" w:eastAsia="zh-CN" w:bidi="ar-SA"/>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王美玲</cp:lastModifiedBy>
  <cp:revision>40</cp:revision>
  <dcterms:created xsi:type="dcterms:W3CDTF">2023-02-08T07:47:00Z</dcterms:created>
  <dcterms:modified xsi:type="dcterms:W3CDTF">2026-04-30T06:32:58Z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ADC6FFA1A8764F89ABD7D9F018CAD06D_13</vt:lpwstr>
  </property>
  <property fmtid="{D5CDD505-2E9C-101B-9397-08002B2CF9AE}" pid="4" name="KSOTemplateDocerSaveRecord">
    <vt:lpwstr>eyJoZGlkIjoiNTQ1NTIwYTQ3YjEzOTg0NjM0MDFkZmJlMTFmNDA4NzkiLCJ1c2VySWQiOiIzMDUxODA3NjcifQ==</vt:lpwstr>
  </property>
</Properties>
</file>