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hint="eastAsia" w:ascii="宋体" w:hAnsi="宋体" w:eastAsia="宋体" w:cs="宋体"/>
          <w:color w:val="000000" w:themeColor="text1"/>
          <w:sz w:val="28"/>
          <w:szCs w:val="28"/>
          <w:highlight w:val="none"/>
          <w:lang w:eastAsia="zh-CN"/>
          <w14:textFill>
            <w14:solidFill>
              <w14:schemeClr w14:val="tx1"/>
            </w14:solidFill>
          </w14:textFill>
        </w:rPr>
      </w:pPr>
      <w:r/>
      <w:bookmarkStart w:id="0" w:name="_Hlk69393945"/>
      <w:r/>
      <w:bookmarkStart w:id="1" w:name="_Toc528771312"/>
      <w:r/>
      <w:bookmarkStart w:id="2" w:name="_Toc27744861"/>
      <w:r/>
      <w:bookmarkStart w:id="448" w:name="_GoBack"/>
      <w:r/>
      <w:bookmarkEnd w:id="448"/>
      <w:r>
        <w:rPr>
          <w:rFonts w:hint="eastAsia" w:ascii="宋体" w:hAnsi="宋体" w:cs="宋体"/>
          <w:color w:val="000000" w:themeColor="text1"/>
          <w:sz w:val="28"/>
          <w:szCs w:val="28"/>
          <w:highlight w:val="none"/>
          <w:lang w:eastAsia="zh-CN"/>
          <w14:textFill>
            <w14:solidFill>
              <w14:schemeClr w14:val="tx1"/>
            </w14:solidFill>
          </w14:textFill>
        </w:rPr>
        <w:t xml:space="preserve">JSZC-321012-SHBZ-C2026-0007</w:t>
      </w:r>
      <w:r/>
    </w:p>
    <w:p>
      <w:pPr>
        <w:ind w:right="84"/>
        <w:jc w:val="center"/>
        <w:rPr>
          <w:rFonts w:hint="eastAsia" w:ascii="宋体" w:hAnsi="宋体" w:eastAsia="宋体" w:cs="宋体"/>
          <w:color w:val="000000" w:themeColor="text1"/>
          <w:sz w:val="40"/>
          <w:szCs w:val="36"/>
          <w:highlight w:val="none"/>
          <w14:textFill>
            <w14:solidFill>
              <w14:schemeClr w14:val="tx1"/>
            </w14:solidFill>
          </w14:textFill>
        </w:rPr>
      </w:pPr>
      <w:r>
        <w:rPr>
          <w:rFonts w:hint="eastAsia" w:ascii="宋体" w:hAnsi="宋体" w:eastAsia="宋体" w:cs="宋体"/>
          <w:color w:val="000000" w:themeColor="text1"/>
          <w:sz w:val="40"/>
          <w:szCs w:val="36"/>
          <w:highlight w:val="none"/>
          <w14:textFill>
            <w14:solidFill>
              <w14:schemeClr w14:val="tx1"/>
            </w14:solidFill>
          </w14:textFill>
        </w:rPr>
      </w:r>
      <w:r/>
    </w:p>
    <w:p>
      <w:pPr>
        <w:ind w:right="84"/>
        <w:jc w:val="center"/>
        <w:rPr>
          <w:rFonts w:hint="eastAsia" w:ascii="宋体" w:hAnsi="宋体" w:eastAsia="宋体" w:cs="宋体"/>
          <w:color w:val="000000" w:themeColor="text1"/>
          <w:sz w:val="40"/>
          <w:szCs w:val="36"/>
          <w:highlight w:val="none"/>
          <w14:textFill>
            <w14:solidFill>
              <w14:schemeClr w14:val="tx1"/>
            </w14:solidFill>
          </w14:textFill>
        </w:rPr>
      </w:pPr>
      <w:r>
        <w:rPr>
          <w:rFonts w:hint="eastAsia" w:ascii="宋体" w:hAnsi="宋体" w:eastAsia="宋体" w:cs="宋体"/>
          <w:color w:val="000000" w:themeColor="text1"/>
          <w:sz w:val="40"/>
          <w:szCs w:val="36"/>
          <w:highlight w:val="none"/>
          <w14:textFill>
            <w14:solidFill>
              <w14:schemeClr w14:val="tx1"/>
            </w14:solidFill>
          </w14:textFill>
        </w:rPr>
      </w:r>
      <w:r/>
    </w:p>
    <w:p>
      <w:pPr>
        <w:ind w:right="84"/>
        <w:jc w:val="center"/>
        <w:rPr>
          <w:rFonts w:hint="eastAsia" w:ascii="宋体" w:hAnsi="宋体" w:eastAsia="宋体" w:cs="宋体"/>
          <w:color w:val="000000" w:themeColor="text1"/>
          <w:sz w:val="44"/>
          <w:szCs w:val="44"/>
          <w:highlight w:val="none"/>
          <w14:textFill>
            <w14:solidFill>
              <w14:schemeClr w14:val="tx1"/>
            </w14:solidFill>
          </w14:textFill>
        </w:rPr>
        <w:outlineLvl w:val="0"/>
      </w:pPr>
      <w:r/>
      <w:bookmarkStart w:id="3" w:name="_Toc23403"/>
      <w:r>
        <w:rPr>
          <w:rFonts w:hint="eastAsia" w:ascii="宋体" w:hAnsi="宋体" w:cs="宋体"/>
          <w:color w:val="000000" w:themeColor="text1"/>
          <w:sz w:val="44"/>
          <w:szCs w:val="44"/>
          <w:highlight w:val="none"/>
          <w:lang w:eastAsia="zh-CN"/>
          <w14:textFill>
            <w14:solidFill>
              <w14:schemeClr w14:val="tx1"/>
            </w14:solidFill>
          </w14:textFill>
        </w:rPr>
        <w:t xml:space="preserve">扬州市江都区2026年农村生态河道建设项目一标段(小纪镇)</w:t>
      </w:r>
      <w:r>
        <w:rPr>
          <w:rFonts w:hint="eastAsia" w:ascii="宋体" w:hAnsi="宋体" w:eastAsia="宋体" w:cs="宋体"/>
          <w:color w:val="000000" w:themeColor="text1"/>
          <w:sz w:val="44"/>
          <w:szCs w:val="44"/>
          <w:highlight w:val="none"/>
          <w14:textFill>
            <w14:solidFill>
              <w14:schemeClr w14:val="tx1"/>
            </w14:solidFill>
          </w14:textFill>
        </w:rPr>
        <w:t xml:space="preserve">竞争性磋商文件</w:t>
      </w:r>
      <w:bookmarkEnd w:id="3"/>
      <w:r/>
      <w:r/>
    </w:p>
    <w:p>
      <w:pPr>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1023"/>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right="934"/>
        <w:jc w:val="both"/>
        <w:rPr>
          <w:rFonts w:hint="eastAsia" w:ascii="宋体" w:hAnsi="宋体" w:eastAsia="宋体" w:cs="宋体"/>
          <w:color w:val="000000" w:themeColor="text1"/>
          <w:sz w:val="32"/>
          <w:szCs w:val="36"/>
          <w:highlight w:val="none"/>
          <w14:textFill>
            <w14:solidFill>
              <w14:schemeClr w14:val="tx1"/>
            </w14:solidFill>
          </w14:textFill>
        </w:rPr>
      </w:pPr>
      <w:r>
        <w:rPr>
          <w:rFonts w:hint="eastAsia" w:ascii="宋体" w:hAnsi="宋体" w:eastAsia="宋体" w:cs="宋体"/>
          <w:color w:val="000000" w:themeColor="text1"/>
          <w:sz w:val="32"/>
          <w:szCs w:val="36"/>
          <w:highlight w:val="none"/>
          <w14:textFill>
            <w14:solidFill>
              <w14:schemeClr w14:val="tx1"/>
            </w14:solidFill>
          </w14:textFill>
        </w:rPr>
      </w:r>
      <w:r/>
    </w:p>
    <w:p>
      <w:pPr>
        <w:ind w:right="934"/>
        <w:jc w:val="center"/>
        <w:rPr>
          <w:rFonts w:hint="eastAsia" w:ascii="宋体" w:hAnsi="宋体" w:eastAsia="宋体" w:cs="宋体"/>
          <w:color w:val="000000" w:themeColor="text1"/>
          <w:sz w:val="32"/>
          <w:szCs w:val="36"/>
          <w:highlight w:val="none"/>
          <w14:textFill>
            <w14:solidFill>
              <w14:schemeClr w14:val="tx1"/>
            </w14:solidFill>
          </w14:textFill>
        </w:rPr>
      </w:pPr>
      <w:r>
        <w:rPr>
          <w:rFonts w:hint="eastAsia" w:ascii="宋体" w:hAnsi="宋体" w:eastAsia="宋体" w:cs="宋体"/>
          <w:color w:val="000000" w:themeColor="text1"/>
          <w:sz w:val="32"/>
          <w:szCs w:val="36"/>
          <w:highlight w:val="none"/>
          <w14:textFill>
            <w14:solidFill>
              <w14:schemeClr w14:val="tx1"/>
            </w14:solidFill>
          </w14:textFill>
        </w:rPr>
        <mc:AlternateContent>
          <mc:Choice Requires="wpg">
            <w:drawing>
              <wp:inline xmlns:wp="http://schemas.openxmlformats.org/drawingml/2006/wordprocessingDrawing" distT="0" distB="0" distL="0" distR="0">
                <wp:extent cx="2065655" cy="2065655"/>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tretch/>
                      </pic:blipFill>
                      <pic:spPr bwMode="auto">
                        <a:xfrm>
                          <a:off x="0" y="0"/>
                          <a:ext cx="2065858" cy="20658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2.7pt;height:162.7pt;mso-wrap-distance-left:0.0pt;mso-wrap-distance-top:0.0pt;mso-wrap-distance-right:0.0pt;mso-wrap-distance-bottom:0.0pt;" stroked="f">
                <v:path textboxrect="0,0,0,0"/>
                <v:imagedata r:id="rId16" o:title=""/>
              </v:shape>
            </w:pict>
          </mc:Fallback>
        </mc:AlternateContent>
      </w:r>
      <w:r/>
    </w:p>
    <w:p>
      <w:pPr>
        <w:ind w:right="934"/>
        <w:jc w:val="both"/>
        <w:rPr>
          <w:rFonts w:hint="eastAsia" w:ascii="宋体" w:hAnsi="宋体" w:eastAsia="宋体" w:cs="宋体"/>
          <w:color w:val="000000" w:themeColor="text1"/>
          <w:sz w:val="32"/>
          <w:szCs w:val="36"/>
          <w:highlight w:val="none"/>
          <w14:textFill>
            <w14:solidFill>
              <w14:schemeClr w14:val="tx1"/>
            </w14:solidFill>
          </w14:textFill>
        </w:rPr>
      </w:pPr>
      <w:r>
        <w:rPr>
          <w:rFonts w:hint="eastAsia" w:ascii="宋体" w:hAnsi="宋体" w:eastAsia="宋体" w:cs="宋体"/>
          <w:color w:val="000000" w:themeColor="text1"/>
          <w:sz w:val="32"/>
          <w:szCs w:val="36"/>
          <w:highlight w:val="none"/>
          <w14:textFill>
            <w14:solidFill>
              <w14:schemeClr w14:val="tx1"/>
            </w14:solidFill>
          </w14:textFill>
        </w:rPr>
      </w:r>
      <w:r/>
    </w:p>
    <w:p>
      <w:pPr>
        <w:pStyle w:val="1023"/>
        <w:rPr>
          <w:rFonts w:hint="eastAsia" w:ascii="宋体" w:hAnsi="宋体" w:eastAsia="宋体" w:cs="宋体"/>
          <w:color w:val="000000" w:themeColor="text1"/>
          <w:szCs w:val="36"/>
          <w:highlight w:val="none"/>
          <w14:textFill>
            <w14:solidFill>
              <w14:schemeClr w14:val="tx1"/>
            </w14:solidFill>
          </w14:textFill>
        </w:rPr>
      </w:pPr>
      <w:r>
        <w:rPr>
          <w:rFonts w:hint="eastAsia" w:ascii="宋体" w:hAnsi="宋体" w:eastAsia="宋体" w:cs="宋体"/>
          <w:color w:val="000000" w:themeColor="text1"/>
          <w:szCs w:val="36"/>
          <w:highlight w:val="none"/>
          <w14:textFill>
            <w14:solidFill>
              <w14:schemeClr w14:val="tx1"/>
            </w14:solidFill>
          </w14:textFill>
        </w:rPr>
      </w:r>
      <w:r/>
    </w:p>
    <w:p>
      <w:pPr>
        <w:ind w:right="934"/>
        <w:jc w:val="both"/>
        <w:rPr>
          <w:rFonts w:hint="eastAsia" w:ascii="宋体" w:hAnsi="宋体" w:eastAsia="宋体" w:cs="宋体"/>
          <w:color w:val="000000" w:themeColor="text1"/>
          <w:sz w:val="32"/>
          <w:szCs w:val="36"/>
          <w:highlight w:val="none"/>
          <w14:textFill>
            <w14:solidFill>
              <w14:schemeClr w14:val="tx1"/>
            </w14:solidFill>
          </w14:textFill>
        </w:rPr>
      </w:pPr>
      <w:r>
        <w:rPr>
          <w:rFonts w:hint="eastAsia" w:ascii="宋体" w:hAnsi="宋体" w:eastAsia="宋体" w:cs="宋体"/>
          <w:color w:val="000000" w:themeColor="text1"/>
          <w:sz w:val="32"/>
          <w:szCs w:val="36"/>
          <w:highlight w:val="none"/>
          <w14:textFill>
            <w14:solidFill>
              <w14:schemeClr w14:val="tx1"/>
            </w14:solidFill>
          </w14:textFill>
        </w:rPr>
      </w:r>
      <w:r/>
    </w:p>
    <w:p>
      <w:pPr>
        <w:ind w:right="934" w:firstLine="640"/>
        <w:jc w:val="both"/>
        <w:rPr>
          <w:rFonts w:hint="eastAsia" w:ascii="宋体" w:hAnsi="宋体" w:eastAsia="宋体" w:cs="宋体"/>
          <w:color w:val="000000" w:themeColor="text1"/>
          <w:sz w:val="32"/>
          <w:szCs w:val="36"/>
          <w:highlight w:val="none"/>
          <w:lang w:eastAsia="zh-CN"/>
          <w14:textFill>
            <w14:solidFill>
              <w14:schemeClr w14:val="tx1"/>
            </w14:solidFill>
          </w14:textFill>
        </w:rPr>
      </w:pPr>
      <w:r>
        <w:rPr>
          <w:rFonts w:hint="eastAsia" w:ascii="宋体" w:hAnsi="宋体" w:eastAsia="宋体" w:cs="宋体"/>
          <w:color w:val="000000" w:themeColor="text1"/>
          <w:sz w:val="32"/>
          <w:szCs w:val="36"/>
          <w:highlight w:val="none"/>
          <w14:textFill>
            <w14:solidFill>
              <w14:schemeClr w14:val="tx1"/>
            </w14:solidFill>
          </w14:textFill>
        </w:rPr>
        <w:t xml:space="preserve">采</w:t>
      </w:r>
      <w:r>
        <w:rPr>
          <w:rFonts w:hint="eastAsia" w:ascii="宋体" w:hAnsi="宋体" w:eastAsia="宋体" w:cs="宋体"/>
          <w:color w:val="000000" w:themeColor="text1"/>
          <w:sz w:val="32"/>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6"/>
          <w:highlight w:val="none"/>
          <w14:textFill>
            <w14:solidFill>
              <w14:schemeClr w14:val="tx1"/>
            </w14:solidFill>
          </w14:textFill>
        </w:rPr>
        <w:t xml:space="preserve">购</w:t>
      </w:r>
      <w:r>
        <w:rPr>
          <w:rFonts w:hint="eastAsia" w:ascii="宋体" w:hAnsi="宋体" w:eastAsia="宋体" w:cs="宋体"/>
          <w:color w:val="000000" w:themeColor="text1"/>
          <w:sz w:val="32"/>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6"/>
          <w:highlight w:val="none"/>
          <w14:textFill>
            <w14:solidFill>
              <w14:schemeClr w14:val="tx1"/>
            </w14:solidFill>
          </w14:textFill>
        </w:rPr>
        <w:t xml:space="preserve">人：</w:t>
      </w:r>
      <w:r>
        <w:rPr>
          <w:rFonts w:hint="eastAsia" w:ascii="宋体" w:hAnsi="宋体" w:cs="宋体"/>
          <w:color w:val="000000" w:themeColor="text1"/>
          <w:sz w:val="32"/>
          <w:szCs w:val="36"/>
          <w:highlight w:val="none"/>
          <w:lang w:eastAsia="zh-CN"/>
          <w14:textFill>
            <w14:solidFill>
              <w14:schemeClr w14:val="tx1"/>
            </w14:solidFill>
          </w14:textFill>
        </w:rPr>
        <w:t xml:space="preserve">扬州市江都区小纪镇人民政府</w:t>
      </w:r>
      <w:r/>
    </w:p>
    <w:p>
      <w:pPr>
        <w:ind w:right="934" w:firstLine="640"/>
        <w:jc w:val="both"/>
        <w:rPr>
          <w:rFonts w:hint="eastAsia" w:ascii="宋体" w:hAnsi="宋体" w:eastAsia="宋体" w:cs="宋体"/>
          <w:color w:val="000000" w:themeColor="text1"/>
          <w:sz w:val="32"/>
          <w:szCs w:val="36"/>
          <w:highlight w:val="none"/>
          <w14:textFill>
            <w14:solidFill>
              <w14:schemeClr w14:val="tx1"/>
            </w14:solidFill>
          </w14:textFill>
        </w:rPr>
      </w:pPr>
      <w:r>
        <w:rPr>
          <w:rFonts w:hint="eastAsia" w:ascii="宋体" w:hAnsi="宋体" w:eastAsia="宋体" w:cs="宋体"/>
          <w:color w:val="000000" w:themeColor="text1"/>
          <w:sz w:val="32"/>
          <w:szCs w:val="36"/>
          <w:highlight w:val="none"/>
          <w14:textFill>
            <w14:solidFill>
              <w14:schemeClr w14:val="tx1"/>
            </w14:solidFill>
          </w14:textFill>
        </w:rPr>
        <w:t xml:space="preserve">代理机构：苏合邦筑工程咨询集团股份有限公司</w:t>
      </w:r>
      <w:r/>
    </w:p>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二〇二</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6"/>
          <w:szCs w:val="36"/>
          <w:highlight w:val="none"/>
          <w14:textFill>
            <w14:solidFill>
              <w14:schemeClr w14:val="tx1"/>
            </w14:solidFill>
          </w14:textFill>
        </w:rPr>
        <w:t xml:space="preserve">年</w:t>
      </w:r>
      <w:r>
        <w:rPr>
          <w:rFonts w:hint="eastAsia" w:ascii="宋体" w:hAnsi="宋体" w:cs="宋体"/>
          <w:color w:val="000000" w:themeColor="text1"/>
          <w:sz w:val="36"/>
          <w:szCs w:val="36"/>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36"/>
          <w:szCs w:val="36"/>
          <w:highlight w:val="none"/>
          <w14:textFill>
            <w14:solidFill>
              <w14:schemeClr w14:val="tx1"/>
            </w14:solidFill>
          </w14:textFill>
        </w:rPr>
        <w:t xml:space="preserve">月</w:t>
      </w:r>
      <w:r>
        <w:rPr>
          <w:rFonts w:hint="eastAsia" w:ascii="宋体" w:hAnsi="宋体" w:eastAsia="宋体" w:cs="宋体"/>
          <w:color w:val="000000" w:themeColor="text1"/>
          <w:highlight w:val="none"/>
          <w14:textFill>
            <w14:solidFill>
              <w14:schemeClr w14:val="tx1"/>
            </w14:solidFill>
          </w14:textFill>
        </w:rPr>
        <w:br w:type="page" w:clear="all"/>
      </w:r>
      <w:r/>
    </w:p>
    <w:p>
      <w:pPr>
        <w:jc w:val="center"/>
        <w:spacing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目 录</w:t>
      </w:r>
      <w:r/>
    </w:p>
    <w:p>
      <w:pPr>
        <w:pStyle w:val="1046"/>
        <w:jc w:val="both"/>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TOC \o "1-3" \f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第一章 竞争性磋商采购公告</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_Toc24299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46"/>
        <w:jc w:val="both"/>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第二章 磋商须知</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_Toc23352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46"/>
        <w:jc w:val="both"/>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第三章 合同条款及格式</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_Toc24601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18</w:t>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46"/>
        <w:jc w:val="both"/>
        <w:spacing w:line="360" w:lineRule="auto"/>
        <w:tabs>
          <w:tab w:val="right" w:pos="9922" w:leader="dot"/>
        </w:tabs>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第四章 项目需求</w:t>
      </w:r>
      <w:r>
        <w:rPr>
          <w:rFonts w:hint="eastAsia" w:ascii="宋体" w:hAnsi="宋体" w:cs="宋体"/>
          <w:color w:val="000000" w:themeColor="text1"/>
          <w:sz w:val="28"/>
          <w:szCs w:val="28"/>
          <w:highlight w:val="none"/>
          <w:lang w:val="en-US" w:eastAsia="zh-CN"/>
          <w14:textFill>
            <w14:solidFill>
              <w14:schemeClr w14:val="tx1"/>
            </w14:solidFill>
          </w14:textFill>
        </w:rPr>
        <w:t xml:space="preserve">........................................31</w:t>
      </w:r>
      <w:r/>
    </w:p>
    <w:p>
      <w:pPr>
        <w:pStyle w:val="1046"/>
        <w:jc w:val="both"/>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第五章 评审方法及评审标准</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39</w:t>
      </w:r>
      <w:r>
        <w:rPr>
          <w:rFonts w:hint="eastAsia" w:ascii="宋体" w:hAnsi="宋体" w:eastAsia="宋体" w:cs="宋体"/>
          <w:color w:val="000000" w:themeColor="text1"/>
          <w:sz w:val="28"/>
          <w:szCs w:val="28"/>
          <w:highlight w:val="none"/>
          <w14:textFill>
            <w14:solidFill>
              <w14:schemeClr w14:val="tx1"/>
            </w14:solidFill>
          </w14:textFill>
        </w:rPr>
      </w:r>
      <w:r/>
    </w:p>
    <w:p>
      <w:pPr>
        <w:pStyle w:val="1046"/>
        <w:jc w:val="both"/>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第六章 竞争性磋商响应文件式</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43</w:t>
      </w: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20"/>
        <w:spacing w:line="360" w:lineRule="auto"/>
        <w:rPr>
          <w:rFonts w:hint="eastAsia" w:ascii="宋体" w:hAnsi="宋体" w:eastAsia="宋体" w:cs="宋体"/>
          <w:color w:val="000000" w:themeColor="text1"/>
          <w:szCs w:val="36"/>
          <w:highlight w:val="none"/>
          <w14:textFill>
            <w14:solidFill>
              <w14:schemeClr w14:val="tx1"/>
            </w14:solidFill>
          </w14:textFill>
        </w:rPr>
        <w:sectPr>
          <w:headerReference w:type="default" r:id="rId9"/>
          <w:footerReference w:type="default" r:id="rId11"/>
          <w:footerReference w:type="first" r:id="rId12"/>
          <w:footnotePr/>
          <w:endnotePr/>
          <w:type w:val="nextPage"/>
          <w:pgSz w:w="11906" w:h="16838" w:orient="portrait"/>
          <w:pgMar w:top="1440" w:right="1803" w:bottom="1440" w:left="1803" w:header="851" w:footer="992" w:gutter="0"/>
          <w:pgNumType w:start="1"/>
          <w:cols w:num="1" w:sep="0" w:space="720" w:equalWidth="1"/>
          <w:docGrid w:linePitch="360"/>
          <w:titlePg/>
        </w:sectPr>
      </w:pPr>
      <w:r/>
      <w:bookmarkStart w:id="4" w:name="_Toc109304965"/>
      <w:r/>
      <w:r/>
    </w:p>
    <w:p>
      <w:pPr>
        <w:pStyle w:val="1020"/>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bookmarkStart w:id="5" w:name="_Toc152"/>
      <w:r/>
      <w:bookmarkStart w:id="6" w:name="_Toc24299"/>
      <w:r>
        <w:rPr>
          <w:rFonts w:hint="eastAsia" w:ascii="宋体" w:hAnsi="宋体" w:eastAsia="宋体" w:cs="宋体"/>
          <w:color w:val="000000" w:themeColor="text1"/>
          <w:sz w:val="36"/>
          <w:szCs w:val="36"/>
          <w:highlight w:val="none"/>
          <w14:textFill>
            <w14:solidFill>
              <w14:schemeClr w14:val="tx1"/>
            </w14:solidFill>
          </w14:textFill>
        </w:rPr>
        <w:t xml:space="preserve">第一章 </w:t>
      </w:r>
      <w:r>
        <w:rPr>
          <w:rFonts w:hint="eastAsia" w:ascii="宋体" w:hAnsi="宋体" w:cs="宋体"/>
          <w:color w:val="000000" w:themeColor="text1"/>
          <w:sz w:val="36"/>
          <w:szCs w:val="36"/>
          <w:highlight w:val="none"/>
          <w:lang w:eastAsia="zh-CN"/>
          <w14:textFill>
            <w14:solidFill>
              <w14:schemeClr w14:val="tx1"/>
            </w14:solidFill>
          </w14:textFill>
        </w:rPr>
        <w:t xml:space="preserve">扬州市江都区2026年农村生态河道建设项目一标段(小纪镇)</w:t>
      </w:r>
      <w:r>
        <w:rPr>
          <w:rFonts w:hint="eastAsia" w:ascii="宋体" w:hAnsi="宋体" w:eastAsia="宋体" w:cs="宋体"/>
          <w:color w:val="000000" w:themeColor="text1"/>
          <w:sz w:val="36"/>
          <w:szCs w:val="36"/>
          <w:highlight w:val="none"/>
          <w14:textFill>
            <w14:solidFill>
              <w14:schemeClr w14:val="tx1"/>
            </w14:solidFill>
          </w14:textFill>
        </w:rPr>
        <w:t xml:space="preserve">竞争性磋商采购公告</w:t>
      </w:r>
      <w:bookmarkEnd w:id="5"/>
      <w:r/>
      <w:bookmarkEnd w:id="6"/>
      <w:r/>
      <w:r/>
    </w:p>
    <w:p>
      <w:pPr>
        <w:ind w:firstLine="48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受（</w:t>
      </w:r>
      <w:r>
        <w:rPr>
          <w:rFonts w:hint="eastAsia" w:ascii="宋体" w:hAnsi="宋体" w:cs="宋体"/>
          <w:color w:val="000000" w:themeColor="text1"/>
          <w:sz w:val="21"/>
          <w:szCs w:val="21"/>
          <w:highlight w:val="none"/>
          <w:lang w:eastAsia="zh-CN"/>
          <w14:textFill>
            <w14:solidFill>
              <w14:schemeClr w14:val="tx1"/>
            </w14:solidFill>
          </w14:textFill>
        </w:rPr>
        <w:t xml:space="preserve">扬州市江都区小纪镇人民政府</w:t>
      </w:r>
      <w:r>
        <w:rPr>
          <w:rFonts w:hint="eastAsia" w:ascii="宋体" w:hAnsi="宋体" w:eastAsia="宋体" w:cs="宋体"/>
          <w:color w:val="000000" w:themeColor="text1"/>
          <w:sz w:val="21"/>
          <w:szCs w:val="21"/>
          <w:highlight w:val="none"/>
          <w14:textFill>
            <w14:solidFill>
              <w14:schemeClr w14:val="tx1"/>
            </w14:solidFill>
          </w14:textFill>
        </w:rPr>
        <w:t xml:space="preserve">）的委托，（苏合邦筑工程咨询集团股份有限公司）关于（</w:t>
      </w:r>
      <w:r>
        <w:rPr>
          <w:rFonts w:hint="eastAsia" w:ascii="宋体" w:hAnsi="宋体" w:cs="宋体"/>
          <w:color w:val="000000" w:themeColor="text1"/>
          <w:sz w:val="21"/>
          <w:szCs w:val="21"/>
          <w:highlight w:val="none"/>
          <w:lang w:eastAsia="zh-CN"/>
          <w14:textFill>
            <w14:solidFill>
              <w14:schemeClr w14:val="tx1"/>
            </w14:solidFill>
          </w14:textFill>
        </w:rPr>
        <w:t xml:space="preserve">扬州市江都区2026年农村生态河道建设项目一标段(小纪镇)</w:t>
      </w:r>
      <w:r>
        <w:rPr>
          <w:rFonts w:hint="eastAsia" w:ascii="宋体" w:hAnsi="宋体" w:eastAsia="宋体" w:cs="宋体"/>
          <w:color w:val="000000" w:themeColor="text1"/>
          <w:sz w:val="21"/>
          <w:szCs w:val="21"/>
          <w:highlight w:val="none"/>
          <w14:textFill>
            <w14:solidFill>
              <w14:schemeClr w14:val="tx1"/>
            </w14:solidFill>
          </w14:textFill>
        </w:rPr>
        <w:t xml:space="preserve">）实施政府采购，本次采购采用竞争性磋商方式，欢迎符合条件的供应商参加磋商。</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000000" w:themeColor="text1"/>
          <w:sz w:val="21"/>
          <w:szCs w:val="21"/>
          <w:highlight w:val="none"/>
          <w14:textFill>
            <w14:solidFill>
              <w14:schemeClr w14:val="tx1"/>
            </w14:solidFill>
          </w14:textFill>
        </w:rPr>
        <w:t xml:space="preserve">项目概况：</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扬州市江都区2026年农村生态河道建设项目一标段(小纪镇)</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采购项目的潜在供应商</w:t>
      </w:r>
      <w:r>
        <w:rPr>
          <w:rFonts w:hint="eastAsia" w:ascii="宋体" w:hAnsi="宋体" w:eastAsia="宋体" w:cs="宋体"/>
          <w:color w:val="000000" w:themeColor="text1"/>
          <w:sz w:val="21"/>
          <w:szCs w:val="21"/>
          <w:highlight w:val="none"/>
          <w:u w:val="single"/>
          <w14:textFill>
            <w14:solidFill>
              <w14:schemeClr w14:val="tx1"/>
            </w14:solidFill>
          </w14:textFill>
        </w:rPr>
        <w:t xml:space="preserve">可在“扬州市政府采购网”、“江苏省政府采购网”、自行免费下载</w:t>
      </w:r>
      <w:r>
        <w:rPr>
          <w:rFonts w:hint="eastAsia" w:ascii="宋体" w:hAnsi="宋体" w:eastAsia="宋体" w:cs="宋体"/>
          <w:color w:val="000000" w:themeColor="text1"/>
          <w:sz w:val="21"/>
          <w:szCs w:val="21"/>
          <w:highlight w:val="none"/>
          <w14:textFill>
            <w14:solidFill>
              <w14:schemeClr w14:val="tx1"/>
            </w14:solidFill>
          </w14:textFill>
        </w:rPr>
        <w:t xml:space="preserve">采购文件，并于</w:t>
      </w:r>
      <w:r>
        <w:rPr>
          <w:rFonts w:hint="eastAsia" w:ascii="宋体" w:hAnsi="宋体" w:eastAsia="宋体" w:cs="宋体"/>
          <w:bCs/>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cs="宋体"/>
          <w:bCs/>
          <w:color w:val="000000" w:themeColor="text1"/>
          <w:sz w:val="21"/>
          <w:szCs w:val="21"/>
          <w:highlight w:val="none"/>
          <w:u w:val="single"/>
          <w:lang w:eastAsia="zh-CN"/>
          <w14:textFill>
            <w14:solidFill>
              <w14:schemeClr w14:val="tx1"/>
            </w14:solidFill>
          </w14:textFill>
        </w:rPr>
        <w:t xml:space="preserve">5月8日</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9点30分</w:t>
      </w:r>
      <w:r>
        <w:rPr>
          <w:rFonts w:hint="eastAsia" w:ascii="宋体" w:hAnsi="宋体" w:eastAsia="宋体" w:cs="宋体"/>
          <w:bCs/>
          <w:color w:val="000000" w:themeColor="text1"/>
          <w:sz w:val="21"/>
          <w:szCs w:val="21"/>
          <w:highlight w:val="none"/>
          <w14:textFill>
            <w14:solidFill>
              <w14:schemeClr w14:val="tx1"/>
            </w14:solidFill>
          </w14:textFill>
        </w:rPr>
        <w:t xml:space="preserve">（北京时间）前提交响应文件</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7" w:name="_Toc109304963"/>
      <w:r/>
      <w:bookmarkStart w:id="8" w:name="_Toc30774"/>
      <w:r>
        <w:rPr>
          <w:rFonts w:hint="eastAsia" w:ascii="宋体" w:hAnsi="宋体" w:eastAsia="宋体" w:cs="宋体"/>
          <w:bCs w:val="0"/>
          <w:color w:val="000000" w:themeColor="text1"/>
          <w:sz w:val="21"/>
          <w:szCs w:val="21"/>
          <w:highlight w:val="none"/>
          <w14:textFill>
            <w14:solidFill>
              <w14:schemeClr w14:val="tx1"/>
            </w14:solidFill>
          </w14:textFill>
        </w:rPr>
        <w:t xml:space="preserve">一、项目基本情况</w:t>
      </w:r>
      <w:bookmarkEnd w:id="7"/>
      <w:r/>
      <w:bookmarkEnd w:id="8"/>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1.项目编号：</w:t>
      </w:r>
      <w:r>
        <w:rPr>
          <w:rFonts w:hint="eastAsia" w:ascii="宋体" w:hAnsi="宋体" w:cs="宋体"/>
          <w:color w:val="000000" w:themeColor="text1"/>
          <w:sz w:val="21"/>
          <w:szCs w:val="21"/>
          <w:highlight w:val="none"/>
          <w:lang w:eastAsia="zh-CN"/>
          <w14:textFill>
            <w14:solidFill>
              <w14:schemeClr w14:val="tx1"/>
            </w14:solidFill>
          </w14:textFill>
        </w:rPr>
        <w:t xml:space="preserve">JSZC-321012-SHBZ-C2026-0007</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扬州市江都区2026年农村生态河道建设项目一标段(小纪镇)</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3.采购方式：竞争性磋商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4.预算价：</w:t>
      </w:r>
      <w:r>
        <w:rPr>
          <w:rFonts w:hint="eastAsia" w:ascii="宋体" w:hAnsi="宋体" w:cs="宋体"/>
          <w:color w:val="000000" w:themeColor="text1"/>
          <w:sz w:val="21"/>
          <w:szCs w:val="21"/>
          <w:highlight w:val="none"/>
          <w:lang w:eastAsia="zh-CN"/>
          <w14:textFill>
            <w14:solidFill>
              <w14:schemeClr w14:val="tx1"/>
            </w14:solidFill>
          </w14:textFill>
        </w:rPr>
        <w:t xml:space="preserve">157.512312</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rPr>
          <w:rFonts w:hint="eastAsia" w:ascii="宋体" w:hAnsi="宋体" w:eastAsia="宋体" w:cs="宋体"/>
          <w:color w:val="000000" w:themeColor="text1"/>
          <w:sz w:val="21"/>
          <w:szCs w:val="21"/>
          <w:highlight w:val="none"/>
          <w14:textFill>
            <w14:solidFill>
              <w14:schemeClr w14:val="tx1"/>
            </w14:solidFill>
          </w14:textFill>
        </w:rPr>
        <w:t xml:space="preserve">；最高限价：</w:t>
      </w:r>
      <w:r>
        <w:rPr>
          <w:rFonts w:hint="eastAsia" w:ascii="宋体" w:hAnsi="宋体" w:cs="宋体"/>
          <w:color w:val="000000" w:themeColor="text1"/>
          <w:sz w:val="21"/>
          <w:szCs w:val="21"/>
          <w:highlight w:val="none"/>
          <w:lang w:eastAsia="zh-CN"/>
          <w14:textFill>
            <w14:solidFill>
              <w14:schemeClr w14:val="tx1"/>
            </w14:solidFill>
          </w14:textFill>
        </w:rPr>
        <w:t xml:space="preserve">157.512312</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rPr>
          <w:rFonts w:hint="eastAsia" w:ascii="宋体" w:hAnsi="宋体" w:eastAsia="宋体" w:cs="宋体"/>
          <w:color w:val="000000" w:themeColor="text1"/>
          <w:sz w:val="21"/>
          <w:szCs w:val="21"/>
          <w:highlight w:val="none"/>
          <w14:textFill>
            <w14:solidFill>
              <w14:schemeClr w14:val="tx1"/>
            </w14:solidFill>
          </w14:textFill>
        </w:rPr>
        <w:t xml:space="preserve">，报价高于最高限价的为无效标。</w:t>
      </w:r>
      <w:r/>
    </w:p>
    <w:p>
      <w:pPr>
        <w:ind w:firstLine="420"/>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5.采购需求：</w:t>
      </w:r>
      <w:r>
        <w:rPr>
          <w:rFonts w:hint="eastAsia" w:ascii="宋体" w:hAnsi="宋体" w:eastAsia="宋体" w:cs="宋体"/>
          <w:color w:val="000000" w:themeColor="text1"/>
          <w:sz w:val="21"/>
          <w:szCs w:val="21"/>
          <w:highlight w:val="none"/>
          <w:u w:val="none"/>
          <w14:textFill>
            <w14:solidFill>
              <w14:schemeClr w14:val="tx1"/>
            </w14:solidFill>
          </w14:textFill>
        </w:rPr>
        <w:t xml:space="preserve">详见磋商文件第四章</w:t>
      </w:r>
      <w:r>
        <w:rPr>
          <w:rFonts w:hint="eastAsia" w:ascii="宋体" w:hAnsi="宋体" w:cs="宋体"/>
          <w:color w:val="000000" w:themeColor="text1"/>
          <w:sz w:val="21"/>
          <w:szCs w:val="21"/>
          <w:highlight w:val="none"/>
          <w:u w:val="none"/>
          <w:lang w:eastAsia="zh-CN"/>
          <w14:textFill>
            <w14:solidFill>
              <w14:schemeClr w14:val="tx1"/>
            </w14:solidFill>
          </w14:textFill>
        </w:rPr>
        <w:t xml:space="preserve">。</w:t>
      </w:r>
      <w:r/>
    </w:p>
    <w:p>
      <w:pPr>
        <w:ind w:firstLine="420"/>
        <w:spacing w:line="360" w:lineRule="auto"/>
        <w:rPr>
          <w:rFonts w:hint="default" w:ascii="宋体" w:hAnsi="宋体" w:eastAsia="宋体" w:cs="宋体"/>
          <w:color w:val="000000" w:themeColor="text1"/>
          <w:sz w:val="21"/>
          <w:szCs w:val="21"/>
          <w:highlight w:val="none"/>
          <w:u w:val="none"/>
          <w:lang w:val="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6.合同履行期限：</w:t>
      </w:r>
      <w:r>
        <w:rPr>
          <w:rFonts w:hint="eastAsia" w:ascii="宋体" w:hAnsi="宋体" w:cs="宋体"/>
          <w:color w:val="000000" w:themeColor="text1"/>
          <w:sz w:val="21"/>
          <w:szCs w:val="21"/>
          <w:highlight w:val="none"/>
          <w:lang w:val="en-US" w:eastAsia="zh-CN"/>
          <w14:textFill>
            <w14:solidFill>
              <w14:schemeClr w14:val="tx1"/>
            </w14:solidFill>
          </w14:textFill>
        </w:rPr>
        <w:t xml:space="preserve">150日历天。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7.本项目不接受联合体投标。</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9" w:name="_Toc32345"/>
      <w:r/>
      <w:bookmarkStart w:id="10" w:name="_Toc109304964"/>
      <w:r>
        <w:rPr>
          <w:rFonts w:hint="eastAsia" w:ascii="宋体" w:hAnsi="宋体" w:eastAsia="宋体" w:cs="宋体"/>
          <w:bCs w:val="0"/>
          <w:color w:val="000000" w:themeColor="text1"/>
          <w:sz w:val="21"/>
          <w:szCs w:val="21"/>
          <w:highlight w:val="none"/>
          <w14:textFill>
            <w14:solidFill>
              <w14:schemeClr w14:val="tx1"/>
            </w14:solidFill>
          </w14:textFill>
        </w:rPr>
        <w:t xml:space="preserve">二、申请人的资格要求：</w:t>
      </w:r>
      <w:bookmarkEnd w:id="9"/>
      <w:r/>
      <w:bookmarkEnd w:id="10"/>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1.满足《中华人民共和国政府采购法》第二十二条规定，并提供下列材料：</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法人或者其他组织的营业执照等证明文件，自然人的身份证明（身份证为正、反面）</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 依法缴纳职工社会保障资金的证明材料（可提供“基本资格条件承诺函”）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 依法纳税的缴款凭证（可提供“基本资格条件承诺函”）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 具有良好的商业信誉和健全的财务会计制度（可提供“基本资格条件承诺函”）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 具备履行合同所必需的设备和专业技术能力（可提供“基本资格条件承诺函”）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14:ligatures w14:val="none"/>
        </w:rPr>
      </w:pPr>
      <w:r>
        <w:rPr>
          <w:rFonts w:hint="eastAsia" w:ascii="宋体" w:hAnsi="宋体" w:eastAsia="宋体" w:cs="宋体"/>
          <w:color w:val="000000" w:themeColor="text1"/>
          <w:sz w:val="21"/>
          <w:szCs w:val="21"/>
          <w:highlight w:val="none"/>
          <w14:textFill>
            <w14:solidFill>
              <w14:schemeClr w14:val="tx1"/>
            </w14:solidFill>
          </w14:textFill>
        </w:rPr>
        <w:t xml:space="preserve">1.6</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参加本次政府采购活动前3年内在经营活动中没有重大违法记录的书面声明（可提供“基本资格条件承诺函”）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未被“信用中国”网站（www.creditchina.gov.cn）、“中国政府采购网"(www.ccgp.gov.cn)列入失信被执行人、重大税收违法案件当事人名单、政府采购严重违法失信行为记录名单（可提供“基本资格条件承诺函”）</w:t>
      </w:r>
      <w:r/>
    </w:p>
    <w:p>
      <w:pPr>
        <w:ind w:firstLine="420"/>
        <w:spacing w:line="360" w:lineRule="auto"/>
        <w:rPr>
          <w:rFonts w:hint="eastAsia" w:ascii="宋体" w:hAnsi="宋体" w:eastAsia="宋体" w:cs="宋体"/>
          <w:i/>
          <w:iCs/>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供应商信用承诺函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落实政府采购政策需满足的资格要求：根据《政府采购促进中小企业发展管理办法》的规定，本项目专门面向中小企业采购，供应商投标时须提供《中小企业声明函》，《中小企业声明函》不符合要求或未提供的，投标文件无效。</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3.本项目的特定资格要求：</w:t>
      </w:r>
      <w:bookmarkStart w:id="11" w:name="_Toc17557"/>
      <w:r/>
      <w:r/>
    </w:p>
    <w:p>
      <w:pPr>
        <w:ind w:left="0" w:right="0" w:firstLine="420"/>
        <w:jc w:val="both"/>
        <w:pageBreakBefore w:val="0"/>
        <w:spacing w:before="0" w:after="0" w:line="360" w:lineRule="auto"/>
        <w:rPr>
          <w:rFonts w:hint="eastAsia" w:ascii="宋体" w:hAnsi="宋体" w:eastAsia="宋体" w:cs="宋体"/>
          <w:i/>
          <w:iCs/>
          <w:color w:val="000000" w:themeColor="text1"/>
          <w:sz w:val="21"/>
          <w:szCs w:val="2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1供应商应具备水利水电工程施工总承包三级（含）以上资质</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(供应商提供证书原件扫描上传）</w:t>
      </w:r>
      <w:r/>
    </w:p>
    <w:p>
      <w:pPr>
        <w:ind w:left="0" w:right="0" w:firstLine="420"/>
        <w:jc w:val="both"/>
        <w:pageBreakBefore w:val="0"/>
        <w:spacing w:before="0" w:after="0" w:line="360" w:lineRule="auto"/>
        <w:rPr>
          <w:rFonts w:hint="eastAsia" w:ascii="宋体" w:hAnsi="宋体" w:eastAsia="宋体" w:cs="宋体"/>
          <w:i/>
          <w:iCs/>
          <w:color w:val="000000" w:themeColor="text1"/>
          <w:sz w:val="21"/>
          <w:szCs w:val="2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2拟派项目经理为本公司正式员工，正常缴纳社会保险，无在建工程，应具有水利水电工程专业注册建造师二级（含）以上资格</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（供应商提供上述人员证书原件扫描上传、供应商为其缴纳的近三个月内任意一个月社保证明原件扫描上传、项目经理无在建工程承诺书原件扫描上传）</w:t>
      </w:r>
      <w:r/>
    </w:p>
    <w:p>
      <w:pPr>
        <w:ind w:left="0" w:right="0" w:firstLine="420"/>
        <w:jc w:val="both"/>
        <w:pageBreakBefore w:val="0"/>
        <w:spacing w:before="0" w:after="0" w:line="360" w:lineRule="auto"/>
        <w:rPr>
          <w:rFonts w:hint="eastAsia" w:ascii="宋体" w:hAnsi="宋体" w:eastAsia="宋体" w:cs="宋体"/>
          <w:i/>
          <w:iCs/>
          <w:color w:val="000000" w:themeColor="text1"/>
          <w:sz w:val="21"/>
          <w:szCs w:val="2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3供应商具备安全生产条件，并取得有效期内的安全生产许可证</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(供应商提供证书原件扫描上传）</w:t>
      </w:r>
      <w:r/>
    </w:p>
    <w:p>
      <w:pPr>
        <w:ind w:left="0" w:right="0" w:firstLine="420"/>
        <w:jc w:val="both"/>
        <w:pageBreakBefore w:val="0"/>
        <w:spacing w:before="0" w:after="0" w:line="360" w:lineRule="auto"/>
        <w:rPr>
          <w:rFonts w:ascii="宋体" w:hAnsi="宋体" w:eastAsia="宋体" w:cs="宋体"/>
          <w:b/>
          <w:bCs/>
          <w:i/>
          <w:color w:val="000000" w:themeColor="text1"/>
          <w:sz w:val="21"/>
          <w:szCs w:val="21"/>
          <w:highlight w:val="none"/>
          <w:u w:val="singl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4供应商主要负责人、项目经理、专职安全员（下称“三类人员”）均应具有水行政主管部门颁发的安全生产考核合格证（分别为A、B、C类）。</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(供应商提供证书原件扫描上传、供应商为其缴纳的近三个月内任意一个月社保证明原件扫描上传）</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三、获取采购文件</w:t>
      </w:r>
      <w:bookmarkEnd w:id="4"/>
      <w:r/>
      <w:bookmarkEnd w:id="11"/>
      <w:r/>
      <w:r/>
    </w:p>
    <w:p>
      <w:pPr>
        <w:ind w:firstLine="5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1.时间：自磋商公告发布之日起5个工作日。5个工作日后仍可下载采购文件，但不作为供应商权益受到损害的证明材料和依据</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2.获取方式：本项目采用网上注册登记方式。</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3.潜在供应商访问政府采购管理交易系统（苏采云）的网络地址和方法：</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（3）“CA数字证书”的办理材料以及供应商操作手册详见：</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http://zfcg.yangzhou.gov.cn/zfcg/xzzx/202309/4d7de1f7865f4a2894fc22bc452f94d8.shtml。</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（4）潜在供应商访问“苏采云”系统的网络地址和方法：“苏采云”系统的网址：http://jszfcg.jsczt.cn/。</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（6）招标代理机构（采购代理机构）将数据电文形式的采购文件加载至“苏采云”系统，供潜在供应商下载或者查阅。     </w:t>
      </w:r>
      <w:r/>
    </w:p>
    <w:p>
      <w:pPr>
        <w:ind w:firstLine="540"/>
        <w:spacing w:line="360" w:lineRule="auto"/>
        <w:rPr>
          <w:rFonts w:hint="eastAsia" w:ascii="宋体" w:hAnsi="宋体" w:eastAsia="宋体" w:cs="宋体"/>
          <w:b w:val="0"/>
          <w:bCs w:val="0"/>
          <w:color w:val="000000" w:themeColor="text1"/>
          <w:sz w:val="21"/>
          <w:szCs w:val="21"/>
          <w:highlight w:val="none"/>
          <w:u w:val="singl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（7）苏采云系统使用谷歌浏览器参与不见面开标。</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12" w:name="_Toc109304966"/>
      <w:r/>
      <w:bookmarkStart w:id="13" w:name="_Toc15334"/>
      <w:r>
        <w:rPr>
          <w:rFonts w:hint="eastAsia" w:ascii="宋体" w:hAnsi="宋体" w:eastAsia="宋体" w:cs="宋体"/>
          <w:bCs w:val="0"/>
          <w:color w:val="000000" w:themeColor="text1"/>
          <w:sz w:val="21"/>
          <w:szCs w:val="21"/>
          <w:highlight w:val="none"/>
          <w14:textFill>
            <w14:solidFill>
              <w14:schemeClr w14:val="tx1"/>
            </w14:solidFill>
          </w14:textFill>
        </w:rPr>
        <w:t xml:space="preserve">四、响应文件提交</w:t>
      </w:r>
      <w:bookmarkEnd w:id="12"/>
      <w:r/>
      <w:bookmarkEnd w:id="13"/>
      <w:r/>
      <w:r/>
    </w:p>
    <w:p>
      <w:pPr>
        <w:ind w:firstLine="420"/>
        <w:spacing w:line="360" w:lineRule="auto"/>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1.截止时间：</w:t>
      </w:r>
      <w:r>
        <w:rPr>
          <w:rFonts w:hint="eastAsia" w:ascii="宋体" w:hAnsi="宋体" w:eastAsia="宋体" w:cs="宋体"/>
          <w:bCs/>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cs="宋体"/>
          <w:bCs/>
          <w:color w:val="000000" w:themeColor="text1"/>
          <w:sz w:val="21"/>
          <w:szCs w:val="21"/>
          <w:highlight w:val="none"/>
          <w:u w:val="single"/>
          <w:lang w:eastAsia="zh-CN"/>
          <w14:textFill>
            <w14:solidFill>
              <w14:schemeClr w14:val="tx1"/>
            </w14:solidFill>
          </w14:textFill>
        </w:rPr>
        <w:t xml:space="preserve">5月8日</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9点30分</w:t>
      </w:r>
      <w:r>
        <w:rPr>
          <w:rFonts w:hint="eastAsia" w:ascii="宋体" w:hAnsi="宋体" w:eastAsia="宋体" w:cs="宋体"/>
          <w:bCs/>
          <w:color w:val="000000" w:themeColor="text1"/>
          <w:sz w:val="21"/>
          <w:szCs w:val="21"/>
          <w:highlight w:val="none"/>
          <w14:textFill>
            <w14:solidFill>
              <w14:schemeClr w14:val="tx1"/>
            </w14:solidFill>
          </w14:textFill>
        </w:rPr>
        <w:t xml:space="preserve">（北京时间）</w:t>
      </w:r>
      <w:r/>
    </w:p>
    <w:p>
      <w:pPr>
        <w:ind w:firstLine="422"/>
        <w:spacing w:line="360" w:lineRule="auto"/>
        <w:rPr>
          <w:rFonts w:hint="eastAsia" w:ascii="宋体" w:hAnsi="宋体" w:eastAsia="宋体" w:cs="宋体"/>
          <w:b w:val="0"/>
          <w:bCs w:val="0"/>
          <w:color w:val="000000" w:themeColor="text1"/>
          <w:sz w:val="21"/>
          <w:szCs w:val="21"/>
          <w:highlight w:val="none"/>
          <w:u w:val="single"/>
          <w14:textFill>
            <w14:solidFill>
              <w14:schemeClr w14:val="tx1"/>
            </w14:solidFill>
          </w14:textFill>
        </w:rPr>
      </w:pPr>
      <w:r/>
      <w:bookmarkStart w:id="14" w:name="_Toc109304967"/>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2.投标地点：“苏采云”系统（网址：http://jszfcg.jsczt.cn/）“报名详情”</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15" w:name="_Toc15383"/>
      <w:r>
        <w:rPr>
          <w:rFonts w:hint="eastAsia" w:ascii="宋体" w:hAnsi="宋体" w:eastAsia="宋体" w:cs="宋体"/>
          <w:bCs w:val="0"/>
          <w:color w:val="000000" w:themeColor="text1"/>
          <w:sz w:val="21"/>
          <w:szCs w:val="21"/>
          <w:highlight w:val="none"/>
          <w14:textFill>
            <w14:solidFill>
              <w14:schemeClr w14:val="tx1"/>
            </w14:solidFill>
          </w14:textFill>
        </w:rPr>
        <w:t xml:space="preserve">五、开启</w:t>
      </w:r>
      <w:bookmarkEnd w:id="14"/>
      <w:r/>
      <w:bookmarkEnd w:id="15"/>
      <w:r/>
      <w:r/>
    </w:p>
    <w:p>
      <w:pPr>
        <w:pStyle w:val="102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1.时间</w:t>
      </w:r>
      <w:r>
        <w:rPr>
          <w:rFonts w:hint="eastAsia" w:ascii="宋体" w:hAnsi="宋体" w:eastAsia="宋体" w:cs="宋体"/>
          <w:bCs/>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cs="宋体"/>
          <w:bCs/>
          <w:color w:val="000000" w:themeColor="text1"/>
          <w:sz w:val="21"/>
          <w:szCs w:val="21"/>
          <w:highlight w:val="none"/>
          <w:u w:val="single"/>
          <w:lang w:eastAsia="zh-CN"/>
          <w14:textFill>
            <w14:solidFill>
              <w14:schemeClr w14:val="tx1"/>
            </w14:solidFill>
          </w14:textFill>
        </w:rPr>
        <w:t xml:space="preserve">5月8日</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9点30分</w:t>
      </w:r>
      <w:r>
        <w:rPr>
          <w:rFonts w:hint="eastAsia" w:ascii="宋体" w:hAnsi="宋体" w:eastAsia="宋体" w:cs="宋体"/>
          <w:bCs/>
          <w:color w:val="000000" w:themeColor="text1"/>
          <w:sz w:val="21"/>
          <w:szCs w:val="21"/>
          <w:highlight w:val="none"/>
          <w14:textFill>
            <w14:solidFill>
              <w14:schemeClr w14:val="tx1"/>
            </w14:solidFill>
          </w14:textFill>
        </w:rPr>
        <w:t xml:space="preserve">（北京时间）</w:t>
      </w:r>
      <w:r/>
    </w:p>
    <w:p>
      <w:pPr>
        <w:ind w:firstLine="422"/>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bookmarkStart w:id="16" w:name="_Toc109304968"/>
      <w:r>
        <w:rPr>
          <w:rFonts w:hint="eastAsia" w:ascii="宋体" w:hAnsi="宋体" w:eastAsia="宋体" w:cs="宋体"/>
          <w:b w:val="0"/>
          <w:bCs/>
          <w:color w:val="000000" w:themeColor="text1"/>
          <w:sz w:val="21"/>
          <w:szCs w:val="21"/>
          <w:highlight w:val="none"/>
          <w14:textFill>
            <w14:solidFill>
              <w14:schemeClr w14:val="tx1"/>
            </w14:solidFill>
          </w14:textFill>
        </w:rPr>
        <w:t xml:space="preserve">2.开标地点：“苏采云”系统（网址：http://jszfcg.jsczt.cn/）“开标大厅”</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17" w:name="_Toc31874"/>
      <w:r>
        <w:rPr>
          <w:rFonts w:hint="eastAsia" w:ascii="宋体" w:hAnsi="宋体" w:eastAsia="宋体" w:cs="宋体"/>
          <w:bCs w:val="0"/>
          <w:color w:val="000000" w:themeColor="text1"/>
          <w:sz w:val="21"/>
          <w:szCs w:val="21"/>
          <w:highlight w:val="none"/>
          <w14:textFill>
            <w14:solidFill>
              <w14:schemeClr w14:val="tx1"/>
            </w14:solidFill>
          </w14:textFill>
        </w:rPr>
        <w:t xml:space="preserve">六、公告期限</w:t>
      </w:r>
      <w:bookmarkEnd w:id="16"/>
      <w:r/>
      <w:bookmarkEnd w:id="17"/>
      <w:r/>
      <w:r/>
    </w:p>
    <w:p>
      <w:pPr>
        <w:ind w:firstLine="422"/>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自本公告发布之日起5个工作日。</w:t>
      </w:r>
      <w:r/>
    </w:p>
    <w:p>
      <w:pPr>
        <w:pStyle w:val="1021"/>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8" w:name="_Toc109304969"/>
      <w:r/>
      <w:bookmarkStart w:id="19" w:name="_Toc24056"/>
      <w:r>
        <w:rPr>
          <w:rFonts w:hint="eastAsia" w:ascii="宋体" w:hAnsi="宋体" w:eastAsia="宋体" w:cs="宋体"/>
          <w:color w:val="000000" w:themeColor="text1"/>
          <w:sz w:val="21"/>
          <w:szCs w:val="21"/>
          <w:highlight w:val="none"/>
          <w14:textFill>
            <w14:solidFill>
              <w14:schemeClr w14:val="tx1"/>
            </w14:solidFill>
          </w14:textFill>
        </w:rPr>
        <w:t xml:space="preserve">七、其他补充事宜</w:t>
      </w:r>
      <w:bookmarkEnd w:id="18"/>
      <w:r/>
      <w:bookmarkEnd w:id="19"/>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无</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20" w:name="_Toc109304970"/>
      <w:r/>
      <w:bookmarkStart w:id="21" w:name="_Toc24673"/>
      <w:r>
        <w:rPr>
          <w:rFonts w:hint="eastAsia" w:ascii="宋体" w:hAnsi="宋体" w:eastAsia="宋体" w:cs="宋体"/>
          <w:bCs w:val="0"/>
          <w:color w:val="000000" w:themeColor="text1"/>
          <w:sz w:val="21"/>
          <w:szCs w:val="21"/>
          <w:highlight w:val="none"/>
          <w14:textFill>
            <w14:solidFill>
              <w14:schemeClr w14:val="tx1"/>
            </w14:solidFill>
          </w14:textFill>
        </w:rPr>
        <w:t xml:space="preserve">八、本次竞争性磋商联系方式</w:t>
      </w:r>
      <w:bookmarkEnd w:id="20"/>
      <w:r/>
      <w:bookmarkEnd w:id="21"/>
      <w:r/>
      <w:r/>
    </w:p>
    <w:p>
      <w:pPr>
        <w:pStyle w:val="1037"/>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1.采购人信息</w:t>
      </w:r>
      <w:r/>
    </w:p>
    <w:p>
      <w:pPr>
        <w:ind w:firstLine="420"/>
        <w:jc w:val="left"/>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称：</w:t>
      </w:r>
      <w:r>
        <w:rPr>
          <w:rFonts w:hint="eastAsia" w:ascii="宋体" w:hAnsi="宋体" w:cs="宋体"/>
          <w:color w:val="000000" w:themeColor="text1"/>
          <w:sz w:val="21"/>
          <w:szCs w:val="21"/>
          <w:highlight w:val="none"/>
          <w:u w:val="none"/>
          <w:lang w:eastAsia="zh-CN"/>
          <w14:textFill>
            <w14:solidFill>
              <w14:schemeClr w14:val="tx1"/>
            </w14:solidFill>
          </w14:textFill>
        </w:rPr>
        <w:t xml:space="preserve">扬州市江都区小纪镇人民政府</w:t>
      </w:r>
      <w:r/>
    </w:p>
    <w:p>
      <w:pPr>
        <w:ind w:firstLine="420"/>
        <w:jc w:val="left"/>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址：</w:t>
      </w:r>
      <w:r>
        <w:rPr>
          <w:rFonts w:hint="eastAsia" w:ascii="宋体" w:hAnsi="宋体" w:cs="宋体"/>
          <w:color w:val="000000" w:themeColor="text1"/>
          <w:sz w:val="21"/>
          <w:szCs w:val="21"/>
          <w:highlight w:val="none"/>
          <w:u w:val="none"/>
          <w:lang w:eastAsia="zh-CN"/>
          <w14:textFill>
            <w14:solidFill>
              <w14:schemeClr w14:val="tx1"/>
            </w14:solidFill>
          </w14:textFill>
        </w:rPr>
        <w:t xml:space="preserve">扬州市江都区小纪镇人民中路15号</w:t>
      </w:r>
      <w:r/>
    </w:p>
    <w:p>
      <w:pPr>
        <w:ind w:firstLine="420"/>
        <w:jc w:val="left"/>
        <w:spacing w:line="360" w:lineRule="auto"/>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cs="宋体"/>
          <w:color w:val="000000" w:themeColor="text1"/>
          <w:sz w:val="21"/>
          <w:szCs w:val="21"/>
          <w:highlight w:val="none"/>
          <w:u w:val="none"/>
          <w:lang w:val="en-US" w:eastAsia="zh-CN"/>
          <w14:textFill>
            <w14:solidFill>
              <w14:schemeClr w14:val="tx1"/>
            </w14:solidFill>
          </w14:textFill>
        </w:rPr>
        <w:t xml:space="preserve">联 系 人</w:t>
      </w:r>
      <w:r>
        <w:rPr>
          <w:rFonts w:hint="eastAsia" w:ascii="宋体" w:hAnsi="宋体" w:eastAsia="宋体" w:cs="宋体"/>
          <w:color w:val="000000" w:themeColor="text1"/>
          <w:sz w:val="21"/>
          <w:szCs w:val="21"/>
          <w:highlight w:val="none"/>
          <w:u w:val="none"/>
          <w14:textFill>
            <w14:solidFill>
              <w14:schemeClr w14:val="tx1"/>
            </w14:solidFill>
          </w14:textFill>
        </w:rPr>
        <w:t xml:space="preserve">：</w:t>
      </w:r>
      <w:r>
        <w:rPr>
          <w:rFonts w:hint="eastAsia" w:ascii="宋体" w:hAnsi="宋体" w:cs="宋体"/>
          <w:color w:val="000000" w:themeColor="text1"/>
          <w:sz w:val="21"/>
          <w:szCs w:val="21"/>
          <w:highlight w:val="none"/>
          <w:u w:val="none"/>
          <w:lang w:val="en-US" w:eastAsia="zh-CN"/>
          <w14:textFill>
            <w14:solidFill>
              <w14:schemeClr w14:val="tx1"/>
            </w14:solidFill>
          </w14:textFill>
        </w:rPr>
        <w:t xml:space="preserve">马先生</w:t>
      </w:r>
      <w:r/>
    </w:p>
    <w:p>
      <w:pPr>
        <w:ind w:firstLine="420"/>
        <w:jc w:val="left"/>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联系方式：</w:t>
      </w:r>
      <w:r>
        <w:rPr>
          <w:rFonts w:hint="eastAsia" w:ascii="宋体" w:hAnsi="宋体" w:cs="宋体"/>
          <w:color w:val="000000" w:themeColor="text1"/>
          <w:sz w:val="21"/>
          <w:szCs w:val="21"/>
          <w:highlight w:val="none"/>
          <w:lang w:val="en-US" w:eastAsia="zh-CN"/>
          <w14:textFill>
            <w14:solidFill>
              <w14:schemeClr w14:val="tx1"/>
            </w14:solidFill>
          </w14:textFill>
        </w:rPr>
        <w:t xml:space="preserve">15715253116</w:t>
      </w:r>
      <w:r/>
    </w:p>
    <w:p>
      <w:pPr>
        <w:pStyle w:val="1037"/>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2.采购代理机构信息</w:t>
      </w:r>
      <w:r/>
    </w:p>
    <w:p>
      <w:pPr>
        <w:pStyle w:val="1037"/>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    称：苏合邦筑工程咨询集团股份有限公司</w:t>
      </w:r>
      <w:r/>
    </w:p>
    <w:p>
      <w:pPr>
        <w:pStyle w:val="1037"/>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址：浦江路439号园林大厦5楼</w:t>
      </w:r>
      <w:r/>
    </w:p>
    <w:p>
      <w:pPr>
        <w:pStyle w:val="1037"/>
        <w:ind w:firstLine="40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联 系 人</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hAnsi="宋体" w:cs="宋体"/>
          <w:color w:val="000000" w:themeColor="text1"/>
          <w:sz w:val="21"/>
          <w:szCs w:val="21"/>
          <w:highlight w:val="none"/>
          <w:lang w:val="en-US" w:eastAsia="zh-CN"/>
          <w14:textFill>
            <w14:solidFill>
              <w14:schemeClr w14:val="tx1"/>
            </w14:solidFill>
          </w14:textFill>
        </w:rPr>
        <w:t xml:space="preserve">吴宇</w:t>
      </w:r>
      <w:r/>
    </w:p>
    <w:p>
      <w:pPr>
        <w:pStyle w:val="1037"/>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联系方式：0514-80335676</w:t>
      </w:r>
      <w:r/>
    </w:p>
    <w:p>
      <w:pPr>
        <w:pStyle w:val="1037"/>
        <w:ind w:firstLine="40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    箱：531356327@qq.com</w:t>
      </w:r>
      <w:r/>
    </w:p>
    <w:p>
      <w:pPr>
        <w:pStyle w:val="1037"/>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九、</w:t>
      </w:r>
      <w:r>
        <w:rPr>
          <w:rFonts w:hint="eastAsia" w:ascii="宋体" w:hAnsi="宋体" w:eastAsia="宋体" w:cs="宋体"/>
          <w:b w:val="0"/>
          <w:bCs/>
          <w:color w:val="000000" w:themeColor="text1"/>
          <w:sz w:val="21"/>
          <w:szCs w:val="21"/>
          <w:highlight w:val="none"/>
          <w14:textFill>
            <w14:solidFill>
              <w14:schemeClr w14:val="tx1"/>
            </w14:solidFill>
          </w14:textFill>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22" w:name="_Toc109304971"/>
      <w:r/>
      <w:bookmarkStart w:id="23" w:name="_Toc30711"/>
      <w:r>
        <w:rPr>
          <w:rFonts w:hint="eastAsia" w:ascii="宋体" w:hAnsi="宋体" w:eastAsia="宋体" w:cs="宋体"/>
          <w:bCs w:val="0"/>
          <w:color w:val="000000" w:themeColor="text1"/>
          <w:sz w:val="21"/>
          <w:szCs w:val="21"/>
          <w:highlight w:val="none"/>
          <w14:textFill>
            <w14:solidFill>
              <w14:schemeClr w14:val="tx1"/>
            </w14:solidFill>
          </w14:textFill>
        </w:rPr>
        <w:t xml:space="preserve">十、其他</w:t>
      </w:r>
      <w:bookmarkEnd w:id="22"/>
      <w:r/>
      <w:bookmarkEnd w:id="23"/>
      <w:r/>
      <w:bookmarkEnd w:id="0"/>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2.供应商如确定参加磋商，可自行下载采购文件及有关资料，按照《操作手册》进行注册，领取CA和办理电子签章，并按《操作手册》要求制作、上传电子投标文件，技术支持联系</w:t>
      </w:r>
      <w:r>
        <w:rPr>
          <w:rFonts w:hint="eastAsia" w:ascii="宋体" w:hAnsi="宋体" w:eastAsia="宋体" w:cs="宋体"/>
          <w:b w:val="0"/>
          <w:bCs/>
          <w:color w:val="000000" w:themeColor="text1"/>
          <w:spacing w:val="0"/>
          <w:sz w:val="21"/>
          <w:szCs w:val="21"/>
          <w:highlight w:val="none"/>
          <w14:textFill>
            <w14:solidFill>
              <w14:schemeClr w14:val="tx1"/>
            </w14:solidFill>
          </w14:textFill>
        </w:rPr>
        <w:t xml:space="preserve">方式：13813140731。</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4.供应商对于投标产品的包装应按照“财办库〔2020〕123号《关于印发《商品包装政府采购需求标准（试行）》、《快递包装政府采购需求标准（试行）》的通知》”执行。</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5.落实好政府采购履约资金扶持政策。中标/成交供应商可凭政府采购合同办理融资贷款，详见江苏政府采购网“政采贷”专栏。</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6.严格执行政府采购关于支持</w:t>
      </w:r>
      <w:r>
        <w:rPr>
          <w:rFonts w:hint="eastAsia" w:ascii="宋体" w:hAnsi="宋体" w:eastAsia="宋体" w:cs="宋体"/>
          <w:b w:val="0"/>
          <w:bCs/>
          <w:color w:val="000000" w:themeColor="text1"/>
          <w:sz w:val="21"/>
          <w:szCs w:val="21"/>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7.潜在供应商对采购文件项目需求部分的询问、质疑请向采购人提出，由采购人负责答复。</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8.本次采购不收取保证金。</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9.有关本次采购的事项若存在变动或修改，敬请及时关注“扬州市政府采购网”、”江苏省政府采购网”发布的信息。</w:t>
      </w:r>
      <w:r/>
    </w:p>
    <w:p>
      <w:pPr>
        <w:pStyle w:val="1037"/>
        <w:ind w:firstLine="400"/>
        <w:spacing w:line="360" w:lineRule="auto"/>
        <w:rPr>
          <w:rFonts w:hint="eastAsia" w:ascii="宋体" w:hAnsi="宋体" w:eastAsia="宋体" w:cs="宋体"/>
          <w:b/>
          <w:i/>
          <w:iCs/>
          <w:color w:val="000000" w:themeColor="text1"/>
          <w:sz w:val="21"/>
          <w:szCs w:val="21"/>
          <w:highlight w:val="none"/>
          <w:u w:val="singl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10.本项目采购文件中所有斜体下划线部分为实质性条款，如不满足，则为无效响应。</w:t>
      </w:r>
      <w:r/>
    </w:p>
    <w:p>
      <w:pPr>
        <w:pStyle w:val="1020"/>
        <w:jc w:val="center"/>
        <w:spacing w:line="360" w:lineRule="auto"/>
        <w:rPr>
          <w:rFonts w:hint="eastAsia" w:ascii="宋体" w:hAnsi="宋体" w:eastAsia="宋体" w:cs="宋体"/>
          <w:color w:val="000000" w:themeColor="text1"/>
          <w:highlight w:val="none"/>
          <w14:textFill>
            <w14:solidFill>
              <w14:schemeClr w14:val="tx1"/>
            </w14:solidFill>
          </w14:textFill>
        </w:rPr>
      </w:pPr>
      <w:r/>
      <w:bookmarkStart w:id="24" w:name="_Toc23352"/>
      <w:r>
        <w:rPr>
          <w:rFonts w:hint="eastAsia" w:ascii="宋体" w:hAnsi="宋体" w:eastAsia="宋体" w:cs="宋体"/>
          <w:color w:val="000000" w:themeColor="text1"/>
          <w:highlight w:val="none"/>
          <w14:textFill>
            <w14:solidFill>
              <w14:schemeClr w14:val="tx1"/>
            </w14:solidFill>
          </w14:textFill>
        </w:rPr>
        <w:br w:type="page" w:clear="all"/>
      </w:r>
      <w:bookmarkStart w:id="25" w:name="_Toc25416"/>
      <w:r>
        <w:rPr>
          <w:rFonts w:hint="eastAsia" w:ascii="宋体" w:hAnsi="宋体" w:eastAsia="宋体" w:cs="宋体"/>
          <w:color w:val="000000" w:themeColor="text1"/>
          <w:sz w:val="36"/>
          <w:szCs w:val="36"/>
          <w:highlight w:val="none"/>
          <w14:textFill>
            <w14:solidFill>
              <w14:schemeClr w14:val="tx1"/>
            </w14:solidFill>
          </w14:textFill>
        </w:rPr>
        <w:t xml:space="preserve">第二章 磋商须知</w:t>
      </w:r>
      <w:bookmarkEnd w:id="24"/>
      <w:r/>
      <w:bookmarkEnd w:id="25"/>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1、采购方式</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 本次采购采取竞争性磋商方式，本采购文件仅适用于</w:t>
      </w:r>
      <w:r>
        <w:rPr>
          <w:rFonts w:hint="eastAsia" w:ascii="宋体" w:hAnsi="宋体" w:cs="宋体"/>
          <w:color w:val="000000" w:themeColor="text1"/>
          <w:highlight w:val="none"/>
          <w:lang w:eastAsia="zh-CN"/>
          <w14:textFill>
            <w14:solidFill>
              <w14:schemeClr w14:val="tx1"/>
            </w14:solidFill>
          </w14:textFill>
        </w:rPr>
        <w:t xml:space="preserve">JSZC-321012-SHBZ-C2026-0007</w:t>
      </w:r>
      <w:r>
        <w:rPr>
          <w:rFonts w:hint="eastAsia" w:ascii="宋体" w:hAnsi="宋体" w:eastAsia="宋体" w:cs="宋体"/>
          <w:color w:val="000000" w:themeColor="text1"/>
          <w:highlight w:val="none"/>
          <w14:textFill>
            <w14:solidFill>
              <w14:schemeClr w14:val="tx1"/>
            </w14:solidFill>
          </w14:textFill>
        </w:rPr>
        <w:t xml:space="preserve">号项目。</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2.2合格的供应商</w:t>
      </w:r>
      <w:r/>
    </w:p>
    <w:p>
      <w:pPr>
        <w:ind w:firstLine="42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2.2.1 满足采购公告中供应商的资格条件要求的规定。</w:t>
      </w:r>
      <w:r/>
    </w:p>
    <w:p>
      <w:pPr>
        <w:ind w:firstLine="42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2.2.2 满足本文件实质性条款的规定。</w:t>
      </w:r>
      <w:r/>
    </w:p>
    <w:p>
      <w:pPr>
        <w:ind w:firstLine="42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3、适用法律</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3.1 本次采购及由此产生的合同受中华人民共和国有关的法律法规制约和保护。</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4、参加磋商费用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供应商应自行承担所有与参加磋商有关的费用，无论磋商过程中的做法和结果如何，（苏合邦筑工程咨询集团股份有限公司）(以下简称代理机构)在任何情况下均无义务和责任承担这些费用。</w:t>
      </w:r>
      <w:r/>
    </w:p>
    <w:p>
      <w:pPr>
        <w:ind w:firstLine="42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4.2</w:t>
      </w:r>
      <w:bookmarkStart w:id="26" w:name="_Hlk115095815"/>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本次采购由成交单位在领取成交通知书前按照</w:t>
      </w:r>
      <w:r>
        <w:rPr>
          <w:rFonts w:hint="eastAsia" w:ascii="宋体" w:hAnsi="宋体" w:eastAsia="宋体" w:cs="宋体"/>
          <w:color w:val="000000" w:themeColor="text1"/>
          <w:highlight w:val="none"/>
          <w14:textFill>
            <w14:solidFill>
              <w14:schemeClr w14:val="tx1"/>
            </w14:solidFill>
          </w14:textFill>
        </w:rPr>
        <w:t xml:space="preserve">苏招协（2022）2号文</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苏建价协（2022）7号文</w:t>
      </w:r>
      <w:r>
        <w:rPr>
          <w:rFonts w:hint="eastAsia" w:ascii="宋体" w:hAnsi="宋体" w:eastAsia="宋体" w:cs="宋体"/>
          <w:color w:val="000000" w:themeColor="text1"/>
          <w:highlight w:val="none"/>
          <w14:textFill>
            <w14:solidFill>
              <w14:schemeClr w14:val="tx1"/>
            </w14:solidFill>
          </w14:textFill>
        </w:rPr>
        <w:t xml:space="preserve">标准一次性支付给招标代理机构代理服务费</w:t>
      </w:r>
      <w:r>
        <w:rPr>
          <w:rFonts w:hint="eastAsia" w:ascii="宋体" w:hAnsi="宋体" w:eastAsia="宋体" w:cs="宋体"/>
          <w:color w:val="000000" w:themeColor="text1"/>
          <w:highlight w:val="none"/>
          <w:lang w:val="en-US" w:eastAsia="zh-CN"/>
          <w14:textFill>
            <w14:solidFill>
              <w14:schemeClr w14:val="tx1"/>
            </w14:solidFill>
          </w14:textFill>
        </w:rPr>
        <w:t xml:space="preserve">及招标控制价编制费</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专家评审费按扬州市政府采购专家评审费标准执行结算</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（1）代理服务费以人民币支付；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（2）代理服务费一次性以电汇、转账等非现金形式支付；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（3）招标代理服务费不在磋商报价中单列，包含在磋商总价中，由成交单位支付给代理机构。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代理单位名称：苏合邦筑工程咨询集团股份有限公司江都分公司</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税        号：91321012MA21U2RM24</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   户   行：中国银行股份有限公司扬州新都路支行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行        号：104312501045</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号：549575531937 </w:t>
      </w:r>
      <w:bookmarkEnd w:id="26"/>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5、采购文件的约束力</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5.1 供应商一旦参加本项目采购活动，即被认为接受了本采购文件的规定和约束。</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6、采购文件构成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6.1 采购文件有以下部分组成：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（1）采购公告</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（2）磋商须知</w:t>
      </w:r>
      <w:r>
        <w:rPr>
          <w:rFonts w:hint="eastAsia" w:ascii="宋体" w:hAnsi="宋体" w:eastAsia="宋体" w:cs="宋体"/>
          <w:color w:val="000000" w:themeColor="text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（3）合同条款及格式</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（4）项目需求</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（5）评审方法与评审标准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（6）竞争性磋商响应文件格式</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请仔细检查采购文件是否齐全，如有缺漏请立即与代理机构联系解决。</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6.3 采购文件如果要求供应商提交备选响应方案的，供应商可以提交备选方案；否则，备选方案将被拒绝。</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采购文件的澄清</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采购文件的修改</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采购文件的修改将在“扬州市政府采购网”、“江苏省政府采购网”公布，补充文件将作为采购文件的组成部分，并对供应商具有约束力。</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9、采购文件的语言、度量衡单位、货币</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9.2 除技术性能另有规定外，采购文件所使用的度量衡单位，均须采用国家法定计量单位。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9.3</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采购文件中的服务单价和总价无特殊规定的采用人民币报价，以元为单位标注。采购文件中另有规定的按规定执行。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10、响应文件构成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10.1磋商文件由以下部分组成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（1）资格审查响应对照表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（2）符合性审查响应对照表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（3）非实质性响应对照表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（4）磋商响应报价表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（5）分项报价表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（6）技术参数响应及偏离表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（7）商务条款响应及偏离表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（8）设计方案（如有）：如未成功上传“设计投标文件”，投标单位需将电子投标光盘（设计图纸光盘密封并注明供应商单位名称）递交至代理机构（地址），招标代理单位将派工作人员在</w:t>
      </w:r>
      <w:r>
        <w:rPr>
          <w:rFonts w:hint="eastAsia" w:ascii="宋体" w:hAnsi="宋体" w:eastAsia="宋体" w:cs="宋体"/>
          <w:color w:val="000000" w:themeColor="text1"/>
          <w:highlight w:val="none"/>
          <w:lang w:eastAsia="zh-CN"/>
          <w14:textFill>
            <w14:solidFill>
              <w14:schemeClr w14:val="tx1"/>
            </w14:solidFill>
          </w14:textFill>
        </w:rPr>
        <w:t xml:space="preserve">2026年</w:t>
      </w:r>
      <w:r>
        <w:rPr>
          <w:rFonts w:hint="eastAsia" w:ascii="宋体" w:hAnsi="宋体" w:cs="宋体"/>
          <w:color w:val="000000" w:themeColor="text1"/>
          <w:highlight w:val="none"/>
          <w:lang w:eastAsia="zh-CN"/>
          <w14:textFill>
            <w14:solidFill>
              <w14:schemeClr w14:val="tx1"/>
            </w14:solidFill>
          </w14:textFill>
        </w:rPr>
        <w:t xml:space="preserve">5月8日</w:t>
      </w:r>
      <w:r>
        <w:rPr>
          <w:rFonts w:hint="eastAsia" w:ascii="宋体" w:hAnsi="宋体" w:eastAsia="宋体" w:cs="宋体"/>
          <w:color w:val="000000" w:themeColor="text1"/>
          <w:highlight w:val="none"/>
          <w14:textFill>
            <w14:solidFill>
              <w14:schemeClr w14:val="tx1"/>
            </w14:solidFill>
          </w14:textFill>
        </w:rPr>
        <w:t xml:space="preserve">9点30分时间内接收电子投标光盘。将电子投标光盘递交至招标代理工作人员处，逾期不予接收。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（9）其他（供应商认为有必要提供的声明和文件，如有自拟并自行添加。设计方案）</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11、证明供应商资格及符合采购文件规定的文件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供应商应按要求提交资格证明文件及符合采购文件规定的文件。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供应商应提交证明其有资格参加磋商和成交后有能力独立履行合同的文件。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11.3</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供应商除必须具有履行合同所需提供的产品或服务的能力外，还必须具备相应的财务、技术方面的能力。</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11.4</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供应商应提交根据合同要求提供的证明服务质量合格以及符合采购文件规定的证明文件。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11.5</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证明供应商所提供服务与采购文件的要求相一致的文件可以是手册、图纸、文字资料和数据。</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12、磋商响应报价表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供应商应按照采购文件规定格式填报磋商响应报价表，每项服务只允许有一个报价，任何有选择的报价将不予接受。</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12.2 标的物</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采购人需求的服务供应、安装，调试及有关技术服务等。</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12.3其它费用处理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采购文件未列明，而供应商认为必需的费用也需列入报价。</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13、技术参数响应及偏离表、商务条款响应及偏离表及磋商服务说明</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13.1 对采购文件中的技术与商务条款要求逐项作出响应或偏离，并说明原因；</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13.2 提供参加本项目类似案例简介；</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13.3 详细阐述所投服务的主要组成部分、功能设计、实现思路及关键技术；</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13.4 供应商认为需要的其他技术文件或说明。</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14、服务承诺及售后服务机构、人员的情况介绍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供应商的服务承诺应按不低于采购文件中商务要求的标准。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15、磋商响应函</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供应商应按照扬州市政府采购交易管理系统提供的格式完整、正确填写磋商响应函。</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16、磋商响应有效期</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16.1 磋商响应有效期为代理机构规定的响应文件接收截止时间后</w:t>
      </w:r>
      <w:r>
        <w:rPr>
          <w:rFonts w:hint="eastAsia" w:ascii="宋体" w:hAnsi="宋体" w:eastAsia="宋体" w:cs="宋体"/>
          <w:b/>
          <w:bCs/>
          <w:color w:val="000000" w:themeColor="text1"/>
          <w:highlight w:val="none"/>
          <w:u w:val="single"/>
          <w14:textFill>
            <w14:solidFill>
              <w14:schemeClr w14:val="tx1"/>
            </w14:solidFill>
          </w14:textFill>
        </w:rPr>
        <w:t xml:space="preserve">六十（60）天</w:t>
      </w:r>
      <w:r>
        <w:rPr>
          <w:rFonts w:hint="eastAsia" w:ascii="宋体" w:hAnsi="宋体" w:eastAsia="宋体" w:cs="宋体"/>
          <w:color w:val="000000" w:themeColor="text1"/>
          <w:highlight w:val="none"/>
          <w14:textFill>
            <w14:solidFill>
              <w14:schemeClr w14:val="tx1"/>
            </w14:solidFill>
          </w14:textFill>
        </w:rPr>
        <w:t xml:space="preserve">。磋商响应有效期比规定短的将被视为非实质性响应性而予以拒绝。</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bookmarkStart w:id="27" w:name="_Toc16938541"/>
      <w:r/>
      <w:bookmarkStart w:id="28" w:name="_Toc20823297"/>
      <w:r>
        <w:rPr>
          <w:rFonts w:hint="eastAsia" w:ascii="宋体" w:hAnsi="宋体" w:eastAsia="宋体" w:cs="宋体"/>
          <w:color w:val="000000" w:themeColor="text1"/>
          <w:highlight w:val="none"/>
          <w14:textFill>
            <w14:solidFill>
              <w14:schemeClr w14:val="tx1"/>
            </w14:solidFill>
          </w14:textFill>
        </w:rPr>
        <w:t xml:space="preserve">17、响应文件</w:t>
      </w:r>
      <w:bookmarkEnd w:id="27"/>
      <w:r/>
      <w:bookmarkEnd w:id="28"/>
      <w:r>
        <w:rPr>
          <w:rFonts w:hint="eastAsia" w:ascii="宋体" w:hAnsi="宋体" w:eastAsia="宋体" w:cs="宋体"/>
          <w:color w:val="000000" w:themeColor="text1"/>
          <w:highlight w:val="none"/>
          <w14:textFill>
            <w14:solidFill>
              <w14:schemeClr w14:val="tx1"/>
            </w14:solidFill>
          </w14:textFill>
        </w:rPr>
        <w:t xml:space="preserve">的递交</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17.1 电子响应文件的递交供应商应当按照《操作手册》规定，在磋商响应截止时间前制作并上传电子响应文件。</w:t>
      </w:r>
      <w:bookmarkStart w:id="29" w:name="_Toc16938542"/>
      <w:r/>
      <w:bookmarkStart w:id="30" w:name="_Toc20823298"/>
      <w:r/>
      <w:r/>
    </w:p>
    <w:p>
      <w:pPr>
        <w:ind w:firstLine="422"/>
        <w:spacing w:line="360" w:lineRule="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 xml:space="preserve">17.2</w:t>
      </w:r>
      <w:r>
        <w:rPr>
          <w:rFonts w:hint="eastAsia" w:ascii="宋体" w:hAnsi="宋体" w:eastAsia="宋体" w:cs="宋体"/>
          <w:b w:val="0"/>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Cs w:val="21"/>
          <w:highlight w:val="none"/>
          <w14:textFill>
            <w14:solidFill>
              <w14:schemeClr w14:val="tx1"/>
            </w14:solidFill>
          </w14:textFill>
        </w:rPr>
        <w:t xml:space="preserve">政府采购管理交易系统（苏采云）相关要求是本采购文件的组成部分。</w:t>
      </w:r>
      <w:r/>
    </w:p>
    <w:p>
      <w:pPr>
        <w:ind w:firstLine="422"/>
        <w:spacing w:line="360" w:lineRule="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 xml:space="preserve">17.3</w:t>
      </w:r>
      <w:r>
        <w:rPr>
          <w:rFonts w:hint="eastAsia" w:ascii="宋体" w:hAnsi="宋体" w:eastAsia="宋体" w:cs="宋体"/>
          <w:b w:val="0"/>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Cs w:val="21"/>
          <w:highlight w:val="none"/>
          <w14:textFill>
            <w14:solidFill>
              <w14:schemeClr w14:val="tx1"/>
            </w14:solidFill>
          </w14:textFill>
        </w:rPr>
        <w:t xml:space="preserve">供应商应对 CA 证书妥善保管，如被他人盗用投标，因此带来的结果均由供应商自行承担。</w:t>
      </w:r>
      <w:r/>
    </w:p>
    <w:p>
      <w:pPr>
        <w:ind w:firstLine="422"/>
        <w:spacing w:line="360" w:lineRule="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 xml:space="preserve">17.4</w:t>
      </w:r>
      <w:r>
        <w:rPr>
          <w:rFonts w:hint="eastAsia" w:ascii="宋体" w:hAnsi="宋体" w:eastAsia="宋体" w:cs="宋体"/>
          <w:b w:val="0"/>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Cs w:val="21"/>
          <w:highlight w:val="none"/>
          <w14:textFill>
            <w14:solidFill>
              <w14:schemeClr w14:val="tx1"/>
            </w14:solidFill>
          </w14:textFill>
        </w:rPr>
        <w:t xml:space="preserve">供应商应当对采购文件提出的要求和条件作出实质性响应，并在电子投标系统逐条应答。</w:t>
      </w:r>
      <w:r/>
    </w:p>
    <w:p>
      <w:pPr>
        <w:ind w:firstLine="422"/>
        <w:spacing w:line="360" w:lineRule="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 xml:space="preserve">17.5</w:t>
      </w:r>
      <w:r>
        <w:rPr>
          <w:rFonts w:hint="eastAsia" w:ascii="宋体" w:hAnsi="宋体" w:eastAsia="宋体" w:cs="宋体"/>
          <w:b w:val="0"/>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highlight w:val="none"/>
          <w14:textFill>
            <w14:solidFill>
              <w14:schemeClr w14:val="tx1"/>
            </w14:solidFill>
          </w14:textFill>
        </w:rPr>
        <w:t xml:space="preserve">供应商</w:t>
      </w:r>
      <w:r>
        <w:rPr>
          <w:rFonts w:hint="eastAsia" w:ascii="宋体" w:hAnsi="宋体" w:eastAsia="宋体" w:cs="宋体"/>
          <w:b w:val="0"/>
          <w:bCs/>
          <w:color w:val="000000" w:themeColor="text1"/>
          <w:szCs w:val="21"/>
          <w:highlight w:val="none"/>
          <w14:textFill>
            <w14:solidFill>
              <w14:schemeClr w14:val="tx1"/>
            </w14:solidFill>
          </w14:textFill>
        </w:rPr>
        <w:t xml:space="preserve">应对要求提供的资格证明文件（如资质证书、资格证书）、技术资料（如白皮书、彩页、手册、检测报告等）原件扫描上传至投标系统。</w:t>
      </w:r>
      <w:r/>
    </w:p>
    <w:p>
      <w:pPr>
        <w:ind w:firstLine="422"/>
        <w:spacing w:line="360" w:lineRule="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 xml:space="preserve">17.6</w:t>
      </w:r>
      <w:r>
        <w:rPr>
          <w:rFonts w:hint="eastAsia" w:ascii="宋体" w:hAnsi="宋体" w:eastAsia="宋体" w:cs="宋体"/>
          <w:b w:val="0"/>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Cs w:val="21"/>
          <w:highlight w:val="none"/>
          <w14:textFill>
            <w14:solidFill>
              <w14:schemeClr w14:val="tx1"/>
            </w14:solidFill>
          </w14:textFill>
        </w:rPr>
        <w:t xml:space="preserve">各</w:t>
      </w:r>
      <w:r>
        <w:rPr>
          <w:rFonts w:hint="eastAsia" w:ascii="宋体" w:hAnsi="宋体" w:eastAsia="宋体" w:cs="宋体"/>
          <w:b w:val="0"/>
          <w:bCs/>
          <w:color w:val="000000" w:themeColor="text1"/>
          <w:highlight w:val="none"/>
          <w14:textFill>
            <w14:solidFill>
              <w14:schemeClr w14:val="tx1"/>
            </w14:solidFill>
          </w14:textFill>
        </w:rPr>
        <w:t xml:space="preserve">供应商</w:t>
      </w:r>
      <w:r>
        <w:rPr>
          <w:rFonts w:hint="eastAsia" w:ascii="宋体" w:hAnsi="宋体" w:eastAsia="宋体" w:cs="宋体"/>
          <w:b w:val="0"/>
          <w:bCs/>
          <w:color w:val="000000" w:themeColor="text1"/>
          <w:szCs w:val="21"/>
          <w:highlight w:val="none"/>
          <w14:textFill>
            <w14:solidFill>
              <w14:schemeClr w14:val="tx1"/>
            </w14:solidFill>
          </w14:textFill>
        </w:rPr>
        <w:t xml:space="preserve">应在规定时间内凭CA证书进行网上解密。</w:t>
      </w:r>
      <w:r/>
    </w:p>
    <w:p>
      <w:pPr>
        <w:ind w:firstLine="422"/>
        <w:spacing w:line="360" w:lineRule="auto"/>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18、磋商响应截止日期</w:t>
      </w:r>
      <w:bookmarkEnd w:id="29"/>
      <w:r/>
      <w:bookmarkEnd w:id="30"/>
      <w:r/>
      <w:r/>
    </w:p>
    <w:p>
      <w:pPr>
        <w:ind w:firstLine="42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i/>
          <w:color w:val="000000" w:themeColor="text1"/>
          <w:highlight w:val="none"/>
          <w:u w:val="single"/>
          <w14:textFill>
            <w14:solidFill>
              <w14:schemeClr w14:val="tx1"/>
            </w14:solidFill>
          </w14:textFill>
        </w:rPr>
        <w:t xml:space="preserve">18.1</w:t>
      </w:r>
      <w:r>
        <w:rPr>
          <w:rFonts w:hint="eastAsia" w:ascii="宋体" w:hAnsi="宋体" w:eastAsia="宋体" w:cs="宋体"/>
          <w:bCs/>
          <w:i/>
          <w:color w:val="000000" w:themeColor="text1"/>
          <w:highlight w:val="none"/>
          <w:u w:val="single"/>
          <w14:textFill>
            <w14:solidFill>
              <w14:schemeClr w14:val="tx1"/>
            </w14:solidFill>
          </w14:textFill>
        </w:rPr>
        <w:t xml:space="preserve"> 供应商上传电子响应文件的时间不得迟于采购公告中规定的磋商响应截止时间。</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bookmarkStart w:id="31" w:name="_Toc20823299"/>
      <w:r/>
      <w:bookmarkStart w:id="32" w:name="_Toc16938543"/>
      <w:r>
        <w:rPr>
          <w:rFonts w:hint="eastAsia" w:ascii="宋体" w:hAnsi="宋体" w:eastAsia="宋体" w:cs="宋体"/>
          <w:color w:val="000000" w:themeColor="text1"/>
          <w:highlight w:val="none"/>
          <w14:textFill>
            <w14:solidFill>
              <w14:schemeClr w14:val="tx1"/>
            </w14:solidFill>
          </w14:textFill>
        </w:rPr>
        <w:t xml:space="preserve">19、响应文件</w:t>
      </w:r>
      <w:bookmarkEnd w:id="31"/>
      <w:r/>
      <w:bookmarkEnd w:id="32"/>
      <w:r>
        <w:rPr>
          <w:rFonts w:hint="eastAsia" w:ascii="宋体" w:hAnsi="宋体" w:eastAsia="宋体" w:cs="宋体"/>
          <w:color w:val="000000" w:themeColor="text1"/>
          <w:highlight w:val="none"/>
          <w14:textFill>
            <w14:solidFill>
              <w14:schemeClr w14:val="tx1"/>
            </w14:solidFill>
          </w14:textFill>
        </w:rPr>
        <w:t xml:space="preserve">的拒收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19.1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代理机构拒绝接收在其规定的磋商截止时间后上传的任何响应文件。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bookmarkStart w:id="33" w:name="_Toc16938544"/>
      <w:r/>
      <w:bookmarkStart w:id="34" w:name="_Toc20823300"/>
      <w:r>
        <w:rPr>
          <w:rFonts w:hint="eastAsia" w:ascii="宋体" w:hAnsi="宋体" w:eastAsia="宋体" w:cs="宋体"/>
          <w:color w:val="000000" w:themeColor="text1"/>
          <w:highlight w:val="none"/>
          <w14:textFill>
            <w14:solidFill>
              <w14:schemeClr w14:val="tx1"/>
            </w14:solidFill>
          </w14:textFill>
        </w:rPr>
        <w:t xml:space="preserve">20、响应文件的撤回和修改</w:t>
      </w:r>
      <w:bookmarkEnd w:id="33"/>
      <w:r/>
      <w:bookmarkEnd w:id="34"/>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 响应文件的撤回</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20.1.1 电子响应文件的撤回</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供应商可在磋商截止时间前，撤回其电子响应文件，具体操作方法见《操作手册》。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20.1.2 供应商撤回电子响应文件，则认为其不再参与本项目磋商谈判。</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20.2 响应文件的修改</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供应商可在磋商截止时间前，对其电子响应文件进行修改，具体操作方法见《操作手册》。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20.3 在磋商截止时间之后，供应商不得对其电子响应文件作任何修改。</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21、磋商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21.2供应商在磋商过程中涉及到的响应文件解密等工作，应按照《操作手册》规定执行。</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22、磋商小组</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22.1</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磋商开始后，代理机构将立即组织磋商小组进行评审。</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22.3</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磋商小组独立工作，负责评审有效响应文件并确定成交候选供应商。</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23、评审过程的保密与公正</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评审专家应当遵守评审工作纪律，不得泄露评审情况和评审中获悉的商业秘密。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23.2在评审过程中，供应商不得以任何行为影响评审过程，否则其响应文件将被作为无效响应文件。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23.3 在评审期间，代理机构将设专门工作人员与供应商联系。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23.4 代理机构和磋商小组不向未成交的供应商解释未成交原因，也不公布评审过程中的相关细节。</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24、磋商的澄清</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评审期间，磋商小组要求供应商澄清、说明或者更正响应文件以电子函件形式提交但并非对每个供应商都作澄清要求。</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接到磋商小组澄清要求的供应商应按磋商小组规定的时间和格式在</w:t>
      </w:r>
      <w:r>
        <w:rPr>
          <w:rFonts w:hint="eastAsia" w:ascii="宋体" w:hAnsi="宋体" w:eastAsia="宋体" w:cs="宋体"/>
          <w:b/>
          <w:bCs/>
          <w:color w:val="000000" w:themeColor="text1"/>
          <w:highlight w:val="none"/>
          <w14:textFill>
            <w14:solidFill>
              <w14:schemeClr w14:val="tx1"/>
            </w14:solidFill>
          </w14:textFill>
        </w:rPr>
        <w:t xml:space="preserve">”政府采购管理交易系统（苏采云）”</w:t>
      </w:r>
      <w:r>
        <w:rPr>
          <w:rFonts w:hint="eastAsia" w:ascii="宋体" w:hAnsi="宋体" w:eastAsia="宋体" w:cs="宋体"/>
          <w:color w:val="000000" w:themeColor="text1"/>
          <w:highlight w:val="none"/>
          <w14:textFill>
            <w14:solidFill>
              <w14:schemeClr w14:val="tx1"/>
            </w14:solidFill>
          </w14:textFill>
        </w:rPr>
        <w:t xml:space="preserve">中做出澄清，澄清的内容作为响应文件的补充部分。具体操作方式见</w:t>
      </w:r>
      <w:r>
        <w:rPr>
          <w:rFonts w:hint="eastAsia" w:ascii="宋体" w:hAnsi="宋体" w:eastAsia="宋体" w:cs="宋体"/>
          <w:bCs/>
          <w:color w:val="000000" w:themeColor="text1"/>
          <w:highlight w:val="none"/>
          <w14:textFill>
            <w14:solidFill>
              <w14:schemeClr w14:val="tx1"/>
            </w14:solidFill>
          </w14:textFill>
        </w:rPr>
        <w:t xml:space="preserve">《操作手册》</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24.3 接到磋商小组澄清要求的供应商如未按规定做出澄清，其风险由供应商自行承担。</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25、对响应文件的初审</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响应文件初审分为资格审查和符合性审查。</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25.1.3 未通过资格审查或符合性审查的供应商，代理机构将在</w:t>
      </w:r>
      <w:r>
        <w:rPr>
          <w:rFonts w:hint="eastAsia" w:ascii="宋体" w:hAnsi="宋体" w:eastAsia="宋体" w:cs="宋体"/>
          <w:b/>
          <w:bCs/>
          <w:color w:val="000000" w:themeColor="text1"/>
          <w:highlight w:val="none"/>
          <w14:textFill>
            <w14:solidFill>
              <w14:schemeClr w14:val="tx1"/>
            </w14:solidFill>
          </w14:textFill>
        </w:rPr>
        <w:t xml:space="preserve">”政府采购管理交易系统（苏采云）”</w:t>
      </w:r>
      <w:r>
        <w:rPr>
          <w:rFonts w:hint="eastAsia" w:ascii="宋体" w:hAnsi="宋体" w:eastAsia="宋体" w:cs="宋体"/>
          <w:color w:val="000000" w:themeColor="text1"/>
          <w:highlight w:val="none"/>
          <w14:textFill>
            <w14:solidFill>
              <w14:schemeClr w14:val="tx1"/>
            </w14:solidFill>
          </w14:textFill>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25.3</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25.4 供应商在开、评标全过程中应保持通讯畅通，并安排专人与代理机构及磋商小组联系。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26、磋商程序及评审方法和标准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26.1磋商程序</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26.1.1 对于通过资格性和符合性审查的供应商，磋商小组所有成员将集中与单一供应商在“</w:t>
      </w:r>
      <w:r>
        <w:rPr>
          <w:rFonts w:hint="eastAsia" w:ascii="宋体" w:hAnsi="宋体" w:eastAsia="宋体" w:cs="宋体"/>
          <w:b w:val="0"/>
          <w:bCs w:val="0"/>
          <w:color w:val="000000" w:themeColor="text1"/>
          <w:highlight w:val="none"/>
          <w:shd w:val="clear" w:color="ffffff" w:fill="ffffff"/>
          <w14:textFill>
            <w14:solidFill>
              <w14:schemeClr w14:val="tx1"/>
            </w14:solidFill>
          </w14:textFill>
        </w:rPr>
        <w:t xml:space="preserve">政府采购管理交易系统（苏采云）</w:t>
      </w:r>
      <w:r>
        <w:rPr>
          <w:rFonts w:hint="eastAsia" w:ascii="宋体" w:hAnsi="宋体" w:eastAsia="宋体" w:cs="宋体"/>
          <w:b w:val="0"/>
          <w:bCs w:val="0"/>
          <w:color w:val="000000" w:themeColor="text1"/>
          <w:highlight w:val="none"/>
          <w14:textFill>
            <w14:solidFill>
              <w14:schemeClr w14:val="tx1"/>
            </w14:solidFill>
          </w14:textFill>
        </w:rPr>
        <w:t xml:space="preserve">”中分别进行磋商。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26.1.2 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26.2 评审方法和标准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26.2.2评审标准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见本采购文件第五章规定。</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27、无效响应及采购活动终止的情况</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27.1无效响应条款</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27.1.1 供应商未按照采购文件要求上传电子磋商响应文件的。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27.1.2 供应商未成功解密电子磋商响应文件的。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27.1.3 供应商不具备采购文件中规定资格要求的。</w:t>
      </w:r>
      <w:r/>
    </w:p>
    <w:p>
      <w:pPr>
        <w:ind w:firstLine="42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27.1.4 未通过符合性审查的。</w:t>
      </w:r>
      <w:r/>
    </w:p>
    <w:p>
      <w:pPr>
        <w:ind w:firstLine="42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27.1.5 不符合采购文件中规定的其他实质性要求和条件的（</w:t>
      </w:r>
      <w:r>
        <w:rPr>
          <w:rFonts w:hint="eastAsia" w:ascii="宋体" w:hAnsi="宋体" w:eastAsia="宋体" w:cs="宋体"/>
          <w:bCs/>
          <w:i/>
          <w:color w:val="000000" w:themeColor="text1"/>
          <w:highlight w:val="none"/>
          <w:u w:val="single"/>
          <w14:textFill>
            <w14:solidFill>
              <w14:schemeClr w14:val="tx1"/>
            </w14:solidFill>
          </w14:textFill>
        </w:rPr>
        <w:t xml:space="preserve">本采购文件中斜体且有下划线部分为实质性要求和条件）。</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27.1.6 </w:t>
      </w:r>
      <w:r>
        <w:rPr>
          <w:rFonts w:hint="eastAsia" w:ascii="宋体" w:hAnsi="宋体" w:eastAsia="宋体" w:cs="宋体"/>
          <w:color w:val="000000" w:themeColor="text1"/>
          <w:highlight w:val="none"/>
          <w14:textFill>
            <w14:solidFill>
              <w14:schemeClr w14:val="tx1"/>
            </w14:solidFill>
          </w14:textFill>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27.1.8 响应文件未按照采购文件要求加盖电子签章。</w:t>
      </w:r>
      <w:r/>
    </w:p>
    <w:p>
      <w:pPr>
        <w:ind w:firstLine="420"/>
        <w:spacing w:line="360" w:lineRule="auto"/>
        <w:rPr>
          <w:rFonts w:hint="eastAsia" w:ascii="宋体" w:hAnsi="宋体" w:eastAsia="宋体" w:cs="宋体"/>
          <w:b/>
          <w:bCs w:val="0"/>
          <w:color w:val="000000" w:themeColor="text1"/>
          <w:highlight w:val="none"/>
          <w14:textFill>
            <w14:solidFill>
              <w14:schemeClr w14:val="tx1"/>
            </w14:solidFill>
          </w14:textFill>
        </w:rPr>
      </w:pPr>
      <w:r>
        <w:rPr>
          <w:rFonts w:hint="eastAsia" w:ascii="宋体" w:hAnsi="宋体" w:eastAsia="宋体" w:cs="宋体"/>
          <w:b/>
          <w:bCs w:val="0"/>
          <w:color w:val="000000" w:themeColor="text1"/>
          <w:highlight w:val="none"/>
          <w14:textFill>
            <w14:solidFill>
              <w14:schemeClr w14:val="tx1"/>
            </w14:solidFill>
          </w14:textFill>
        </w:rPr>
        <w:t xml:space="preserve">27.1.9 异常低价投标（响应）</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27.1.9.1投标（响应）报价低于全部通过符合性审查供应商投标（响应）报价平均值</w:t>
      </w:r>
      <w:r>
        <w:rPr>
          <w:rFonts w:hint="eastAsia" w:ascii="宋体" w:hAnsi="宋体" w:cs="宋体"/>
          <w:bCs/>
          <w:color w:val="000000" w:themeColor="text1"/>
          <w:highlight w:val="none"/>
          <w:lang w:eastAsia="zh-CN"/>
          <w14:textFill>
            <w14:solidFill>
              <w14:schemeClr w14:val="tx1"/>
            </w14:solidFill>
          </w14:textFill>
        </w:rPr>
        <w:t xml:space="preserve">65%</w:t>
      </w:r>
      <w:r>
        <w:rPr>
          <w:rFonts w:hint="eastAsia" w:ascii="宋体" w:hAnsi="宋体" w:eastAsia="宋体" w:cs="宋体"/>
          <w:bCs/>
          <w:color w:val="000000" w:themeColor="text1"/>
          <w:highlight w:val="none"/>
          <w14:textFill>
            <w14:solidFill>
              <w14:schemeClr w14:val="tx1"/>
            </w14:solidFill>
          </w14:textFill>
        </w:rPr>
        <w:t xml:space="preserve">的，即投标（响应）报价&lt;全部通过符合性审查供应商投标（响应）报价平均值×</w:t>
      </w:r>
      <w:r>
        <w:rPr>
          <w:rFonts w:hint="eastAsia" w:ascii="宋体" w:hAnsi="宋体" w:cs="宋体"/>
          <w:bCs/>
          <w:color w:val="000000" w:themeColor="text1"/>
          <w:highlight w:val="none"/>
          <w:lang w:eastAsia="zh-CN"/>
          <w14:textFill>
            <w14:solidFill>
              <w14:schemeClr w14:val="tx1"/>
            </w14:solidFill>
          </w14:textFill>
        </w:rPr>
        <w:t xml:space="preserve">65%</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27.1.9.2投标（响应）报价低于通过符合性审查的次低报价供应商投标（响应）报价</w:t>
      </w:r>
      <w:r>
        <w:rPr>
          <w:rFonts w:hint="eastAsia" w:ascii="宋体" w:hAnsi="宋体" w:cs="宋体"/>
          <w:bCs/>
          <w:color w:val="000000" w:themeColor="text1"/>
          <w:highlight w:val="none"/>
          <w:lang w:eastAsia="zh-CN"/>
          <w14:textFill>
            <w14:solidFill>
              <w14:schemeClr w14:val="tx1"/>
            </w14:solidFill>
          </w14:textFill>
        </w:rPr>
        <w:t xml:space="preserve">65%</w:t>
      </w:r>
      <w:r>
        <w:rPr>
          <w:rFonts w:hint="eastAsia" w:ascii="宋体" w:hAnsi="宋体" w:eastAsia="宋体" w:cs="宋体"/>
          <w:bCs/>
          <w:color w:val="000000" w:themeColor="text1"/>
          <w:highlight w:val="none"/>
          <w14:textFill>
            <w14:solidFill>
              <w14:schemeClr w14:val="tx1"/>
            </w14:solidFill>
          </w14:textFill>
        </w:rPr>
        <w:t xml:space="preserve">的，即投标（响应）报价&lt;通过符合性审查的次低报价供应商投标（响应）报价×</w:t>
      </w:r>
      <w:r>
        <w:rPr>
          <w:rFonts w:hint="eastAsia" w:ascii="宋体" w:hAnsi="宋体" w:cs="宋体"/>
          <w:bCs/>
          <w:color w:val="000000" w:themeColor="text1"/>
          <w:highlight w:val="none"/>
          <w:lang w:eastAsia="zh-CN"/>
          <w14:textFill>
            <w14:solidFill>
              <w14:schemeClr w14:val="tx1"/>
            </w14:solidFill>
          </w14:textFill>
        </w:rPr>
        <w:t xml:space="preserve">65%</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27.1.9.3投标（响应）报价低于采购项目最高限价</w:t>
      </w:r>
      <w:r>
        <w:rPr>
          <w:rFonts w:hint="eastAsia" w:ascii="宋体" w:hAnsi="宋体" w:cs="宋体"/>
          <w:bCs/>
          <w:color w:val="000000" w:themeColor="text1"/>
          <w:highlight w:val="none"/>
          <w:lang w:eastAsia="zh-CN"/>
          <w14:textFill>
            <w14:solidFill>
              <w14:schemeClr w14:val="tx1"/>
            </w14:solidFill>
          </w14:textFill>
        </w:rPr>
        <w:t xml:space="preserve">65%</w:t>
      </w:r>
      <w:r>
        <w:rPr>
          <w:rFonts w:hint="eastAsia" w:ascii="宋体" w:hAnsi="宋体" w:eastAsia="宋体" w:cs="宋体"/>
          <w:bCs/>
          <w:color w:val="000000" w:themeColor="text1"/>
          <w:highlight w:val="none"/>
          <w14:textFill>
            <w14:solidFill>
              <w14:schemeClr w14:val="tx1"/>
            </w14:solidFill>
          </w14:textFill>
        </w:rPr>
        <w:t xml:space="preserve">的，即投标（响应）报价&lt;采购项目最高限价×</w:t>
      </w:r>
      <w:r>
        <w:rPr>
          <w:rFonts w:hint="eastAsia" w:ascii="宋体" w:hAnsi="宋体" w:cs="宋体"/>
          <w:bCs/>
          <w:color w:val="000000" w:themeColor="text1"/>
          <w:highlight w:val="none"/>
          <w:lang w:eastAsia="zh-CN"/>
          <w14:textFill>
            <w14:solidFill>
              <w14:schemeClr w14:val="tx1"/>
            </w14:solidFill>
          </w14:textFill>
        </w:rPr>
        <w:t xml:space="preserve">65%</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27.1.9.4评审委员会基于专业判断，认为供应商报价过低，有可能影响产品质量或者不能诚信履约的其他情形。</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注：采购人可以结合具体项目实际情况，提高上述第1项至第3项中启动异常低价投标（响应）审查的数值标准，但是最高不得超过65%。</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27.1.10</w:t>
      </w:r>
      <w:r>
        <w:rPr>
          <w:rFonts w:hint="eastAsia" w:ascii="宋体" w:hAnsi="宋体" w:eastAsia="宋体" w:cs="宋体"/>
          <w:bCs/>
          <w:color w:val="000000" w:themeColor="text1"/>
          <w:highlight w:val="none"/>
          <w14:textFill>
            <w14:solidFill>
              <w14:schemeClr w14:val="tx1"/>
            </w14:solidFill>
          </w14:textFill>
        </w:rPr>
        <w:t xml:space="preserve">其他法律、法规及本采购文件规定的属无效响应的情形。</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 </w:t>
      </w:r>
      <w:r>
        <w:rPr>
          <w:rFonts w:hint="eastAsia" w:ascii="宋体" w:hAnsi="宋体" w:eastAsia="宋体" w:cs="宋体"/>
          <w:color w:val="000000" w:themeColor="text1"/>
          <w:highlight w:val="none"/>
          <w14:textFill>
            <w14:solidFill>
              <w14:schemeClr w14:val="tx1"/>
            </w14:solidFill>
          </w14:textFill>
        </w:rPr>
        <w:t xml:space="preserve">采购活动终止的情况</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27.2.1 因情况变化，不再符合规定的竞争性磋商采购方式适用情形的；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27.2.2 出现影响采购公正的违法、违规行为的；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27.2.3 </w:t>
      </w:r>
      <w:r>
        <w:rPr>
          <w:rFonts w:hint="eastAsia" w:ascii="宋体" w:hAnsi="宋体" w:eastAsia="宋体" w:cs="宋体"/>
          <w:color w:val="000000" w:themeColor="text1"/>
          <w:highlight w:val="none"/>
          <w14:textFill>
            <w14:solidFill>
              <w14:schemeClr w14:val="tx1"/>
            </w14:solidFill>
          </w14:textFill>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27.2.4 因重大变故，采购任务取消的。</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28、确定成交单位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28.2 采购人应根据磋商推荐的成交候选人，按照排序由高到低的原件确定成交供应商。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28.3 代理机构将在“扬州市政府采购网”、”江苏省政府采购网”发布成交公告，公告期限为1个工作日。</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 若有充分证据证明，成交供应商出现下列情况之一的，一经查实，将被取消成交资格：</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28.4.1 提供虚假材料谋取成交的；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28.4.2 向采购人、代理机构行贿或者提供其他不正当利益的；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28.4.3 恶意竞争，最终总报价明显低于其自身合理成本且又无法提供证明的；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28.4.4 属于本文件规定的无效条件，但在评审过程中又未被磋商小组发现的；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28.4.5 与采购人或者其他供应商恶意串通的；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28.4.6 采取不正当手段诋毁、排挤其他供应商的；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28.4.7 不符合法律、法规的规定的。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29、质疑处理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highlight w:val="none"/>
          <w14:textFill>
            <w14:solidFill>
              <w14:schemeClr w14:val="tx1"/>
            </w14:solidFill>
          </w14:textFill>
        </w:rPr>
        <w:t xml:space="preserve">提出质疑的供应商应当是参与所质疑项目采购活动</w:t>
      </w:r>
      <w:r>
        <w:rPr>
          <w:rFonts w:hint="eastAsia" w:ascii="宋体" w:hAnsi="宋体" w:cs="宋体"/>
          <w:b w:val="0"/>
          <w:bCs w:val="0"/>
          <w:color w:val="000000" w:themeColor="text1"/>
          <w:highlight w:val="none"/>
          <w:lang w:val="en-US" w:eastAsia="zh-CN"/>
          <w14:textFill>
            <w14:solidFill>
              <w14:schemeClr w14:val="tx1"/>
            </w14:solidFill>
          </w14:textFill>
        </w:rPr>
        <w:t xml:space="preserve">且满足采购活动相关资质要求</w:t>
      </w:r>
      <w:r>
        <w:rPr>
          <w:rFonts w:hint="eastAsia" w:ascii="宋体" w:hAnsi="宋体" w:eastAsia="宋体" w:cs="宋体"/>
          <w:b w:val="0"/>
          <w:bCs w:val="0"/>
          <w:color w:val="000000" w:themeColor="text1"/>
          <w:highlight w:val="none"/>
          <w14:textFill>
            <w14:solidFill>
              <w14:schemeClr w14:val="tx1"/>
            </w14:solidFill>
          </w14:textFill>
        </w:rPr>
        <w:t xml:space="preserve">的供应商。潜在供应商依法获取其可质疑的采购文件的，可以对采购文件提出质疑。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对项目需求部分的质疑，潜在供应商应向采购人提出，由采购人负责答复。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29.2.2对采购过程提出质疑的，为各采购程序环节结束之日起7个工作日内提出。</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29.2.3对成交结果提出质疑的，为成交结果公告期限届满之日起7个工作日内提出。</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29.5 代理机构及采购人只接收以纸质原件形式送达的质疑。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采购人质疑接收人及联系方式见采购文件第一章。</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29.7质疑人应当在法定质疑期限内进行补正并重新提交质疑函。</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 以下情形的质疑不予受理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29.8.1 内容不符合《政府采购质疑和投诉办法》第十二条规定的质疑。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29.8.2 超出政府采购法定期限的质疑。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29.8.3 以传真、电子邮件等方式递交的非原件形式的质疑。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29.8.4 未参加磋商活动的供应商或在磋商活动中自身权益未受到损害的供应商所提出的质疑。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29.8.5供应商组成联合体参加磋商，联合体中任何一方或多方未按要求签字、盖章、加盖公章的质疑。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30、成交通知书</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30.l</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成交结果确定后，代理机构将向成交供应商发出成通知书。</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签订合同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31.l成交供应商应在成交通知书发出之日起十五日内，按照采购文件确定的事项与采购人签订政府采购合同。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31.2</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采购文件、成交供应商的响应文件及磋商过程中有关澄清、承诺文件均应作为合同附件。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31.3合同在“政府采购管理交易系统（苏采云）”中签订，签订合同后，</w:t>
      </w:r>
      <w:r>
        <w:rPr>
          <w:rFonts w:hint="eastAsia" w:ascii="宋体" w:hAnsi="宋体" w:eastAsia="宋体" w:cs="宋体"/>
          <w:bCs/>
          <w:i/>
          <w:iCs/>
          <w:color w:val="000000" w:themeColor="text1"/>
          <w:szCs w:val="21"/>
          <w:highlight w:val="none"/>
          <w:u w:val="single"/>
          <w14:textFill>
            <w14:solidFill>
              <w14:schemeClr w14:val="tx1"/>
            </w14:solidFill>
          </w14:textFill>
        </w:rPr>
        <w:t xml:space="preserve">成交供应商不得将货物或服务及其他服务进行转包</w:t>
      </w:r>
      <w:r>
        <w:rPr>
          <w:rFonts w:hint="eastAsia" w:ascii="宋体" w:hAnsi="宋体" w:eastAsia="宋体" w:cs="宋体"/>
          <w:bCs/>
          <w:color w:val="000000" w:themeColor="text1"/>
          <w:szCs w:val="21"/>
          <w:highlight w:val="none"/>
          <w14:textFill>
            <w14:solidFill>
              <w14:schemeClr w14:val="tx1"/>
            </w14:solidFill>
          </w14:textFill>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32、其他</w:t>
      </w:r>
      <w:r/>
    </w:p>
    <w:p>
      <w:pPr>
        <w:ind w:firstLine="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32.1依据《政府采购促进中小企业发展管理办法》享受扶持政策获得政府采购合同的，小微企业不得将合同分包给大中型企业，中型企业不得将合同分包给大型企业。</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1020"/>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bookmarkStart w:id="35" w:name="_Toc107582398"/>
      <w:r/>
      <w:bookmarkStart w:id="36" w:name="_Toc24601"/>
      <w:r/>
      <w:bookmarkStart w:id="37" w:name="_Toc11480"/>
      <w:r>
        <w:rPr>
          <w:rFonts w:hint="eastAsia" w:ascii="宋体" w:hAnsi="宋体" w:eastAsia="宋体" w:cs="宋体"/>
          <w:color w:val="000000" w:themeColor="text1"/>
          <w:sz w:val="36"/>
          <w:szCs w:val="36"/>
          <w:highlight w:val="none"/>
          <w14:textFill>
            <w14:solidFill>
              <w14:schemeClr w14:val="tx1"/>
            </w14:solidFill>
          </w14:textFill>
        </w:rPr>
        <w:t xml:space="preserve">第三章 合同条款及格式</w:t>
      </w:r>
      <w:bookmarkEnd w:id="35"/>
      <w:r/>
      <w:bookmarkEnd w:id="36"/>
      <w:r/>
      <w:bookmarkEnd w:id="37"/>
      <w:r/>
      <w:r/>
    </w:p>
    <w:p>
      <w:pPr>
        <w:ind w:firstLine="40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bookmarkStart w:id="38" w:name="_Toc16315"/>
      <w:r/>
      <w:bookmarkStart w:id="39" w:name="_Toc32629"/>
      <w:r>
        <w:rPr>
          <w:rFonts w:hint="eastAsia" w:ascii="宋体" w:hAnsi="宋体" w:eastAsia="宋体" w:cs="宋体"/>
          <w:bCs/>
          <w:color w:val="000000" w:themeColor="text1"/>
          <w:sz w:val="21"/>
          <w:szCs w:val="21"/>
          <w:highlight w:val="none"/>
          <w14:textFill>
            <w14:solidFill>
              <w14:schemeClr w14:val="tx1"/>
            </w14:solidFill>
          </w14:textFill>
        </w:rPr>
        <w:t xml:space="preserve">以下为成交后签定本项目合同的通用条款，成交供应商不得提出实质性的修改，关于专用条款将由采购人与成交供应商结合本项目具体情况协商后签订。</w:t>
      </w:r>
      <w:r/>
    </w:p>
    <w:p>
      <w:pPr>
        <w:ind w:firstLine="402"/>
        <w:jc w:val="center"/>
        <w:spacing w:before="120" w:after="12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0"/>
          <w:highlight w:val="none"/>
          <w14:textFill>
            <w14:solidFill>
              <w14:schemeClr w14:val="tx1"/>
            </w14:solidFill>
          </w14:textFill>
        </w:rPr>
        <w:t xml:space="preserve">扬州市政府采购合同</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甲方（采购人/买方）：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乙方（供应商/卖方）：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根据《中华人民共和国政府采购法》、《中华人民共和国民法典》等法律法规的规定，甲乙双方按照江苏宏才项目管理有限公司扬州分公司关于本项目磋商结果签订本合同。</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1、合同组成</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下列关于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文件、乙方提交的响应文件均是构成本合同不可分割的部分，还包括：</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（1）合同条款；</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（2）响应承诺函；</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（3）最后报价表；</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（4）报价明细表；</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（5）工程方案及服务承诺；</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（6）成交通知书；</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（7）图纸（如有）；</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（8）甲方、乙方商定的其他必要文件。</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2、工程概况</w:t>
      </w:r>
      <w:r/>
    </w:p>
    <w:p>
      <w:pPr>
        <w:ind w:firstLine="420"/>
        <w:spacing w:line="360" w:lineRule="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2.1 工程名称：</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2.2 工程地点：扬州市江都区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小纪镇</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2.3 承包范围：包含但不限于工程施工图纸及工程量清单范围内的所有工程施工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2.4 承包方式：包工包料</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2.5 工期：本工程工期</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天，拟于</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日开工，</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日完工，具体开工时间以采购人通知为准。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2.6 工程质量：本工程质量等级为合格标准，符合《水利工程施工质量检验与评定规范》（DB32/T2334-2013）。</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2.7 合同价款（人民币大写）：</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元，￥： 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2.7.1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本项目合同采用固定单价，合同价格明细清单见投标清单附件，施工过程中严格控制变更。</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2.7.2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本工程结算价须经甲方认可的造价咨询单位审核确定</w:t>
      </w:r>
      <w:r>
        <w:rPr>
          <w:rFonts w:hint="eastAsia" w:ascii="宋体" w:hAnsi="宋体" w:eastAsia="宋体" w:cs="宋体"/>
          <w:color w:val="000000" w:themeColor="text1"/>
          <w:sz w:val="21"/>
          <w:szCs w:val="21"/>
          <w:highlight w:val="none"/>
          <w14:textFill>
            <w14:solidFill>
              <w14:schemeClr w14:val="tx1"/>
            </w14:solidFill>
          </w14:textFill>
        </w:rPr>
        <w:t xml:space="preserve">，最终合同价以审计部门审定结算价为准。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2.7.3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合同价中安全文明措施费、工伤保险在投标报价时为不可竞争费，费用为招标清单提供的费用。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2.7.4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本合同价格采用固定单价，为防止高估冒算或清单漏项，合同签订前甲乙双方对照现场、招标清单、施工图核实有关工程量。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2.8 付款方式：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2.8.1 本项目合同为固定单价合同，合同总价中，包含了工程的施工、安装、调试结束，直至交付买方使用止的所有费用，即包括人工费、全部设备、材料的价格、随设备提供的备品配件及专用工具的价格、包装费、运杂费（含二次搬运费、垂直运输费）、脚手架费、管理费、保险费、安装费、配合费、调试费，完工检测费、买方有关人员培训费、配合费、本工程税金、利润、风险及投标人认为需要的其他所有费用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2.8.2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工程款支付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中标价即为合同价，工程竣工验收合格且待上级资金到位后付至合同价的60%，审计结束付至审定价的97%，剩余款项为3%质量保证金，质保金质保期满1年(</w:t>
      </w:r>
      <w:r>
        <w:rPr>
          <w:rFonts w:hint="eastAsia" w:ascii="宋体" w:hAnsi="宋体" w:eastAsia="宋体" w:cs="宋体"/>
          <w:color w:val="000000" w:themeColor="text1"/>
          <w:sz w:val="21"/>
          <w:szCs w:val="21"/>
          <w:highlight w:val="none"/>
          <w14:textFill>
            <w14:solidFill>
              <w14:schemeClr w14:val="tx1"/>
            </w14:solidFill>
          </w14:textFill>
        </w:rPr>
        <w:t xml:space="preserve">竣</w:t>
      </w:r>
      <w:r>
        <w:rPr>
          <w:rFonts w:hint="eastAsia" w:ascii="宋体" w:hAnsi="宋体" w:eastAsia="宋体" w:cs="宋体"/>
          <w:color w:val="000000" w:themeColor="text1"/>
          <w:sz w:val="21"/>
          <w:szCs w:val="21"/>
          <w:highlight w:val="none"/>
          <w14:textFill>
            <w14:solidFill>
              <w14:schemeClr w14:val="tx1"/>
            </w14:solidFill>
          </w14:textFill>
        </w:rPr>
        <w:t xml:space="preserve">工验收之日起算)，且无质量问题一次性付清(如承包人提供3%质量保证金的保函或保险，招标人支付至审定价的100%，保函或保险期限至缺陷责任期结束)。资金支付具体进度以财政部门拨付为准。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上述款项的支付，须以承包人提供合法票据为前提。工程结算须经审计，并按审计后的价格进行结算。承包人应按时发放农民工工资。因承包人拖欠农民工工资所造成的一切后果均由其全部承担。</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3、甲方权利义务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3.1 开工前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天，甲方向乙方提供经确认的施工图纸或做法说明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份，并向乙方进行现场交底。向乙方提供施工所有的水、电、气及电讯等设备并说明使用注意事项。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3.2 </w:t>
      </w:r>
      <w:r>
        <w:rPr>
          <w:rFonts w:hint="eastAsia" w:ascii="宋体" w:hAnsi="宋体" w:cs="宋体"/>
          <w:color w:val="000000" w:themeColor="text1"/>
          <w:sz w:val="21"/>
          <w:szCs w:val="21"/>
          <w:highlight w:val="none"/>
          <w:u w:val="none"/>
          <w:lang w:eastAsia="zh-CN"/>
          <w14:textFill>
            <w14:solidFill>
              <w14:schemeClr w14:val="tx1"/>
            </w14:solidFill>
          </w14:textFill>
        </w:rPr>
        <w:t xml:space="preserve">扬州市江都区小纪镇人民政府</w:t>
      </w:r>
      <w:r>
        <w:rPr>
          <w:rFonts w:hint="eastAsia" w:ascii="宋体" w:hAnsi="宋体" w:eastAsia="宋体" w:cs="宋体"/>
          <w:color w:val="000000" w:themeColor="text1"/>
          <w:sz w:val="21"/>
          <w:szCs w:val="21"/>
          <w:highlight w:val="none"/>
          <w14:textFill>
            <w14:solidFill>
              <w14:schemeClr w14:val="tx1"/>
            </w14:solidFill>
          </w14:textFill>
        </w:rPr>
        <w:t xml:space="preserve">负责合同履行。对工程质量控制、进度控制、安全生产等工作进行监督检查，办理验收，变更，登记手续和其他事宜，施工中严格控制变更；发出经发包人同意的工程指令；对支付工程款进行审核等。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3.3 如确实需要拆改原建筑物结构或设备管线，负责到有关部门办理相应审批手续。</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3.4 协调有关部门做好现场保卫、消防、垃圾处理等工作。</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4、乙方权利义务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4.1 参加甲方组织的施工图纸或作法说明的现场交底，拟定施工方案和进度计划，交甲方审定。</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4.2 </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进场施工前邀请监理、测绘、业主单位进行复测，如有问题由测绘单位会同监理、甲方共同协商解决。</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4.3 </w:t>
      </w:r>
      <w:r>
        <w:rPr>
          <w:rFonts w:hint="eastAsia" w:ascii="宋体" w:hAnsi="宋体" w:eastAsia="宋体" w:cs="宋体"/>
          <w:color w:val="000000" w:themeColor="text1"/>
          <w:sz w:val="21"/>
          <w:szCs w:val="21"/>
          <w:highlight w:val="none"/>
          <w14:textFill>
            <w14:solidFill>
              <w14:schemeClr w14:val="tx1"/>
            </w14:solidFill>
          </w14:textFill>
        </w:rPr>
        <w:t xml:space="preserve">指派</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为乙方项目负责人（项目经理），身份证号：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，建造师执业资格等级：</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，建造师注册证书号：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按照国家相关规定和合同约定，作为承包方施工现场负责人，全面负责本项目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 乙方项目经理应在采购人签发进场通知后的7日内到职，项目经理不得更换。特殊情况下确需更换的，应提出书面申请并征得甲方同意，且不得降低项目经理资质。项目副经理（若有，下同）、技术负责人除特殊情况外不得更换。项目经理、项目副经理、技术负责人、安全负责人、质检负责人在工程施工期间调换不得超过2人（甲方要求变更的除外）。</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 乙方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竣工图需移交原件6套（纸质竣工图5套，电子文档1套），档案相关的一切费用包含在报价中，甲方不再另行支付。</w:t>
      </w:r>
      <w:r>
        <w:rPr>
          <w:rFonts w:hint="eastAsia" w:ascii="宋体" w:hAnsi="宋体" w:eastAsia="宋体" w:cs="宋体"/>
          <w:color w:val="000000" w:themeColor="text1"/>
          <w:sz w:val="21"/>
          <w:szCs w:val="21"/>
          <w:highlight w:val="none"/>
          <w14:textFill>
            <w14:solidFill>
              <w14:schemeClr w14:val="tx1"/>
            </w14:solidFill>
          </w14:textFill>
        </w:rPr>
        <w:t xml:space="preserve">并提供工程主要节点施工前、中、后对比照片资料1套，档案相关的一切费用包含在报价中，甲方不再另行支付。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 严格执行施工规范、安全操作规程、防火安全规定、环境保护规定。严格按照图纸或做法说明进行施工，做好各项质量检查记录，参加完工验收，编制工程决算。</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 遵守国家或地方政府及有关部门对施工现场管理的规定，妥善保护好施工现场周围建筑物、设备管线、古树名木不受损坏。做好施工现场消防、保卫和垃圾消纳等工作，处理好施工带来的扰民问题及与周围单位（住户）的关系。施工安全由乙方负责。</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 施工中未经甲方同意或有关部门批准，不得随意拆改原建筑物结构及各种设备管线。</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 工程完工未移交甲方之前，负责对现场的一切设施和工程成品进行保护，所涉及的费用包含在报价中，甲方不再另行支付。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 乙方向甲方承诺按照合同约定进行施工、完工并在质量保修期内承担工程质量保修责任。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4.1</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乙方有责任在工程中间验收、完工验收、档案验收过程中为甲方提供与政府相关部门的沟通与协调的服务，并与甲方一起办理相应手续。</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 承担本工程所有应属于乙方责任内的检验费用（行业管理另有规定的，从其行业规定），乙方应在投标报价中考虑，甲方不再另行支付。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4.1</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保证工地的管理井然有序，无打架斗殴等不良现象；加强卫生管理，保证无传染病、食物中毒等现象；严禁以放慢施工速度和停工要挟甲方，否则，甲方有权委托第三方实施，甲方有权按照中标单价的双倍从乙方结算中扣除。本工程所用水、电由乙方统一挂表管理，水电费用按实结算，均由乙方承担。</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4.1</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在施工期间所产生的矛盾及苗木赔青由乙方自行负责，所产生的费用包含报价中，不得另计。</w:t>
      </w:r>
      <w:r/>
    </w:p>
    <w:p>
      <w:pPr>
        <w:ind w:firstLine="420"/>
        <w:spacing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合同价包含一些不可预见的费用，包括但不限于弃土区（排泥场）、临时用地、临时用电的矛盾协调、赔青、土源及运距、排泥管线输送长度、破坏的路面等原状恢复等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，相关施工措施费用包含在合同总价中，甲方不在另行支付。</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5、税费</w:t>
      </w:r>
      <w:r/>
    </w:p>
    <w:p>
      <w:pPr>
        <w:ind w:firstLine="396"/>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5.1 中国政府根据现行税法规定对甲方征收的与本合同有关的一切税费均由甲方负担（免税部分除外）。</w:t>
      </w:r>
      <w:r/>
    </w:p>
    <w:p>
      <w:pPr>
        <w:ind w:firstLine="396"/>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5.2 中国政府根据现行税法规定对乙方征收的与本合同有关的一切税费均由乙方负担（免税部分除外）。</w:t>
      </w:r>
      <w:r/>
    </w:p>
    <w:p>
      <w:pPr>
        <w:ind w:firstLine="408"/>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6、履约保证金：无</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7、关于工期的约定及其他相关的约定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7.1 甲方要求比合同约定的工期提前完工时，应与乙方协商，并支付乙方因赶工采取的措施费用。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7.2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因甲方未按约定完成工作，影响工期，工期顺延，但不增加费用。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7.3 因乙方责任，不能按期开工或中途无故停工，影响工期，工期不顺延，且不增加费用。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7.4 因设计变更或非乙方原因造成的停电、停水、停气及不可抗力因素影响，导致停工8小时以上（一周内累计计算）工期相应顺延。政府环保、安全等要求引起的暂停施工时间不包含在总工期内，相关费用由乙方承担。</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8、关于工程质量、验收及质保的约定</w:t>
      </w:r>
      <w:r/>
    </w:p>
    <w:p>
      <w:pPr>
        <w:ind w:firstLine="404"/>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4"/>
          <w:sz w:val="21"/>
          <w:szCs w:val="21"/>
          <w:highlight w:val="none"/>
          <w14:textFill>
            <w14:solidFill>
              <w14:schemeClr w14:val="tx1"/>
            </w14:solidFill>
          </w14:textFill>
        </w:rPr>
        <w:t xml:space="preserve">8.1 本工程以施工图纸或作法说明、设计变更和国家制订的最新施工及验收规范为质量评定验收标准。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乙方自行考虑为完成本工程计划施工工期所发生的施工赶工措施，甲发不再额外增加此类费用。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工程质量必须达到相关现行的国家规范、行业标准、地方标准和满足甲方根据合同规定对工程质量的合理要求，质量标准为合格。</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甲、乙双方应及时办理隐蔽工程和中间工程的检查与验收手续。乙方应至少提前3天与甲方沟通并确认隐蔽工程和中间工程的检查与验收的具体时间，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8.6 由于乙方原因造成质量事故，其返工费用由乙方承担，工期不顺延。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8.7 工程完工后，乙方应通知甲方验收，甲方自接到验收通知</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日内组织验收，并办理验收、移交手续。如甲方在规定时间内未能组织验收，需及时通知乙方，另定验收日期。但甲方应承认乙方完工日期。如验收不通过，乙方应无条件进行整改直至验收通过。本工程验收按</w:t>
      </w:r>
      <w:r>
        <w:rPr>
          <w:rFonts w:hint="eastAsia" w:ascii="宋体" w:hAnsi="宋体" w:cs="宋体"/>
          <w:color w:val="000000" w:themeColor="text1"/>
          <w:sz w:val="21"/>
          <w:szCs w:val="21"/>
          <w:highlight w:val="none"/>
          <w:lang w:eastAsia="zh-CN"/>
          <w14:textFill>
            <w14:solidFill>
              <w14:schemeClr w14:val="tx1"/>
            </w14:solidFill>
          </w14:textFill>
        </w:rPr>
        <w:t xml:space="preserve">《水利水电建设工程验收规程》（SLT223—2025）</w:t>
      </w:r>
      <w:r>
        <w:rPr>
          <w:rFonts w:hint="eastAsia" w:ascii="宋体" w:hAnsi="宋体" w:eastAsia="宋体" w:cs="宋体"/>
          <w:color w:val="000000" w:themeColor="text1"/>
          <w:sz w:val="21"/>
          <w:szCs w:val="21"/>
          <w:highlight w:val="none"/>
          <w14:textFill>
            <w14:solidFill>
              <w14:schemeClr w14:val="tx1"/>
            </w14:solidFill>
          </w14:textFill>
        </w:rPr>
        <w:t xml:space="preserve">的规定执行。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8.8 本工程应符合国家环保质量要求,否则，甲方有权要求乙方返工，并要求乙方承担违约责任并赔偿甲方损失。</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8.9 工程交付尚未使用期间凡属工程遗留问题，乙方在接到甲方书面通知后三天内组织整改。逾期甲方将组织整改，一切费用由乙方承担。</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8.10 通过验收后 5 个日历天内乙方必须将施工队伍、施工机具、周转材料等全部撤清，所有建筑垃圾等必须清运，保持施工现场平整、整洁，塔吊、井架基础等清理完成，如不清运，甲方委托清运，费用由乙方承担，甲方有权在工程款中扣除；甲方提供的现场设施是完好的，乙方损坏需赔偿。</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8.11 本工程质量保修期为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1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14:textFill>
            <w14:solidFill>
              <w14:schemeClr w14:val="tx1"/>
            </w14:solidFill>
          </w14:textFill>
        </w:rPr>
        <w:t xml:space="preserve">，自工程完工验收合格之日起算。保修期届满前，乙方须对工程进行全面检查，使本工程达到合同所要求的标准及甲方认为合格的程度。</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乙方实际进入施工现场组织施工的项目经理必须是合同约定的项目经理，项目经理在施工阶段必须常驻工程现场，施工过程中不得更换，如更换，被更换的项目经理资质等级及所完成工程业绩等不得低于原项目经理相应条件，并征得甲方书面同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甲方及工程师有权要求乙方立即从工程中撤换在甲方认为行为不轨或在履行其职责时不能胜任、玩忽职守的人员及甲方认为其在现场出现是不适宜的人员。被要求撤换的人员应从速离场，无甲方的批准不得重新进入现场工作。否则，甲发有权解除合同，并依法追究乙方的责任，同时报相应的建设主管部门处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乙方应遵守政府和甲方对施工现场的规定和要求，承担因自身原因违反有关规定造成的损失和罚款。</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spacing w:line="360" w:lineRule="auto"/>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360" w:lineRule="auto"/>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因乙方违反本合同约定而发生诉讼或仲裁的，甲方因此所产生的包括但不限于诉讼费、仲裁费、律师费等均由乙方承担。</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9、关于工程价款及结算的约定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9.1 双方商定本合同价款采用第</w:t>
      </w:r>
      <w:r>
        <w:rPr>
          <w:rFonts w:hint="eastAsia" w:ascii="宋体" w:hAnsi="宋体" w:eastAsia="宋体" w:cs="宋体"/>
          <w:color w:val="000000" w:themeColor="text1"/>
          <w:sz w:val="21"/>
          <w:szCs w:val="21"/>
          <w:highlight w:val="none"/>
          <w:u w:val="singl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种：</w:t>
      </w:r>
      <w:r/>
    </w:p>
    <w:p>
      <w:pPr>
        <w:ind w:firstLine="396"/>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(1)</w:t>
      </w:r>
      <w:r>
        <w:rPr>
          <w:rFonts w:hint="eastAsia" w:ascii="宋体" w:hAnsi="宋体" w:eastAsia="宋体" w:cs="宋体"/>
          <w:color w:val="000000" w:themeColor="text1"/>
          <w:spacing w:val="-6"/>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6"/>
          <w:sz w:val="21"/>
          <w:szCs w:val="21"/>
          <w:highlight w:val="none"/>
          <w14:textFill>
            <w14:solidFill>
              <w14:schemeClr w14:val="tx1"/>
            </w14:solidFill>
          </w14:textFill>
        </w:rPr>
        <w:t xml:space="preserve">固定价格（风险费已包含在报价中，其它合同以外价款的调整方法为</w:t>
      </w:r>
      <w:r>
        <w:rPr>
          <w:rFonts w:hint="eastAsia" w:ascii="宋体" w:hAnsi="宋体" w:eastAsia="宋体" w:cs="宋体"/>
          <w:color w:val="000000" w:themeColor="text1"/>
          <w:spacing w:val="-6"/>
          <w:sz w:val="21"/>
          <w:szCs w:val="21"/>
          <w:highlight w:val="none"/>
          <w:u w:val="single"/>
          <w14:textFill>
            <w14:solidFill>
              <w14:schemeClr w14:val="tx1"/>
            </w14:solidFill>
          </w14:textFill>
        </w:rPr>
        <w:t xml:space="preserve">工程量清单中有的项目（项目特征相同）按报价的综合单价计算；报价中没有综合单价的新的工程量清单项目，按照《水利</w:t>
      </w:r>
      <w:r>
        <w:rPr>
          <w:rFonts w:hint="eastAsia" w:ascii="宋体" w:hAnsi="宋体" w:eastAsia="宋体" w:cs="宋体"/>
          <w:color w:val="000000" w:themeColor="text1"/>
          <w:spacing w:val="-6"/>
          <w:sz w:val="21"/>
          <w:szCs w:val="21"/>
          <w:highlight w:val="none"/>
          <w:u w:val="single"/>
          <w14:textFill>
            <w14:solidFill>
              <w14:schemeClr w14:val="tx1"/>
            </w14:solidFill>
          </w14:textFill>
        </w:rPr>
        <w:t xml:space="preserve">工程量清单计价规范》（GB50501-2007）、《关于印发&lt;江苏省水利工程招标投标文件工程量清单格式&gt;的通知》（苏水基〔2011〕21号）；《省水利厅关于印发&lt;江苏省水利建设工程安全文明措施费管理办法&gt;的通知》（苏水规〔2017〕2号）；《省水利厅关于印发&lt;江苏省水利建设工程安全文明措施费分解表&gt;的通知》（苏水安〔2017〕3号）；《江苏省水利建筑工程定额》（2010年）；国家、省、市级水利建设行政主管部门颁发的有关计量计费依据和规定；与本工程项目有关的标准、规范、技术资料；主要材料价格参照扬州市 202</w:t>
      </w:r>
      <w:r>
        <w:rPr>
          <w:rFonts w:hint="eastAsia" w:ascii="宋体" w:hAnsi="宋体" w:eastAsia="宋体" w:cs="宋体"/>
          <w:color w:val="000000" w:themeColor="text1"/>
          <w:spacing w:val="-6"/>
          <w:sz w:val="21"/>
          <w:szCs w:val="21"/>
          <w:highlight w:val="none"/>
          <w:u w:val="single"/>
          <w:lang w:val="en-US" w:eastAsia="zh-CN"/>
          <w14:textFill>
            <w14:solidFill>
              <w14:schemeClr w14:val="tx1"/>
            </w14:solidFill>
          </w14:textFill>
        </w:rPr>
        <w:t xml:space="preserve">6</w:t>
      </w:r>
      <w:r>
        <w:rPr>
          <w:rFonts w:hint="eastAsia" w:ascii="宋体" w:hAnsi="宋体" w:eastAsia="宋体" w:cs="宋体"/>
          <w:color w:val="000000" w:themeColor="text1"/>
          <w:spacing w:val="-6"/>
          <w:sz w:val="21"/>
          <w:szCs w:val="21"/>
          <w:highlight w:val="none"/>
          <w:u w:val="single"/>
          <w14:textFill>
            <w14:solidFill>
              <w14:schemeClr w14:val="tx1"/>
            </w14:solidFill>
          </w14:textFill>
        </w:rPr>
        <w:t xml:space="preserve"> 年 2 月扬州工程造价管理；部分材料的价格采用市场价格等,没有的按市场询价，具体按建设工程工程量清单计价规范执行，经甲方（造价跟踪方）确认后报甲方安排的审计部门核定。</w:t>
      </w:r>
      <w:r/>
    </w:p>
    <w:p>
      <w:pPr>
        <w:ind w:firstLine="396"/>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 固定价格加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%包干风险系数计算。包干风险包括内容：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396"/>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 可调价格：按照国家有关工程计价规定计算造价，并按有关规定进行调整和完工结算。</w:t>
      </w:r>
      <w:r/>
    </w:p>
    <w:p>
      <w:pPr>
        <w:ind w:firstLine="52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9.2结算</w:t>
      </w:r>
      <w:r/>
    </w:p>
    <w:p>
      <w:pPr>
        <w:ind w:firstLine="52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本工程结算价需经有关部门审定确认，具体如下：</w:t>
      </w:r>
      <w:r/>
    </w:p>
    <w:p>
      <w:pPr>
        <w:numPr>
          <w:ilvl w:val="0"/>
          <w:numId w:val="1"/>
        </w:numPr>
        <w:ind w:firstLine="52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本工程结算价需经有关部门审定确认，本工程安全文明措施费计取基本费及扬尘污染防治增加费，结算时按有关部门核定调整。</w:t>
      </w:r>
      <w:r/>
    </w:p>
    <w:p>
      <w:pPr>
        <w:numPr>
          <w:ilvl w:val="0"/>
          <w:numId w:val="1"/>
        </w:numPr>
        <w:ind w:firstLine="52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乙方完工验收合格后30天内提交结算送审资料进行结算。超过合同约定时间报送的关于工程量变更等导致工程款变化的结算资料不作为审查的依据。</w:t>
      </w:r>
      <w:r/>
    </w:p>
    <w:p>
      <w:pPr>
        <w:numPr>
          <w:ilvl w:val="0"/>
          <w:numId w:val="1"/>
        </w:numPr>
        <w:ind w:firstLine="52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乙方提供的完工资料如有缺项（如试验记录、调试记录等），则视为该项工序现场未做，在工程结算中此部分费用将予以扣除。</w:t>
      </w:r>
      <w:r/>
    </w:p>
    <w:p>
      <w:pPr>
        <w:numPr>
          <w:ilvl w:val="0"/>
          <w:numId w:val="1"/>
        </w:numPr>
        <w:ind w:firstLine="52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本工程最终结算价以审计单位审核为准。</w:t>
      </w:r>
      <w:r/>
    </w:p>
    <w:p>
      <w:pPr>
        <w:numPr>
          <w:ilvl w:val="0"/>
          <w:numId w:val="1"/>
        </w:numPr>
        <w:ind w:firstLine="52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乙方需提供发票。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本工程固定单价结算。</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10、有关安全生产和防火的约定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10.1 甲方提供的施工图纸或作法说明，应符合《中华人民共和国消防条例》和有关防火设计规范。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10.2 乙方在施工期间应严格遵守《建设工程安全生产管理条例》、《建筑安装工人安全技术操作规程》、《中华人民共和国消防条例》和其它相关的法规、规范。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10.3 对于甲方确认的图纸或作法说明，有违反有关安全操作规程、消防条例和防火设计规范或可能导致发生安全或火灾事故的，乙方应及时提出并通知甲方，会同设计单位对图纸或作法进行修改。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10.4 乙方在施工生产过程中不得违反有关安全操作规程、消防条例，并对施工场所负有安全管理责任，如发生安全或火灾等事故，乙方应承担由此引发的一切经济损失及法律责任。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10.5 本建筑安装工程必须达到现行版的国家及江苏省的一切有关法律、法规要求，若本工程实施期间有新的相关法律、法规标准出台，则仍应满足新的标准要求。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施工期间，乙方应及时整理和安排好所有的施工机械、工器具、材料、建筑垃圾等，做到每日工完场清，未使用完的材料按甲方规定或重新入库或就地堆放整齐，乙方应将施工范</w:t>
      </w:r>
      <w:r>
        <w:rPr>
          <w:rFonts w:hint="eastAsia" w:ascii="宋体" w:hAnsi="宋体" w:eastAsia="宋体" w:cs="宋体"/>
          <w:color w:val="000000" w:themeColor="text1"/>
          <w:sz w:val="21"/>
          <w:szCs w:val="21"/>
          <w:highlight w:val="none"/>
          <w14:textFill>
            <w14:solidFill>
              <w14:schemeClr w14:val="tx1"/>
            </w14:solidFill>
          </w14:textFill>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本工程所涉及的施工现场内安全防护措施费用均已在合同价款和合同计价方法中综合考虑，不再另行计取。</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因乙方原因造成的任何事故或工伤（包括第三者人员在内）所发生的依法应该支付的损失、赔偿费、补偿费用等责任由乙方承担。</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10.10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若发生安全事故，乙方承担全部责任，与甲方无关。乙方应按规定立即报告建设主管部门并通知甲发。如因此造成甲方承担责任的，甲发有权向乙方索赔。</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11、奖励和违约责任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11.1 由于乙方原因，逾期完工，每逾期一天，乙方支付甲方</w:t>
      </w:r>
      <w:r>
        <w:rPr>
          <w:rFonts w:hint="eastAsia" w:ascii="宋体" w:hAnsi="宋体" w:eastAsia="宋体" w:cs="宋体"/>
          <w:color w:val="000000" w:themeColor="text1"/>
          <w:sz w:val="21"/>
          <w:szCs w:val="21"/>
          <w:highlight w:val="none"/>
          <w:u w:val="single"/>
          <w14:textFill>
            <w14:solidFill>
              <w14:schemeClr w14:val="tx1"/>
            </w14:solidFill>
          </w14:textFill>
        </w:rPr>
        <w:t xml:space="preserve">1000</w:t>
      </w:r>
      <w:r>
        <w:rPr>
          <w:rFonts w:hint="eastAsia" w:ascii="宋体" w:hAnsi="宋体" w:eastAsia="宋体" w:cs="宋体"/>
          <w:color w:val="000000" w:themeColor="text1"/>
          <w:sz w:val="21"/>
          <w:szCs w:val="21"/>
          <w:highlight w:val="none"/>
          <w14:textFill>
            <w14:solidFill>
              <w14:schemeClr w14:val="tx1"/>
            </w14:solidFill>
          </w14:textFill>
        </w:rPr>
        <w:t xml:space="preserve">元/天违约金，逾期完工超过 30天的甲方还有权解除合同并要求乙方支付合同总价30%的违约金。</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11.2 项目经理、项目副经理、技术负责人短期离开工地，应事先提出书面申请并征得同意后方可离开。3天以内（含3天）报采购人批准，报甲方核备，同时应委派代表代行其职，3天以上报甲方批准。一般情况，每人每月在工期间不得少于22天。项目经理、技术负责人不得同时离开工地。项目经理、项目副经理、技术负责人、质检员、安全员在工由采购人对其考勤，对于月在工天数少于22天的，每少一天，扣除工程款2000元/（人*天）。上述罚款的最高限额为合同价的2%。上述人员的考勤由采购人指定专人负责，考勤结果后装订成册后移存档。</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11.3 如甲方因乙方原因要求撤换项目经理，乙方须及时更换相同资质与资历的项目经理，并承担相应损失。</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11.4 乙方按本项目的合同约定，积极履行质量及安全责任。对省、市、区的各级稽查、质量安全监督、甲方组织的质量及安全生产活动中，对下达的检查意见落实不及时、未按要求整改或整改不到位的、或其类似质量及安全问题整改不到位的，予以扣罚2000元/次。以甲方下发的处罚通知或联系单等为依据，在进度款支付时予以扣除。</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11.5 乙方应妥善保护甲方提供的设备及工程成品，如造成损失，应照价赔偿。</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11.6 甲方未办理任何手续，擅自同意拆改原有建筑物或设备管线，由此发生的损失或事故（包括罚款），由甲方负责并承担损失。</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11.7 未经甲方同意，乙方擅自拆改原建筑物结构或设备管线，由此发生的损失或事故（包括罚款），由乙方负责并承担损失。</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11.8 未办理验收手续，甲方提前使用或擅自动用造成损失由甲方负责。</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11.9 因一方原因，合同无法继续履行时，应通知对方，办理合同终止协议，并由责任方赔偿对方由此造成的经济损失。</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11.10甲乙双方应严格履约，如违约，由违约方向对方支付本合同标的总价 5﹪的违约金，并赔偿对方由此造成的一切经济损失。</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11.11 乙方应承担的违约金，甲方均有权在工程款中扣除。</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12、不可抗力</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12.1 在执行合同期限内，任何一方因不可抗力事件造成不能履行合同时，应立即通知对方，并寄送有关权威机构出具的证明，则合同履行期可延长，延长期与不可抗力影响期相同。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12.2 不可抗力影响时间持续 30 日以上时，甲乙双方及时解除合同；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12.3 本条所述“不可抗力”是指不可预见、不能克服及不能避免的事件，包括战争、严重火灾、洪水、地震等。</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13、纠纷解决办法</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13.1 在执行本合同中所发生的或与本合同有关的一切争端，甲方和乙方应通过友好协商的办法进行解决。如协商仍不能解决，则通过由甲方所在地人民法院诉讼。</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14、破产终止合同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14.1 如果乙方破产或无履行能力时，甲方在任何时候书面通知乙方解除合同而不给乙方补偿。该终止合同将不损害或影响甲方已经或将要采取的补救措施的权利。</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15、分包和转让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15.1 本合同中的权利和义务不得转让。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15.2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16、</w:t>
      </w:r>
      <w:r>
        <w:rPr>
          <w:rFonts w:hint="eastAsia" w:ascii="宋体" w:hAnsi="宋体" w:eastAsia="宋体" w:cs="宋体"/>
          <w:color w:val="000000" w:themeColor="text1"/>
          <w:sz w:val="21"/>
          <w:szCs w:val="21"/>
          <w:highlight w:val="none"/>
          <w14:textFill>
            <w14:solidFill>
              <w14:schemeClr w14:val="tx1"/>
            </w14:solidFill>
          </w14:textFill>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17、合同生效及其它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17.1 合同经双方法定代表人或授权代表签字并加盖单位公章后生效。</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17.2 本合同正本一式陆份，具有同等法律效力，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甲方、乙方及见证方</w:t>
      </w:r>
      <w:r>
        <w:rPr>
          <w:rFonts w:hint="eastAsia" w:ascii="宋体" w:hAnsi="宋体" w:eastAsia="宋体" w:cs="宋体"/>
          <w:color w:val="000000" w:themeColor="text1"/>
          <w:sz w:val="21"/>
          <w:szCs w:val="21"/>
          <w:highlight w:val="none"/>
          <w14:textFill>
            <w14:solidFill>
              <w14:schemeClr w14:val="tx1"/>
            </w14:solidFill>
          </w14:textFill>
        </w:rPr>
        <w:t xml:space="preserve">各执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贰</w:t>
      </w:r>
      <w:r>
        <w:rPr>
          <w:rFonts w:hint="eastAsia" w:ascii="宋体" w:hAnsi="宋体" w:eastAsia="宋体" w:cs="宋体"/>
          <w:color w:val="000000" w:themeColor="text1"/>
          <w:sz w:val="21"/>
          <w:szCs w:val="21"/>
          <w:highlight w:val="none"/>
          <w14:textFill>
            <w14:solidFill>
              <w14:schemeClr w14:val="tx1"/>
            </w14:solidFill>
          </w14:textFill>
        </w:rPr>
        <w:t xml:space="preserve">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17.3 本合同服务实施期间所发生的合同纠纷，甲方与乙方进行处理。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17.4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合同在执行过程中，如随项目的深化，如合同内容需修改，应经甲方、乙方协商，并签署书面修改协议。该协议将作为本合同不可分割的一部分。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17.5 本合同未尽事宜，遵照《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中华人民共和国</w:t>
      </w:r>
      <w:r>
        <w:rPr>
          <w:rFonts w:hint="eastAsia" w:ascii="宋体" w:hAnsi="宋体" w:eastAsia="宋体" w:cs="宋体"/>
          <w:color w:val="000000" w:themeColor="text1"/>
          <w:sz w:val="21"/>
          <w:szCs w:val="21"/>
          <w:highlight w:val="none"/>
          <w14:textFill>
            <w14:solidFill>
              <w14:schemeClr w14:val="tx1"/>
            </w14:solidFill>
          </w14:textFill>
        </w:rPr>
        <w:t xml:space="preserve">民法典》有关条文执行。</w:t>
      </w:r>
      <w:r/>
    </w:p>
    <w:tbl>
      <w:tblPr>
        <w:tblStyle w:val="8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乙方：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地址：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after="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见证方：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spacing w:line="439" w:lineRule="atLeast"/>
        <w:rPr>
          <w:rFonts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 </w:t>
      </w:r>
      <w:r/>
    </w:p>
    <w:p>
      <w:pPr>
        <w:rPr>
          <w:rFonts w:ascii="Times New Roman" w:hAnsi="Times New Roman"/>
          <w:b w:val="0"/>
          <w:bCs w:val="0"/>
          <w:color w:val="000000" w:themeColor="text1"/>
          <w:sz w:val="28"/>
          <w:highlight w:val="none"/>
          <w:lang w:eastAsia="zh-CN"/>
          <w14:textFill>
            <w14:solidFill>
              <w14:schemeClr w14:val="tx1"/>
            </w14:solidFill>
          </w14:textFill>
        </w:rPr>
      </w:pPr>
      <w:r>
        <w:rPr>
          <w:rFonts w:ascii="Times New Roman" w:hAnsi="Times New Roman"/>
          <w:b w:val="0"/>
          <w:bCs w:val="0"/>
          <w:color w:val="000000" w:themeColor="text1"/>
          <w:sz w:val="28"/>
          <w:highlight w:val="none"/>
          <w:lang w:eastAsia="zh-CN"/>
          <w14:textFill>
            <w14:solidFill>
              <w14:schemeClr w14:val="tx1"/>
            </w14:solidFill>
          </w14:textFill>
        </w:rPr>
        <w:br w:type="page" w:clear="all"/>
      </w:r>
      <w:r/>
    </w:p>
    <w:p>
      <w:pPr>
        <w:pStyle w:val="1085"/>
        <w:ind w:left="1274" w:hanging="1274"/>
        <w:spacing w:before="120" w:line="360" w:lineRule="auto"/>
        <w:rPr>
          <w:rFonts w:ascii="Times New Roman" w:hAnsi="Times New Roman"/>
          <w:b w:val="0"/>
          <w:bCs w:val="0"/>
          <w:color w:val="000000" w:themeColor="text1"/>
          <w:sz w:val="28"/>
          <w:highlight w:val="none"/>
          <w:lang w:eastAsia="zh-CN"/>
          <w14:textFill>
            <w14:solidFill>
              <w14:schemeClr w14:val="tx1"/>
            </w14:solidFill>
          </w14:textFill>
        </w:rPr>
      </w:pPr>
      <w:r>
        <w:rPr>
          <w:rFonts w:ascii="Times New Roman" w:hAnsi="Times New Roman"/>
          <w:b/>
          <w:bCs/>
          <w:color w:val="000000" w:themeColor="text1"/>
          <w:sz w:val="21"/>
          <w:szCs w:val="21"/>
          <w:highlight w:val="none"/>
          <w:lang w:eastAsia="zh-CN"/>
          <w14:textFill>
            <w14:solidFill>
              <w14:schemeClr w14:val="tx1"/>
            </w14:solidFill>
          </w14:textFill>
        </w:rPr>
        <w:t xml:space="preserve">附件</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一</w:t>
      </w:r>
      <w:r>
        <w:rPr>
          <w:rFonts w:ascii="Times New Roman" w:hAnsi="Times New Roman"/>
          <w:b/>
          <w:bCs/>
          <w:color w:val="000000" w:themeColor="text1"/>
          <w:sz w:val="21"/>
          <w:szCs w:val="21"/>
          <w:highlight w:val="none"/>
          <w:lang w:eastAsia="zh-CN"/>
          <w14:textFill>
            <w14:solidFill>
              <w14:schemeClr w14:val="tx1"/>
            </w14:solidFill>
          </w14:textFill>
        </w:rPr>
        <w:t xml:space="preserve">：安全生产合同</w:t>
      </w:r>
      <w:r/>
    </w:p>
    <w:p>
      <w:pPr>
        <w:pStyle w:val="1086"/>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(建设单位与施工单位)</w:t>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甲方：(以下简称“甲方”)</w:t>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乙方：(以下简称“乙方”)</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为在</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扬州市江都区2026年农村生态河道建设项目一标段(小纪镇) </w:t>
      </w:r>
      <w:r>
        <w:rPr>
          <w:rFonts w:hint="eastAsia" w:ascii="宋体" w:hAnsi="宋体" w:cs="宋体"/>
          <w:color w:val="000000" w:themeColor="text1"/>
          <w:sz w:val="21"/>
          <w:szCs w:val="21"/>
          <w:highlight w:val="none"/>
          <w:u w:val="none"/>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highlight w:val="none"/>
          <w14:textFill>
            <w14:solidFill>
              <w14:schemeClr w14:val="tx1"/>
            </w14:solidFill>
          </w14:textFill>
        </w:rPr>
        <w:t xml:space="preserve">施工合同的实施过程中创造安全、高效的施工环境，切实搞好本项目的安全管理工作，特此签订安全生产合同。具体如下：</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一、甲方职责</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1、严格遵守国家有关安全生产的法律法规，认真执行工程承包合同中的有关安全要求。</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2、按照“安全第一、预防为主”和坚持“管生产必需管安全”的原则进行安全生产管理，做到生产与安全工作同时计划、布置、检查、总结和评比。</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3、定期召开安全生产协调会，及时传达中央及地方有关安全生产的精神。</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4、组织对乙方施工现场安全生产检查，建立安全生产责任制网络、汇总重要危险源、监督乙方及时处理发现的各种安全隐患。</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二、乙方职责</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1、严格遵守国家有关安全生产的法律法规、有关安全生产的规定，认真执行工程承包合同中的有关安全要求，接受甲方和监督理工程师对安全生产工作的指导。</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3、建立健全安全产生责任制网络。从派驻项</w:t>
      </w:r>
      <w:r>
        <w:rPr>
          <w:rFonts w:hint="eastAsia" w:ascii="宋体" w:hAnsi="宋体" w:eastAsia="宋体" w:cs="宋体"/>
          <w:color w:val="000000" w:themeColor="text1"/>
          <w:sz w:val="21"/>
          <w:szCs w:val="21"/>
          <w:highlight w:val="none"/>
          <w14:textFill>
            <w14:solidFill>
              <w14:schemeClr w14:val="tx1"/>
            </w14:solidFill>
          </w14:textFill>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4、乙方在任何时候都应采取各种合理的预防措施，防止其人员发生任何违法、违禁、暴力、违规或妨碍治安的行为</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6、加强施工中交通运输安全管理，各种运输机械等需划定运输线路行驶。</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7、对于易燃易爆的材料除应专门有效封闭、妥善保管之处，还应配备有足够的消防设施所有施工人员都应熟悉消防设备的性能和使用方法。</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8、操作人员上岗，必须按规定穿戴防护用品。施工负责人和安全检查员随时检查劳动防护用品的穿戴情况，不按规定穿戴防护用品的人员不得上岗。</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10、施工现场必须具有相关的安全标志牌。</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11、建立主要危险源备案制度，要明确潜在隐患、防范措施和落实责任人。</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三、违约责任</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如因甲方或乙方违约造成安全事故，将报请有关部门依法追究责任。</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本合同一式陆份，甲、乙方各执叁份，由双方法定代表人或其授权的代理人签署和加盖公章后生效，全部工程竣工验收后失效。</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   方：                          乙  方：</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法定代表人(或授权代理人)：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法定代表人(或授权代理人)：</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地址：</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电话：</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日期：</w:t>
      </w:r>
      <w:r/>
    </w:p>
    <w:p>
      <w:pPr>
        <w:pStyle w:val="1086"/>
        <w:ind w:firstLine="420"/>
        <w:spacing w:line="440" w:lineRule="exact"/>
        <w:rPr>
          <w:rFonts w:ascii="宋体" w:hAnsi="宋体"/>
          <w:color w:val="000000" w:themeColor="text1"/>
          <w:sz w:val="21"/>
          <w:highlight w:val="none"/>
          <w14:textFill>
            <w14:solidFill>
              <w14:schemeClr w14:val="tx1"/>
            </w14:solidFill>
          </w14:textFill>
        </w:rPr>
      </w:pPr>
      <w:r>
        <w:rPr>
          <w:rFonts w:ascii="宋体" w:hAnsi="宋体"/>
          <w:color w:val="000000" w:themeColor="text1"/>
          <w:sz w:val="21"/>
          <w:highlight w:val="none"/>
          <w14:textFill>
            <w14:solidFill>
              <w14:schemeClr w14:val="tx1"/>
            </w14:solidFill>
          </w14:textFill>
        </w:rPr>
      </w:r>
      <w:r/>
    </w:p>
    <w:p>
      <w:pPr>
        <w:rPr>
          <w:rFonts w:ascii="宋体" w:hAnsi="宋体"/>
          <w:color w:val="000000" w:themeColor="text1"/>
          <w:sz w:val="21"/>
          <w:highlight w:val="none"/>
          <w14:textFill>
            <w14:solidFill>
              <w14:schemeClr w14:val="tx1"/>
            </w14:solidFill>
          </w14:textFill>
        </w:rPr>
      </w:pPr>
      <w:r>
        <w:rPr>
          <w:rFonts w:ascii="宋体" w:hAnsi="宋体"/>
          <w:color w:val="000000" w:themeColor="text1"/>
          <w:sz w:val="21"/>
          <w:highlight w:val="none"/>
          <w14:textFill>
            <w14:solidFill>
              <w14:schemeClr w14:val="tx1"/>
            </w14:solidFill>
          </w14:textFill>
        </w:rPr>
        <w:br w:type="page" w:clear="all"/>
      </w:r>
      <w:r/>
    </w:p>
    <w:p>
      <w:pPr>
        <w:pStyle w:val="1085"/>
        <w:ind w:left="1274" w:hanging="1274"/>
        <w:spacing w:before="120" w:line="360" w:lineRule="auto"/>
        <w:rPr>
          <w:rFonts w:ascii="Times New Roman" w:hAnsi="Times New Roman"/>
          <w:b/>
          <w:bCs/>
          <w:color w:val="000000" w:themeColor="text1"/>
          <w:sz w:val="21"/>
          <w:szCs w:val="21"/>
          <w:highlight w:val="none"/>
          <w:lang w:eastAsia="zh-CN"/>
          <w14:textFill>
            <w14:solidFill>
              <w14:schemeClr w14:val="tx1"/>
            </w14:solidFill>
          </w14:textFill>
        </w:rPr>
      </w:pPr>
      <w:r/>
      <w:bookmarkStart w:id="40" w:name="_Toc4215"/>
      <w:r/>
      <w:bookmarkStart w:id="41" w:name="_Toc30408"/>
      <w:r/>
      <w:bookmarkStart w:id="42" w:name="_Toc341532550"/>
      <w:r/>
      <w:bookmarkStart w:id="43" w:name="_Toc486434552"/>
      <w:r/>
      <w:bookmarkStart w:id="44" w:name="_Toc58680767"/>
      <w:r/>
      <w:bookmarkStart w:id="45" w:name="_Toc405822527"/>
      <w:r/>
      <w:bookmarkStart w:id="46" w:name="_Toc346698511"/>
      <w:r/>
      <w:bookmarkStart w:id="47" w:name="_Toc507066175"/>
      <w:r/>
      <w:bookmarkStart w:id="48" w:name="_Toc256000104"/>
      <w:r/>
      <w:bookmarkStart w:id="49" w:name="_Toc485976257"/>
      <w:r/>
      <w:bookmarkStart w:id="50" w:name="_Toc392858970"/>
      <w:r/>
      <w:bookmarkStart w:id="51" w:name="_Toc405822031"/>
      <w:r>
        <w:rPr>
          <w:rFonts w:ascii="Times New Roman" w:hAnsi="Times New Roman"/>
          <w:b/>
          <w:bCs/>
          <w:color w:val="000000" w:themeColor="text1"/>
          <w:sz w:val="21"/>
          <w:szCs w:val="21"/>
          <w:highlight w:val="none"/>
          <w:lang w:eastAsia="zh-CN"/>
          <w14:textFill>
            <w14:solidFill>
              <w14:schemeClr w14:val="tx1"/>
            </w14:solidFill>
          </w14:textFill>
        </w:rPr>
        <w:t xml:space="preserve">附件</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二</w:t>
      </w:r>
      <w:r>
        <w:rPr>
          <w:rFonts w:ascii="Times New Roman" w:hAnsi="Times New Roman"/>
          <w:b/>
          <w:bCs/>
          <w:color w:val="000000" w:themeColor="text1"/>
          <w:sz w:val="21"/>
          <w:szCs w:val="21"/>
          <w:highlight w:val="none"/>
          <w:lang w:eastAsia="zh-CN"/>
          <w14:textFill>
            <w14:solidFill>
              <w14:schemeClr w14:val="tx1"/>
            </w14:solidFill>
          </w14:textFill>
        </w:rPr>
        <w:t xml:space="preserve">：资金安全合同</w:t>
      </w:r>
      <w:r/>
    </w:p>
    <w:p>
      <w:pPr>
        <w:jc w:val="center"/>
        <w:spacing w:line="360" w:lineRule="auto"/>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t xml:space="preserve">(建设单位与施工单位)</w:t>
      </w:r>
      <w:r/>
    </w:p>
    <w:p>
      <w:pPr>
        <w:ind w:firstLine="420"/>
        <w:spacing w:line="360" w:lineRule="auto"/>
        <w:rPr>
          <w:rFonts w:hint="eastAsia" w:ascii="宋体" w:hAnsi="宋体" w:eastAsia="宋体" w:cs="宋体"/>
          <w:color w:val="000000" w:themeColor="text1"/>
          <w:spacing w:val="-20"/>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甲方：(以下简称“甲方”)</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乙方：(以下简称“乙方”)</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为贯彻落实财政部、水利部《水利基本建设资金管理办法》、国家四部委《关于加强</w:t>
      </w:r>
      <w:r>
        <w:rPr>
          <w:rFonts w:hint="eastAsia" w:ascii="宋体" w:hAnsi="宋体" w:eastAsia="宋体" w:cs="宋体"/>
          <w:color w:val="000000" w:themeColor="text1"/>
          <w:szCs w:val="24"/>
          <w:highlight w:val="none"/>
          <w14:textFill>
            <w14:solidFill>
              <w14:schemeClr w14:val="tx1"/>
            </w14:solidFill>
          </w14:textFill>
        </w:rPr>
        <w:t xml:space="preserve">公益性水利工程建设管理的若干意见》，确保实现江苏水利厅党组要求的“三个安全”目标，甲方与乙方协商一致，自愿签订以下资金安全合同。</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第一条：甲方的权利和义务</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(一)严格执行财政部、水利部《水利基本建设资金管理办法》中规定的水利基本建设资金管理原则，即分级管理、分级负责，专款专用，效益原则。</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(二)严格执行合同各项规定，自觉按合同办事，按照合同条款规定的时间和方式，及时支付预付款、工程进度款和保留金等。</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(三)对乙方申报的经济合同结算审核坚持公开、公正、公平、诚信的原则，严禁损害国家和集体利益，违反工程建设管理规章制度。</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(四)甲方不为乙方指定分包或指定原材料供应商。</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(五)严格执行国家四部委《关于加强公益性水利工程建设管理的若干意见》规定，项目法人“负责对工程质量、进度、资金等进行管理、检查和监督”，加强对施工合同专项资金安全的监督。</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(六)发现乙方在业务活动中有违反资金安全的行为，及时提醒和督促乙方纠正，必要时停止资金支付，并向双方的主管单位或行业管理部门通报。</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第二条：乙方的权利和义务</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(一)乙方从甲方取得的资金必须用于（合同编号：</w:t>
      </w:r>
      <w:r>
        <w:rPr>
          <w:rFonts w:hint="eastAsia" w:ascii="宋体" w:hAnsi="宋体" w:eastAsia="宋体" w:cs="宋体"/>
          <w:color w:val="000000" w:themeColor="text1"/>
          <w:szCs w:val="24"/>
          <w:highlight w:val="none"/>
          <w:u w:val="single"/>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，专款专用。乙方发生的与本工程有关的财务收支须接受甲方和项目主管部门的检查监督；乙方应保证水利建设资金的使用安全，不损害甲方的利益。</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(二)乙方从甲方取得的银行汇票、本票、支票不得转让给其他单位。</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(三)乙方保证不外借、挪用、转移专项资金；不通过权转让、抵押、质押、担保等任何其他方式使用专项资金，确保资金安全。</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(四)乙方专项资金支出的各项费用必须真实、合理并依据充分。费用支出要严格按内部相互牵制的审批流程操作，报销凭证要合法合理。</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(五)专项资金支出结算原则用银行转账，不得以大额现金支付。</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六)乙方在施工过程中如使用农民工的，要保证不拖欠农民工工资。如甲方收到对乙方拖欠农民工工资的举报，甲方有权从工程款中暂扣部分做为农民工工资保证金，待弄清原因，分清责任，乙方支付完成农民工工资后返还。</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(七)乙方不得违规分包和转包工程项目，否则甲方有权停止支付。</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(八)乙方资金收支使用情况接受甲方及甲方主管部门监督。</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第三条：违约责任</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(一)甲方若违反本《资金安全合同》有关规定时，对违纪人员，由甲方主管部门依据有关规定查处，给乙方造成的损失的，按有关规定予以赔偿。</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(二)乙方若违反本《资金安全合同》有关规定的，对违纪人员，由乙方主管部门或行业管理依据有关规定查处，给甲方造成的损失的，按有关规定予以赔偿。</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(三)甲、乙双方都应履行保密责任，不得将业务支出具体情况透露给本合同双方以外的其他单位或个人，否则受害方将依法追究相关责任。</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第四条：本合同有效期为工程合同签字之日起至该合同段工程项目竣工验收后止。</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第五条：本合同一式陆份，甲、乙方各执叁份。</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甲方：                                       乙方：</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法定代表人(或授权代理人)：                    法定代表人(或授权代理人)：</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地址：                                       地址：</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电话：                                       电话：</w:t>
      </w:r>
      <w:r/>
    </w:p>
    <w:p>
      <w:pPr>
        <w:ind w:firstLine="420"/>
        <w:rPr>
          <w:rFonts w:ascii="Times New Roman" w:hAnsi="Times New Roman"/>
          <w:b/>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日期：                                       日期：</w:t>
      </w:r>
      <w:r>
        <w:rPr>
          <w:rFonts w:ascii="Times New Roman" w:hAnsi="Times New Roman"/>
          <w:b/>
          <w:bCs/>
          <w:color w:val="000000" w:themeColor="text1"/>
          <w:sz w:val="21"/>
          <w:szCs w:val="21"/>
          <w:highlight w:val="none"/>
          <w:lang w:eastAsia="zh-CN"/>
          <w14:textFill>
            <w14:solidFill>
              <w14:schemeClr w14:val="tx1"/>
            </w14:solidFill>
          </w14:textFill>
        </w:rPr>
        <w:br w:type="page" w:clear="all"/>
      </w:r>
      <w:r/>
    </w:p>
    <w:p>
      <w:pPr>
        <w:pStyle w:val="1086"/>
        <w:spacing w:line="440" w:lineRule="exact"/>
        <w:tabs>
          <w:tab w:val="left" w:pos="4245" w:leader="none"/>
          <w:tab w:val="center" w:pos="4535" w:leader="none"/>
        </w:tabs>
        <w:rPr>
          <w:rFonts w:ascii="Times New Roman" w:hAnsi="Times New Roman"/>
          <w:b/>
          <w:bCs/>
          <w:color w:val="000000" w:themeColor="text1"/>
          <w:sz w:val="21"/>
          <w:szCs w:val="21"/>
          <w:highlight w:val="none"/>
          <w:lang w:eastAsia="zh-CN"/>
          <w14:textFill>
            <w14:solidFill>
              <w14:schemeClr w14:val="tx1"/>
            </w14:solidFill>
          </w14:textFill>
        </w:rPr>
      </w:pPr>
      <w:r>
        <w:rPr>
          <w:rFonts w:ascii="Times New Roman" w:hAnsi="Times New Roman"/>
          <w:b/>
          <w:bCs/>
          <w:color w:val="000000" w:themeColor="text1"/>
          <w:sz w:val="21"/>
          <w:szCs w:val="21"/>
          <w:highlight w:val="none"/>
          <w:lang w:eastAsia="zh-CN"/>
          <w14:textFill>
            <w14:solidFill>
              <w14:schemeClr w14:val="tx1"/>
            </w14:solidFill>
          </w14:textFill>
        </w:rPr>
        <w:t xml:space="preserve">附件</w:t>
      </w:r>
      <w:r>
        <w:rPr>
          <w:rFonts w:hint="eastAsia"/>
          <w:b/>
          <w:bCs/>
          <w:color w:val="000000" w:themeColor="text1"/>
          <w:sz w:val="21"/>
          <w:szCs w:val="21"/>
          <w:highlight w:val="none"/>
          <w:lang w:val="en-US" w:eastAsia="zh-CN"/>
          <w14:textFill>
            <w14:solidFill>
              <w14:schemeClr w14:val="tx1"/>
            </w14:solidFill>
          </w14:textFill>
        </w:rPr>
        <w:t xml:space="preserve">三</w:t>
      </w:r>
      <w:r>
        <w:rPr>
          <w:rFonts w:ascii="Times New Roman" w:hAnsi="Times New Roman"/>
          <w:b/>
          <w:bCs/>
          <w:color w:val="000000" w:themeColor="text1"/>
          <w:sz w:val="21"/>
          <w:szCs w:val="21"/>
          <w:highlight w:val="none"/>
          <w:lang w:eastAsia="zh-CN"/>
          <w14:textFill>
            <w14:solidFill>
              <w14:schemeClr w14:val="tx1"/>
            </w14:solidFill>
          </w14:textFill>
        </w:rPr>
        <w:t xml:space="preserve">：</w:t>
      </w:r>
      <w:bookmarkEnd w:id="40"/>
      <w:r/>
      <w:bookmarkEnd w:id="41"/>
      <w:r/>
      <w:bookmarkEnd w:id="42"/>
      <w:r/>
      <w:bookmarkEnd w:id="43"/>
      <w:r/>
      <w:bookmarkEnd w:id="44"/>
      <w:r/>
      <w:bookmarkEnd w:id="45"/>
      <w:r/>
      <w:bookmarkEnd w:id="46"/>
      <w:r/>
      <w:bookmarkEnd w:id="47"/>
      <w:r/>
      <w:bookmarkEnd w:id="48"/>
      <w:r/>
      <w:bookmarkEnd w:id="49"/>
      <w:r/>
      <w:bookmarkEnd w:id="50"/>
      <w:r/>
      <w:bookmarkEnd w:id="51"/>
      <w:r/>
      <w:bookmarkStart w:id="52" w:name="_Toc256000105"/>
      <w:r/>
      <w:bookmarkStart w:id="53" w:name="_Toc392858971"/>
      <w:r/>
      <w:bookmarkStart w:id="54" w:name="_Toc369081680"/>
      <w:r/>
      <w:bookmarkStart w:id="55" w:name="_Toc58680768"/>
      <w:r/>
      <w:bookmarkStart w:id="56" w:name="_Toc30720"/>
      <w:r/>
      <w:bookmarkStart w:id="57" w:name="_Toc7778"/>
      <w:r>
        <w:rPr>
          <w:rFonts w:ascii="Times New Roman" w:hAnsi="Times New Roman"/>
          <w:b/>
          <w:bCs/>
          <w:color w:val="000000" w:themeColor="text1"/>
          <w:sz w:val="21"/>
          <w:szCs w:val="21"/>
          <w:highlight w:val="none"/>
          <w:lang w:eastAsia="zh-CN"/>
          <w14:textFill>
            <w14:solidFill>
              <w14:schemeClr w14:val="tx1"/>
            </w14:solidFill>
          </w14:textFill>
        </w:rPr>
        <w:t xml:space="preserve">建设项目廉政合同</w:t>
      </w:r>
      <w:bookmarkEnd w:id="52"/>
      <w:r/>
      <w:bookmarkEnd w:id="53"/>
      <w:r/>
      <w:bookmarkEnd w:id="54"/>
      <w:r/>
      <w:bookmarkEnd w:id="55"/>
      <w:r/>
      <w:bookmarkEnd w:id="56"/>
      <w:r/>
      <w:bookmarkEnd w:id="57"/>
      <w:r/>
      <w:r/>
    </w:p>
    <w:p>
      <w:pPr>
        <w:pStyle w:val="1086"/>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(建设单位与施工单位)</w:t>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甲方：(以下简称“甲方”)</w:t>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乙方：(以下简称“乙方”)</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为贯彻落实党中央、国务院《关于实行党风廉政建设责任制的规定》，为了加强工程建设中的党风廉政建设，保证本工程建设优质、高效、有序地进行，</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(以下简称甲方)，与承担</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项目名称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的施工单位</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(以下简称“乙方”)，经双方协商一致，自愿签订以下廉政合同。</w:t>
      </w:r>
      <w:r/>
    </w:p>
    <w:p>
      <w:pPr>
        <w:pStyle w:val="1086"/>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bookmarkStart w:id="58" w:name="_Toc339135324"/>
      <w:r/>
      <w:bookmarkStart w:id="59" w:name="_Toc454520003"/>
      <w:r/>
      <w:bookmarkStart w:id="60" w:name="_Toc351017577"/>
      <w:r/>
      <w:bookmarkStart w:id="61" w:name="_Toc486434553"/>
      <w:r/>
      <w:bookmarkStart w:id="62" w:name="_Toc453949175"/>
      <w:r/>
      <w:bookmarkStart w:id="63" w:name="_Toc485976258"/>
      <w:r/>
      <w:bookmarkStart w:id="64" w:name="_Toc402189276"/>
      <w:r/>
      <w:bookmarkStart w:id="65" w:name="_Toc440352446"/>
      <w:r/>
      <w:bookmarkStart w:id="66" w:name="_Toc405822528"/>
      <w:r/>
      <w:bookmarkStart w:id="67" w:name="_Toc455395791"/>
      <w:r/>
      <w:bookmarkStart w:id="68" w:name="_Toc2673959"/>
      <w:r/>
      <w:bookmarkStart w:id="69" w:name="_Toc392858972"/>
      <w:r/>
      <w:bookmarkStart w:id="70" w:name="_Toc532394130"/>
      <w:r/>
      <w:bookmarkStart w:id="71" w:name="_Toc405822032"/>
      <w:r/>
      <w:bookmarkStart w:id="72" w:name="_Toc425757894"/>
      <w:r/>
      <w:bookmarkStart w:id="73" w:name="_Toc18065739"/>
      <w:r/>
      <w:bookmarkStart w:id="74" w:name="_Toc346709274"/>
      <w:r/>
      <w:bookmarkStart w:id="75" w:name="_Toc489274455"/>
      <w:r/>
      <w:bookmarkStart w:id="76" w:name="_Toc340330312"/>
      <w:r/>
      <w:bookmarkStart w:id="77" w:name="_Toc456023902"/>
      <w:r/>
      <w:bookmarkStart w:id="78" w:name="_Toc426445895"/>
      <w:r/>
      <w:bookmarkStart w:id="79" w:name="_Toc499103028"/>
      <w:r/>
      <w:bookmarkStart w:id="80" w:name="_Toc505259413"/>
      <w:r/>
      <w:bookmarkStart w:id="81" w:name="_Toc416442325"/>
      <w:r/>
      <w:bookmarkStart w:id="82" w:name="_Toc406502941"/>
      <w:r/>
      <w:bookmarkStart w:id="83" w:name="_Toc283573539"/>
      <w:r/>
      <w:bookmarkStart w:id="84" w:name="_Toc418751240"/>
      <w:r/>
      <w:bookmarkStart w:id="85" w:name="_Toc341532552"/>
      <w:r/>
      <w:bookmarkStart w:id="86" w:name="_Toc346698513"/>
      <w:r/>
      <w:bookmarkStart w:id="87" w:name="_Toc369081681"/>
      <w:r/>
      <w:bookmarkStart w:id="88" w:name="_Toc469923276"/>
      <w:r/>
      <w:bookmarkStart w:id="89" w:name="_Toc532646223"/>
      <w:r/>
      <w:bookmarkStart w:id="90" w:name="_Toc339352495"/>
      <w:r/>
      <w:bookmarkStart w:id="91" w:name="_Toc470253164"/>
      <w:r/>
      <w:bookmarkStart w:id="92" w:name="_Toc507066176"/>
      <w:r/>
      <w:bookmarkStart w:id="93" w:name="_Toc350697682"/>
      <w:r/>
      <w:bookmarkStart w:id="94" w:name="_Toc391971645"/>
      <w:r/>
      <w:bookmarkStart w:id="95" w:name="_Toc369859526"/>
      <w:r/>
      <w:bookmarkStart w:id="96" w:name="_Toc350520334"/>
      <w:r/>
      <w:bookmarkStart w:id="97" w:name="_Toc346700667"/>
      <w:r/>
      <w:bookmarkStart w:id="98" w:name="_Toc283577281"/>
      <w:r/>
      <w:bookmarkStart w:id="99" w:name="_Toc339183515"/>
      <w:r/>
      <w:bookmarkStart w:id="100" w:name="_Toc28007300"/>
      <w:r/>
      <w:bookmarkStart w:id="101" w:name="_Toc454438824"/>
      <w:r/>
      <w:bookmarkStart w:id="102" w:name="_Toc338745987"/>
      <w:r/>
      <w:bookmarkStart w:id="103" w:name="_Toc428869212"/>
      <w:r>
        <w:rPr>
          <w:rFonts w:hint="eastAsia" w:ascii="宋体" w:hAnsi="宋体" w:eastAsia="宋体" w:cs="宋体"/>
          <w:b/>
          <w:color w:val="000000" w:themeColor="text1"/>
          <w:sz w:val="21"/>
          <w:szCs w:val="21"/>
          <w:highlight w:val="none"/>
          <w14:textFill>
            <w14:solidFill>
              <w14:schemeClr w14:val="tx1"/>
            </w14:solidFill>
          </w14:textFill>
        </w:rPr>
        <w:t xml:space="preserve">一、甲、乙双方约定</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1、甲、乙双方应加强对本方人员的廉政监督，建立和健全廉政制度。</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2、甲、乙双方有对本方人员开展廉政告知、廉政教育和职业道德教育的义务。</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3、甲、乙双方及其工作人员应共同遵守国家和省、市以及行业主管部门关于加强水利基础设施建设管理以及党风廉政建设的各项规定。</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4、甲、乙双方及其工作人员应认真执行双方签订的廉政合同文件，自觉按合同办事。</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5、除法律认定的商业秘密或合同文件另有规定之外，甲、乙双方的业务活动应坚持公开、公正、诚实信用的原则，严禁损害国家和集体利益，严禁违反工程建设管理规章制度的不正当交易。</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6、甲、乙双方如发现对方在业务活动中有不廉洁行为，有及时提醒对方并督促其纠正的权利和义务，并认真查处本方的违法违纪行为。</w:t>
      </w:r>
      <w:r/>
    </w:p>
    <w:p>
      <w:pPr>
        <w:pStyle w:val="1086"/>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bookmarkStart w:id="104" w:name="_Toc453949176"/>
      <w:r/>
      <w:bookmarkStart w:id="105" w:name="_Toc18065740"/>
      <w:r/>
      <w:bookmarkStart w:id="106" w:name="_Toc341532553"/>
      <w:r/>
      <w:bookmarkStart w:id="107" w:name="_Toc2673960"/>
      <w:r/>
      <w:bookmarkStart w:id="108" w:name="_Toc454520004"/>
      <w:r/>
      <w:bookmarkStart w:id="109" w:name="_Toc406502942"/>
      <w:r/>
      <w:bookmarkStart w:id="110" w:name="_Toc532646224"/>
      <w:r/>
      <w:bookmarkStart w:id="111" w:name="_Toc454438825"/>
      <w:r/>
      <w:bookmarkStart w:id="112" w:name="_Toc416442326"/>
      <w:r/>
      <w:bookmarkStart w:id="113" w:name="_Toc346700668"/>
      <w:r/>
      <w:bookmarkStart w:id="114" w:name="_Toc28007301"/>
      <w:r/>
      <w:bookmarkStart w:id="115" w:name="_Toc369081682"/>
      <w:r/>
      <w:bookmarkStart w:id="116" w:name="_Toc283573540"/>
      <w:r/>
      <w:bookmarkStart w:id="117" w:name="_Toc425757895"/>
      <w:r/>
      <w:bookmarkStart w:id="118" w:name="_Toc402189277"/>
      <w:r/>
      <w:bookmarkStart w:id="119" w:name="_Toc339352496"/>
      <w:r/>
      <w:bookmarkStart w:id="120" w:name="_Toc532394131"/>
      <w:r/>
      <w:bookmarkStart w:id="121" w:name="_Toc391971646"/>
      <w:r/>
      <w:bookmarkStart w:id="122" w:name="_Toc392858973"/>
      <w:r/>
      <w:bookmarkStart w:id="123" w:name="_Toc486434554"/>
      <w:r/>
      <w:bookmarkStart w:id="124" w:name="_Toc485976259"/>
      <w:r/>
      <w:bookmarkStart w:id="125" w:name="_Toc283577282"/>
      <w:r/>
      <w:bookmarkStart w:id="126" w:name="_Toc339135325"/>
      <w:r/>
      <w:bookmarkStart w:id="127" w:name="_Toc470253165"/>
      <w:r/>
      <w:bookmarkStart w:id="128" w:name="_Toc440352447"/>
      <w:r/>
      <w:bookmarkStart w:id="129" w:name="_Toc418751241"/>
      <w:r/>
      <w:bookmarkStart w:id="130" w:name="_Toc499103029"/>
      <w:r/>
      <w:bookmarkStart w:id="131" w:name="_Toc346698514"/>
      <w:r/>
      <w:bookmarkStart w:id="132" w:name="_Toc428869213"/>
      <w:r/>
      <w:bookmarkStart w:id="133" w:name="_Toc489274456"/>
      <w:r/>
      <w:bookmarkStart w:id="134" w:name="_Toc507066177"/>
      <w:r/>
      <w:bookmarkStart w:id="135" w:name="_Toc456023903"/>
      <w:r/>
      <w:bookmarkStart w:id="136" w:name="_Toc350520335"/>
      <w:r/>
      <w:bookmarkStart w:id="137" w:name="_Toc505259414"/>
      <w:r/>
      <w:bookmarkStart w:id="138" w:name="_Toc405822033"/>
      <w:r/>
      <w:bookmarkStart w:id="139" w:name="_Toc405822529"/>
      <w:r/>
      <w:bookmarkStart w:id="140" w:name="_Toc346709275"/>
      <w:r/>
      <w:bookmarkStart w:id="141" w:name="_Toc369859527"/>
      <w:r/>
      <w:bookmarkStart w:id="142" w:name="_Toc350697683"/>
      <w:r/>
      <w:bookmarkStart w:id="143" w:name="_Toc338745988"/>
      <w:r/>
      <w:bookmarkStart w:id="144" w:name="_Toc340330313"/>
      <w:r/>
      <w:bookmarkStart w:id="145" w:name="_Toc426445896"/>
      <w:r/>
      <w:bookmarkStart w:id="146" w:name="_Toc351017578"/>
      <w:r/>
      <w:bookmarkStart w:id="147" w:name="_Toc455395792"/>
      <w:r/>
      <w:bookmarkStart w:id="148" w:name="_Toc469923277"/>
      <w:r/>
      <w:bookmarkStart w:id="149" w:name="_Toc339183516"/>
      <w:r>
        <w:rPr>
          <w:rFonts w:hint="eastAsia" w:ascii="宋体" w:hAnsi="宋体" w:eastAsia="宋体" w:cs="宋体"/>
          <w:b/>
          <w:color w:val="000000" w:themeColor="text1"/>
          <w:sz w:val="21"/>
          <w:szCs w:val="21"/>
          <w:highlight w:val="none"/>
          <w14:textFill>
            <w14:solidFill>
              <w14:schemeClr w14:val="tx1"/>
            </w14:solidFill>
          </w14:textFill>
        </w:rPr>
        <w:t xml:space="preserve">二、甲方在廉政建设方面的责任</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1、甲方及其工作人员不得以任何形式向乙方索要和收受金钱、有价证券、贵重物品等财物；对推辞不掉的礼金、有价证券和贵重物品等，应立即上缴纪检监察部门或廉政帐户</w:t>
      </w:r>
      <w:r>
        <w:rPr>
          <w:rFonts w:hint="eastAsia" w:ascii="宋体" w:hAnsi="宋体" w:eastAsia="宋体" w:cs="宋体"/>
          <w:color w:val="000000" w:themeColor="text1"/>
          <w:sz w:val="21"/>
          <w:szCs w:val="21"/>
          <w:highlight w:val="none"/>
          <w14:textFill>
            <w14:solidFill>
              <w14:schemeClr w14:val="tx1"/>
            </w14:solidFill>
          </w14:textFill>
        </w:rPr>
        <w:t xml:space="preserve">“510”</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2、甲方不得在乙方报销任何费用。</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3、甲方工作人员不得参加乙方的宴请和旅游等活动；不得要求乙方为其提供吃、住、交通工具、通讯工具、高档办公用品等。</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4、甲方及其工作人员不得要求或者接受乙方为其住房装修、婚丧嫁娶、亲属的工作安排以及出国等提供方便。</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5、甲方及其工作人员不得要求乙方为其亲朋好友及有利害关系的人安排工作或劳务；不得违规从事与乙方工程有关的材料设备供应、工程分包、劳务等经济活动。</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6、甲方及其工作人员不得滥用职权影响工程的质量、进度和安全。</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7、甲方及其工作人员不得与乙方私下进行交易。</w:t>
      </w:r>
      <w:r/>
    </w:p>
    <w:p>
      <w:pPr>
        <w:pStyle w:val="1086"/>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bookmarkStart w:id="150" w:name="_Toc440352448"/>
      <w:r/>
      <w:bookmarkStart w:id="151" w:name="_Toc507066178"/>
      <w:r/>
      <w:bookmarkStart w:id="152" w:name="_Toc391971647"/>
      <w:r/>
      <w:bookmarkStart w:id="153" w:name="_Toc18065741"/>
      <w:r/>
      <w:bookmarkStart w:id="154" w:name="_Toc2673961"/>
      <w:r/>
      <w:bookmarkStart w:id="155" w:name="_Toc456023904"/>
      <w:r/>
      <w:bookmarkStart w:id="156" w:name="_Toc418751242"/>
      <w:r/>
      <w:bookmarkStart w:id="157" w:name="_Toc402189278"/>
      <w:r/>
      <w:bookmarkStart w:id="158" w:name="_Toc469923278"/>
      <w:r/>
      <w:bookmarkStart w:id="159" w:name="_Toc405822034"/>
      <w:r/>
      <w:bookmarkStart w:id="160" w:name="_Toc455395793"/>
      <w:r/>
      <w:bookmarkStart w:id="161" w:name="_Toc499103030"/>
      <w:r/>
      <w:bookmarkStart w:id="162" w:name="_Toc341532554"/>
      <w:r/>
      <w:bookmarkStart w:id="163" w:name="_Toc369081683"/>
      <w:r/>
      <w:bookmarkStart w:id="164" w:name="_Toc425757896"/>
      <w:r/>
      <w:bookmarkStart w:id="165" w:name="_Toc416442327"/>
      <w:r/>
      <w:bookmarkStart w:id="166" w:name="_Toc505259415"/>
      <w:r/>
      <w:bookmarkStart w:id="167" w:name="_Toc339183517"/>
      <w:r/>
      <w:bookmarkStart w:id="168" w:name="_Toc346709276"/>
      <w:r/>
      <w:bookmarkStart w:id="169" w:name="_Toc405822530"/>
      <w:r/>
      <w:bookmarkStart w:id="170" w:name="_Toc346698515"/>
      <w:r/>
      <w:bookmarkStart w:id="171" w:name="_Toc453949177"/>
      <w:r/>
      <w:bookmarkStart w:id="172" w:name="_Toc485976260"/>
      <w:r/>
      <w:bookmarkStart w:id="173" w:name="_Toc350520336"/>
      <w:r/>
      <w:bookmarkStart w:id="174" w:name="_Toc428869214"/>
      <w:r/>
      <w:bookmarkStart w:id="175" w:name="_Toc283577283"/>
      <w:r/>
      <w:bookmarkStart w:id="176" w:name="_Toc454438826"/>
      <w:r/>
      <w:bookmarkStart w:id="177" w:name="_Toc532394132"/>
      <w:r/>
      <w:bookmarkStart w:id="178" w:name="_Toc369859528"/>
      <w:r/>
      <w:bookmarkStart w:id="179" w:name="_Toc470253166"/>
      <w:r/>
      <w:bookmarkStart w:id="180" w:name="_Toc350697684"/>
      <w:r/>
      <w:bookmarkStart w:id="181" w:name="_Toc454520005"/>
      <w:r/>
      <w:bookmarkStart w:id="182" w:name="_Toc532646225"/>
      <w:r/>
      <w:bookmarkStart w:id="183" w:name="_Toc338745989"/>
      <w:r/>
      <w:bookmarkStart w:id="184" w:name="_Toc340330314"/>
      <w:r/>
      <w:bookmarkStart w:id="185" w:name="_Toc339135326"/>
      <w:r/>
      <w:bookmarkStart w:id="186" w:name="_Toc426445897"/>
      <w:r/>
      <w:bookmarkStart w:id="187" w:name="_Toc283573541"/>
      <w:r/>
      <w:bookmarkStart w:id="188" w:name="_Toc486434555"/>
      <w:r/>
      <w:bookmarkStart w:id="189" w:name="_Toc346700669"/>
      <w:r/>
      <w:bookmarkStart w:id="190" w:name="_Toc339352497"/>
      <w:r/>
      <w:bookmarkStart w:id="191" w:name="_Toc28007302"/>
      <w:r/>
      <w:bookmarkStart w:id="192" w:name="_Toc489274457"/>
      <w:r/>
      <w:bookmarkStart w:id="193" w:name="_Toc351017579"/>
      <w:r/>
      <w:bookmarkStart w:id="194" w:name="_Toc392858974"/>
      <w:r/>
      <w:bookmarkStart w:id="195" w:name="_Toc406502943"/>
      <w:r>
        <w:rPr>
          <w:rFonts w:hint="eastAsia" w:ascii="宋体" w:hAnsi="宋体" w:eastAsia="宋体" w:cs="宋体"/>
          <w:b/>
          <w:color w:val="000000" w:themeColor="text1"/>
          <w:sz w:val="21"/>
          <w:szCs w:val="21"/>
          <w:highlight w:val="none"/>
          <w14:textFill>
            <w14:solidFill>
              <w14:schemeClr w14:val="tx1"/>
            </w14:solidFill>
          </w14:textFill>
        </w:rPr>
        <w:t xml:space="preserve">三、乙方在廉政建设方面的责任</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1、乙方不得以任何理由向甲方及其工作人员馈赠礼金、礼品和有价证券等财产性权益。</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2、乙方不得以任何名义为甲方及其工作人员报销由甲方或个人支付的任何不当费用。</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3、乙方不得以任何理由邀请甲方工作人员参加对承建的施工项目有影响的宴请、及娱乐活动；不得为其购置或提供通讯工具、交通工具、家电和高档办公用品等财物。</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4、乙方不准为甲方工作人员住房装修、婚丧嫁娶、配偶、子女、亲友出国(境)旅游提供方便；不准为甲方工作人员的配偶、子女及有利害关系的人员安排工作或劳务。</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5、乙方不准违反规定将承建的施工项目分包或转包。</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6、乙方及其工作人员不准与该工程的造价跟踪单位串通，违反工程计量、资金支付、质量验评、竣工验收等有关规定和程序，损害甲方利益，影响工程质量、进度和安全。</w:t>
      </w:r>
      <w:r/>
    </w:p>
    <w:p>
      <w:pPr>
        <w:pStyle w:val="1086"/>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bookmarkStart w:id="196" w:name="_Toc532394133"/>
      <w:r/>
      <w:bookmarkStart w:id="197" w:name="_Toc391971648"/>
      <w:r/>
      <w:bookmarkStart w:id="198" w:name="_Toc339352498"/>
      <w:r/>
      <w:bookmarkStart w:id="199" w:name="_Toc283573542"/>
      <w:r/>
      <w:bookmarkStart w:id="200" w:name="_Toc350697685"/>
      <w:r/>
      <w:bookmarkStart w:id="201" w:name="_Toc28007303"/>
      <w:r/>
      <w:bookmarkStart w:id="202" w:name="_Toc340330315"/>
      <w:r/>
      <w:bookmarkStart w:id="203" w:name="_Toc351017580"/>
      <w:r/>
      <w:bookmarkStart w:id="204" w:name="_Toc470253167"/>
      <w:r/>
      <w:bookmarkStart w:id="205" w:name="_Toc18065742"/>
      <w:r/>
      <w:bookmarkStart w:id="206" w:name="_Toc346709277"/>
      <w:r/>
      <w:bookmarkStart w:id="207" w:name="_Toc2673962"/>
      <w:r/>
      <w:bookmarkStart w:id="208" w:name="_Toc499103031"/>
      <w:r/>
      <w:bookmarkStart w:id="209" w:name="_Toc416442328"/>
      <w:r/>
      <w:bookmarkStart w:id="210" w:name="_Toc440352449"/>
      <w:r/>
      <w:bookmarkStart w:id="211" w:name="_Toc392858975"/>
      <w:r/>
      <w:bookmarkStart w:id="212" w:name="_Toc346698516"/>
      <w:r/>
      <w:bookmarkStart w:id="213" w:name="_Toc346700670"/>
      <w:r/>
      <w:bookmarkStart w:id="214" w:name="_Toc456023905"/>
      <w:r/>
      <w:bookmarkStart w:id="215" w:name="_Toc406502944"/>
      <w:r/>
      <w:bookmarkStart w:id="216" w:name="_Toc405822531"/>
      <w:r/>
      <w:bookmarkStart w:id="217" w:name="_Toc507066179"/>
      <w:r/>
      <w:bookmarkStart w:id="218" w:name="_Toc505259416"/>
      <w:r/>
      <w:bookmarkStart w:id="219" w:name="_Toc486434556"/>
      <w:r/>
      <w:bookmarkStart w:id="220" w:name="_Toc283577284"/>
      <w:r/>
      <w:bookmarkStart w:id="221" w:name="_Toc405822035"/>
      <w:r/>
      <w:bookmarkStart w:id="222" w:name="_Toc350520337"/>
      <w:r/>
      <w:bookmarkStart w:id="223" w:name="_Toc418751243"/>
      <w:r/>
      <w:bookmarkStart w:id="224" w:name="_Toc453949178"/>
      <w:r/>
      <w:bookmarkStart w:id="225" w:name="_Toc426445898"/>
      <w:r/>
      <w:bookmarkStart w:id="226" w:name="_Toc485976261"/>
      <w:r/>
      <w:bookmarkStart w:id="227" w:name="_Toc454520006"/>
      <w:r/>
      <w:bookmarkStart w:id="228" w:name="_Toc425757897"/>
      <w:r/>
      <w:bookmarkStart w:id="229" w:name="_Toc455395794"/>
      <w:r/>
      <w:bookmarkStart w:id="230" w:name="_Toc369081684"/>
      <w:r/>
      <w:bookmarkStart w:id="231" w:name="_Toc469923279"/>
      <w:r/>
      <w:bookmarkStart w:id="232" w:name="_Toc454438827"/>
      <w:r/>
      <w:bookmarkStart w:id="233" w:name="_Toc369859529"/>
      <w:r/>
      <w:bookmarkStart w:id="234" w:name="_Toc532646226"/>
      <w:r/>
      <w:bookmarkStart w:id="235" w:name="_Toc489274458"/>
      <w:r/>
      <w:bookmarkStart w:id="236" w:name="_Toc341532555"/>
      <w:r/>
      <w:bookmarkStart w:id="237" w:name="_Toc402189279"/>
      <w:r/>
      <w:bookmarkStart w:id="238" w:name="_Toc338745990"/>
      <w:r/>
      <w:bookmarkStart w:id="239" w:name="_Toc339183518"/>
      <w:r/>
      <w:bookmarkStart w:id="240" w:name="_Toc428869215"/>
      <w:r/>
      <w:bookmarkStart w:id="241" w:name="_Toc339135327"/>
      <w:r>
        <w:rPr>
          <w:rFonts w:hint="eastAsia" w:ascii="宋体" w:hAnsi="宋体" w:eastAsia="宋体" w:cs="宋体"/>
          <w:b/>
          <w:color w:val="000000" w:themeColor="text1"/>
          <w:sz w:val="21"/>
          <w:szCs w:val="21"/>
          <w:highlight w:val="none"/>
          <w14:textFill>
            <w14:solidFill>
              <w14:schemeClr w14:val="tx1"/>
            </w14:solidFill>
          </w14:textFill>
        </w:rPr>
        <w:t xml:space="preserve">四、违约责任</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1、甲方若违反本“廉政合同”的，对违法违纪人员，由甲方主管部门依据有关规定查处，给乙方造成的损失，按有关规定予以赔偿。</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乙方若违反本“廉政合同”的，视情节轻重，每次给予1～5万元的违约罚款，若严惩违反《廉政合同》的，在2年内不得进入扬州市水利工程建设市场，对违法违纪人员，由乙方主管部门依据有关规定查处，给甲方造成的损失，按有关规定予以赔偿。</w:t>
      </w:r>
      <w:r/>
    </w:p>
    <w:p>
      <w:pPr>
        <w:pStyle w:val="1086"/>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bookmarkStart w:id="242" w:name="_Toc340330316"/>
      <w:r/>
      <w:bookmarkStart w:id="243" w:name="_Toc405822532"/>
      <w:r/>
      <w:bookmarkStart w:id="244" w:name="_Toc346709278"/>
      <w:r/>
      <w:bookmarkStart w:id="245" w:name="_Toc346698517"/>
      <w:r/>
      <w:bookmarkStart w:id="246" w:name="_Toc507066180"/>
      <w:r/>
      <w:bookmarkStart w:id="247" w:name="_Toc456023906"/>
      <w:r/>
      <w:bookmarkStart w:id="248" w:name="_Toc346700671"/>
      <w:r/>
      <w:bookmarkStart w:id="249" w:name="_Toc485976262"/>
      <w:r/>
      <w:bookmarkStart w:id="250" w:name="_Toc426445899"/>
      <w:r/>
      <w:bookmarkStart w:id="251" w:name="_Toc505259417"/>
      <w:r/>
      <w:bookmarkStart w:id="252" w:name="_Toc283577285"/>
      <w:r/>
      <w:bookmarkStart w:id="253" w:name="_Toc350520338"/>
      <w:r/>
      <w:bookmarkStart w:id="254" w:name="_Toc499103032"/>
      <w:r/>
      <w:bookmarkStart w:id="255" w:name="_Toc350697686"/>
      <w:r/>
      <w:bookmarkStart w:id="256" w:name="_Toc392858976"/>
      <w:r/>
      <w:bookmarkStart w:id="257" w:name="_Toc416442329"/>
      <w:r/>
      <w:bookmarkStart w:id="258" w:name="_Toc339135328"/>
      <w:r/>
      <w:bookmarkStart w:id="259" w:name="_Toc454520007"/>
      <w:r/>
      <w:bookmarkStart w:id="260" w:name="_Toc28007304"/>
      <w:r/>
      <w:bookmarkStart w:id="261" w:name="_Toc486434557"/>
      <w:r/>
      <w:bookmarkStart w:id="262" w:name="_Toc405822036"/>
      <w:r/>
      <w:bookmarkStart w:id="263" w:name="_Toc402189280"/>
      <w:r/>
      <w:bookmarkStart w:id="264" w:name="_Toc283573543"/>
      <w:r/>
      <w:bookmarkStart w:id="265" w:name="_Toc440352450"/>
      <w:r/>
      <w:bookmarkStart w:id="266" w:name="_Toc489274459"/>
      <w:r/>
      <w:bookmarkStart w:id="267" w:name="_Toc453949179"/>
      <w:r/>
      <w:bookmarkStart w:id="268" w:name="_Toc532394134"/>
      <w:r/>
      <w:bookmarkStart w:id="269" w:name="_Toc2673963"/>
      <w:r/>
      <w:bookmarkStart w:id="270" w:name="_Toc341532556"/>
      <w:r/>
      <w:bookmarkStart w:id="271" w:name="_Toc470253168"/>
      <w:r/>
      <w:bookmarkStart w:id="272" w:name="_Toc339352499"/>
      <w:r/>
      <w:bookmarkStart w:id="273" w:name="_Toc369859530"/>
      <w:r/>
      <w:bookmarkStart w:id="274" w:name="_Toc469923280"/>
      <w:r/>
      <w:bookmarkStart w:id="275" w:name="_Toc455395795"/>
      <w:r/>
      <w:bookmarkStart w:id="276" w:name="_Toc351017581"/>
      <w:r/>
      <w:bookmarkStart w:id="277" w:name="_Toc338745991"/>
      <w:r/>
      <w:bookmarkStart w:id="278" w:name="_Toc391971649"/>
      <w:r/>
      <w:bookmarkStart w:id="279" w:name="_Toc418751244"/>
      <w:r/>
      <w:bookmarkStart w:id="280" w:name="_Toc425757898"/>
      <w:r/>
      <w:bookmarkStart w:id="281" w:name="_Toc406502945"/>
      <w:r/>
      <w:bookmarkStart w:id="282" w:name="_Toc532646227"/>
      <w:r/>
      <w:bookmarkStart w:id="283" w:name="_Toc454438828"/>
      <w:r/>
      <w:bookmarkStart w:id="284" w:name="_Toc428869216"/>
      <w:r/>
      <w:bookmarkStart w:id="285" w:name="_Toc339183519"/>
      <w:r/>
      <w:bookmarkStart w:id="286" w:name="_Toc18065743"/>
      <w:r/>
      <w:bookmarkStart w:id="287" w:name="_Toc369081685"/>
      <w:r>
        <w:rPr>
          <w:rFonts w:hint="eastAsia" w:ascii="宋体" w:hAnsi="宋体" w:eastAsia="宋体" w:cs="宋体"/>
          <w:b/>
          <w:color w:val="000000" w:themeColor="text1"/>
          <w:sz w:val="21"/>
          <w:szCs w:val="21"/>
          <w:highlight w:val="none"/>
          <w14:textFill>
            <w14:solidFill>
              <w14:schemeClr w14:val="tx1"/>
            </w14:solidFill>
          </w14:textFill>
        </w:rPr>
        <w:t xml:space="preserve">五、对督促单位的约定和授权</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双方约定：本合同自愿接受上级纪检监察部门的监督。双方授权督查单位主持本“合同”执行情况的督查，提出在本合同规定规范内的裁定意见，执行本“合同”第四条所规定的处罚。</w:t>
      </w:r>
      <w:r/>
    </w:p>
    <w:p>
      <w:pPr>
        <w:pStyle w:val="1086"/>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bookmarkStart w:id="288" w:name="_Toc453949180"/>
      <w:r/>
      <w:bookmarkStart w:id="289" w:name="_Toc283577286"/>
      <w:r/>
      <w:bookmarkStart w:id="290" w:name="_Toc402189281"/>
      <w:r/>
      <w:bookmarkStart w:id="291" w:name="_Toc426445900"/>
      <w:r/>
      <w:bookmarkStart w:id="292" w:name="_Toc469923281"/>
      <w:r/>
      <w:bookmarkStart w:id="293" w:name="_Toc507066181"/>
      <w:r/>
      <w:bookmarkStart w:id="294" w:name="_Toc346709279"/>
      <w:r/>
      <w:bookmarkStart w:id="295" w:name="_Toc405822037"/>
      <w:r/>
      <w:bookmarkStart w:id="296" w:name="_Toc454520008"/>
      <w:r/>
      <w:bookmarkStart w:id="297" w:name="_Toc489274460"/>
      <w:r/>
      <w:bookmarkStart w:id="298" w:name="_Toc425757899"/>
      <w:r/>
      <w:bookmarkStart w:id="299" w:name="_Toc440352451"/>
      <w:r/>
      <w:bookmarkStart w:id="300" w:name="_Toc18065744"/>
      <w:r/>
      <w:bookmarkStart w:id="301" w:name="_Toc28007305"/>
      <w:r/>
      <w:bookmarkStart w:id="302" w:name="_Toc2673964"/>
      <w:r/>
      <w:bookmarkStart w:id="303" w:name="_Toc532394135"/>
      <w:r/>
      <w:bookmarkStart w:id="304" w:name="_Toc369859531"/>
      <w:r/>
      <w:bookmarkStart w:id="305" w:name="_Toc339183520"/>
      <w:r/>
      <w:bookmarkStart w:id="306" w:name="_Toc346698518"/>
      <w:r/>
      <w:bookmarkStart w:id="307" w:name="_Toc339135329"/>
      <w:r/>
      <w:bookmarkStart w:id="308" w:name="_Toc346700672"/>
      <w:r/>
      <w:bookmarkStart w:id="309" w:name="_Toc283573544"/>
      <w:r/>
      <w:bookmarkStart w:id="310" w:name="_Toc485976263"/>
      <w:r/>
      <w:bookmarkStart w:id="311" w:name="_Toc341532557"/>
      <w:r/>
      <w:bookmarkStart w:id="312" w:name="_Toc405822533"/>
      <w:r/>
      <w:bookmarkStart w:id="313" w:name="_Toc350520339"/>
      <w:r/>
      <w:bookmarkStart w:id="314" w:name="_Toc350697687"/>
      <w:r/>
      <w:bookmarkStart w:id="315" w:name="_Toc406502946"/>
      <w:r/>
      <w:bookmarkStart w:id="316" w:name="_Toc532646228"/>
      <w:r/>
      <w:bookmarkStart w:id="317" w:name="_Toc486434558"/>
      <w:r/>
      <w:bookmarkStart w:id="318" w:name="_Toc499103033"/>
      <w:r/>
      <w:bookmarkStart w:id="319" w:name="_Toc340330317"/>
      <w:r/>
      <w:bookmarkStart w:id="320" w:name="_Toc428869217"/>
      <w:r/>
      <w:bookmarkStart w:id="321" w:name="_Toc470253169"/>
      <w:r/>
      <w:bookmarkStart w:id="322" w:name="_Toc338745992"/>
      <w:r/>
      <w:bookmarkStart w:id="323" w:name="_Toc416442330"/>
      <w:r/>
      <w:bookmarkStart w:id="324" w:name="_Toc454438829"/>
      <w:r/>
      <w:bookmarkStart w:id="325" w:name="_Toc418751245"/>
      <w:r/>
      <w:bookmarkStart w:id="326" w:name="_Toc392858977"/>
      <w:r/>
      <w:bookmarkStart w:id="327" w:name="_Toc351017582"/>
      <w:r/>
      <w:bookmarkStart w:id="328" w:name="_Toc455395796"/>
      <w:r/>
      <w:bookmarkStart w:id="329" w:name="_Toc456023907"/>
      <w:r/>
      <w:bookmarkStart w:id="330" w:name="_Toc505259418"/>
      <w:r/>
      <w:bookmarkStart w:id="331" w:name="_Toc369081686"/>
      <w:r/>
      <w:bookmarkStart w:id="332" w:name="_Toc339352500"/>
      <w:r/>
      <w:bookmarkStart w:id="333" w:name="_Toc391971650"/>
      <w:r>
        <w:rPr>
          <w:rFonts w:hint="eastAsia" w:ascii="宋体" w:hAnsi="宋体" w:eastAsia="宋体" w:cs="宋体"/>
          <w:b/>
          <w:color w:val="000000" w:themeColor="text1"/>
          <w:sz w:val="21"/>
          <w:szCs w:val="21"/>
          <w:highlight w:val="none"/>
          <w14:textFill>
            <w14:solidFill>
              <w14:schemeClr w14:val="tx1"/>
            </w14:solidFill>
          </w14:textFill>
        </w:rPr>
        <w:t xml:space="preserve">六、检查方式</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的履约情况检查由督查单位主持，甲乙双方共同派人参加，检查方式为座谈、问卷调查、查看资料或由各方约定的其它方式等。检查时间、次数、检查方式、检查结论和处罚意见等由各方协商确定，如无法达成一致的，由督查单位依据事实裁定。</w:t>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334" w:name="_Toc456023908"/>
      <w:r/>
      <w:bookmarkStart w:id="335" w:name="_Toc391971651"/>
      <w:r/>
      <w:bookmarkStart w:id="336" w:name="_Toc485976264"/>
      <w:r/>
      <w:bookmarkStart w:id="337" w:name="_Toc440352452"/>
      <w:r/>
      <w:bookmarkStart w:id="338" w:name="_Toc405822534"/>
      <w:r/>
      <w:bookmarkStart w:id="339" w:name="_Toc346698519"/>
      <w:r/>
      <w:bookmarkStart w:id="340" w:name="_Toc486434559"/>
      <w:r/>
      <w:bookmarkStart w:id="341" w:name="_Toc505259419"/>
      <w:r/>
      <w:bookmarkStart w:id="342" w:name="_Toc339183521"/>
      <w:r/>
      <w:bookmarkStart w:id="343" w:name="_Toc454438830"/>
      <w:r/>
      <w:bookmarkStart w:id="344" w:name="_Toc418751246"/>
      <w:r/>
      <w:bookmarkStart w:id="345" w:name="_Toc392858978"/>
      <w:r/>
      <w:bookmarkStart w:id="346" w:name="_Toc350697688"/>
      <w:r/>
      <w:bookmarkStart w:id="347" w:name="_Toc18065745"/>
      <w:r/>
      <w:bookmarkStart w:id="348" w:name="_Toc351017583"/>
      <w:r/>
      <w:bookmarkStart w:id="349" w:name="_Toc283573545"/>
      <w:r/>
      <w:bookmarkStart w:id="350" w:name="_Toc426445901"/>
      <w:r/>
      <w:bookmarkStart w:id="351" w:name="_Toc454520009"/>
      <w:r/>
      <w:bookmarkStart w:id="352" w:name="_Toc532646229"/>
      <w:r/>
      <w:bookmarkStart w:id="353" w:name="_Toc405822038"/>
      <w:r/>
      <w:bookmarkStart w:id="354" w:name="_Toc406502947"/>
      <w:r/>
      <w:bookmarkStart w:id="355" w:name="_Toc339135330"/>
      <w:r/>
      <w:bookmarkStart w:id="356" w:name="_Toc425757900"/>
      <w:r/>
      <w:bookmarkStart w:id="357" w:name="_Toc346700673"/>
      <w:r/>
      <w:bookmarkStart w:id="358" w:name="_Toc402189282"/>
      <w:r/>
      <w:bookmarkStart w:id="359" w:name="_Toc507066182"/>
      <w:r/>
      <w:bookmarkStart w:id="360" w:name="_Toc453949181"/>
      <w:r/>
      <w:bookmarkStart w:id="361" w:name="_Toc469923282"/>
      <w:r/>
      <w:bookmarkStart w:id="362" w:name="_Toc428869218"/>
      <w:r/>
      <w:bookmarkStart w:id="363" w:name="_Toc28007306"/>
      <w:r/>
      <w:bookmarkStart w:id="364" w:name="_Toc2673965"/>
      <w:r/>
      <w:bookmarkStart w:id="365" w:name="_Toc416442331"/>
      <w:r/>
      <w:bookmarkStart w:id="366" w:name="_Toc340330318"/>
      <w:r/>
      <w:bookmarkStart w:id="367" w:name="_Toc346709280"/>
      <w:r/>
      <w:bookmarkStart w:id="368" w:name="_Toc499103034"/>
      <w:r/>
      <w:bookmarkStart w:id="369" w:name="_Toc350520340"/>
      <w:r/>
      <w:bookmarkStart w:id="370" w:name="_Toc470253170"/>
      <w:r/>
      <w:bookmarkStart w:id="371" w:name="_Toc338745993"/>
      <w:r/>
      <w:bookmarkStart w:id="372" w:name="_Toc283577287"/>
      <w:r/>
      <w:bookmarkStart w:id="373" w:name="_Toc369859532"/>
      <w:r/>
      <w:bookmarkStart w:id="374" w:name="_Toc455395797"/>
      <w:r/>
      <w:bookmarkStart w:id="375" w:name="_Toc339352501"/>
      <w:r/>
      <w:bookmarkStart w:id="376" w:name="_Toc532394136"/>
      <w:r/>
      <w:bookmarkStart w:id="377" w:name="_Toc341532558"/>
      <w:r/>
      <w:bookmarkStart w:id="378" w:name="_Toc369081687"/>
      <w:r/>
      <w:bookmarkStart w:id="379" w:name="_Toc489274461"/>
      <w:r>
        <w:rPr>
          <w:rFonts w:hint="eastAsia" w:ascii="宋体" w:hAnsi="宋体" w:eastAsia="宋体" w:cs="宋体"/>
          <w:b/>
          <w:color w:val="000000" w:themeColor="text1"/>
          <w:sz w:val="21"/>
          <w:szCs w:val="21"/>
          <w:highlight w:val="none"/>
          <w14:textFill>
            <w14:solidFill>
              <w14:schemeClr w14:val="tx1"/>
            </w14:solidFill>
          </w14:textFill>
        </w:rPr>
        <w:t xml:space="preserve">七、</w:t>
      </w:r>
      <w:r>
        <w:rPr>
          <w:rFonts w:hint="eastAsia" w:ascii="宋体" w:hAnsi="宋体" w:eastAsia="宋体" w:cs="宋体"/>
          <w:color w:val="000000" w:themeColor="text1"/>
          <w:sz w:val="21"/>
          <w:szCs w:val="21"/>
          <w:highlight w:val="none"/>
          <w14:textFill>
            <w14:solidFill>
              <w14:schemeClr w14:val="tx1"/>
            </w14:solidFill>
          </w14:textFill>
        </w:rPr>
        <w:t xml:space="preserve">本“合同”有效期为工程开工之日起至该合同段工程项目竣工验收后止。</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380" w:name="_Toc392858979"/>
      <w:r/>
      <w:bookmarkStart w:id="381" w:name="_Toc454520010"/>
      <w:r/>
      <w:bookmarkStart w:id="382" w:name="_Toc418751247"/>
      <w:r/>
      <w:bookmarkStart w:id="383" w:name="_Toc402189283"/>
      <w:r/>
      <w:bookmarkStart w:id="384" w:name="_Toc28007307"/>
      <w:r/>
      <w:bookmarkStart w:id="385" w:name="_Toc350520341"/>
      <w:r/>
      <w:bookmarkStart w:id="386" w:name="_Toc346709281"/>
      <w:r/>
      <w:bookmarkStart w:id="387" w:name="_Toc283577288"/>
      <w:r/>
      <w:bookmarkStart w:id="388" w:name="_Toc339352502"/>
      <w:r/>
      <w:bookmarkStart w:id="389" w:name="_Toc406502948"/>
      <w:r/>
      <w:bookmarkStart w:id="390" w:name="_Toc339135331"/>
      <w:r/>
      <w:bookmarkStart w:id="391" w:name="_Toc416442332"/>
      <w:r/>
      <w:bookmarkStart w:id="392" w:name="_Toc485976265"/>
      <w:r/>
      <w:bookmarkStart w:id="393" w:name="_Toc339183522"/>
      <w:r/>
      <w:bookmarkStart w:id="394" w:name="_Toc425757901"/>
      <w:r/>
      <w:bookmarkStart w:id="395" w:name="_Toc346698520"/>
      <w:r/>
      <w:bookmarkStart w:id="396" w:name="_Toc453949182"/>
      <w:r/>
      <w:bookmarkStart w:id="397" w:name="_Toc405822039"/>
      <w:r/>
      <w:bookmarkStart w:id="398" w:name="_Toc507066183"/>
      <w:r/>
      <w:bookmarkStart w:id="399" w:name="_Toc532646230"/>
      <w:r/>
      <w:bookmarkStart w:id="400" w:name="_Toc428869219"/>
      <w:r/>
      <w:bookmarkStart w:id="401" w:name="_Toc426445902"/>
      <w:r/>
      <w:bookmarkStart w:id="402" w:name="_Toc18065746"/>
      <w:r/>
      <w:bookmarkStart w:id="403" w:name="_Toc489274462"/>
      <w:r/>
      <w:bookmarkStart w:id="404" w:name="_Toc456023909"/>
      <w:r/>
      <w:bookmarkStart w:id="405" w:name="_Toc369081688"/>
      <w:r/>
      <w:bookmarkStart w:id="406" w:name="_Toc340330319"/>
      <w:r/>
      <w:bookmarkStart w:id="407" w:name="_Toc283573546"/>
      <w:r/>
      <w:bookmarkStart w:id="408" w:name="_Toc369859533"/>
      <w:r/>
      <w:bookmarkStart w:id="409" w:name="_Toc455395798"/>
      <w:r/>
      <w:bookmarkStart w:id="410" w:name="_Toc351017584"/>
      <w:r/>
      <w:bookmarkStart w:id="411" w:name="_Toc499103035"/>
      <w:r/>
      <w:bookmarkStart w:id="412" w:name="_Toc470253171"/>
      <w:r/>
      <w:bookmarkStart w:id="413" w:name="_Toc391971652"/>
      <w:r/>
      <w:bookmarkStart w:id="414" w:name="_Toc2673966"/>
      <w:r/>
      <w:bookmarkStart w:id="415" w:name="_Toc486434560"/>
      <w:r/>
      <w:bookmarkStart w:id="416" w:name="_Toc341532559"/>
      <w:r/>
      <w:bookmarkStart w:id="417" w:name="_Toc346700674"/>
      <w:r/>
      <w:bookmarkStart w:id="418" w:name="_Toc469923283"/>
      <w:r/>
      <w:bookmarkStart w:id="419" w:name="_Toc532394137"/>
      <w:r/>
      <w:bookmarkStart w:id="420" w:name="_Toc338745994"/>
      <w:r/>
      <w:bookmarkStart w:id="421" w:name="_Toc505259420"/>
      <w:r/>
      <w:bookmarkStart w:id="422" w:name="_Toc440352453"/>
      <w:r/>
      <w:bookmarkStart w:id="423" w:name="_Toc454438831"/>
      <w:r/>
      <w:bookmarkStart w:id="424" w:name="_Toc405822535"/>
      <w:r/>
      <w:bookmarkStart w:id="425" w:name="_Toc350697689"/>
      <w:r>
        <w:rPr>
          <w:rFonts w:hint="eastAsia" w:ascii="宋体" w:hAnsi="宋体" w:eastAsia="宋体" w:cs="宋体"/>
          <w:b/>
          <w:color w:val="000000" w:themeColor="text1"/>
          <w:sz w:val="21"/>
          <w:szCs w:val="21"/>
          <w:highlight w:val="none"/>
          <w14:textFill>
            <w14:solidFill>
              <w14:schemeClr w14:val="tx1"/>
            </w14:solidFill>
          </w14:textFill>
        </w:rPr>
        <w:t xml:space="preserve">八、</w:t>
      </w:r>
      <w:r>
        <w:rPr>
          <w:rFonts w:hint="eastAsia" w:ascii="宋体" w:hAnsi="宋体" w:eastAsia="宋体" w:cs="宋体"/>
          <w:color w:val="000000" w:themeColor="text1"/>
          <w:sz w:val="21"/>
          <w:szCs w:val="21"/>
          <w:highlight w:val="none"/>
          <w14:textFill>
            <w14:solidFill>
              <w14:schemeClr w14:val="tx1"/>
            </w14:solidFill>
          </w14:textFill>
        </w:rPr>
        <w:t xml:space="preserve">本“合同”一式陆份，甲、乙双方各持叁份。</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  方：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乙方：</w:t>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法定代表人(或授权代理人)：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法定代表人(或授权代理人)：</w:t>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地址：</w:t>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电话：</w:t>
      </w:r>
      <w:r/>
    </w:p>
    <w:p>
      <w:pPr>
        <w:pStyle w:val="85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日期：</w:t>
      </w:r>
      <w:r/>
    </w:p>
    <w:p>
      <w:pPr>
        <w:pStyle w:val="1020"/>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color w:val="000000" w:themeColor="text1"/>
          <w:sz w:val="36"/>
          <w:szCs w:val="36"/>
          <w:highlight w:val="none"/>
          <w14:textFill>
            <w14:solidFill>
              <w14:schemeClr w14:val="tx1"/>
            </w14:solidFill>
          </w14:textFill>
        </w:rPr>
        <w:t xml:space="preserve">第四章 项目需求</w:t>
      </w:r>
      <w:bookmarkEnd w:id="38"/>
      <w:r/>
      <w:bookmarkEnd w:id="39"/>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其他要求</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color w:val="000000" w:themeColor="text1"/>
          <w:szCs w:val="21"/>
          <w:highlight w:val="none"/>
          <w:u w:val="singl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color w:val="000000" w:themeColor="text1"/>
          <w:szCs w:val="21"/>
          <w:highlight w:val="none"/>
          <w14:textFill>
            <w14:solidFill>
              <w14:schemeClr w14:val="tx1"/>
            </w14:solidFill>
          </w14:textFill>
        </w:rPr>
        <w:t xml:space="preserve">。其他条件相同情况下，应当优先采购节能产品、环境标志产品。</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bookmarkEnd w:id="1"/>
      <w:r/>
      <w:r/>
    </w:p>
    <w:p>
      <w:pP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所属行业：建筑业</w:t>
      </w:r>
      <w:r/>
    </w:p>
    <w:p>
      <w:pPr>
        <w:numPr>
          <w:ilvl w:val="0"/>
          <w:numId w:val="2"/>
        </w:numPr>
        <w:ind w:firstLine="422"/>
        <w:pageBreakBefore w:val="0"/>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工程概况</w:t>
      </w:r>
      <w:r/>
    </w:p>
    <w:p>
      <w:pPr>
        <w:numPr>
          <w:ilvl w:val="0"/>
          <w:numId w:val="3"/>
        </w:numPr>
        <w:ind w:firstLine="42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扬州市江都区2026年农村生态河道建设项目一标段(小纪镇)</w:t>
      </w:r>
      <w:r/>
    </w:p>
    <w:p>
      <w:pPr>
        <w:numPr>
          <w:ilvl w:val="0"/>
          <w:numId w:val="3"/>
        </w:numPr>
        <w:ind w:firstLine="42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项目地点：扬州市江都区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小纪镇</w:t>
      </w:r>
      <w:r/>
    </w:p>
    <w:p>
      <w:pPr>
        <w:ind w:left="0" w:right="0" w:firstLine="420"/>
        <w:jc w:val="both"/>
        <w:pageBreakBefore w:val="0"/>
        <w:spacing w:before="0" w:after="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（三）项目范围：施工图纸及工程量清单内的施工</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left="420" w:firstLine="42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联盟河，颜吉河，吉家河，三条河约</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公里，河道疏浚、清障、清杂、整坡及绿化等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left="420" w:firstLine="0"/>
        <w:pageBreakBefore w:val="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（四）工期：</w:t>
      </w:r>
      <w:r>
        <w:rPr>
          <w:rFonts w:hint="eastAsia" w:ascii="宋体" w:hAnsi="宋体" w:cs="宋体"/>
          <w:color w:val="000000" w:themeColor="text1"/>
          <w:sz w:val="21"/>
          <w:szCs w:val="21"/>
          <w:highlight w:val="none"/>
          <w:lang w:val="en-US" w:eastAsia="zh-CN"/>
          <w14:textFill>
            <w14:solidFill>
              <w14:schemeClr w14:val="tx1"/>
            </w14:solidFill>
          </w14:textFill>
        </w:rPr>
        <w:t xml:space="preserve">150日历天</w:t>
      </w:r>
      <w:r>
        <w:rPr>
          <w:rFonts w:hint="eastAsia" w:ascii="宋体" w:hAnsi="宋体" w:eastAsia="宋体" w:cs="宋体"/>
          <w:color w:val="000000" w:themeColor="text1"/>
          <w:sz w:val="21"/>
          <w:szCs w:val="21"/>
          <w:highlight w:val="none"/>
          <w14:textFill>
            <w14:solidFill>
              <w14:schemeClr w14:val="tx1"/>
            </w14:solidFill>
          </w14:textFill>
        </w:rPr>
        <w:t xml:space="preserve">（开工日期以采购人签发开工令的时间为准）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p>
      <w:pPr>
        <w:ind w:left="0" w:right="0" w:firstLine="425"/>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（五）质量要求：合格，</w:t>
      </w:r>
      <w:r>
        <w:rPr>
          <w:rFonts w:hint="eastAsia" w:ascii="宋体" w:hAnsi="宋体" w:eastAsia="宋体" w:cs="宋体"/>
          <w:color w:val="000000" w:themeColor="text1"/>
          <w:sz w:val="21"/>
          <w:szCs w:val="21"/>
          <w:highlight w:val="none"/>
          <w14:textFill>
            <w14:solidFill>
              <w14:schemeClr w14:val="tx1"/>
            </w14:solidFill>
          </w14:textFill>
        </w:rPr>
        <w:t xml:space="preserve">本工程质量检验与评定执行符合《水利工程施工质量检验与评定规范》（DB32/T2334-2013）</w:t>
      </w:r>
      <w:r/>
    </w:p>
    <w:p>
      <w:pPr>
        <w:ind w:left="0" w:right="0" w:firstLine="425"/>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（六）最高限价</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157.512312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万元</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。报价高于最高限价的为无效标，按照无效响应处理。</w:t>
      </w:r>
      <w:r/>
    </w:p>
    <w:p>
      <w:pPr>
        <w:pStyle w:val="849"/>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二、技术要求（项目需求）</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1、服务质量要求：符合法律、法规的要求；投标中所涉及的所有技术指标均应满足国家现行的相关施工规范和标准。满足招标人要求，质量标准为合格。</w:t>
      </w:r>
      <w:r/>
    </w:p>
    <w:p>
      <w:pPr>
        <w:pStyle w:val="849"/>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2、供应商必须按照国家有关规范、标准完成施工。</w:t>
      </w:r>
      <w:r/>
    </w:p>
    <w:p>
      <w:pPr>
        <w:pStyle w:val="849"/>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3、供应商根据招标清单进行施工。</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4、项目实施过程中，如招标人提出施工内容调整、变更需求的，中标人应对施工内容进行相应调整和变更，结算单价不变，工程量按实计算，但变更内容价格不得超过中标价的10%。（所有现场变更签证必须经招标人及监理确认签证）。</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5、根据《水利水电工程等级划分及洪水标准》（SL252-2017）有关规定，确定本工程：</w:t>
      </w:r>
      <w:r>
        <w:rPr>
          <w:rFonts w:hint="eastAsia" w:ascii="宋体" w:hAnsi="宋体" w:eastAsia="宋体" w:cs="宋体"/>
          <w:color w:val="000000" w:themeColor="text1"/>
          <w:szCs w:val="22"/>
          <w:highlight w:val="none"/>
          <w14:textFill>
            <w14:solidFill>
              <w14:schemeClr w14:val="tx1"/>
            </w14:solidFill>
          </w14:textFill>
        </w:rPr>
        <w:t xml:space="preserve">工程等别为IV等，河道工程级别为4级。</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2"/>
          <w:highlight w:val="none"/>
          <w14:textFill>
            <w14:solidFill>
              <w14:schemeClr w14:val="tx1"/>
            </w14:solidFill>
          </w14:textFill>
        </w:rPr>
        <w:t xml:space="preserve">供应商应确保其技术建议以及所提供的设施设备的完整性、实用性，保证全部工作面及时投入正常使用。所有施工材料应符合要求，并满足施工工期、施工安全的需要；若出现因供应商提供的设施设备不满足要求、不合理，或者其所提供的技术支持和服务不全面，而导致无法实现或不能完全实现的状况，供应商负全部责任。</w:t>
      </w:r>
      <w:r/>
    </w:p>
    <w:p>
      <w:pPr>
        <w:pStyle w:val="849"/>
        <w:ind w:left="0" w:firstLine="420"/>
        <w:spacing w:line="360" w:lineRule="auto"/>
        <w:rPr>
          <w:rFonts w:hint="eastAsia" w:ascii="宋体" w:hAnsi="宋体" w:eastAsia="宋体" w:cs="宋体"/>
          <w:color w:val="000000" w:themeColor="text1"/>
          <w:szCs w:val="22"/>
          <w:highlight w:val="none"/>
          <w:lang w:val="en-US" w:eastAsia="zh-CN"/>
          <w14:textFill>
            <w14:solidFill>
              <w14:schemeClr w14:val="tx1"/>
            </w14:solidFill>
          </w14:textFill>
        </w:rPr>
      </w:pPr>
      <w:r>
        <w:rPr>
          <w:rFonts w:hint="eastAsia" w:ascii="宋体" w:hAnsi="宋体" w:eastAsia="宋体" w:cs="宋体"/>
          <w:color w:val="000000" w:themeColor="text1"/>
          <w:szCs w:val="22"/>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2"/>
          <w:highlight w:val="none"/>
          <w14:textFill>
            <w14:solidFill>
              <w14:schemeClr w14:val="tx1"/>
            </w14:solidFill>
          </w14:textFill>
        </w:rPr>
        <w:t xml:space="preserve">验收：采购项目总体验收。项目施工完成后，由采购人会同本项目供应商组织开展对所有施工项目的验收工作并形成专门的验收报告。如验收不通过的项目，供应商应无条件进行整改直至验收通过。本工程验收按</w:t>
      </w:r>
      <w:r>
        <w:rPr>
          <w:rFonts w:hint="eastAsia" w:ascii="宋体" w:hAnsi="宋体" w:cs="宋体"/>
          <w:color w:val="000000" w:themeColor="text1"/>
          <w:szCs w:val="22"/>
          <w:highlight w:val="none"/>
          <w:lang w:eastAsia="zh-CN"/>
          <w14:textFill>
            <w14:solidFill>
              <w14:schemeClr w14:val="tx1"/>
            </w14:solidFill>
          </w14:textFill>
        </w:rPr>
        <w:t xml:space="preserve">《水利水电建设工程验收规程》（SLT223—2025）</w:t>
      </w:r>
      <w:r>
        <w:rPr>
          <w:rFonts w:hint="eastAsia" w:ascii="宋体" w:hAnsi="宋体" w:eastAsia="宋体" w:cs="宋体"/>
          <w:color w:val="000000" w:themeColor="text1"/>
          <w:szCs w:val="22"/>
          <w:highlight w:val="none"/>
          <w14:textFill>
            <w14:solidFill>
              <w14:schemeClr w14:val="tx1"/>
            </w14:solidFill>
          </w14:textFill>
        </w:rPr>
        <w:t xml:space="preserve">的规定执行。</w:t>
      </w:r>
      <w:r/>
    </w:p>
    <w:p>
      <w:pPr>
        <w:ind w:firstLine="304"/>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三、投标报价说明</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1、工程量清单仅是投标人投标报价的共同基础，除另有约定外，工程量清单中的工程量是按</w:t>
      </w:r>
      <w:r>
        <w:rPr>
          <w:rFonts w:hint="eastAsia" w:ascii="宋体" w:hAnsi="宋体" w:eastAsia="宋体" w:cs="宋体"/>
          <w:bCs/>
          <w:color w:val="000000" w:themeColor="text1"/>
          <w:szCs w:val="21"/>
          <w:highlight w:val="none"/>
          <w14:textFill>
            <w14:solidFill>
              <w14:schemeClr w14:val="tx1"/>
            </w14:solidFill>
          </w14:textFill>
        </w:rPr>
        <w:t xml:space="preserve">《水利工程工程量清单计价规范》（GB50501-2007）</w:t>
      </w:r>
      <w:r>
        <w:rPr>
          <w:rFonts w:hint="eastAsia" w:ascii="宋体" w:hAnsi="宋体" w:eastAsia="宋体" w:cs="宋体"/>
          <w:bCs/>
          <w:color w:val="000000" w:themeColor="text1"/>
          <w:szCs w:val="21"/>
          <w:highlight w:val="none"/>
          <w14:textFill>
            <w14:solidFill>
              <w14:schemeClr w14:val="tx1"/>
            </w14:solidFill>
          </w14:textFill>
        </w:rPr>
        <w:t xml:space="preserve">计算规则计算的用于投标报价的估算工程量，不作为最终结算的工程量；最终结算工程量是承包人实际完成并符合技术标准和要求和《水利工程工程量清单计价规范》（GB50501-2007）计算规则等规定，按施工图纸计算的有效工程量。</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工程量清单中各项目的工作内容和要求应同时符合《水利工程工程量清单计价规范》（GB50501-2007）、江苏省水利厅苏水基[2011]21号《江苏省水利工程招标投标文件工程量清单格式》和相关技术标准和要求的规定，并以技术标准和要求的约定优先。</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3、工程价款的支付遵循合同条款的约定。</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4、本合同为</w:t>
      </w:r>
      <w:r>
        <w:rPr>
          <w:rFonts w:hint="eastAsia" w:ascii="宋体" w:hAnsi="宋体" w:eastAsia="宋体" w:cs="宋体"/>
          <w:bCs/>
          <w:color w:val="000000" w:themeColor="text1"/>
          <w:szCs w:val="21"/>
          <w:highlight w:val="none"/>
          <w14:textFill>
            <w14:solidFill>
              <w14:schemeClr w14:val="tx1"/>
            </w14:solidFill>
          </w14:textFill>
        </w:rPr>
        <w:t xml:space="preserve">固定单价合同（部分为总价）</w:t>
      </w:r>
      <w:r>
        <w:rPr>
          <w:rFonts w:hint="eastAsia" w:ascii="宋体" w:hAnsi="宋体" w:eastAsia="宋体" w:cs="宋体"/>
          <w:bCs/>
          <w:color w:val="000000" w:themeColor="text1"/>
          <w:szCs w:val="21"/>
          <w:highlight w:val="none"/>
          <w14:textFill>
            <w14:solidFill>
              <w14:schemeClr w14:val="tx1"/>
            </w14:solidFill>
          </w14:textFill>
        </w:rPr>
        <w:t xml:space="preserve">，除合同条款另有约定外，不作任何价格调整。</w:t>
      </w:r>
      <w:r/>
    </w:p>
    <w:p>
      <w:pPr>
        <w:pStyle w:val="849"/>
        <w:ind w:left="0" w:firstLine="42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供应商报价时应考虑一些不可预见的费用，包括但不限于弃土区（排泥场）、临时用地、临时用电的矛盾协调、赔青、土源及运距、排泥管线输送长度、破坏的路面等原状恢复等；供应商报价时应将上述费用在投标报价中综合考虑，必要时采购人予以协助，供应商还应综合考虑相关施工措施费用，并包含在投标报价中，采购人不另行支付。</w:t>
      </w:r>
      <w:r/>
    </w:p>
    <w:p>
      <w:pPr>
        <w:pStyle w:val="849"/>
        <w:ind w:left="0" w:firstLine="42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、成交供应商进场施工前邀请监理、测绘、业主单位进行复测，如有问题由测绘单位会同监理、甲方共同协商解决。</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14:textFill>
            <w14:solidFill>
              <w14:schemeClr w14:val="tx1"/>
            </w14:solidFill>
          </w14:textFill>
        </w:rPr>
        <w:t xml:space="preserve">、工程量清单中实行固定总价承包的项目所提供的工程量是用作投标报价的工程量（此工程量为设计估算工</w:t>
      </w:r>
      <w:r>
        <w:rPr>
          <w:rFonts w:hint="eastAsia" w:ascii="宋体" w:hAnsi="宋体" w:eastAsia="宋体" w:cs="宋体"/>
          <w:bCs/>
          <w:color w:val="000000" w:themeColor="text1"/>
          <w:szCs w:val="21"/>
          <w:highlight w:val="none"/>
          <w14:textFill>
            <w14:solidFill>
              <w14:schemeClr w14:val="tx1"/>
            </w14:solidFill>
          </w14:textFill>
        </w:rPr>
        <w:t xml:space="preserve">程量，仅供参考。承包人应按提供的招标图纸及现场查勘资料认真复核实际工程量，进行计算和填报总价），由监理人审查确认按专用条款付款进度要求以工程量清单提供的细目和项目总价支付、结算；实行固定单价承包的项目工程量是用作投标报价的估算工程量，不作为最终结算的工程量，用于结算的工程量是承包人实际完成的，并按合同有关计量规定计量的工程量，支付应以施工详图和按监理工程师指示完成的实际数量为依据。月计量支付由承包人测量、监理人审查确认并按工程量清单的细目按专用条款付款进度要求结算，最终结算以国家审计核算的工程项目总价为准。</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、工程量清单中未注明总价承包的项目，均为单价承包项目。</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措施项目报价分解表，按措施项目的工作内容、单位、单价、数量、合价填写，填写的合价应与措施项目清单计价表中的相应合价相同。措施项目清单计价表中的每一措施项目均应填报措施项目报价分解表，并将作为支付的依据。</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、在施工过程中，与交通、城市管理、运输管理部门的协调及对当地居民生活影响所造成的矛盾处置等所发生的费用，由承包人自行考虑，包含在投标报价中。</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Cs w:val="21"/>
          <w:highlight w:val="none"/>
          <w14:textFill>
            <w14:solidFill>
              <w14:schemeClr w14:val="tx1"/>
            </w14:solidFill>
          </w14:textFill>
        </w:rPr>
        <w:t xml:space="preserve">、安全生产与文明施工措施费其费用组成应执行</w:t>
      </w:r>
      <w:r>
        <w:rPr>
          <w:rFonts w:hint="eastAsia" w:ascii="宋体" w:hAnsi="宋体" w:eastAsia="宋体" w:cs="宋体"/>
          <w:bCs/>
          <w:color w:val="000000" w:themeColor="text1"/>
          <w:szCs w:val="21"/>
          <w:highlight w:val="none"/>
          <w14:textFill>
            <w14:solidFill>
              <w14:schemeClr w14:val="tx1"/>
            </w14:solidFill>
          </w14:textFill>
        </w:rPr>
        <w:t xml:space="preserve">江苏省水利厅苏水安【2017】3号文</w:t>
      </w:r>
      <w:r>
        <w:rPr>
          <w:rFonts w:hint="eastAsia" w:ascii="宋体" w:hAnsi="宋体" w:eastAsia="宋体" w:cs="宋体"/>
          <w:bCs/>
          <w:color w:val="000000" w:themeColor="text1"/>
          <w:szCs w:val="21"/>
          <w:highlight w:val="none"/>
          <w14:textFill>
            <w14:solidFill>
              <w14:schemeClr w14:val="tx1"/>
            </w14:solidFill>
          </w14:textFill>
        </w:rPr>
        <w:t xml:space="preserve">的规定内容（详见本招标文件工程量清单措施项目费用清单“江苏省水利工程文明措施费分解表”）。投标文件已标价的工程量清单中应按本招标文件附件所提供的格式及内容提交安全文明措施费分解表明细组成，逐项报价，并作为投标报价必要的组成部分、作为今后的支付依据。进场后由承包人申报并经审核后，所报各子项项目合计费用高于中标的“安全生产与文明施工措施费”总价费用的，超出部分不予支付，按中标的“安全生产与文明施工措施费”总价费用支付；所报各子项项目合计费用低于中标的“安全生产与文明施工措施费”总价费用的，按实支付。</w:t>
      </w:r>
      <w:r/>
    </w:p>
    <w:p>
      <w:pPr>
        <w:pStyle w:val="849"/>
        <w:ind w:left="0" w:firstLine="420"/>
        <w:spacing w:line="360" w:lineRule="auto"/>
        <w:rPr>
          <w:rFonts w:hint="eastAsia" w:ascii="宋体" w:hAnsi="宋体" w:eastAsia="宋体" w:cs="宋体"/>
          <w:b/>
          <w:bCs w:val="0"/>
          <w:i/>
          <w:iCs/>
          <w:color w:val="000000" w:themeColor="text1"/>
          <w:szCs w:val="21"/>
          <w:highlight w:val="none"/>
          <w:u w:val="single"/>
          <w14:textFill>
            <w14:solidFill>
              <w14:schemeClr w14:val="tx1"/>
            </w14:solidFill>
          </w14:textFill>
        </w:rPr>
      </w:pP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1</w:t>
      </w:r>
      <w:r>
        <w:rPr>
          <w:rFonts w:hint="eastAsia" w:ascii="宋体" w:hAnsi="宋体" w:cs="宋体"/>
          <w:b/>
          <w:bCs w:val="0"/>
          <w:i/>
          <w:iCs/>
          <w:color w:val="000000" w:themeColor="text1"/>
          <w:szCs w:val="21"/>
          <w:highlight w:val="none"/>
          <w:u w:val="single"/>
          <w:lang w:val="en-US" w:eastAsia="zh-CN"/>
          <w14:textFill>
            <w14:solidFill>
              <w14:schemeClr w14:val="tx1"/>
            </w14:solidFill>
          </w14:textFill>
        </w:rPr>
        <w:t xml:space="preserve">2</w:t>
      </w: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、本项目另附工程量清单，</w:t>
      </w: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投标人需按按招标文件和《水利工程工程量清单计价规范》（GB50501-2007）、江苏省水利厅苏水基[2011]21号《江苏省水利工程招标投标文件工程量清单格式》</w:t>
      </w: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和相关技术标准和要求的规定规定报价。</w:t>
      </w:r>
      <w:r/>
    </w:p>
    <w:p>
      <w:pPr>
        <w:pStyle w:val="849"/>
        <w:ind w:left="0" w:firstLine="420"/>
        <w:spacing w:line="360" w:lineRule="auto"/>
        <w:rPr>
          <w:rFonts w:hint="eastAsia" w:ascii="宋体" w:hAnsi="宋体" w:eastAsia="宋体" w:cs="宋体"/>
          <w:b/>
          <w:bCs w:val="0"/>
          <w:i/>
          <w:iCs/>
          <w:color w:val="000000" w:themeColor="text1"/>
          <w:szCs w:val="21"/>
          <w:highlight w:val="none"/>
          <w:u w:val="single"/>
          <w14:textFill>
            <w14:solidFill>
              <w14:schemeClr w14:val="tx1"/>
            </w14:solidFill>
          </w14:textFill>
        </w:rPr>
      </w:pP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1</w:t>
      </w:r>
      <w:r>
        <w:rPr>
          <w:rFonts w:hint="eastAsia" w:ascii="宋体" w:hAnsi="宋体" w:cs="宋体"/>
          <w:b/>
          <w:bCs w:val="0"/>
          <w:i/>
          <w:iCs/>
          <w:color w:val="000000" w:themeColor="text1"/>
          <w:szCs w:val="21"/>
          <w:highlight w:val="none"/>
          <w:u w:val="single"/>
          <w:lang w:val="en-US" w:eastAsia="zh-CN"/>
          <w14:textFill>
            <w14:solidFill>
              <w14:schemeClr w14:val="tx1"/>
            </w14:solidFill>
          </w14:textFill>
        </w:rPr>
        <w:t xml:space="preserve">3</w:t>
      </w: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、总价应等于“磋商报价一览表”中的投标总价。</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考虑到本工程实际情况，投标人自行对工程施工现场场地条件和周围环境进行勘察，以获取编制投标文件和签署合同所需的所有资料，勘察现场所发生的费用由投标人承担，在踏勘现场中所发生的人员伤亡和财产损失由投标人自行负责。</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投标人到现场实地勘踏，应充分了解工地位置、情况、道路、储存空间、装卸限制及任何其他足以影响承包价的情况，任何忽视或误解</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项目</w:t>
      </w:r>
      <w:r>
        <w:rPr>
          <w:rFonts w:hint="eastAsia" w:ascii="宋体" w:hAnsi="宋体" w:eastAsia="宋体" w:cs="宋体"/>
          <w:bCs/>
          <w:color w:val="000000" w:themeColor="text1"/>
          <w:szCs w:val="21"/>
          <w:highlight w:val="none"/>
          <w14:textFill>
            <w14:solidFill>
              <w14:schemeClr w14:val="tx1"/>
            </w14:solidFill>
          </w14:textFill>
        </w:rPr>
        <w:t xml:space="preserve">情况而导致的索赔或工期延长申请将不获得批准。</w:t>
      </w:r>
      <w:r/>
    </w:p>
    <w:p>
      <w:pPr>
        <w:ind w:firstLine="304"/>
        <w:spacing w:line="360" w:lineRule="auto"/>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四、其他投标须知</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1、对与本合同实施有关的各类验收（如档案、消防、评审、审计、各阶段验收、竣工验收、工程移交等）、第三方检测等承包人应积极配合、参加，并承担相应费用。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2"/>
          <w:highlight w:val="none"/>
          <w14:textFill>
            <w14:solidFill>
              <w14:schemeClr w14:val="tx1"/>
            </w14:solidFill>
          </w14:textFill>
        </w:rPr>
        <w:t xml:space="preserve">2、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竣工图需移交原件6套（纸质竣工图5套，电子文档1套），档案相关的一切费用包含在投标报价中，不另行支付。</w:t>
      </w:r>
      <w:r>
        <w:rPr>
          <w:rFonts w:hint="eastAsia" w:ascii="宋体" w:hAnsi="宋体" w:eastAsia="宋体" w:cs="宋体"/>
          <w:color w:val="000000" w:themeColor="text1"/>
          <w:sz w:val="21"/>
          <w:szCs w:val="21"/>
          <w:highlight w:val="none"/>
          <w14:textFill>
            <w14:solidFill>
              <w14:schemeClr w14:val="tx1"/>
            </w14:solidFill>
          </w14:textFill>
        </w:rPr>
        <w:t xml:space="preserve">并提供工程主要节点施工前、中、后对比照片资料1套，档案相关的一切费用包含在报价中，甲方不再另行支付。</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3、承包人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4、承包人与发包人签订廉政合同、安全生产合同</w:t>
      </w:r>
      <w:r>
        <w:rPr>
          <w:rFonts w:hint="eastAsia"/>
          <w:color w:val="000000" w:themeColor="text1"/>
          <w:szCs w:val="21"/>
          <w:highlight w:val="none"/>
          <w14:textFill>
            <w14:solidFill>
              <w14:schemeClr w14:val="tx1"/>
            </w14:solidFill>
          </w14:textFill>
        </w:rPr>
        <w:t xml:space="preserve">、资金安全合同</w:t>
      </w:r>
      <w:r>
        <w:rPr>
          <w:rFonts w:hint="eastAsia" w:ascii="宋体" w:hAnsi="宋体" w:eastAsia="宋体" w:cs="宋体"/>
          <w:color w:val="000000" w:themeColor="text1"/>
          <w:szCs w:val="22"/>
          <w:highlight w:val="none"/>
          <w14:textFill>
            <w14:solidFill>
              <w14:schemeClr w14:val="tx1"/>
            </w14:solidFill>
          </w14:textFill>
        </w:rPr>
        <w:t xml:space="preserve">。</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5、配合工程竣工后各类审计、评审等各类工作。</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6、承担本工程所有应属于承包人责任内的检验费用（行业管理另有规定的，从其行业规定），承包人应在投标报价中考虑，发包人不另行支付。</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7、施工过程中非发包人原因引起的地方矛盾由承包人负责解决并承担相关费用。</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8、本项目采用固定单价（部分总价），承包范围为工程量清单、施工图和招标文件范围内的所有施工内容。</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9、工程实施过程中，如遇变更事项，必须通知采购人，办理相应的申报手续，在得到采购人认可的情况下，方可实施。如未通知采购人或未经采购人认可，变更相关费用将不能得到支付。</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2"/>
          <w:highlight w:val="none"/>
          <w14:textFill>
            <w14:solidFill>
              <w14:schemeClr w14:val="tx1"/>
            </w14:solidFill>
          </w14:textFill>
        </w:rPr>
        <w:t xml:space="preserve">、工程保险</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约定：成交供应商应以采购人和成交供应商的共同名义向双方同意的保险人投保建筑、安装工程一切险，保额为工程成交合同价，保险期限为工程合同工期。</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2"/>
          <w:highlight w:val="none"/>
          <w14:textFill>
            <w14:solidFill>
              <w14:schemeClr w14:val="tx1"/>
            </w14:solidFill>
          </w14:textFill>
        </w:rPr>
        <w:t xml:space="preserve">.1工伤保险</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成交供应商人员工伤保险按照“省人力资源和社会保障厅省住房和城乡建设厅、省交通运输厅、省水利厅、省安全生产监督管理局、省总工会关于深入推进建筑交通运输水利建设项目参加工伤保险工作的通知（苏人社发【2017】126号）”以及扬州市相关文件要求为其履行合同所雇佣的全部人员参加工伤保险，缴纳工伤保险费。</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2"/>
          <w:highlight w:val="none"/>
          <w14:textFill>
            <w14:solidFill>
              <w14:schemeClr w14:val="tx1"/>
            </w14:solidFill>
          </w14:textFill>
        </w:rPr>
        <w:t xml:space="preserve">.2保险费由成交供应商自行承担。</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2"/>
          <w:highlight w:val="none"/>
          <w14:textFill>
            <w14:solidFill>
              <w14:schemeClr w14:val="tx1"/>
            </w14:solidFill>
          </w14:textFill>
        </w:rPr>
        <w:t xml:space="preserve">.3其他保险：</w:t>
      </w:r>
      <w:r>
        <w:rPr>
          <w:rFonts w:hint="eastAsia" w:ascii="宋体" w:hAnsi="宋体" w:eastAsia="宋体" w:cs="宋体"/>
          <w:b/>
          <w:bCs/>
          <w:color w:val="000000" w:themeColor="text1"/>
          <w:szCs w:val="22"/>
          <w:highlight w:val="none"/>
          <w14:textFill>
            <w14:solidFill>
              <w14:schemeClr w14:val="tx1"/>
            </w14:solidFill>
          </w14:textFill>
        </w:rPr>
        <w:t xml:space="preserve">承包人需根据《水利部印发关于推进水利工程建设安全生产责任保险工作的指导意见》（水监督﹝2023﹞347号）要求，投保安全生产责任险，安责险费用在安全措施费中列支。</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2"/>
          <w:highlight w:val="none"/>
          <w14:textFill>
            <w14:solidFill>
              <w14:schemeClr w14:val="tx1"/>
            </w14:solidFill>
          </w14:textFill>
        </w:rPr>
        <w:t xml:space="preserve">.4第三者责任险：</w:t>
      </w:r>
      <w:r>
        <w:rPr>
          <w:rFonts w:hint="eastAsia" w:ascii="宋体" w:hAnsi="宋体" w:eastAsia="宋体" w:cs="宋体"/>
          <w:color w:val="000000" w:themeColor="text1"/>
          <w:szCs w:val="22"/>
          <w:highlight w:val="none"/>
          <w14:textFill>
            <w14:solidFill>
              <w14:schemeClr w14:val="tx1"/>
            </w14:solidFill>
          </w14:textFill>
        </w:rPr>
        <w:t xml:space="preserve">最低保额100万</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2"/>
          <w:highlight w:val="none"/>
          <w14:textFill>
            <w14:solidFill>
              <w14:schemeClr w14:val="tx1"/>
            </w14:solidFill>
          </w14:textFill>
        </w:rPr>
        <w:t xml:space="preserve">、临时占地：涉及到取、弃土区等其他涉及的临时用地由供应商自行考虑，并将费用在投标报价中综合考虑，必要时采购人予以协助，供应商应综合考虑环保、水保措施费用，并包含在投标报价中，采购人不另行支付。</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2"/>
          <w:highlight w:val="none"/>
          <w14:textFill>
            <w14:solidFill>
              <w14:schemeClr w14:val="tx1"/>
            </w14:solidFill>
          </w14:textFill>
        </w:rPr>
        <w:t xml:space="preserve">、成交供应商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p>
    <w:p>
      <w:pPr>
        <w:pStyle w:val="849"/>
        <w:ind w:left="0" w:firstLine="420"/>
        <w:spacing w:line="360" w:lineRule="auto"/>
        <w:rPr>
          <w:rFonts w:hint="eastAsia" w:ascii="宋体" w:hAnsi="宋体" w:eastAsia="宋体" w:cs="宋体"/>
          <w:b/>
          <w:bCs/>
          <w:i/>
          <w:iCs/>
          <w:color w:val="000000" w:themeColor="text1"/>
          <w:szCs w:val="22"/>
          <w:highlight w:val="none"/>
          <w:u w:val="single"/>
          <w14:textFill>
            <w14:solidFill>
              <w14:schemeClr w14:val="tx1"/>
            </w14:solidFill>
          </w14:textFill>
        </w:rPr>
      </w:pPr>
      <w:r>
        <w:rPr>
          <w:rFonts w:hint="eastAsia" w:ascii="宋体" w:hAnsi="宋体" w:eastAsia="宋体" w:cs="宋体"/>
          <w:b/>
          <w:bCs/>
          <w:i/>
          <w:iCs/>
          <w:color w:val="000000" w:themeColor="text1"/>
          <w:szCs w:val="22"/>
          <w:highlight w:val="none"/>
          <w:u w:val="single"/>
          <w14:textFill>
            <w14:solidFill>
              <w14:schemeClr w14:val="tx1"/>
            </w14:solidFill>
          </w14:textFill>
        </w:rPr>
        <w:t xml:space="preserve">1</w:t>
      </w:r>
      <w:r>
        <w:rPr>
          <w:rFonts w:hint="eastAsia" w:ascii="宋体" w:hAnsi="宋体" w:eastAsia="宋体" w:cs="宋体"/>
          <w:b/>
          <w:bCs/>
          <w:i/>
          <w:iCs/>
          <w:color w:val="000000" w:themeColor="text1"/>
          <w:szCs w:val="22"/>
          <w:highlight w:val="none"/>
          <w:u w:val="single"/>
          <w:lang w:val="en-US" w:eastAsia="zh-CN"/>
          <w14:textFill>
            <w14:solidFill>
              <w14:schemeClr w14:val="tx1"/>
            </w14:solidFill>
          </w14:textFill>
        </w:rPr>
        <w:t xml:space="preserve">3</w:t>
      </w:r>
      <w:r>
        <w:rPr>
          <w:rFonts w:hint="eastAsia" w:ascii="宋体" w:hAnsi="宋体" w:eastAsia="宋体" w:cs="宋体"/>
          <w:b/>
          <w:bCs/>
          <w:i/>
          <w:iCs/>
          <w:color w:val="000000" w:themeColor="text1"/>
          <w:szCs w:val="22"/>
          <w:highlight w:val="none"/>
          <w:u w:val="single"/>
          <w14:textFill>
            <w14:solidFill>
              <w14:schemeClr w14:val="tx1"/>
            </w14:solidFill>
          </w14:textFill>
        </w:rPr>
        <w:t xml:space="preserve">、供应商承诺不拖欠农民工工资。（供应商需提供承诺</w:t>
      </w:r>
      <w:r>
        <w:rPr>
          <w:rFonts w:hint="eastAsia" w:ascii="宋体" w:hAnsi="宋体" w:eastAsia="宋体" w:cs="宋体"/>
          <w:b/>
          <w:bCs/>
          <w:i/>
          <w:iCs/>
          <w:color w:val="000000" w:themeColor="text1"/>
          <w:szCs w:val="22"/>
          <w:highlight w:val="none"/>
          <w:u w:val="single"/>
          <w:lang w:val="en-US" w:eastAsia="zh-CN"/>
          <w14:textFill>
            <w14:solidFill>
              <w14:schemeClr w14:val="tx1"/>
            </w14:solidFill>
          </w14:textFill>
        </w:rPr>
        <w:t xml:space="preserve">书原件扫描上传</w:t>
      </w:r>
      <w:r>
        <w:rPr>
          <w:rFonts w:hint="eastAsia" w:ascii="宋体" w:hAnsi="宋体" w:eastAsia="宋体" w:cs="宋体"/>
          <w:b/>
          <w:bCs/>
          <w:i/>
          <w:iCs/>
          <w:color w:val="000000" w:themeColor="text1"/>
          <w:szCs w:val="22"/>
          <w:highlight w:val="none"/>
          <w:u w:val="single"/>
          <w14:textFill>
            <w14:solidFill>
              <w14:schemeClr w14:val="tx1"/>
            </w14:solidFill>
          </w14:textFill>
        </w:rPr>
        <w:t xml:space="preserve">，格式自拟）</w:t>
      </w:r>
      <w:r/>
    </w:p>
    <w:p>
      <w:pPr>
        <w:pStyle w:val="849"/>
        <w:ind w:left="0" w:firstLine="420"/>
        <w:spacing w:line="360" w:lineRule="auto"/>
        <w:rPr>
          <w:rFonts w:hint="eastAsia" w:ascii="宋体" w:hAnsi="宋体" w:eastAsia="宋体" w:cs="宋体"/>
          <w:i/>
          <w:iCs/>
          <w:color w:val="000000" w:themeColor="text1"/>
          <w:szCs w:val="22"/>
          <w:highlight w:val="none"/>
          <w:u w:val="single"/>
          <w14:textFill>
            <w14:solidFill>
              <w14:schemeClr w14:val="tx1"/>
            </w14:solidFill>
          </w14:textFill>
        </w:rPr>
      </w:pPr>
      <w:r>
        <w:rPr>
          <w:rFonts w:hint="eastAsia" w:ascii="宋体" w:hAnsi="宋体" w:eastAsia="宋体" w:cs="宋体"/>
          <w:b/>
          <w:bCs/>
          <w:i/>
          <w:iCs/>
          <w:color w:val="000000" w:themeColor="text1"/>
          <w:szCs w:val="22"/>
          <w:highlight w:val="none"/>
          <w:u w:val="single"/>
          <w14:textFill>
            <w14:solidFill>
              <w14:schemeClr w14:val="tx1"/>
            </w14:solidFill>
          </w14:textFill>
        </w:rPr>
        <w:t xml:space="preserve">1</w:t>
      </w:r>
      <w:r>
        <w:rPr>
          <w:rFonts w:hint="eastAsia" w:ascii="宋体" w:hAnsi="宋体" w:eastAsia="宋体" w:cs="宋体"/>
          <w:b/>
          <w:bCs/>
          <w:i/>
          <w:iCs/>
          <w:color w:val="000000" w:themeColor="text1"/>
          <w:szCs w:val="22"/>
          <w:highlight w:val="none"/>
          <w:u w:val="single"/>
          <w:lang w:val="en-US" w:eastAsia="zh-CN"/>
          <w14:textFill>
            <w14:solidFill>
              <w14:schemeClr w14:val="tx1"/>
            </w14:solidFill>
          </w14:textFill>
        </w:rPr>
        <w:t xml:space="preserve">4</w:t>
      </w:r>
      <w:r>
        <w:rPr>
          <w:rFonts w:hint="eastAsia" w:ascii="宋体" w:hAnsi="宋体" w:eastAsia="宋体" w:cs="宋体"/>
          <w:b/>
          <w:bCs/>
          <w:i/>
          <w:iCs/>
          <w:color w:val="000000" w:themeColor="text1"/>
          <w:szCs w:val="22"/>
          <w:highlight w:val="none"/>
          <w:u w:val="single"/>
          <w14:textFill>
            <w14:solidFill>
              <w14:schemeClr w14:val="tx1"/>
            </w14:solidFill>
          </w14:textFill>
        </w:rPr>
        <w:t xml:space="preserve">、供应商承诺不违法违规投标。（供应商需提供承诺</w:t>
      </w:r>
      <w:r>
        <w:rPr>
          <w:rFonts w:hint="eastAsia" w:ascii="宋体" w:hAnsi="宋体" w:eastAsia="宋体" w:cs="宋体"/>
          <w:b/>
          <w:bCs/>
          <w:i/>
          <w:iCs/>
          <w:color w:val="000000" w:themeColor="text1"/>
          <w:szCs w:val="22"/>
          <w:highlight w:val="none"/>
          <w:u w:val="single"/>
          <w:lang w:val="en-US" w:eastAsia="zh-CN"/>
          <w14:textFill>
            <w14:solidFill>
              <w14:schemeClr w14:val="tx1"/>
            </w14:solidFill>
          </w14:textFill>
        </w:rPr>
        <w:t xml:space="preserve">书原件扫描上传</w:t>
      </w:r>
      <w:r>
        <w:rPr>
          <w:rFonts w:hint="eastAsia" w:ascii="宋体" w:hAnsi="宋体" w:eastAsia="宋体" w:cs="宋体"/>
          <w:b/>
          <w:bCs/>
          <w:i/>
          <w:iCs/>
          <w:color w:val="000000" w:themeColor="text1"/>
          <w:szCs w:val="22"/>
          <w:highlight w:val="none"/>
          <w:u w:val="single"/>
          <w14:textFill>
            <w14:solidFill>
              <w14:schemeClr w14:val="tx1"/>
            </w14:solidFill>
          </w14:textFill>
        </w:rPr>
        <w:t xml:space="preserve">，格式自拟）</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2"/>
          <w:highlight w:val="none"/>
          <w14:textFill>
            <w14:solidFill>
              <w14:schemeClr w14:val="tx1"/>
            </w14:solidFill>
          </w14:textFill>
        </w:rPr>
        <w:t xml:space="preserve">、农民工工资的要求按照《保障农民工工资支付条例》（中华人民共和国国务院724令）、《江苏省工程建设领域农民工工资专用账户管理细则》（苏人社规〔2022〕3号）、《江苏省工程建设领域农民工工资保证金管理办法》（苏人社规〔2022〕4号）、《扬州市工程建设领域农民工工资保证金管理细则》扬人社规（2022）2号文等文件执行。</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2"/>
          <w:highlight w:val="none"/>
          <w14:textFill>
            <w14:solidFill>
              <w14:schemeClr w14:val="tx1"/>
            </w14:solidFill>
          </w14:textFill>
        </w:rPr>
        <w:t xml:space="preserve">、成交供应商应按本项目的合同约定，积极履行质量及安全责任。对省、市、区的各级稽查、质量安全监督、采购人组织的质量及安全生产活动中，对下达的检查意见落实不及时、未按要求整改或整改不到位的、或其类似质量及安全问题整改不到位的，予以扣罚2000元/次。以采购人下发的处罚通知或联系单等为依据，在进度款支付时予以扣除。</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2"/>
          <w:highlight w:val="none"/>
          <w14:textFill>
            <w14:solidFill>
              <w14:schemeClr w14:val="tx1"/>
            </w14:solidFill>
          </w14:textFill>
        </w:rPr>
        <w:t xml:space="preserve">、成交供应商项目经理应在采购人签发进场通知后的3日内到职，项目经理不得更换。特殊情况下确需更换的，应提出书面申请并征得采购人同意，且不得降低项目经理资质。项目副经理（若有，下同）、技术负责人除特殊情况外不得更换。项目经理、项目副经理、技术负责人、安全负责人、质检负责人在工程施工期间调换不得超过2人（发包人要求变更的除外）。</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lang w:val="en-US" w:eastAsia="zh-CN"/>
          <w14:textFill>
            <w14:solidFill>
              <w14:schemeClr w14:val="tx1"/>
            </w14:solidFill>
          </w14:textFill>
        </w:rPr>
        <w:t xml:space="preserve">18</w:t>
      </w:r>
      <w:r>
        <w:rPr>
          <w:rFonts w:hint="eastAsia" w:ascii="宋体" w:hAnsi="宋体" w:eastAsia="宋体" w:cs="宋体"/>
          <w:color w:val="000000" w:themeColor="text1"/>
          <w:szCs w:val="22"/>
          <w:highlight w:val="none"/>
          <w14:textFill>
            <w14:solidFill>
              <w14:schemeClr w14:val="tx1"/>
            </w14:solidFill>
          </w14:textFill>
        </w:rPr>
        <w:t xml:space="preserve">、项目经理、项目副经理、技术负责人短期离开工地，应事先提出书面申请并征得同意后方可离开。3天以内（含3天）报采购人核备，同时应委派代表代行其职，3天以上报采购人批准。一般情况，每人每月在工期间不得少于22天。项目经理、技术负责人不得同时离开工地。</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lang w:val="en-US" w:eastAsia="zh-CN"/>
          <w14:textFill>
            <w14:solidFill>
              <w14:schemeClr w14:val="tx1"/>
            </w14:solidFill>
          </w14:textFill>
        </w:rPr>
        <w:t xml:space="preserve">19</w:t>
      </w:r>
      <w:r>
        <w:rPr>
          <w:rFonts w:hint="eastAsia" w:ascii="宋体" w:hAnsi="宋体" w:eastAsia="宋体" w:cs="宋体"/>
          <w:color w:val="000000" w:themeColor="text1"/>
          <w:szCs w:val="22"/>
          <w:highlight w:val="none"/>
          <w14:textFill>
            <w14:solidFill>
              <w14:schemeClr w14:val="tx1"/>
            </w14:solidFill>
          </w14:textFill>
        </w:rPr>
        <w:t xml:space="preserve">、项目经理、项目副经理、技术负责人、质检员、安全员在工由采购人对其考勤，对于月在工天数少于22天的，每少一天，扣除工程款2000元/（人*天）。上述罚款的最高限额为合同价的2%。上述人员的考勤由采购人指定专人负责，考勤结果装订成册后存档。</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2</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2"/>
          <w:highlight w:val="none"/>
          <w14:textFill>
            <w14:solidFill>
              <w14:schemeClr w14:val="tx1"/>
            </w14:solidFill>
          </w14:textFill>
        </w:rPr>
        <w:t xml:space="preserve">、如采购人因成交供应商原因要求撤换项目经理，成交供应商须及时更换相同资质与资历的项目经理，并承担相应损失。</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2</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2"/>
          <w:highlight w:val="none"/>
          <w14:textFill>
            <w14:solidFill>
              <w14:schemeClr w14:val="tx1"/>
            </w14:solidFill>
          </w14:textFill>
        </w:rPr>
        <w:t xml:space="preserve">、采购人可根据工程需要协助承包人办理取得出入施工场地的专用和临时道路的通行权，以及取得为工程建设所需修建场外设施的权利，但相关费用由成交供应商承担。成交供应商材料组织、弃土运送等应服从交通运输、城市管理等部门的规定与要求，由此产生的任何费用均由承包人自行承担。若对外交通所经过或使用的现有道路发生破损、毁坏等引起的补偿或修复费用，由成交供应商自行负责。</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2</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2"/>
          <w:highlight w:val="none"/>
          <w14:textFill>
            <w14:solidFill>
              <w14:schemeClr w14:val="tx1"/>
            </w14:solidFill>
          </w14:textFill>
        </w:rPr>
        <w:t xml:space="preserve">、</w:t>
      </w:r>
      <w:bookmarkStart w:id="426" w:name="OLE_LINK6"/>
      <w:r>
        <w:rPr>
          <w:rFonts w:hint="eastAsia" w:ascii="宋体" w:hAnsi="宋体" w:eastAsia="宋体" w:cs="宋体"/>
          <w:color w:val="000000" w:themeColor="text1"/>
          <w:szCs w:val="22"/>
          <w:highlight w:val="none"/>
          <w14:textFill>
            <w14:solidFill>
              <w14:schemeClr w14:val="tx1"/>
            </w14:solidFill>
          </w14:textFill>
        </w:rPr>
        <w:t xml:space="preserve">采购人</w:t>
      </w:r>
      <w:bookmarkEnd w:id="426"/>
      <w:r>
        <w:rPr>
          <w:rFonts w:hint="eastAsia" w:ascii="宋体" w:hAnsi="宋体" w:eastAsia="宋体" w:cs="宋体"/>
          <w:color w:val="000000" w:themeColor="text1"/>
          <w:szCs w:val="22"/>
          <w:highlight w:val="none"/>
          <w14:textFill>
            <w14:solidFill>
              <w14:schemeClr w14:val="tx1"/>
            </w14:solidFill>
          </w14:textFill>
        </w:rPr>
        <w:t xml:space="preserve">发出进场通知7天内，采购人向承包人提供测量基准点、基准线和水准点及其书面资料。承包人应在收到开工通知后7天内，将施工控制网资料报送采购人审批。成交供应商应在施工区外围（不受施工影响）埋设永久性水准测量标志，做好施工期保护，确保在工程移交时完好，并列入工程竣工移交范围。</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2</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2"/>
          <w:highlight w:val="none"/>
          <w14:textFill>
            <w14:solidFill>
              <w14:schemeClr w14:val="tx1"/>
            </w14:solidFill>
          </w14:textFill>
        </w:rPr>
        <w:t xml:space="preserve">、已标价工程量清单中如无适用或类似子目的单价供参考，可根据水利行业现行预算定额（涉道路等可采用相关行业定额）及相关取费标准、投标当月的《扬州工程造价管理》材料市场指导价格编制补充单价，并按最高限价及承包人中标价的让利幅度进行下浮（投标最高限价与中标价的下浮比例）经造价跟踪单位审核，报发包人批准后执行，最终以审计结果为准。对材料价格不进行价差调整。</w:t>
      </w:r>
      <w:r/>
    </w:p>
    <w:p>
      <w:pPr>
        <w:numPr>
          <w:ilvl w:val="0"/>
          <w:numId w:val="0"/>
        </w:numPr>
        <w:ind w:firstLine="210"/>
        <w:jc w:val="left"/>
        <w:spacing w:before="120" w:after="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bookmarkStart w:id="427" w:name="_Toc7178"/>
      <w:r/>
      <w:bookmarkStart w:id="428" w:name="_Toc11906"/>
      <w:r>
        <w:rPr>
          <w:rFonts w:hint="eastAsia" w:ascii="宋体" w:hAnsi="宋体" w:eastAsia="宋体" w:cs="宋体"/>
          <w:color w:val="000000" w:themeColor="text1"/>
          <w:highlight w:val="none"/>
          <w14:textFill>
            <w14:solidFill>
              <w14:schemeClr w14:val="tx1"/>
            </w14:solidFill>
          </w14:textFill>
        </w:rPr>
        <w:br w:type="page" w:clear="all"/>
      </w:r>
      <w:r/>
    </w:p>
    <w:p>
      <w:pPr>
        <w:pStyle w:val="1020"/>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第</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6"/>
          <w:szCs w:val="36"/>
          <w:highlight w:val="none"/>
          <w14:textFill>
            <w14:solidFill>
              <w14:schemeClr w14:val="tx1"/>
            </w14:solidFill>
          </w14:textFill>
        </w:rPr>
        <w:t xml:space="preserve">章</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6"/>
          <w:szCs w:val="36"/>
          <w:highlight w:val="none"/>
          <w14:textFill>
            <w14:solidFill>
              <w14:schemeClr w14:val="tx1"/>
            </w14:solidFill>
          </w14:textFill>
        </w:rPr>
        <w:t xml:space="preserve">评审方法和评审标准</w:t>
      </w:r>
      <w:r/>
    </w:p>
    <w:p>
      <w:pPr>
        <w:pStyle w:val="1067"/>
        <w:numPr>
          <w:ilvl w:val="0"/>
          <w:numId w:val="4"/>
        </w:numPr>
        <w:pageBreakBefore w:val="0"/>
        <w:spacing w:line="360" w:lineRule="auto"/>
        <w:rPr>
          <w:rFonts w:ascii="宋体" w:hAnsi="宋体"/>
          <w:b/>
          <w:color w:val="000000" w:themeColor="text1"/>
          <w:sz w:val="21"/>
          <w:szCs w:val="21"/>
          <w:highlight w:val="none"/>
          <w14:textFill>
            <w14:solidFill>
              <w14:schemeClr w14:val="tx1"/>
            </w14:solidFill>
          </w14:textFill>
        </w:rPr>
        <w:outlineLvl w:val="1"/>
      </w:pPr>
      <w:r>
        <w:rPr>
          <w:rFonts w:hint="eastAsia" w:ascii="宋体" w:hAnsi="宋体"/>
          <w:b/>
          <w:color w:val="000000" w:themeColor="text1"/>
          <w:sz w:val="21"/>
          <w:szCs w:val="21"/>
          <w:highlight w:val="none"/>
          <w14:textFill>
            <w14:solidFill>
              <w14:schemeClr w14:val="tx1"/>
            </w14:solidFill>
          </w14:textFill>
        </w:rPr>
        <w:t xml:space="preserve">评标方法</w:t>
      </w:r>
      <w:r/>
    </w:p>
    <w:p>
      <w:pPr>
        <w:ind w:firstLine="42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委会将对确定为实质性响应磋商文件要求的磋商响应文件进行评价和比较。评标结果按评审后得分由高到低顺序排列。得分相同的，按磋商响应报价由低到高顺序排列。得分且磋商响应报价相同的并列，磋商响应文件满足磋商文件全部实质性要求，且按照评审因素的量化指标评审得分最高的磋商响应供应商为排名第一的磋商候选人。</w:t>
      </w:r>
      <w:r/>
    </w:p>
    <w:p>
      <w:pPr>
        <w:ind w:left="422"/>
        <w:pageBreakBefore w:val="0"/>
        <w:spacing w:line="360" w:lineRule="auto"/>
        <w:rPr>
          <w:b/>
          <w:color w:val="000000" w:themeColor="text1"/>
          <w:highlight w:val="none"/>
          <w14:textFill>
            <w14:solidFill>
              <w14:schemeClr w14:val="tx1"/>
            </w14:solidFill>
          </w14:textFill>
        </w:rPr>
        <w:outlineLvl w:val="1"/>
      </w:pPr>
      <w:r/>
      <w:bookmarkStart w:id="429" w:name="_Toc449017024"/>
      <w:r/>
      <w:bookmarkStart w:id="430" w:name="_Toc449016388"/>
      <w:r>
        <w:rPr>
          <w:b/>
          <w:color w:val="000000" w:themeColor="text1"/>
          <w:highlight w:val="none"/>
          <w14:textFill>
            <w14:solidFill>
              <w14:schemeClr w14:val="tx1"/>
            </w14:solidFill>
          </w14:textFill>
        </w:rPr>
        <w:t xml:space="preserve">二、</w:t>
      </w:r>
      <w:bookmarkEnd w:id="429"/>
      <w:r/>
      <w:bookmarkEnd w:id="430"/>
      <w:r>
        <w:rPr>
          <w:rFonts w:hint="eastAsia"/>
          <w:b/>
          <w:color w:val="000000" w:themeColor="text1"/>
          <w:highlight w:val="none"/>
          <w14:textFill>
            <w14:solidFill>
              <w14:schemeClr w14:val="tx1"/>
            </w14:solidFill>
          </w14:textFill>
        </w:rPr>
        <w:t xml:space="preserve">政府采购政策功能落实</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1、小微型企业价格扣除</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（1）根据《政府采购促进中小企业发展管理办法》（财库【2020】46号）文件的要求，本项目对小型和微型企业产品价格给予20%的扣除，用扣除后的价格参与评审。</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（2）供应商需按照采购文件的要求提供相应的《中小企业声明函》。</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（3）企业标准请参照《关于印发中小企业划型标准规定的通知》（工信部联企业[2011]300号）文件规定自行填写。</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2、残疾人福利单位价格扣除</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（1）本项目对残疾人福利性单位视同小型、微型企业，给予20%的价格扣除，用扣除后的价格参与评审。</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（2）残疾人福利单位需按照采购文件的要求提供《残疾人福利性单位声明函》。</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（3）残疾人福利单位标准请参照《关于促进残疾人就业政府采购政策的通知》（财库</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〔2017〕141号）。</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3、监狱和戒毒企业价格扣除</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（1）本项目对监狱和戒毒企业（简称监狱企业）视同小型、微型企业，给予20%的价格扣除，用扣除后的价格参与评审。</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4、残疾人福利单位、监狱企业属于小型、微型企业的，不重复享受政策。</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6、组成联合体的小微企业与联合体内其他企业之间存在直接控股、管理关系的，不享受价格扣除优惠政策。 </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7、联合体各方均为小型、微型企业（残疾人福利单位、监狱企业）的，联合体享受20%的价格扣除，用扣除后的价格参与评审。</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w:t>
      </w:r>
      <w:r/>
    </w:p>
    <w:p>
      <w:pPr>
        <w:numPr>
          <w:ilvl w:val="0"/>
          <w:numId w:val="4"/>
        </w:numPr>
        <w:pageBreakBefore w:val="0"/>
        <w:spacing w:line="360" w:lineRule="auto"/>
        <w:rPr>
          <w:b/>
          <w:bCs/>
          <w:color w:val="000000" w:themeColor="text1"/>
          <w:highlight w:val="none"/>
          <w14:textFill>
            <w14:solidFill>
              <w14:schemeClr w14:val="tx1"/>
            </w14:solidFill>
          </w14:textFill>
        </w:rPr>
        <w:outlineLvl w:val="1"/>
      </w:pPr>
      <w:r>
        <w:rPr>
          <w:rFonts w:hint="eastAsia"/>
          <w:b/>
          <w:bCs/>
          <w:color w:val="000000" w:themeColor="text1"/>
          <w:highlight w:val="none"/>
          <w14:textFill>
            <w14:solidFill>
              <w14:schemeClr w14:val="tx1"/>
            </w14:solidFill>
          </w14:textFill>
        </w:rPr>
        <w:t xml:space="preserve">评分标准</w:t>
      </w:r>
      <w:r/>
    </w:p>
    <w:tbl>
      <w:tblPr>
        <w:tblStyle w:val="845"/>
        <w:tblW w:w="851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6957"/>
      </w:tblGrid>
      <w:tr>
        <w:trPr>
          <w:trHeight w:val="499"/>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评审项目</w:t>
            </w:r>
            <w:r/>
          </w:p>
        </w:tc>
        <w:tc>
          <w:tcPr>
            <w:tcBorders>
              <w:top w:val="single" w:color="auto" w:sz="4" w:space="0"/>
              <w:left w:val="single" w:color="auto" w:sz="4" w:space="0"/>
              <w:bottom w:val="single" w:color="auto" w:sz="4" w:space="0"/>
              <w:right w:val="single" w:color="auto" w:sz="4" w:space="0"/>
            </w:tcBorders>
            <w:tcW w:w="6957"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评分标准</w:t>
            </w:r>
            <w:r/>
          </w:p>
        </w:tc>
      </w:tr>
      <w:tr>
        <w:trPr>
          <w:trHeight w:val="1047"/>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价格</w:t>
            </w:r>
            <w:r/>
          </w:p>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（30分）</w:t>
            </w:r>
            <w:r/>
          </w:p>
        </w:tc>
        <w:tc>
          <w:tcPr>
            <w:tcBorders>
              <w:top w:val="single" w:color="auto" w:sz="4" w:space="0"/>
              <w:left w:val="single" w:color="auto" w:sz="4" w:space="0"/>
              <w:bottom w:val="single" w:color="auto" w:sz="4" w:space="0"/>
              <w:right w:val="single" w:color="auto" w:sz="4" w:space="0"/>
            </w:tcBorders>
            <w:tcW w:w="695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满足磋商文件要求且最后报价最低的供应商的价格为磋商基准价，其价格分为满分。其他供应商的价格分统一按照下列公式计算：磋商报价得分=（磋商基准价/最后磋商报价）×30（四舍五入，保留两位小数）</w:t>
            </w:r>
            <w:r/>
          </w:p>
        </w:tc>
      </w:tr>
      <w:tr>
        <w:trPr>
          <w:trHeight w:val="1635"/>
        </w:trPr>
        <w:tc>
          <w:tcPr>
            <w:tcBorders>
              <w:top w:val="single" w:color="auto" w:sz="4" w:space="0"/>
              <w:left w:val="single" w:color="auto" w:sz="4" w:space="0"/>
              <w:right w:val="single" w:color="auto" w:sz="4" w:space="0"/>
            </w:tcBorders>
            <w:tcW w:w="1560" w:type="dxa"/>
            <w:vAlign w:val="center"/>
            <w:vMerge w:val="restart"/>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技术方案</w:t>
            </w:r>
            <w:r/>
          </w:p>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50</w:t>
            </w:r>
            <w:r>
              <w:rPr>
                <w:rFonts w:hint="eastAsia" w:ascii="宋体" w:hAnsi="宋体" w:eastAsia="宋体" w:cs="宋体"/>
                <w:color w:val="000000" w:themeColor="text1"/>
                <w:szCs w:val="21"/>
                <w:highlight w:val="none"/>
                <w:lang w:val="zh-CN"/>
                <w14:textFill>
                  <w14:solidFill>
                    <w14:schemeClr w14:val="tx1"/>
                  </w14:solidFill>
                </w14:textFill>
              </w:rPr>
              <w:t xml:space="preserve">分）</w:t>
            </w:r>
            <w:r/>
          </w:p>
        </w:tc>
        <w:tc>
          <w:tcPr>
            <w:tcBorders>
              <w:top w:val="single" w:color="auto" w:sz="4" w:space="0"/>
              <w:left w:val="single" w:color="auto" w:sz="4" w:space="0"/>
              <w:right w:val="single" w:color="auto" w:sz="4" w:space="0"/>
            </w:tcBorders>
            <w:tcW w:w="6957" w:type="dxa"/>
            <w:vAlign w:val="center"/>
            <w:textDirection w:val="lrTb"/>
            <w:noWrap w:val="false"/>
          </w:tcPr>
          <w:p>
            <w:pPr>
              <w:jc w:val="left"/>
              <w:spacing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1、工程概述、总体安排、及施工部署等（8分）：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概述科学、严密、合理，描述详细，针对性和可操作性强的，得8分；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概述基本合理、描述一般，针对性一般、存在可操作性的，得5分；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概述具有不合理项、描述略欠缺、存在一定的实施难度的，得2分；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57" w:type="dxa"/>
            <w:vAlign w:val="center"/>
            <w:textDirection w:val="lrTb"/>
            <w:noWrap w:val="false"/>
          </w:tcPr>
          <w:p>
            <w:pPr>
              <w:spacing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2、施工进度计划保证体系及措施（6分）：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计划措施科学、严密、合理，描述详细，针对性和可操作性强的，得6分；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计划措施基本合理、描述一般，针对性一般、存在可操作性的，得4分；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计划措施具有不合理项、描述略欠缺、存在一定的实施难度的，得2分；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57" w:type="dxa"/>
            <w:vAlign w:val="center"/>
            <w:textDirection w:val="lrTb"/>
            <w:noWrap w:val="false"/>
          </w:tcPr>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3、工程质量管理体系及保证措施（6分）：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措施科学、严密、合理，描述详细，针对性和可操作性强的，得6分；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措施基本合理、描述一般，针对性一般、存在可操作性的，得4分；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措施具有不合理项、描述略欠缺、存在一定的实施难度的，得2分；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57" w:type="dxa"/>
            <w:vAlign w:val="center"/>
            <w:textDirection w:val="lrTb"/>
            <w:noWrap w:val="false"/>
          </w:tcPr>
          <w:p>
            <w:pPr>
              <w:spacing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4、项目风险预测与防范，事故应急预案（6分）：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方案措施科学、严密、合理，描述详细，针对性和可操作性强的，得6分；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方案措施基本合理、描述一般，针对性一般、存在可操作性的，得4分；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方案措施具有不合理项、描述略欠缺、存在一定的实施难度的，得2分；</w:t>
            </w:r>
            <w:r/>
          </w:p>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不提供得0分</w:t>
            </w:r>
            <w:r/>
          </w:p>
        </w:tc>
      </w:tr>
      <w:tr>
        <w:trPr>
          <w:trHeight w:val="540"/>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right w:val="single" w:color="auto" w:sz="4" w:space="0"/>
            </w:tcBorders>
            <w:tcW w:w="6957" w:type="dxa"/>
            <w:vAlign w:val="center"/>
            <w:textDirection w:val="lrTb"/>
            <w:noWrap w:val="false"/>
          </w:tcPr>
          <w:p>
            <w:pPr>
              <w:jc w:val="left"/>
              <w:spacing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5、安全文明施工、施工现场扬尘污染防治措施及环境保护方面的措施（7分）：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措施科学、严密、合理，描述详细，针对性和可操作性强的，得7分；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措施基本合理、描述一般，针对性一般、存在可操作性的，得4分；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措施具有不合理项、描述略欠缺、存在一定的实施难度的，得2分；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right w:val="single" w:color="auto" w:sz="4" w:space="0"/>
            </w:tcBorders>
            <w:tcW w:w="6957" w:type="dxa"/>
            <w:vAlign w:val="center"/>
            <w:textDirection w:val="lrTb"/>
            <w:noWrap w:val="false"/>
          </w:tcPr>
          <w:p>
            <w:pPr>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6、工程分部分项工程的施工方案、关键施工技术、工艺及工程项目实施的重点、难点和解决方案、具体施工技术措施（8分）：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方案措施科学、严密、合理，描述详细，针对性和可操作性强的，得8分；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方案措施基本合理、描述一般，针对性一般、存在可操作性的，得5分；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方案措施具有不合理项、描述略欠缺、存在一定的实施难度的，得2分；</w:t>
            </w:r>
            <w:r/>
          </w:p>
          <w:p>
            <w:pP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right w:val="single" w:color="auto" w:sz="4" w:space="0"/>
            </w:tcBorders>
            <w:tcW w:w="6957" w:type="dxa"/>
            <w:vAlign w:val="center"/>
            <w:textDirection w:val="lrTb"/>
            <w:noWrap w:val="false"/>
          </w:tcPr>
          <w:p>
            <w:pPr>
              <w:spacing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7、劳动力、机械设备和材料投入计划，劳动力、机械设备和材料投入计划合理，组织管理体系健全</w:t>
            </w:r>
            <w:r>
              <w:rPr>
                <w:rFonts w:hint="eastAsia" w:ascii="宋体" w:hAnsi="宋体" w:eastAsia="宋体" w:cs="宋体"/>
                <w:b/>
                <w:bCs/>
                <w:color w:val="000000" w:themeColor="text1"/>
                <w:szCs w:val="21"/>
                <w:highlight w:val="none"/>
                <w14:textFill>
                  <w14:solidFill>
                    <w14:schemeClr w14:val="tx1"/>
                  </w14:solidFill>
                </w14:textFill>
              </w:rPr>
              <w:t xml:space="preserve">（6分）：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措施科学、严密、合理，描述详细，针对性和可操作性强的，得6分；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措施基本合理、描述一般，针对性一般、存在可操作性的，得4分；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措施具有不合理项、描述略欠缺、存在一定的实施难度的，得2分；</w:t>
            </w:r>
            <w:r/>
          </w:p>
          <w:p>
            <w:pPr>
              <w:spacing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right w:val="single" w:color="auto" w:sz="4" w:space="0"/>
            </w:tcBorders>
            <w:tcW w:w="6957" w:type="dxa"/>
            <w:vAlign w:val="center"/>
            <w:textDirection w:val="lrTb"/>
            <w:noWrap w:val="false"/>
          </w:tcPr>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8、</w:t>
            </w:r>
            <w:r>
              <w:rPr>
                <w:rFonts w:hint="eastAsia" w:ascii="宋体" w:hAnsi="宋体" w:eastAsia="宋体" w:cs="宋体"/>
                <w:b/>
                <w:color w:val="000000" w:themeColor="text1"/>
                <w:szCs w:val="21"/>
                <w:highlight w:val="none"/>
                <w14:textFill>
                  <w14:solidFill>
                    <w14:schemeClr w14:val="tx1"/>
                  </w14:solidFill>
                </w14:textFill>
              </w:rPr>
              <w:t xml:space="preserve">农民工工资保证，农民工工资发放制度保证措施科学合理</w:t>
            </w:r>
            <w:r>
              <w:rPr>
                <w:rFonts w:hint="eastAsia" w:ascii="宋体" w:hAnsi="宋体" w:eastAsia="宋体" w:cs="宋体"/>
                <w:b/>
                <w:bCs/>
                <w:color w:val="000000" w:themeColor="text1"/>
                <w:szCs w:val="21"/>
                <w:highlight w:val="none"/>
                <w14:textFill>
                  <w14:solidFill>
                    <w14:schemeClr w14:val="tx1"/>
                  </w14:solidFill>
                </w14:textFill>
              </w:rPr>
              <w:t xml:space="preserve">（3分）：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措施科学、严密、合理，描述详细，针对性和可操作性强的，得3分；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措施基本合理、描述一般，针对性一般、存在可操作性的，得2分；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措施具有不合理项、描述略欠缺、存在一定的实施难度的，得1分；</w:t>
            </w:r>
            <w:r/>
          </w:p>
          <w:p>
            <w:pPr>
              <w:spacing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不提供得0分</w:t>
            </w:r>
            <w:r/>
          </w:p>
        </w:tc>
      </w:tr>
      <w:tr>
        <w:trPr>
          <w:trHeight w:val="1071"/>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类似业绩</w:t>
            </w:r>
            <w:r/>
          </w:p>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10</w:t>
            </w:r>
            <w:r>
              <w:rPr>
                <w:rFonts w:hint="eastAsia" w:ascii="宋体" w:hAnsi="宋体" w:eastAsia="宋体" w:cs="宋体"/>
                <w:color w:val="000000" w:themeColor="text1"/>
                <w:szCs w:val="21"/>
                <w:highlight w:val="none"/>
                <w:lang w:val="zh-CN"/>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957" w:type="dxa"/>
            <w:vAlign w:val="center"/>
            <w:textDirection w:val="lrTb"/>
            <w:noWrap w:val="false"/>
          </w:tcPr>
          <w:p>
            <w:pP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年0</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月01日以来</w:t>
            </w:r>
            <w:r>
              <w:rPr>
                <w:rFonts w:hint="eastAsia" w:ascii="宋体" w:hAnsi="宋体" w:eastAsia="宋体" w:cs="宋体"/>
                <w:color w:val="000000" w:themeColor="text1"/>
                <w:szCs w:val="21"/>
                <w:highlight w:val="none"/>
                <w14:textFill>
                  <w14:solidFill>
                    <w14:schemeClr w14:val="tx1"/>
                  </w14:solidFill>
                </w14:textFill>
              </w:rPr>
              <w:t xml:space="preserve">（以合同签订时间为准）承担过类似工程业绩的，有1项得2分，最高得10分。</w:t>
            </w:r>
            <w:r>
              <w:rPr>
                <w:rFonts w:hint="eastAsia" w:ascii="宋体" w:hAnsi="宋体" w:eastAsia="宋体" w:cs="宋体"/>
                <w:b/>
                <w:bCs/>
                <w:color w:val="000000" w:themeColor="text1"/>
                <w:szCs w:val="21"/>
                <w:highlight w:val="none"/>
                <w14:textFill>
                  <w14:solidFill>
                    <w14:schemeClr w14:val="tx1"/>
                  </w14:solidFill>
                </w14:textFill>
              </w:rPr>
              <w:t xml:space="preserve">（须同时提供中标通知书、合同协议书、竣工验收报告等资料，原件扫描上传，</w:t>
            </w:r>
            <w:r>
              <w:rPr>
                <w:rFonts w:hint="eastAsia" w:ascii="宋体" w:hAnsi="宋体" w:eastAsia="宋体" w:cs="宋体"/>
                <w:b/>
                <w:color w:val="000000" w:themeColor="text1"/>
                <w:szCs w:val="21"/>
                <w:highlight w:val="none"/>
                <w14:textFill>
                  <w14:solidFill>
                    <w14:schemeClr w14:val="tx1"/>
                  </w14:solidFill>
                </w14:textFill>
              </w:rPr>
              <w:t xml:space="preserve">未提供不得分</w:t>
            </w:r>
            <w:r>
              <w:rPr>
                <w:rFonts w:hint="eastAsia" w:ascii="宋体" w:hAnsi="宋体" w:eastAsia="宋体" w:cs="宋体"/>
                <w:b/>
                <w:bCs/>
                <w:color w:val="000000" w:themeColor="text1"/>
                <w:szCs w:val="21"/>
                <w:highlight w:val="none"/>
                <w14:textFill>
                  <w14:solidFill>
                    <w14:schemeClr w14:val="tx1"/>
                  </w14:solidFill>
                </w14:textFill>
              </w:rPr>
              <w:t xml:space="preserve">）</w:t>
            </w:r>
            <w:r/>
          </w:p>
        </w:tc>
      </w:tr>
      <w:tr>
        <w:trPr>
          <w:trHeight w:val="307"/>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企业认证证书（</w:t>
            </w: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eastAsia="宋体" w:cs="宋体"/>
                <w:color w:val="000000" w:themeColor="text1"/>
                <w:szCs w:val="21"/>
                <w:highlight w:val="none"/>
                <w:lang w:val="zh-CN"/>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95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投标人具有有效的质量管理体系认证证书、职业健康管理体系认证证书、环境管理体系认证证书,</w:t>
            </w:r>
            <w:r>
              <w:rPr>
                <w:rFonts w:hint="eastAsia" w:ascii="宋体" w:hAnsi="宋体" w:eastAsia="宋体" w:cs="宋体"/>
                <w:color w:val="000000" w:themeColor="text1"/>
                <w:szCs w:val="21"/>
                <w:highlight w:val="none"/>
                <w:lang w:val="zh-CN"/>
                <w14:textFill>
                  <w14:solidFill>
                    <w14:schemeClr w14:val="tx1"/>
                  </w14:solidFill>
                </w14:textFill>
              </w:rPr>
              <w:t xml:space="preserve">每有一种得1分，最多得3分</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（提供证书原件扫描件</w:t>
            </w:r>
            <w:r>
              <w:rPr>
                <w:rFonts w:hint="eastAsia" w:ascii="宋体" w:hAnsi="宋体" w:eastAsia="宋体" w:cs="宋体"/>
                <w:b/>
                <w:color w:val="000000" w:themeColor="text1"/>
                <w:szCs w:val="21"/>
                <w:highlight w:val="none"/>
                <w14:textFill>
                  <w14:solidFill>
                    <w14:schemeClr w14:val="tx1"/>
                  </w14:solidFill>
                </w14:textFill>
              </w:rPr>
              <w:t xml:space="preserve">，同时提</w:t>
            </w:r>
            <w:r>
              <w:rPr>
                <w:rFonts w:hint="eastAsia" w:ascii="宋体" w:hAnsi="宋体" w:eastAsia="宋体" w:cs="宋体"/>
                <w:b/>
                <w:bCs/>
                <w:color w:val="000000" w:themeColor="text1"/>
                <w:szCs w:val="21"/>
                <w:highlight w:val="none"/>
                <w14:textFill>
                  <w14:solidFill>
                    <w14:schemeClr w14:val="tx1"/>
                  </w14:solidFill>
                </w14:textFill>
              </w:rPr>
              <w:t xml:space="preserve">供国家市场监督管理总局——全国认证认可信息公告服务平台查询截图，</w:t>
            </w:r>
            <w:r>
              <w:rPr>
                <w:rFonts w:hint="eastAsia" w:ascii="宋体" w:hAnsi="宋体" w:eastAsia="宋体" w:cs="宋体"/>
                <w:b/>
                <w:color w:val="000000" w:themeColor="text1"/>
                <w:szCs w:val="21"/>
                <w:highlight w:val="none"/>
                <w14:textFill>
                  <w14:solidFill>
                    <w14:schemeClr w14:val="tx1"/>
                  </w14:solidFill>
                </w14:textFill>
              </w:rPr>
              <w:t xml:space="preserve">未提供不得分</w:t>
            </w:r>
            <w:r>
              <w:rPr>
                <w:rFonts w:hint="eastAsia" w:ascii="宋体" w:hAnsi="宋体" w:eastAsia="宋体" w:cs="宋体"/>
                <w:b/>
                <w:bCs/>
                <w:color w:val="000000" w:themeColor="text1"/>
                <w:szCs w:val="21"/>
                <w:highlight w:val="none"/>
                <w14:textFill>
                  <w14:solidFill>
                    <w14:schemeClr w14:val="tx1"/>
                  </w14:solidFill>
                </w14:textFill>
              </w:rPr>
              <w:t xml:space="preserve">）</w:t>
            </w:r>
            <w:r/>
          </w:p>
        </w:tc>
      </w:tr>
      <w:tr>
        <w:trPr>
          <w:trHeight w:val="1211"/>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人员配备</w:t>
            </w:r>
            <w:r/>
          </w:p>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（7分）</w:t>
            </w:r>
            <w:r/>
          </w:p>
        </w:tc>
        <w:tc>
          <w:tcPr>
            <w:tcBorders>
              <w:top w:val="single" w:color="auto" w:sz="4" w:space="0"/>
              <w:left w:val="single" w:color="auto" w:sz="4" w:space="0"/>
              <w:bottom w:val="single" w:color="auto" w:sz="4" w:space="0"/>
              <w:right w:val="single" w:color="auto" w:sz="4" w:space="0"/>
            </w:tcBorders>
            <w:tcW w:w="695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项目经理为水利专业中级及以上职称的，得2分。此项最高得2分</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（提供证书原件扫描件，否则不得分）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2、技术负责</w:t>
            </w:r>
            <w:r>
              <w:rPr>
                <w:rFonts w:hint="eastAsia" w:ascii="宋体" w:hAnsi="宋体" w:cs="宋体"/>
                <w:color w:val="000000" w:themeColor="text1"/>
                <w:szCs w:val="21"/>
                <w:highlight w:val="none"/>
                <w:lang w:eastAsia="zh-CN"/>
                <w14:textFill>
                  <w14:solidFill>
                    <w14:schemeClr w14:val="tx1"/>
                  </w14:solidFill>
                </w14:textFill>
              </w:rPr>
              <w:t xml:space="preserve">人</w:t>
            </w:r>
            <w:r>
              <w:rPr>
                <w:rFonts w:hint="eastAsia" w:ascii="宋体" w:hAnsi="宋体" w:cs="宋体"/>
                <w:color w:val="000000" w:themeColor="text1"/>
                <w:szCs w:val="21"/>
                <w:highlight w:val="none"/>
                <w14:textFill>
                  <w14:solidFill>
                    <w14:schemeClr w14:val="tx1"/>
                  </w14:solidFill>
                </w14:textFill>
              </w:rPr>
              <w:t xml:space="preserve">为水利专业中级及以上职称的，得2分。此项最高得2分</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（提供证书原件扫描件，否则不得分）</w:t>
            </w:r>
            <w:r/>
          </w:p>
          <w:p>
            <w:pPr>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3、项目组主要人员（项目</w:t>
            </w:r>
            <w:r>
              <w:rPr>
                <w:rFonts w:hint="eastAsia" w:ascii="宋体" w:hAnsi="宋体" w:cs="宋体"/>
                <w:color w:val="000000" w:themeColor="text1"/>
                <w:szCs w:val="21"/>
                <w:highlight w:val="none"/>
                <w14:textFill>
                  <w14:solidFill>
                    <w14:schemeClr w14:val="tx1"/>
                  </w14:solidFill>
                </w14:textFill>
              </w:rPr>
              <w:t xml:space="preserve">经理</w:t>
            </w:r>
            <w:r>
              <w:rPr>
                <w:rFonts w:hint="eastAsia" w:ascii="宋体" w:hAnsi="宋体" w:eastAsia="宋体" w:cs="宋体"/>
                <w:color w:val="000000" w:themeColor="text1"/>
                <w:szCs w:val="21"/>
                <w:highlight w:val="none"/>
                <w14:textFill>
                  <w14:solidFill>
                    <w14:schemeClr w14:val="tx1"/>
                  </w14:solidFill>
                </w14:textFill>
              </w:rPr>
              <w:t xml:space="preserve">、技术负责人除外）具备水利专业</w:t>
            </w:r>
            <w:r>
              <w:rPr>
                <w:rFonts w:hint="eastAsia" w:ascii="宋体" w:hAnsi="宋体" w:cs="宋体"/>
                <w:color w:val="000000" w:themeColor="text1"/>
                <w:szCs w:val="21"/>
                <w:highlight w:val="none"/>
                <w14:textFill>
                  <w14:solidFill>
                    <w14:schemeClr w14:val="tx1"/>
                  </w14:solidFill>
                </w14:textFill>
              </w:rPr>
              <w:t xml:space="preserve">中级及以上职称的</w:t>
            </w:r>
            <w:r>
              <w:rPr>
                <w:rFonts w:hint="eastAsia" w:ascii="宋体" w:hAnsi="宋体" w:eastAsia="宋体" w:cs="宋体"/>
                <w:color w:val="000000" w:themeColor="text1"/>
                <w:szCs w:val="21"/>
                <w:highlight w:val="none"/>
                <w14:textFill>
                  <w14:solidFill>
                    <w14:schemeClr w14:val="tx1"/>
                  </w14:solidFill>
                </w14:textFill>
              </w:rPr>
              <w:t xml:space="preserve">，每有1人得1分，最多得3分。</w:t>
            </w:r>
            <w:r>
              <w:rPr>
                <w:rFonts w:hint="eastAsia" w:ascii="宋体" w:hAnsi="宋体" w:eastAsia="宋体" w:cs="宋体"/>
                <w:b/>
                <w:bCs/>
                <w:color w:val="000000" w:themeColor="text1"/>
                <w:szCs w:val="21"/>
                <w:highlight w:val="none"/>
                <w14:textFill>
                  <w14:solidFill>
                    <w14:schemeClr w14:val="tx1"/>
                  </w14:solidFill>
                </w14:textFill>
              </w:rPr>
              <w:t xml:space="preserve">（提供证书原件扫描件，否则不得分）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注：供应商需提供为以上人员缴纳近一个月的社保证明材料，原件扫描上传，否则不得分。（退休返聘人员需提供退休证、返聘合同等证明材料）</w:t>
            </w:r>
            <w:r/>
          </w:p>
        </w:tc>
      </w:tr>
    </w:tbl>
    <w:p>
      <w:pPr>
        <w:pStyle w:val="1050"/>
        <w:pageBreakBefore w:val="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67"/>
        <w:tblpPr w:horzAnchor="text" w:tblpX="10214" w:vertAnchor="text" w:tblpY="-101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41"/>
        <w:gridCol w:w="14"/>
      </w:tblGrid>
      <w:tr>
        <w:trPr>
          <w:trHeight w:val="30"/>
        </w:trPr>
        <w:tc>
          <w:tcPr>
            <w:gridSpan w:val="2"/>
            <w:tcW w:w="3855" w:type="dxa"/>
            <w:textDirection w:val="lrTb"/>
            <w:noWrap w:val="false"/>
          </w:tcPr>
          <w:p>
            <w:pPr>
              <w:pageBreakBefore w:val="0"/>
              <w:spacing w:after="0" w:line="360" w:lineRule="auto"/>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gridAfter w:val="1"/>
          <w:trHeight w:val="30"/>
        </w:trPr>
        <w:tc>
          <w:tcPr>
            <w:tcW w:w="3841" w:type="dxa"/>
            <w:textDirection w:val="lrTb"/>
            <w:noWrap w:val="false"/>
          </w:tcPr>
          <w:p>
            <w:pPr>
              <w:pageBreakBefore w:val="0"/>
              <w:spacing w:after="0" w:line="360" w:lineRule="auto"/>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bl>
    <w:tbl>
      <w:tblPr>
        <w:tblStyle w:val="867"/>
        <w:tblpPr w:horzAnchor="text" w:tblpX="10214" w:vertAnchor="text" w:tblpY="-104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73"/>
      </w:tblGrid>
      <w:tr>
        <w:trPr>
          <w:trHeight w:val="30"/>
        </w:trPr>
        <w:tc>
          <w:tcPr>
            <w:tcW w:w="2873" w:type="dxa"/>
            <w:textDirection w:val="lrTb"/>
            <w:noWrap w:val="false"/>
          </w:tcPr>
          <w:p>
            <w:pPr>
              <w:pageBreakBefore w:val="0"/>
              <w:spacing w:after="0" w:line="360" w:lineRule="auto"/>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rHeight w:val="30"/>
        </w:trPr>
        <w:tc>
          <w:tcPr>
            <w:tcW w:w="2873" w:type="dxa"/>
            <w:textDirection w:val="lrTb"/>
            <w:noWrap w:val="false"/>
          </w:tcPr>
          <w:p>
            <w:pPr>
              <w:pageBreakBefore w:val="0"/>
              <w:spacing w:after="0" w:line="360" w:lineRule="auto"/>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rHeight w:val="30"/>
        </w:trPr>
        <w:tc>
          <w:tcPr>
            <w:tcW w:w="2873" w:type="dxa"/>
            <w:textDirection w:val="lrTb"/>
            <w:noWrap w:val="false"/>
          </w:tcPr>
          <w:p>
            <w:pPr>
              <w:pageBreakBefore w:val="0"/>
              <w:spacing w:after="0" w:line="360" w:lineRule="auto"/>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rHeight w:val="30"/>
        </w:trPr>
        <w:tc>
          <w:tcPr>
            <w:tcW w:w="2873" w:type="dxa"/>
            <w:textDirection w:val="lrTb"/>
            <w:noWrap w:val="false"/>
          </w:tcPr>
          <w:p>
            <w:pPr>
              <w:pageBreakBefore w:val="0"/>
              <w:spacing w:after="0" w:line="360" w:lineRule="auto"/>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bl>
    <w:p>
      <w:pPr>
        <w:pStyle w:val="1067"/>
        <w:ind w:firstLine="0"/>
        <w:pageBreakBefore w:val="0"/>
        <w:spacing w:line="360" w:lineRule="auto"/>
        <w:rPr>
          <w:rFonts w:ascii="宋体" w:hAnsi="宋体"/>
          <w:b/>
          <w:bCs/>
          <w:color w:val="000000" w:themeColor="text1"/>
          <w:sz w:val="21"/>
          <w:szCs w:val="2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 </w:t>
      </w:r>
      <w:r>
        <w:rPr>
          <w:rFonts w:hint="eastAsia" w:ascii="宋体" w:hAnsi="宋体"/>
          <w:b/>
          <w:bCs/>
          <w:color w:val="000000" w:themeColor="text1"/>
          <w:sz w:val="21"/>
          <w:szCs w:val="21"/>
          <w:highlight w:val="none"/>
          <w14:textFill>
            <w14:solidFill>
              <w14:schemeClr w14:val="tx1"/>
            </w14:solidFill>
          </w14:textFill>
        </w:rPr>
        <w:t xml:space="preserve">注：1、评委应对以上各得分项独立评分，供应商最终得分为所有评委评分汇总的平均值。</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1020"/>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第六章 竞争性磋商响应文件格式</w:t>
      </w:r>
      <w:bookmarkEnd w:id="2"/>
      <w:r/>
      <w:bookmarkEnd w:id="427"/>
      <w:r/>
      <w:bookmarkEnd w:id="428"/>
      <w:r/>
      <w:r/>
    </w:p>
    <w:p>
      <w:pPr>
        <w:jc w:val="center"/>
        <w:spacing w:line="360" w:lineRule="auto"/>
        <w:rPr>
          <w:rFonts w:hint="eastAsia" w:ascii="宋体" w:hAnsi="宋体" w:eastAsia="宋体" w:cs="宋体"/>
          <w:b/>
          <w:color w:val="000000" w:themeColor="text1"/>
          <w:sz w:val="22"/>
          <w:highlight w:val="none"/>
          <w14:textFill>
            <w14:solidFill>
              <w14:schemeClr w14:val="tx1"/>
            </w14:solidFill>
          </w14:textFill>
        </w:rPr>
      </w:pPr>
      <w:r>
        <w:rPr>
          <w:rFonts w:hint="eastAsia" w:ascii="宋体" w:hAnsi="宋体" w:eastAsia="宋体" w:cs="宋体"/>
          <w:b/>
          <w:color w:val="000000" w:themeColor="text1"/>
          <w:sz w:val="22"/>
          <w:highlight w:val="none"/>
          <w14:textFill>
            <w14:solidFill>
              <w14:schemeClr w14:val="tx1"/>
            </w14:solidFill>
          </w14:textFill>
        </w:rPr>
      </w:r>
      <w:r/>
    </w:p>
    <w:p>
      <w:pPr>
        <w:pStyle w:val="1020"/>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竞争性磋商响应文件</w:t>
      </w:r>
      <w:r/>
    </w:p>
    <w:p>
      <w:pPr>
        <w:jc w:val="center"/>
        <w:spacing w:line="360" w:lineRule="auto"/>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left"/>
        <w:spacing w:line="360" w:lineRule="auto"/>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left"/>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ind w:firstLine="1084"/>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 目 名 称：</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 目 编 号：</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spacing w:line="360" w:lineRule="auto"/>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磋商供应商名称 ：</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spacing w:line="360" w:lineRule="auto"/>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日      期 ：</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供  应  商：</w:t>
      </w:r>
      <w:r>
        <w:rPr>
          <w:rFonts w:hint="eastAsia" w:ascii="宋体" w:hAnsi="宋体" w:eastAsia="宋体" w:cs="宋体"/>
          <w:b/>
          <w:color w:val="000000" w:themeColor="text1"/>
          <w:sz w:val="36"/>
          <w:highlight w:val="none"/>
          <w:u w:val="single"/>
          <w14:textFill>
            <w14:solidFill>
              <w14:schemeClr w14:val="tx1"/>
            </w14:solidFill>
          </w14:textFill>
        </w:rPr>
        <w:t xml:space="preserve">         </w:t>
      </w:r>
      <w:r>
        <w:rPr>
          <w:rFonts w:hint="eastAsia" w:ascii="宋体" w:hAnsi="宋体" w:eastAsia="宋体" w:cs="宋体"/>
          <w:b/>
          <w:color w:val="000000" w:themeColor="text1"/>
          <w:sz w:val="36"/>
          <w:highlight w:val="none"/>
          <w14:textFill>
            <w14:solidFill>
              <w14:schemeClr w14:val="tx1"/>
            </w14:solidFill>
          </w14:textFill>
        </w:rPr>
        <w:t xml:space="preserve">（电子签章）</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磋商主要文件目录</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一、资格审查响应对照表</w:t>
      </w:r>
      <w:r/>
    </w:p>
    <w:p>
      <w:pPr>
        <w:ind w:left="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二、符合性审查响应对照表</w:t>
      </w:r>
      <w:r/>
    </w:p>
    <w:p>
      <w:pPr>
        <w:ind w:left="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三、非实质性响应对照表</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i/>
          <w:color w:val="000000" w:themeColor="text1"/>
          <w:sz w:val="24"/>
          <w:highlight w:val="none"/>
          <w:u w:val="single"/>
          <w14:textFill>
            <w14:solidFill>
              <w14:schemeClr w14:val="tx1"/>
            </w14:solidFill>
          </w14:textFill>
        </w:rPr>
        <w:t xml:space="preserve">磋商响应报价表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技术参数响应及偏离表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商务条款响应及偏离表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七、其他（供应商认为有必要提供的声明和文件，如有自拟并自行添加）</w:t>
      </w:r>
      <w:r/>
    </w:p>
    <w:p>
      <w:pPr>
        <w:pStyle w:val="1020"/>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一、资格审查响应对照表</w:t>
      </w:r>
      <w:r/>
    </w:p>
    <w:tbl>
      <w:tblPr>
        <w:tblStyle w:val="8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资格审查响应内容</w:t>
            </w:r>
            <w:r/>
          </w:p>
        </w:tc>
        <w:tc>
          <w:tcPr>
            <w:tcW w:w="2158"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依法缴纳职工社会保障资金的证明材料</w:t>
            </w:r>
            <w:r>
              <w:rPr>
                <w:rFonts w:hint="eastAsia" w:ascii="宋体" w:hAnsi="宋体" w:eastAsia="宋体" w:cs="宋体"/>
                <w:b/>
                <w:bCs/>
                <w:color w:val="000000" w:themeColor="text1"/>
                <w:szCs w:val="21"/>
                <w:highlight w:val="none"/>
                <w14:textFill>
                  <w14:solidFill>
                    <w14:schemeClr w14:val="tx1"/>
                  </w14:solidFill>
                </w14:textFill>
              </w:rPr>
              <w:t xml:space="preserve">(税务、银行或社会保险基金管理部门出具的近三个月内任意一个月缴纳职工社会保障资金的缴款凭证或缴款证明)（可提供“基本资格条件承诺函”）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供应商近三个月内任意一份依法纳税的缴款凭证（可提供“基本资格条件承诺函”）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上一年度的财务状况情况</w:t>
            </w:r>
            <w:r>
              <w:rPr>
                <w:rFonts w:hint="eastAsia" w:ascii="宋体" w:hAnsi="宋体" w:eastAsia="宋体" w:cs="宋体"/>
                <w:b/>
                <w:bCs/>
                <w:color w:val="000000" w:themeColor="text1"/>
                <w:szCs w:val="21"/>
                <w:highlight w:val="none"/>
                <w14:textFill>
                  <w14:solidFill>
                    <w14:schemeClr w14:val="tx1"/>
                  </w14:solidFill>
                </w14:textFill>
              </w:rPr>
              <w:t xml:space="preserve">（成立不满一年不需提供）（可提供“基本资格条件承诺函”）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具备履行合同所必需的设备和专业技术能力的证明材料</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参加本次政府采购活动前3年内在经营活动中没有重大违法记录的书面声明（可提供“基本资格条件承诺函”）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544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14"/>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544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供应商信用承诺函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90"/>
        </w:trPr>
        <w:tc>
          <w:tcPr>
            <w:gridSpan w:val="3"/>
            <w:tcW w:w="8251"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W w:w="544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详见公告</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详见公告</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w:t>
            </w:r>
            <w:r/>
          </w:p>
        </w:tc>
        <w:tc>
          <w:tcPr>
            <w:tcW w:w="5447" w:type="dxa"/>
            <w:vAlign w:val="center"/>
            <w:textDirection w:val="lrTb"/>
            <w:noWrap w:val="false"/>
          </w:tcPr>
          <w:p>
            <w:pPr>
              <w:jc w:val="left"/>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磋商响应函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w:t>
            </w:r>
            <w:r/>
          </w:p>
        </w:tc>
        <w:tc>
          <w:tcPr>
            <w:tcW w:w="5447" w:type="dxa"/>
            <w:vAlign w:val="center"/>
            <w:textDirection w:val="lrTb"/>
            <w:noWrap w:val="false"/>
          </w:tcPr>
          <w:p>
            <w:pPr>
              <w:jc w:val="left"/>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法人授权书</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line="50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基本资格条件承诺函</w:t>
      </w:r>
      <w:r/>
    </w:p>
    <w:p>
      <w:pPr>
        <w:spacing w:line="530" w:lineRule="exact"/>
        <w:tabs>
          <w:tab w:val="left" w:pos="63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致                   （采购代理机构名称）：</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我公司自愿参加                   （项目名称）政府采购活动，并郑重承诺：</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1.我方具有良好的商业信誉和健全的财务会计制度，具有履行合同所必需的设备和专业技术能力，具</w:t>
      </w:r>
      <w:r>
        <w:rPr>
          <w:rFonts w:hint="eastAsia" w:ascii="宋体" w:hAnsi="宋体" w:eastAsia="宋体" w:cs="宋体"/>
          <w:color w:val="000000" w:themeColor="text1"/>
          <w:szCs w:val="21"/>
          <w:highlight w:val="none"/>
          <w:lang w:val="zh-CN"/>
          <w14:textFill>
            <w14:solidFill>
              <w14:schemeClr w14:val="tx1"/>
            </w14:solidFill>
          </w14:textFill>
        </w:rPr>
        <w:t xml:space="preserve">有依法缴纳税收和社会保障金的良好记录</w:t>
      </w:r>
      <w:r>
        <w:rPr>
          <w:rFonts w:hint="eastAsia" w:ascii="宋体" w:hAnsi="宋体" w:eastAsia="宋体" w:cs="宋体"/>
          <w:color w:val="000000" w:themeColor="text1"/>
          <w:szCs w:val="21"/>
          <w:highlight w:val="none"/>
          <w14:textFill>
            <w14:solidFill>
              <w14:schemeClr w14:val="tx1"/>
            </w14:solidFill>
          </w14:textFill>
        </w:rPr>
        <w:t xml:space="preserve">，参加本项目采购活动前三年内无重大违法活动记录。</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我方对以上承诺负全部法律责任。</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特此承诺。</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法定代表人（签章）：</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供应商名称（签章）：</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年   月   日</w:t>
      </w:r>
      <w:r>
        <w:rPr>
          <w:rFonts w:hint="eastAsia" w:ascii="宋体" w:hAnsi="宋体" w:eastAsia="宋体" w:cs="宋体"/>
          <w:b/>
          <w:color w:val="000000" w:themeColor="text1"/>
          <w:szCs w:val="21"/>
          <w:highlight w:val="none"/>
          <w14:textFill>
            <w14:solidFill>
              <w14:schemeClr w14:val="tx1"/>
            </w14:solidFill>
          </w14:textFill>
        </w:rPr>
        <w:br w:type="page" w:clear="all"/>
      </w:r>
      <w:r>
        <w:rPr>
          <w:rFonts w:hint="eastAsia" w:ascii="宋体" w:hAnsi="宋体" w:eastAsia="宋体" w:cs="宋体"/>
          <w:b/>
          <w:color w:val="000000" w:themeColor="text1"/>
          <w:szCs w:val="21"/>
          <w:highlight w:val="none"/>
          <w14:textFill>
            <w14:solidFill>
              <w14:schemeClr w14:val="tx1"/>
            </w14:solidFill>
          </w14:textFill>
        </w:rPr>
        <w:t xml:space="preserve">供应商信用承诺书</w:t>
      </w:r>
      <w:r/>
    </w:p>
    <w:p>
      <w:pPr>
        <w:spacing w:line="360" w:lineRule="auto"/>
        <w:rPr>
          <w:rFonts w:hint="eastAsia" w:ascii="宋体" w:hAnsi="宋体" w:eastAsia="宋体" w:cs="宋体"/>
          <w:color w:val="000000" w:themeColor="text1"/>
          <w:szCs w:val="32"/>
          <w:highlight w:val="none"/>
          <w14:textFill>
            <w14:solidFill>
              <w14:schemeClr w14:val="tx1"/>
            </w14:solidFill>
          </w14:textFill>
        </w:rPr>
      </w:pPr>
      <w:r>
        <w:rPr>
          <w:rFonts w:hint="eastAsia" w:ascii="宋体" w:hAnsi="宋体" w:eastAsia="宋体" w:cs="宋体"/>
          <w:color w:val="000000" w:themeColor="text1"/>
          <w:szCs w:val="32"/>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承诺主体名称：</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统一社会信用代码：</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七、严格遵守信用信息公示相关规定，向社会公示信用信息；</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八、在“信用中国”和“中国政府采购网”网站中无违法违规、较重或严重失信记录；</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十、本承诺书自签订之日起生效。</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（注：法定代表人或负责人、主体名称发生变更的应当重新做出承诺。）</w:t>
      </w:r>
      <w:r/>
    </w:p>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承诺单位（签章）：           </w:t>
      </w:r>
      <w:r/>
    </w:p>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法定代表人（负责人）：</w:t>
      </w:r>
      <w:r/>
    </w:p>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年    月    日</w:t>
      </w:r>
      <w:r/>
    </w:p>
    <w:p>
      <w:pPr>
        <w:jc w:val="center"/>
        <w:spacing w:line="360" w:lineRule="auto"/>
        <w:rPr>
          <w:rFonts w:hint="eastAsia" w:ascii="宋体" w:hAnsi="宋体" w:eastAsia="宋体" w:cs="宋体"/>
          <w:b/>
          <w:bCs/>
          <w:color w:val="000000" w:themeColor="text1"/>
          <w:highlight w:val="none"/>
          <w14:textFill>
            <w14:solidFill>
              <w14:schemeClr w14:val="tx1"/>
            </w14:solidFill>
          </w14:textFill>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磋商响应函</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致：（代理公司）</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根据贵方的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号磋商文件，正式授权下述签字人_________ (姓名和职务)代表我方______________（供应商的名称），全权处理本次项目磋商采购的有关事宜。</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据此函，__________（签字人）兹宣布同意如下：</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1.按磋商文件规定的各项要求，向买方提供所需服务。</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2.我们已详细审核全部磋商文件及其有效补充文件，我们知道必须放弃提出含糊不清或误解问题的权利。</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3.我们同意从规定的响应文件接收截止时间起遵循本响应文件，并在规定的磋商有效期期满之前均具有约束力。</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4.同意向贵方提供贵方可能另外要求的与磋商采购有关的任何证据或资料，并保证我方已提供和将要提供的文件是真实的、准确的。</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5.一旦我方成交，我方将根据磋商文件的规定，严格履行合同的责任和义务，并保证在磋商文件规定的时间完成项目，交付买方验收、使用。</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6.遵守磋商文件中要求的收费项目和标准。</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7.与本磋商采购有关的正式通讯地址为：</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                         邮 编：</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                         传 真：</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供应商开户行：                  账 户： </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法定代表人姓名（签章）：         联系电话：</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            </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期：________年____月____日</w:t>
      </w:r>
      <w:r/>
    </w:p>
    <w:p>
      <w:pPr>
        <w:pStyle w:val="1070"/>
        <w:ind w:firstLine="422"/>
        <w:jc w:val="center"/>
        <w:spacing w:after="312"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sz w:val="21"/>
          <w:szCs w:val="21"/>
          <w:highlight w:val="none"/>
          <w14:textFill>
            <w14:solidFill>
              <w14:schemeClr w14:val="tx1"/>
            </w14:solidFill>
          </w14:textFill>
        </w:rPr>
        <w:t xml:space="preserve">法人授权书</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本授权书于______年____月____日起生效，特此声明。</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被授权人姓名：_____________________</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__     </w:t>
      </w:r>
      <w:r/>
    </w:p>
    <w:p>
      <w:pPr>
        <w:pStyle w:val="1070"/>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联系电话（手机）：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1070"/>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单位名称：____________________________________</w:t>
      </w:r>
      <w:r/>
    </w:p>
    <w:p>
      <w:pPr>
        <w:pStyle w:val="1070"/>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单位地址：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000000" w:themeColor="text1"/>
          <w:highlight w:val="none"/>
          <w14:textFill>
            <w14:solidFill>
              <w14:schemeClr w14:val="tx1"/>
            </w14:solidFill>
          </w14:textFill>
        </w:rPr>
        <w:t xml:space="preserve">被授权人身份证复印件</w:t>
      </w:r>
      <w:r/>
    </w:p>
    <w:p>
      <w:pPr>
        <w:numPr>
          <w:ilvl w:val="0"/>
          <w:numId w:val="5"/>
        </w:num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符合性审查响应对照表</w:t>
      </w:r>
      <w:r/>
    </w:p>
    <w:tbl>
      <w:tblPr>
        <w:tblStyle w:val="8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符合性审查响应内容</w:t>
            </w:r>
            <w:r/>
          </w:p>
        </w:tc>
        <w:tc>
          <w:tcPr>
            <w:tcW w:w="1680"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contextualSpacing/>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numPr>
          <w:ilvl w:val="0"/>
          <w:numId w:val="5"/>
        </w:num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非实质性响应对照表</w:t>
      </w:r>
      <w:r/>
    </w:p>
    <w:p>
      <w:pP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tbl>
      <w:tblPr>
        <w:tblStyle w:val="8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《企业声明函》</w:t>
            </w:r>
            <w:r/>
          </w:p>
        </w:tc>
        <w:tc>
          <w:tcPr>
            <w:tcW w:w="1680"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《残疾人福利性单位声明函》</w:t>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jc w:val="left"/>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312" w:after="312"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highlight w:val="none"/>
          <w14:textFill>
            <w14:solidFill>
              <w14:schemeClr w14:val="tx1"/>
            </w14:solidFill>
          </w14:textFill>
        </w:rPr>
        <w:t xml:space="preserve">中小企业声明函（工程、服务）</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highlight w:val="none"/>
          <w:u w:val="single"/>
          <w14:textFill>
            <w14:solidFill>
              <w14:schemeClr w14:val="tx1"/>
            </w14:solidFill>
          </w14:textFill>
        </w:rPr>
        <w:t xml:space="preserve">（单位名称）</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14:textFill>
            <w14:solidFill>
              <w14:schemeClr w14:val="tx1"/>
            </w14:solidFill>
          </w14:textFill>
        </w:rPr>
        <w:t xml:space="preserve">（项目名称）</w:t>
      </w:r>
      <w:r>
        <w:rPr>
          <w:rFonts w:hint="eastAsia" w:ascii="宋体" w:hAnsi="宋体" w:eastAsia="宋体" w:cs="宋体"/>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 </w:t>
      </w:r>
      <w:r>
        <w:rPr>
          <w:rFonts w:hint="eastAsia" w:ascii="宋体" w:hAnsi="宋体" w:eastAsia="宋体" w:cs="宋体"/>
          <w:color w:val="000000" w:themeColor="text1"/>
          <w:highlight w:val="none"/>
          <w:u w:val="single"/>
          <w14:textFill>
            <w14:solidFill>
              <w14:schemeClr w14:val="tx1"/>
            </w14:solidFill>
          </w14:textFill>
        </w:rPr>
        <w:t xml:space="preserve">（标的名称） </w:t>
      </w:r>
      <w:r>
        <w:rPr>
          <w:rFonts w:hint="eastAsia" w:ascii="宋体" w:hAnsi="宋体" w:eastAsia="宋体" w:cs="宋体"/>
          <w:color w:val="000000" w:themeColor="text1"/>
          <w:highlight w:val="none"/>
          <w14:textFill>
            <w14:solidFill>
              <w14:schemeClr w14:val="tx1"/>
            </w14:solidFill>
          </w14:textFill>
        </w:rPr>
        <w:t xml:space="preserve">，属于</w:t>
      </w:r>
      <w:r>
        <w:rPr>
          <w:rFonts w:hint="eastAsia" w:ascii="宋体" w:hAnsi="宋体" w:eastAsia="宋体" w:cs="宋体"/>
          <w:color w:val="000000" w:themeColor="text1"/>
          <w:highlight w:val="none"/>
          <w:u w:val="single"/>
          <w14:textFill>
            <w14:solidFill>
              <w14:schemeClr w14:val="tx1"/>
            </w14:solidFill>
          </w14:textFill>
        </w:rPr>
        <w:t xml:space="preserve">（采购文件中明确的所属行业）（该行业类别不可修改）</w:t>
      </w:r>
      <w:r>
        <w:rPr>
          <w:rFonts w:hint="eastAsia" w:ascii="宋体" w:hAnsi="宋体" w:eastAsia="宋体" w:cs="宋体"/>
          <w:color w:val="000000" w:themeColor="text1"/>
          <w:highlight w:val="none"/>
          <w14:textFill>
            <w14:solidFill>
              <w14:schemeClr w14:val="tx1"/>
            </w14:solidFill>
          </w14:textFill>
        </w:rPr>
        <w:t xml:space="preserve">；承建（承接）企业为</w:t>
      </w:r>
      <w:r>
        <w:rPr>
          <w:rFonts w:hint="eastAsia" w:ascii="宋体" w:hAnsi="宋体" w:eastAsia="宋体" w:cs="宋体"/>
          <w:color w:val="000000" w:themeColor="text1"/>
          <w:highlight w:val="none"/>
          <w:u w:val="single"/>
          <w14:textFill>
            <w14:solidFill>
              <w14:schemeClr w14:val="tx1"/>
            </w14:solidFill>
          </w14:textFill>
        </w:rPr>
        <w:t xml:space="preserve">（企业名称）</w:t>
      </w:r>
      <w:r>
        <w:rPr>
          <w:rFonts w:hint="eastAsia" w:ascii="宋体" w:hAnsi="宋体" w:eastAsia="宋体" w:cs="宋体"/>
          <w:color w:val="000000" w:themeColor="text1"/>
          <w:highlight w:val="none"/>
          <w14:textFill>
            <w14:solidFill>
              <w14:schemeClr w14:val="tx1"/>
            </w14:solidFill>
          </w14:textFill>
        </w:rPr>
        <w:t xml:space="preserve">，从业人员</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人，营业收入为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万元，资产总额为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w:t>
      </w:r>
      <w:r>
        <w:rPr>
          <w:rFonts w:hint="eastAsia" w:ascii="宋体" w:hAnsi="宋体" w:eastAsia="宋体" w:cs="宋体"/>
          <w:color w:val="000000" w:themeColor="text1"/>
          <w:highlight w:val="none"/>
          <w:lang w:eastAsia="en-US"/>
          <w14:textFill>
            <w14:solidFill>
              <w14:schemeClr w14:val="tx1"/>
            </w14:solidFill>
          </w14:textFill>
        </w:rPr>
        <w:fldChar w:fldCharType="begin"/>
      </w:r>
      <w:r>
        <w:rPr>
          <w:rFonts w:hint="eastAsia" w:ascii="宋体" w:hAnsi="宋体" w:eastAsia="宋体" w:cs="宋体"/>
          <w:color w:val="000000" w:themeColor="text1"/>
          <w:spacing w:val="-1"/>
          <w:highlight w:val="none"/>
          <w:vertAlign w:val="superscript"/>
          <w14:textFill>
            <w14:solidFill>
              <w14:schemeClr w14:val="tx1"/>
            </w14:solidFill>
          </w14:textFill>
        </w:rPr>
        <w:instrText xml:space="preserve"> HYPERLINK \l "br1" </w:instrText>
      </w:r>
      <w:r>
        <w:rPr>
          <w:rFonts w:hint="eastAsia" w:ascii="宋体" w:hAnsi="宋体" w:eastAsia="宋体" w:cs="宋体"/>
          <w:color w:val="000000" w:themeColor="text1"/>
          <w:highlight w:val="none"/>
          <w:lang w:eastAsia="en-US"/>
          <w14:textFill>
            <w14:solidFill>
              <w14:schemeClr w14:val="tx1"/>
            </w14:solidFill>
          </w14:textFill>
        </w:rPr>
        <w:fldChar w:fldCharType="separate"/>
      </w:r>
      <w:r>
        <w:rPr>
          <w:rFonts w:hint="eastAsia" w:ascii="宋体" w:hAnsi="宋体" w:eastAsia="宋体" w:cs="宋体"/>
          <w:color w:val="000000" w:themeColor="text1"/>
          <w:spacing w:val="-1"/>
          <w:highlight w:val="none"/>
          <w:vertAlign w:val="superscript"/>
          <w14:textFill>
            <w14:solidFill>
              <w14:schemeClr w14:val="tx1"/>
            </w14:solidFill>
          </w14:textFill>
        </w:rPr>
        <w:t xml:space="preserve">1</w:t>
      </w:r>
      <w:r>
        <w:rPr>
          <w:rFonts w:hint="eastAsia" w:ascii="宋体" w:hAnsi="宋体" w:eastAsia="宋体" w:cs="宋体"/>
          <w:color w:val="000000" w:themeColor="text1"/>
          <w:highlight w:val="none"/>
          <w:lang w:eastAsia="en-US"/>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，属于</w:t>
      </w:r>
      <w:r>
        <w:rPr>
          <w:rFonts w:hint="eastAsia" w:ascii="宋体" w:hAnsi="宋体" w:eastAsia="宋体" w:cs="宋体"/>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 </w:t>
      </w:r>
      <w:r>
        <w:rPr>
          <w:rFonts w:hint="eastAsia" w:ascii="宋体" w:hAnsi="宋体" w:eastAsia="宋体" w:cs="宋体"/>
          <w:color w:val="000000" w:themeColor="text1"/>
          <w:highlight w:val="none"/>
          <w:u w:val="single"/>
          <w14:textFill>
            <w14:solidFill>
              <w14:schemeClr w14:val="tx1"/>
            </w14:solidFill>
          </w14:textFill>
        </w:rPr>
        <w:t xml:space="preserve">（标的名称）</w:t>
      </w:r>
      <w:r>
        <w:rPr>
          <w:rFonts w:hint="eastAsia" w:ascii="宋体" w:hAnsi="宋体" w:eastAsia="宋体" w:cs="宋体"/>
          <w:color w:val="000000" w:themeColor="text1"/>
          <w:highlight w:val="none"/>
          <w14:textFill>
            <w14:solidFill>
              <w14:schemeClr w14:val="tx1"/>
            </w14:solidFill>
          </w14:textFill>
        </w:rPr>
        <w:t xml:space="preserve"> ，属于</w:t>
      </w:r>
      <w:r>
        <w:rPr>
          <w:rFonts w:hint="eastAsia" w:ascii="宋体" w:hAnsi="宋体" w:eastAsia="宋体" w:cs="宋体"/>
          <w:color w:val="000000" w:themeColor="text1"/>
          <w:highlight w:val="none"/>
          <w:u w:val="single"/>
          <w14:textFill>
            <w14:solidFill>
              <w14:schemeClr w14:val="tx1"/>
            </w14:solidFill>
          </w14:textFill>
        </w:rPr>
        <w:t xml:space="preserve">（采购文件中明确的所属行业（该行业类别不可修改））</w:t>
      </w:r>
      <w:r>
        <w:rPr>
          <w:rFonts w:hint="eastAsia" w:ascii="宋体" w:hAnsi="宋体" w:eastAsia="宋体" w:cs="宋体"/>
          <w:color w:val="000000" w:themeColor="text1"/>
          <w:highlight w:val="none"/>
          <w14:textFill>
            <w14:solidFill>
              <w14:schemeClr w14:val="tx1"/>
            </w14:solidFill>
          </w14:textFill>
        </w:rPr>
        <w:t xml:space="preserve">；承建（承接）企业为</w:t>
      </w:r>
      <w:r>
        <w:rPr>
          <w:rFonts w:hint="eastAsia" w:ascii="宋体" w:hAnsi="宋体" w:eastAsia="宋体" w:cs="宋体"/>
          <w:color w:val="000000" w:themeColor="text1"/>
          <w:highlight w:val="none"/>
          <w:u w:val="single"/>
          <w14:textFill>
            <w14:solidFill>
              <w14:schemeClr w14:val="tx1"/>
            </w14:solidFill>
          </w14:textFill>
        </w:rPr>
        <w:t xml:space="preserve">（企业名称）</w:t>
      </w:r>
      <w:r>
        <w:rPr>
          <w:rFonts w:hint="eastAsia" w:ascii="宋体" w:hAnsi="宋体" w:eastAsia="宋体" w:cs="宋体"/>
          <w:color w:val="000000" w:themeColor="text1"/>
          <w:highlight w:val="none"/>
          <w14:textFill>
            <w14:solidFill>
              <w14:schemeClr w14:val="tx1"/>
            </w14:solidFill>
          </w14:textFill>
        </w:rPr>
        <w:t xml:space="preserve">，从业人员</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人，营业收入为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万元，资产总额为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万元，属于</w:t>
      </w:r>
      <w:r>
        <w:rPr>
          <w:rFonts w:hint="eastAsia" w:ascii="宋体" w:hAnsi="宋体" w:eastAsia="宋体" w:cs="宋体"/>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本企业对上述声明内容的真实性负责。如有虚假，将依法承担相应责任。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w:t>
      </w:r>
      <w:r>
        <w:rPr>
          <w:rFonts w:hint="eastAsia" w:ascii="宋体" w:hAnsi="宋体" w:eastAsia="宋体" w:cs="宋体"/>
          <w:color w:val="000000" w:themeColor="text1"/>
          <w:highlight w:val="none"/>
          <w14:textFill>
            <w14:solidFill>
              <w14:schemeClr w14:val="tx1"/>
            </w14:solidFill>
          </w14:textFill>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2、供应商如不提供此声明函，价格将不做相应扣除。</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3、企业声明函请完整填写，中标后将公示。</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企业名称（盖章）：</w:t>
      </w:r>
      <w:r/>
    </w:p>
    <w:p>
      <w:pPr>
        <w:ind w:firstLine="46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w:t>
      </w:r>
      <w:r/>
    </w:p>
    <w:p>
      <w:pPr>
        <w:ind w:firstLine="46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1"/>
        <w:jc w:val="center"/>
        <w:spacing w:before="300" w:after="30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bookmarkStart w:id="431" w:name="_Toc109304977"/>
      <w:r/>
      <w:bookmarkStart w:id="432" w:name="_Toc5595"/>
      <w:r>
        <w:rPr>
          <w:rFonts w:hint="eastAsia" w:ascii="宋体" w:hAnsi="宋体" w:eastAsia="宋体" w:cs="宋体"/>
          <w:bCs w:val="0"/>
          <w:color w:val="000000" w:themeColor="text1"/>
          <w:sz w:val="21"/>
          <w:szCs w:val="21"/>
          <w:highlight w:val="none"/>
          <w14:textFill>
            <w14:solidFill>
              <w14:schemeClr w14:val="tx1"/>
            </w14:solidFill>
          </w14:textFill>
        </w:rPr>
        <w:t xml:space="preserve">中小微企业划型标准</w:t>
      </w:r>
      <w:bookmarkEnd w:id="431"/>
      <w:r>
        <w:rPr>
          <w:rFonts w:hint="eastAsia" w:ascii="宋体" w:hAnsi="宋体" w:eastAsia="宋体" w:cs="宋体"/>
          <w:bCs w:val="0"/>
          <w:color w:val="000000" w:themeColor="text1"/>
          <w:sz w:val="21"/>
          <w:szCs w:val="21"/>
          <w:highlight w:val="none"/>
          <w14:textFill>
            <w14:solidFill>
              <w14:schemeClr w14:val="tx1"/>
            </w14:solidFill>
          </w14:textFill>
        </w:rPr>
        <w:t xml:space="preserve"> </w:t>
      </w:r>
      <w:bookmarkEnd w:id="432"/>
      <w:r/>
      <w:r/>
    </w:p>
    <w:p>
      <w:pPr>
        <w:pStyle w:val="1048"/>
        <w:ind w:firstLine="420"/>
        <w:spacing w:before="300" w:after="452"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Style w:val="1049"/>
          <w:rFonts w:hint="eastAsia" w:ascii="宋体" w:hAnsi="宋体" w:eastAsia="宋体" w:cs="宋体"/>
          <w:color w:val="000000" w:themeColor="text1"/>
          <w:sz w:val="21"/>
          <w:szCs w:val="21"/>
          <w:highlight w:val="none"/>
          <w14:textFill>
            <w14:solidFill>
              <w14:schemeClr w14:val="tx1"/>
            </w14:solidFill>
          </w14:textFill>
        </w:rPr>
        <w:t xml:space="preserve">中小微企业划型标准如下：</w:t>
      </w:r>
      <w:r/>
    </w:p>
    <w:tbl>
      <w:tblPr>
        <w:tblStyle w:val="108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1371"/>
        <w:gridCol w:w="1646"/>
        <w:gridCol w:w="743"/>
        <w:gridCol w:w="1718"/>
        <w:gridCol w:w="1617"/>
        <w:gridCol w:w="1421"/>
      </w:tblGrid>
      <w:tr>
        <w:trPr>
          <w:jc w:val="center"/>
          <w:trHeight w:val="28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行业名称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指标名称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计量单位</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left="0" w:right="0" w:firstLine="422"/>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中型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left="0" w:right="0" w:firstLine="422"/>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小型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微型</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bottom"/>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农、林、牧、渔</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Y＜50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X＜20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Y＜300</w:t>
            </w:r>
            <w:r/>
          </w:p>
        </w:tc>
      </w:tr>
      <w:tr>
        <w:trPr>
          <w:jc w:val="center"/>
          <w:trHeight w:val="227"/>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建筑业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6000≤Y＜80000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300≤Y＜6000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Y＜300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5000≤Z＜80000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300≤Z＜5000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Z＜300</w:t>
            </w:r>
            <w:r/>
          </w:p>
        </w:tc>
      </w:tr>
      <w:tr>
        <w:trPr>
          <w:jc w:val="center"/>
          <w:trHeight w:val="227"/>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firstLine="211"/>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批发业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5≤X＜20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X＜5</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零售业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10≤X＜50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交通运输业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X＜20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200≤Y＜3000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Y＜200</w:t>
            </w:r>
            <w:r/>
          </w:p>
        </w:tc>
      </w:tr>
      <w:tr>
        <w:trPr>
          <w:jc w:val="center"/>
          <w:trHeight w:val="227"/>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仓储业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X＜20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firstLine="211"/>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邮政业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X＜20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住宿业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餐饮业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信息传输业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1000≤Y＜100000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软件和信息技术服务业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Align w:val="center"/>
            <w:vMerge w:val="continue"/>
            <w:textDirection w:val="lrTb"/>
            <w:noWrap w:val="false"/>
          </w:tcPr>
          <w:p>
            <w:pPr>
              <w:ind w:firstLine="420"/>
              <w:jc w:val="center"/>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Y＜50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房地产开发经营</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1000≤Y＜200000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Align w:val="center"/>
            <w:vMerge w:val="continue"/>
            <w:textDirection w:val="lrTb"/>
            <w:noWrap w:val="false"/>
          </w:tcPr>
          <w:p>
            <w:pPr>
              <w:ind w:firstLine="420"/>
              <w:jc w:val="center"/>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5000≤Z＜10000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Y＜2000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物业管理</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Align w:val="center"/>
            <w:vMerge w:val="continue"/>
            <w:textDirection w:val="lrTb"/>
            <w:noWrap w:val="false"/>
          </w:tcPr>
          <w:p>
            <w:pPr>
              <w:ind w:firstLine="420"/>
              <w:jc w:val="center"/>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Y＜500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租赁和商务服务业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8000≤Z＜120000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100≤Z＜8000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其他未列明行业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bl>
    <w:p>
      <w:pPr>
        <w:pStyle w:val="1048"/>
        <w:ind w:firstLine="420"/>
        <w:spacing w:before="300" w:after="452" w:line="360" w:lineRule="auto"/>
        <w:widowControl/>
        <w:rPr>
          <w:rStyle w:val="1049"/>
          <w:rFonts w:hint="eastAsia" w:ascii="宋体" w:hAnsi="宋体" w:eastAsia="宋体" w:cs="宋体"/>
          <w:color w:val="000000" w:themeColor="text1"/>
          <w:sz w:val="21"/>
          <w:szCs w:val="21"/>
          <w:highlight w:val="none"/>
          <w14:textFill>
            <w14:solidFill>
              <w14:schemeClr w14:val="tx1"/>
            </w14:solidFill>
          </w14:textFill>
        </w:rPr>
      </w:pPr>
      <w:r>
        <w:rPr>
          <w:rStyle w:val="1049"/>
          <w:rFonts w:hint="eastAsia" w:ascii="宋体" w:hAnsi="宋体" w:eastAsia="宋体" w:cs="宋体"/>
          <w:color w:val="000000" w:themeColor="text1"/>
          <w:sz w:val="21"/>
          <w:szCs w:val="21"/>
          <w:highlight w:val="none"/>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Style w:val="1049"/>
          <w:rFonts w:hint="eastAsia" w:ascii="宋体" w:hAnsi="宋体" w:eastAsia="宋体" w:cs="宋体"/>
          <w:color w:val="000000" w:themeColor="text1"/>
          <w:szCs w:val="21"/>
          <w:highlight w:val="none"/>
          <w14:textFill>
            <w14:solidFill>
              <w14:schemeClr w14:val="tx1"/>
            </w14:solidFill>
          </w14:textFill>
        </w:rPr>
        <w:br w:type="page" w:clear="all"/>
      </w:r>
      <w:r>
        <w:rPr>
          <w:rFonts w:hint="eastAsia" w:ascii="宋体" w:hAnsi="宋体" w:eastAsia="宋体" w:cs="宋体"/>
          <w:b/>
          <w:bCs/>
          <w:color w:val="000000" w:themeColor="text1"/>
          <w:highlight w:val="none"/>
          <w14:textFill>
            <w14:solidFill>
              <w14:schemeClr w14:val="tx1"/>
            </w14:solidFill>
          </w14:textFill>
        </w:rPr>
        <w:t xml:space="preserve">残疾人福利性单位声明函</w:t>
      </w:r>
      <w:r/>
    </w:p>
    <w:p>
      <w:pPr>
        <w:ind w:firstLine="624"/>
        <w:spacing w:line="360" w:lineRule="auto"/>
        <w:rPr>
          <w:rFonts w:hint="eastAsia" w:ascii="宋体" w:hAnsi="宋体" w:eastAsia="宋体" w:cs="宋体"/>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pacing w:val="6"/>
          <w:sz w:val="30"/>
          <w:szCs w:val="30"/>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圆整（￥：     ）。</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r>
      <w:r/>
    </w:p>
    <w:p>
      <w:pPr>
        <w:ind w:right="1560" w:firstLine="444"/>
        <w:jc w:val="center"/>
        <w:spacing w:line="360" w:lineRule="auto"/>
        <w:tabs>
          <w:tab w:val="left" w:pos="48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供应商全称（盖章）：</w:t>
      </w:r>
      <w:r/>
    </w:p>
    <w:p>
      <w:pPr>
        <w:ind w:right="1560" w:firstLine="420"/>
        <w:jc w:val="center"/>
        <w:spacing w:line="360" w:lineRule="auto"/>
        <w:tabs>
          <w:tab w:val="left" w:pos="48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日  期：</w:t>
      </w:r>
      <w:r/>
    </w:p>
    <w:p>
      <w:pP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bookmarkStart w:id="433" w:name="_Toc109304978"/>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四、磋商响应报价表</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1039"/>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 </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     </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本次为首次报价                                                      </w:t>
      </w:r>
      <w:r/>
    </w:p>
    <w:tbl>
      <w:tblPr>
        <w:tblStyle w:val="8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第一轮报价</w:t>
            </w:r>
            <w:r/>
          </w:p>
        </w:tc>
      </w:tr>
      <w:tr>
        <w:trPr>
          <w:cantSplit/>
          <w:trHeight w:val="1800"/>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报价</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大写：</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小写：            (人民币)元</w:t>
            </w:r>
            <w:r/>
          </w:p>
        </w:tc>
      </w:tr>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righ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    年   月    日</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分项报价表</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ageBreakBefore w:val="0"/>
        <w:spacing w:line="360" w:lineRule="auto"/>
        <w:rPr>
          <w:rFonts w:ascii="宋体" w:hAnsi="宋体" w:cs="Arial"/>
          <w:b/>
          <w:bCs/>
          <w:i/>
          <w:iCs/>
          <w:color w:val="000000" w:themeColor="text1"/>
          <w:szCs w:val="24"/>
          <w:highlight w:val="none"/>
          <w:u w:val="single"/>
          <w14:textFill>
            <w14:solidFill>
              <w14:schemeClr w14:val="tx1"/>
            </w14:solidFill>
          </w14:textFill>
        </w:rPr>
      </w:pPr>
      <w:r>
        <w:rPr>
          <w:rFonts w:hint="eastAsia" w:ascii="宋体" w:hAnsi="宋体" w:cs="Arial"/>
          <w:b/>
          <w:bCs/>
          <w:i/>
          <w:iCs/>
          <w:color w:val="000000" w:themeColor="text1"/>
          <w:szCs w:val="24"/>
          <w:highlight w:val="none"/>
          <w:u w:val="single"/>
          <w14:textFill>
            <w14:solidFill>
              <w14:schemeClr w14:val="tx1"/>
            </w14:solidFill>
          </w14:textFill>
        </w:rPr>
        <w:t xml:space="preserve">注：</w:t>
      </w:r>
      <w:r/>
    </w:p>
    <w:p>
      <w:pPr>
        <w:pageBreakBefore w:val="0"/>
        <w:spacing w:line="360" w:lineRule="auto"/>
        <w:rPr>
          <w:rFonts w:hint="eastAsia" w:ascii="宋体" w:hAnsi="宋体" w:eastAsia="宋体" w:cs="Arial"/>
          <w:b/>
          <w:bCs/>
          <w:i/>
          <w:iCs/>
          <w:color w:val="000000" w:themeColor="text1"/>
          <w:szCs w:val="24"/>
          <w:highlight w:val="none"/>
          <w:u w:val="single"/>
          <w14:textFill>
            <w14:solidFill>
              <w14:schemeClr w14:val="tx1"/>
            </w14:solidFill>
          </w14:textFill>
        </w:rPr>
      </w:pPr>
      <w:r>
        <w:rPr>
          <w:rFonts w:hint="eastAsia" w:ascii="宋体" w:hAnsi="宋体" w:eastAsia="宋体" w:cs="Arial"/>
          <w:b/>
          <w:bCs/>
          <w:i/>
          <w:iCs/>
          <w:color w:val="000000" w:themeColor="text1"/>
          <w:szCs w:val="24"/>
          <w:highlight w:val="none"/>
          <w:u w:val="single"/>
          <w14:textFill>
            <w14:solidFill>
              <w14:schemeClr w14:val="tx1"/>
            </w14:solidFill>
          </w14:textFill>
        </w:rPr>
        <w:t xml:space="preserve">1、本项目另附工程量清单，投标人需按按招标文件和《水利工程工程量清单计价规范》（GB50501-2007）、江苏省水利厅苏水基[2011]21号《江苏省水利工程招标投标文件工程量清单格式》和相关技术标准和要求的规定规定报价。</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Arial"/>
          <w:b/>
          <w:bCs/>
          <w:i/>
          <w:iCs/>
          <w:color w:val="000000" w:themeColor="text1"/>
          <w:szCs w:val="24"/>
          <w:highlight w:val="none"/>
          <w:u w:val="single"/>
          <w:lang w:val="en-US" w:eastAsia="zh-CN"/>
          <w14:textFill>
            <w14:solidFill>
              <w14:schemeClr w14:val="tx1"/>
            </w14:solidFill>
          </w14:textFill>
        </w:rPr>
        <w:t xml:space="preserve">2</w:t>
      </w:r>
      <w:r>
        <w:rPr>
          <w:rFonts w:hint="eastAsia" w:ascii="宋体" w:hAnsi="宋体" w:eastAsia="宋体" w:cs="Arial"/>
          <w:b/>
          <w:bCs/>
          <w:i/>
          <w:iCs/>
          <w:color w:val="000000" w:themeColor="text1"/>
          <w:szCs w:val="24"/>
          <w:highlight w:val="none"/>
          <w:u w:val="single"/>
          <w14:textFill>
            <w14:solidFill>
              <w14:schemeClr w14:val="tx1"/>
            </w14:solidFill>
          </w14:textFill>
        </w:rPr>
        <w:t xml:space="preserve">、总价应等于“磋商报价一览表”中的投标总价。</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pStyle w:val="1023"/>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p>
      <w:pPr>
        <w:pStyle w:val="1021"/>
        <w:jc w:val="center"/>
        <w:spacing w:line="360" w:lineRule="auto"/>
        <w:rPr>
          <w:rFonts w:hint="eastAsia" w:ascii="宋体" w:hAnsi="宋体" w:eastAsia="宋体" w:cs="宋体"/>
          <w:bCs w:val="0"/>
          <w:color w:val="000000" w:themeColor="text1"/>
          <w:highlight w:val="none"/>
          <w14:textFill>
            <w14:solidFill>
              <w14:schemeClr w14:val="tx1"/>
            </w14:solidFill>
          </w14:textFill>
        </w:rPr>
      </w:pPr>
      <w:r>
        <w:rPr>
          <w:rFonts w:hint="eastAsia" w:ascii="宋体" w:hAnsi="宋体" w:eastAsia="宋体" w:cs="宋体"/>
          <w:bCs w:val="0"/>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br w:type="page" w:clear="all"/>
      </w:r>
      <w:r/>
    </w:p>
    <w:p>
      <w:pPr>
        <w:pStyle w:val="1021"/>
        <w:jc w:val="center"/>
        <w:spacing w:line="360" w:lineRule="auto"/>
        <w:rPr>
          <w:rFonts w:hint="eastAsia" w:ascii="宋体" w:hAnsi="宋体" w:eastAsia="宋体" w:cs="宋体"/>
          <w:bCs w:val="0"/>
          <w:color w:val="000000" w:themeColor="text1"/>
          <w:highlight w:val="none"/>
          <w14:textFill>
            <w14:solidFill>
              <w14:schemeClr w14:val="tx1"/>
            </w14:solidFill>
          </w14:textFill>
        </w:rPr>
      </w:pPr>
      <w:r/>
      <w:bookmarkStart w:id="434" w:name="_Toc19223"/>
      <w:r>
        <w:rPr>
          <w:rFonts w:hint="eastAsia" w:ascii="宋体" w:hAnsi="宋体" w:eastAsia="宋体" w:cs="宋体"/>
          <w:bCs w:val="0"/>
          <w:color w:val="000000" w:themeColor="text1"/>
          <w:highlight w:val="none"/>
          <w14:textFill>
            <w14:solidFill>
              <w14:schemeClr w14:val="tx1"/>
            </w14:solidFill>
          </w14:textFill>
        </w:rPr>
        <w:t xml:space="preserve">五、技术参数响应及偏离表</w:t>
      </w:r>
      <w:bookmarkEnd w:id="433"/>
      <w:r/>
      <w:bookmarkEnd w:id="434"/>
      <w:r/>
      <w:r/>
    </w:p>
    <w:tbl>
      <w:tblPr>
        <w:tblStyle w:val="8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tcW w:w="285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采购要求</w:t>
            </w:r>
            <w:r/>
          </w:p>
        </w:tc>
        <w:tc>
          <w:tcPr>
            <w:tcW w:w="285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磋商响应</w:t>
            </w:r>
            <w:r/>
          </w:p>
        </w:tc>
        <w:tc>
          <w:tcPr>
            <w:tcW w:w="1308"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注：1、按照基本技术要求详细填列。</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2、行数不够，可自行添加。</w:t>
      </w:r>
      <w:r/>
    </w:p>
    <w:p>
      <w:pPr>
        <w:pStyle w:val="1021"/>
        <w:jc w:val="center"/>
        <w:spacing w:line="360" w:lineRule="auto"/>
        <w:rPr>
          <w:rFonts w:hint="eastAsia" w:ascii="宋体" w:hAnsi="宋体" w:eastAsia="宋体" w:cs="宋体"/>
          <w:bCs w:val="0"/>
          <w:color w:val="000000" w:themeColor="text1"/>
          <w:highlight w:val="none"/>
          <w14:textFill>
            <w14:solidFill>
              <w14:schemeClr w14:val="tx1"/>
            </w14:solidFill>
          </w14:textFill>
        </w:rPr>
      </w:pPr>
      <w:r/>
      <w:bookmarkStart w:id="435" w:name="_Hlt26955054"/>
      <w:r/>
      <w:bookmarkEnd w:id="435"/>
      <w:r/>
      <w:bookmarkStart w:id="436" w:name="_Toc109304979"/>
      <w:r>
        <w:rPr>
          <w:rFonts w:hint="eastAsia" w:ascii="宋体" w:hAnsi="宋体" w:eastAsia="宋体" w:cs="宋体"/>
          <w:bCs w:val="0"/>
          <w:color w:val="000000" w:themeColor="text1"/>
          <w:highlight w:val="none"/>
          <w14:textFill>
            <w14:solidFill>
              <w14:schemeClr w14:val="tx1"/>
            </w14:solidFill>
          </w14:textFill>
        </w:rPr>
        <w:br w:type="page" w:clear="all"/>
      </w:r>
      <w:bookmarkStart w:id="437" w:name="_Toc11354"/>
      <w:r>
        <w:rPr>
          <w:rFonts w:hint="eastAsia" w:ascii="宋体" w:hAnsi="宋体" w:eastAsia="宋体" w:cs="宋体"/>
          <w:bCs w:val="0"/>
          <w:color w:val="000000" w:themeColor="text1"/>
          <w:highlight w:val="none"/>
          <w14:textFill>
            <w14:solidFill>
              <w14:schemeClr w14:val="tx1"/>
            </w14:solidFill>
          </w14:textFill>
        </w:rPr>
        <w:t xml:space="preserve">六、商务条款响应及偏离表</w:t>
      </w:r>
      <w:bookmarkEnd w:id="436"/>
      <w:r/>
      <w:bookmarkEnd w:id="437"/>
      <w:r/>
      <w:r/>
    </w:p>
    <w:tbl>
      <w:tblPr>
        <w:tblStyle w:val="845"/>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采购文件要求</w:t>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是否响应</w:t>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供应商的承诺或说明</w:t>
            </w:r>
            <w:r/>
          </w:p>
        </w:tc>
      </w:tr>
      <w:tr>
        <w:trPr>
          <w:trHeight w:val="593"/>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交付时间</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85"/>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交货方式</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07"/>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交货地点</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72"/>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付款方式</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83"/>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其他</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jc w:val="left"/>
        <w:spacing w:line="360" w:lineRule="auto"/>
        <w:widowControl/>
        <w:rPr>
          <w:rFonts w:hint="eastAsia" w:ascii="宋体" w:hAnsi="宋体" w:eastAsia="宋体" w:cs="宋体"/>
          <w:b/>
          <w:color w:val="000000" w:themeColor="text1"/>
          <w:highlight w:val="none"/>
          <w14:textFill>
            <w14:solidFill>
              <w14:schemeClr w14:val="tx1"/>
            </w14:solidFill>
          </w14:textFill>
        </w:rPr>
      </w:pPr>
      <w:r/>
      <w:bookmarkStart w:id="438" w:name="_Hlt26671372"/>
      <w:r/>
      <w:bookmarkEnd w:id="438"/>
      <w:r/>
      <w:bookmarkStart w:id="439" w:name="_Hlt26609391"/>
      <w:r/>
      <w:bookmarkEnd w:id="439"/>
      <w:r/>
      <w:bookmarkStart w:id="440" w:name="_Hlt26580838"/>
      <w:r/>
      <w:bookmarkEnd w:id="440"/>
      <w:r/>
      <w:bookmarkStart w:id="441" w:name="_Hlt26782999"/>
      <w:r/>
      <w:bookmarkEnd w:id="441"/>
      <w:r/>
      <w:bookmarkStart w:id="442" w:name="_Hlt26671343"/>
      <w:r/>
      <w:bookmarkEnd w:id="442"/>
      <w:r/>
      <w:bookmarkStart w:id="443" w:name="_Hlt24879081"/>
      <w:r/>
      <w:bookmarkEnd w:id="443"/>
      <w:r/>
      <w:bookmarkStart w:id="444" w:name="_Hlt26955064"/>
      <w:r/>
      <w:bookmarkEnd w:id="444"/>
      <w:r/>
      <w:bookmarkStart w:id="445" w:name="_Hlt26955056"/>
      <w:r/>
      <w:bookmarkEnd w:id="445"/>
      <w:r>
        <w:rPr>
          <w:rFonts w:hint="eastAsia" w:ascii="宋体" w:hAnsi="宋体" w:eastAsia="宋体" w:cs="宋体"/>
          <w:b/>
          <w:color w:val="000000" w:themeColor="text1"/>
          <w:highlight w:val="none"/>
          <w14:textFill>
            <w14:solidFill>
              <w14:schemeClr w14:val="tx1"/>
            </w14:solidFill>
          </w14:textFill>
        </w:rPr>
        <w:br w:type="page" w:clear="all"/>
      </w:r>
      <w:r/>
    </w:p>
    <w:p>
      <w:pPr>
        <w:jc w:val="center"/>
        <w:spacing w:before="312"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主要标的信息（成交后将公示）</w:t>
      </w:r>
      <w:r/>
    </w:p>
    <w:p>
      <w:pPr>
        <w:spacing w:after="312"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供应商全称：</w:t>
      </w:r>
      <w:r/>
    </w:p>
    <w:tbl>
      <w:tblPr>
        <w:tblStyle w:val="8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工程类</w:t>
            </w:r>
            <w:r/>
          </w:p>
        </w:tc>
      </w:tr>
      <w:tr>
        <w:trPr>
          <w:trHeight w:val="3884"/>
        </w:trPr>
        <w:tc>
          <w:tcPr>
            <w:tcW w:w="8149" w:type="dxa"/>
            <w:textDirection w:val="lrTb"/>
            <w:noWrap w:val="false"/>
          </w:tcPr>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w:t>
            </w:r>
            <w:r/>
          </w:p>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施工范围：</w:t>
            </w:r>
            <w:r/>
          </w:p>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施工工期：</w:t>
            </w:r>
            <w:r/>
          </w:p>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施工质量要求：</w:t>
            </w:r>
            <w:r/>
          </w:p>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项目经理：</w:t>
            </w:r>
            <w:r/>
          </w:p>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执业证书信息：</w:t>
            </w:r>
            <w:r/>
          </w:p>
        </w:tc>
      </w:tr>
    </w:tbl>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mbria">
    <w:panose1 w:val="02040503050406030204"/>
  </w:font>
  <w:font w:name="Calibri">
    <w:panose1 w:val="020F0502020204030204"/>
  </w:font>
  <w:font w:name="仿宋_GB2312">
    <w:panose1 w:val="0201060906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right"/>
      <w:rPr>
        <w:rFonts w:hint="eastAsia" w:ascii="宋体" w:hAnsi="宋体" w:eastAsia="宋体" w:cs="宋体"/>
        <w:color w:val="000000" w:themeColor="text1"/>
        <w:sz w:val="18"/>
        <w:szCs w:val="18"/>
        <w:highlight w:val="none"/>
        <w14:textFill>
          <w14:solidFill>
            <w14:schemeClr w14:val="tx1"/>
          </w14:solidFill>
        </w14:textFill>
      </w:rPr>
      <w:pBdr>
        <w:bottom w:val="none" w:color="auto" w:sz="0" w:space="1"/>
      </w:pBdr>
    </w:pPr>
    <w:r>
      <w:rPr>
        <w:rFonts w:hint="eastAsia" w:ascii="宋体" w:hAnsi="宋体" w:eastAsia="宋体" w:cs="宋体"/>
        <w:color w:val="000000" w:themeColor="text1"/>
        <w:sz w:val="18"/>
        <w:szCs w:val="18"/>
        <w:highlight w:val="none"/>
        <w14:textFill>
          <w14:solidFill>
            <w14:schemeClr w14:val="tx1"/>
          </w14:solidFill>
        </w14:textFill>
      </w:rPr>
    </w:r>
    <w:r/>
  </w:p>
  <w:p>
    <w:pPr>
      <w:pStyle w:val="1066"/>
      <w:jc w:val="right"/>
      <w:pBdr>
        <w:bottom w:val="single" w:color="auto" w:sz="4" w:space="1"/>
      </w:pBdr>
    </w:pPr>
    <w:r>
      <w:rPr>
        <w:rFonts w:hint="eastAsia" w:ascii="宋体" w:hAnsi="宋体" w:eastAsia="宋体" w:cs="宋体"/>
        <w:color w:val="000000" w:themeColor="text1"/>
        <w:sz w:val="18"/>
        <w:szCs w:val="18"/>
        <w:highlight w:val="none"/>
        <w14:textFill>
          <w14:solidFill>
            <w14:schemeClr w14:val="tx1"/>
          </w14:solidFill>
        </w14:textFill>
      </w:rPr>
      <w:t xml:space="preserve">苏合邦筑工程咨询集团股份有限公司</w:t>
    </w:r>
    <w:r>
      <w:rPr>
        <w:sz w:val="18"/>
        <w:szCs w:val="18"/>
      </w:rPr>
      <w:t xml:space="preserve">   </w:t>
    </w:r>
    <w: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rPr>
        <w:rFonts w:hint="eastAsia" w:ascii="宋体" w:hAnsi="宋体" w:eastAsia="宋体" w:cs="宋体"/>
        <w:color w:val="000000" w:themeColor="text1"/>
        <w:sz w:val="18"/>
        <w:szCs w:val="18"/>
        <w:highlight w:val="none"/>
        <w14:textFill>
          <w14:solidFill>
            <w14:schemeClr w14:val="tx1"/>
          </w14:solidFill>
        </w14:textFill>
      </w:rPr>
    </w:pPr>
    <w:r/>
    <w:bookmarkStart w:id="446" w:name="_Hlk69393956"/>
    <w:r/>
    <w:bookmarkStart w:id="447" w:name="_Hlk69393955"/>
    <w:r/>
    <w:r/>
  </w:p>
  <w:p>
    <w:pPr>
      <w:pStyle w:val="1044"/>
      <w:jc w:val="right"/>
      <w:rPr>
        <w:rFonts w:hint="eastAsia"/>
        <w:szCs w:val="22"/>
      </w:rPr>
    </w:pPr>
    <w:r>
      <w:rPr>
        <w:rFonts w:hint="eastAsia" w:ascii="宋体" w:hAnsi="宋体" w:eastAsia="宋体" w:cs="宋体"/>
        <w:color w:val="000000" w:themeColor="text1"/>
        <w:sz w:val="18"/>
        <w:szCs w:val="18"/>
        <w:highlight w:val="none"/>
        <w14:textFill>
          <w14:solidFill>
            <w14:schemeClr w14:val="tx1"/>
          </w14:solidFill>
        </w14:textFill>
      </w:rPr>
      <w:t xml:space="preserve">苏合邦筑工程咨询集团股份有限公司</w:t>
    </w:r>
    <w:bookmarkEnd w:id="446"/>
    <w:r/>
    <w:bookmarkEnd w:id="447"/>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72"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next w:val="837"/>
    <w:link w:val="108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5">
    <w:name w:val="Heading 1"/>
    <w:basedOn w:val="834"/>
    <w:next w:val="834"/>
    <w:link w:val="872"/>
    <w:uiPriority w:val="9"/>
    <w:qFormat/>
    <w:pPr>
      <w:keepLines/>
      <w:keepNext/>
      <w:spacing w:before="480" w:after="200"/>
      <w:outlineLvl w:val="0"/>
    </w:pPr>
    <w:rPr>
      <w:rFonts w:ascii="Arial" w:hAnsi="Arial" w:eastAsia="Arial" w:cs="Arial"/>
      <w:sz w:val="40"/>
      <w:szCs w:val="40"/>
    </w:rPr>
  </w:style>
  <w:style w:type="paragraph" w:styleId="836">
    <w:name w:val="Heading 2"/>
    <w:basedOn w:val="834"/>
    <w:next w:val="834"/>
    <w:link w:val="873"/>
    <w:uiPriority w:val="9"/>
    <w:unhideWhenUsed/>
    <w:qFormat/>
    <w:pPr>
      <w:keepLines/>
      <w:keepNext/>
      <w:spacing w:before="360" w:after="200"/>
      <w:outlineLvl w:val="1"/>
    </w:pPr>
    <w:rPr>
      <w:rFonts w:ascii="Arial" w:hAnsi="Arial" w:eastAsia="Arial" w:cs="Arial"/>
      <w:sz w:val="34"/>
    </w:rPr>
  </w:style>
  <w:style w:type="paragraph" w:styleId="837">
    <w:name w:val="Heading 3"/>
    <w:basedOn w:val="834"/>
    <w:next w:val="834"/>
    <w:link w:val="874"/>
    <w:uiPriority w:val="9"/>
    <w:unhideWhenUsed/>
    <w:qFormat/>
    <w:pPr>
      <w:keepLines/>
      <w:keepNext/>
      <w:spacing w:before="320" w:after="200"/>
      <w:outlineLvl w:val="2"/>
    </w:pPr>
    <w:rPr>
      <w:rFonts w:ascii="Arial" w:hAnsi="Arial" w:eastAsia="Arial" w:cs="Arial"/>
      <w:sz w:val="30"/>
      <w:szCs w:val="30"/>
    </w:rPr>
  </w:style>
  <w:style w:type="paragraph" w:styleId="838">
    <w:name w:val="Heading 4"/>
    <w:basedOn w:val="834"/>
    <w:next w:val="834"/>
    <w:link w:val="875"/>
    <w:uiPriority w:val="9"/>
    <w:unhideWhenUsed/>
    <w:qFormat/>
    <w:pPr>
      <w:keepLines/>
      <w:keepNext/>
      <w:spacing w:before="320" w:after="200"/>
      <w:outlineLvl w:val="3"/>
    </w:pPr>
    <w:rPr>
      <w:rFonts w:ascii="Arial" w:hAnsi="Arial" w:eastAsia="Arial" w:cs="Arial"/>
      <w:b/>
      <w:bCs/>
      <w:sz w:val="26"/>
      <w:szCs w:val="26"/>
    </w:rPr>
  </w:style>
  <w:style w:type="paragraph" w:styleId="839">
    <w:name w:val="Heading 5"/>
    <w:basedOn w:val="834"/>
    <w:next w:val="834"/>
    <w:link w:val="876"/>
    <w:uiPriority w:val="9"/>
    <w:unhideWhenUsed/>
    <w:qFormat/>
    <w:pPr>
      <w:keepLines/>
      <w:keepNext/>
      <w:spacing w:before="320" w:after="200"/>
      <w:outlineLvl w:val="4"/>
    </w:pPr>
    <w:rPr>
      <w:rFonts w:ascii="Arial" w:hAnsi="Arial" w:eastAsia="Arial" w:cs="Arial"/>
      <w:b/>
      <w:bCs/>
      <w:sz w:val="24"/>
      <w:szCs w:val="24"/>
    </w:rPr>
  </w:style>
  <w:style w:type="paragraph" w:styleId="840">
    <w:name w:val="Heading 6"/>
    <w:basedOn w:val="834"/>
    <w:next w:val="834"/>
    <w:link w:val="877"/>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34"/>
    <w:next w:val="834"/>
    <w:link w:val="878"/>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34"/>
    <w:next w:val="834"/>
    <w:link w:val="879"/>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34"/>
    <w:next w:val="834"/>
    <w:link w:val="880"/>
    <w:uiPriority w:val="9"/>
    <w:unhideWhenUsed/>
    <w:qFormat/>
    <w:pPr>
      <w:keepLines/>
      <w:keepNext/>
      <w:spacing w:before="320" w:after="200"/>
      <w:outlineLvl w:val="8"/>
    </w:pPr>
    <w:rPr>
      <w:rFonts w:ascii="Arial" w:hAnsi="Arial" w:eastAsia="Arial" w:cs="Arial"/>
      <w:i/>
      <w:iCs/>
      <w:sz w:val="21"/>
      <w:szCs w:val="21"/>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toc 7"/>
    <w:basedOn w:val="834"/>
    <w:next w:val="834"/>
    <w:uiPriority w:val="39"/>
    <w:unhideWhenUsed/>
    <w:qFormat/>
    <w:pPr>
      <w:ind w:left="1701" w:right="0" w:firstLine="0"/>
      <w:spacing w:after="57"/>
    </w:pPr>
  </w:style>
  <w:style w:type="paragraph" w:styleId="847">
    <w:name w:val="table of authorities"/>
    <w:basedOn w:val="834"/>
    <w:next w:val="834"/>
    <w:uiPriority w:val="99"/>
    <w:qFormat/>
    <w:pPr>
      <w:ind w:left="420"/>
    </w:pPr>
  </w:style>
  <w:style w:type="paragraph" w:styleId="848">
    <w:name w:val="Caption"/>
    <w:basedOn w:val="834"/>
    <w:next w:val="8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9">
    <w:name w:val="Body Text Indent"/>
    <w:basedOn w:val="834"/>
    <w:uiPriority w:val="99"/>
    <w:unhideWhenUsed/>
    <w:qFormat/>
    <w:pPr>
      <w:ind w:left="420"/>
      <w:spacing w:after="120"/>
    </w:pPr>
    <w:rPr>
      <w:rFonts w:ascii="Times New Roman" w:hAnsi="Times New Roman"/>
      <w:szCs w:val="24"/>
    </w:rPr>
  </w:style>
  <w:style w:type="paragraph" w:styleId="850">
    <w:name w:val="toc 5"/>
    <w:basedOn w:val="834"/>
    <w:next w:val="834"/>
    <w:uiPriority w:val="39"/>
    <w:unhideWhenUsed/>
    <w:qFormat/>
    <w:pPr>
      <w:ind w:left="1134" w:right="0" w:firstLine="0"/>
      <w:spacing w:after="57"/>
    </w:pPr>
  </w:style>
  <w:style w:type="paragraph" w:styleId="851">
    <w:name w:val="toc 3"/>
    <w:basedOn w:val="834"/>
    <w:next w:val="834"/>
    <w:uiPriority w:val="39"/>
    <w:unhideWhenUsed/>
    <w:qFormat/>
    <w:pPr>
      <w:ind w:left="567" w:right="0" w:firstLine="0"/>
      <w:spacing w:after="57"/>
    </w:pPr>
  </w:style>
  <w:style w:type="paragraph" w:styleId="852">
    <w:name w:val="Plain Text"/>
    <w:basedOn w:val="834"/>
    <w:uiPriority w:val="0"/>
    <w:qFormat/>
    <w:rPr>
      <w:rFonts w:ascii="宋体" w:hAnsi="Courier New"/>
      <w:sz w:val="20"/>
      <w:szCs w:val="21"/>
    </w:rPr>
  </w:style>
  <w:style w:type="paragraph" w:styleId="853">
    <w:name w:val="toc 8"/>
    <w:basedOn w:val="834"/>
    <w:next w:val="834"/>
    <w:uiPriority w:val="39"/>
    <w:unhideWhenUsed/>
    <w:qFormat/>
    <w:pPr>
      <w:ind w:left="1984" w:right="0" w:firstLine="0"/>
      <w:spacing w:after="57"/>
    </w:pPr>
  </w:style>
  <w:style w:type="paragraph" w:styleId="854">
    <w:name w:val="endnote text"/>
    <w:basedOn w:val="834"/>
    <w:link w:val="1018"/>
    <w:uiPriority w:val="99"/>
    <w:semiHidden/>
    <w:unhideWhenUsed/>
    <w:qFormat/>
    <w:pPr>
      <w:spacing w:after="0" w:line="240" w:lineRule="auto"/>
    </w:pPr>
    <w:rPr>
      <w:sz w:val="20"/>
    </w:rPr>
  </w:style>
  <w:style w:type="paragraph" w:styleId="855">
    <w:name w:val="Footer"/>
    <w:basedOn w:val="834"/>
    <w:link w:val="891"/>
    <w:uiPriority w:val="99"/>
    <w:unhideWhenUsed/>
    <w:qFormat/>
    <w:pPr>
      <w:spacing w:after="0" w:line="240" w:lineRule="auto"/>
      <w:tabs>
        <w:tab w:val="center" w:pos="7143" w:leader="none"/>
        <w:tab w:val="right" w:pos="14287" w:leader="none"/>
      </w:tabs>
    </w:pPr>
  </w:style>
  <w:style w:type="paragraph" w:styleId="856">
    <w:name w:val="Header"/>
    <w:basedOn w:val="834"/>
    <w:link w:val="889"/>
    <w:uiPriority w:val="99"/>
    <w:unhideWhenUsed/>
    <w:qFormat/>
    <w:pPr>
      <w:spacing w:after="0" w:line="240" w:lineRule="auto"/>
      <w:tabs>
        <w:tab w:val="center" w:pos="7143" w:leader="none"/>
        <w:tab w:val="right" w:pos="14287" w:leader="none"/>
      </w:tabs>
    </w:pPr>
  </w:style>
  <w:style w:type="paragraph" w:styleId="857">
    <w:name w:val="toc 1"/>
    <w:basedOn w:val="834"/>
    <w:next w:val="834"/>
    <w:uiPriority w:val="39"/>
    <w:unhideWhenUsed/>
    <w:qFormat/>
    <w:pPr>
      <w:ind w:left="0" w:right="0" w:firstLine="0"/>
      <w:spacing w:after="57"/>
    </w:pPr>
  </w:style>
  <w:style w:type="paragraph" w:styleId="858">
    <w:name w:val="toc 4"/>
    <w:basedOn w:val="834"/>
    <w:next w:val="834"/>
    <w:uiPriority w:val="39"/>
    <w:unhideWhenUsed/>
    <w:qFormat/>
    <w:pPr>
      <w:ind w:left="850" w:right="0" w:firstLine="0"/>
      <w:spacing w:after="57"/>
    </w:pPr>
  </w:style>
  <w:style w:type="paragraph" w:styleId="859">
    <w:name w:val="Subtitle"/>
    <w:basedOn w:val="834"/>
    <w:next w:val="834"/>
    <w:link w:val="884"/>
    <w:uiPriority w:val="11"/>
    <w:qFormat/>
    <w:pPr>
      <w:spacing w:before="200" w:after="200"/>
    </w:pPr>
    <w:rPr>
      <w:sz w:val="24"/>
      <w:szCs w:val="24"/>
    </w:rPr>
  </w:style>
  <w:style w:type="paragraph" w:styleId="860">
    <w:name w:val="footnote text"/>
    <w:basedOn w:val="834"/>
    <w:link w:val="1017"/>
    <w:uiPriority w:val="99"/>
    <w:semiHidden/>
    <w:unhideWhenUsed/>
    <w:qFormat/>
    <w:pPr>
      <w:spacing w:after="40" w:line="240" w:lineRule="auto"/>
    </w:pPr>
    <w:rPr>
      <w:sz w:val="18"/>
    </w:rPr>
  </w:style>
  <w:style w:type="paragraph" w:styleId="861">
    <w:name w:val="toc 6"/>
    <w:basedOn w:val="834"/>
    <w:next w:val="834"/>
    <w:uiPriority w:val="39"/>
    <w:unhideWhenUsed/>
    <w:qFormat/>
    <w:pPr>
      <w:ind w:left="1417" w:right="0" w:firstLine="0"/>
      <w:spacing w:after="57"/>
    </w:pPr>
  </w:style>
  <w:style w:type="paragraph" w:styleId="862">
    <w:name w:val="table of figures"/>
    <w:basedOn w:val="834"/>
    <w:next w:val="834"/>
    <w:uiPriority w:val="99"/>
    <w:unhideWhenUsed/>
    <w:qFormat/>
    <w:pPr>
      <w:spacing w:after="0" w:afterAutospacing="0"/>
    </w:pPr>
  </w:style>
  <w:style w:type="paragraph" w:styleId="863">
    <w:name w:val="toc 2"/>
    <w:basedOn w:val="834"/>
    <w:next w:val="834"/>
    <w:uiPriority w:val="39"/>
    <w:unhideWhenUsed/>
    <w:qFormat/>
    <w:pPr>
      <w:ind w:left="283" w:right="0" w:firstLine="0"/>
      <w:spacing w:after="57"/>
    </w:pPr>
  </w:style>
  <w:style w:type="paragraph" w:styleId="864">
    <w:name w:val="toc 9"/>
    <w:basedOn w:val="834"/>
    <w:next w:val="834"/>
    <w:uiPriority w:val="39"/>
    <w:unhideWhenUsed/>
    <w:qFormat/>
    <w:pPr>
      <w:ind w:left="2268" w:right="0" w:firstLine="0"/>
      <w:spacing w:after="57"/>
    </w:pPr>
  </w:style>
  <w:style w:type="paragraph" w:styleId="865">
    <w:name w:val="Normal (Web)"/>
    <w:basedOn w:val="834"/>
    <w:uiPriority w:val="99"/>
    <w:semiHidden/>
    <w:unhideWhenUsed/>
    <w:qFormat/>
    <w:pPr>
      <w:ind w:left="0" w:right="0"/>
      <w:jc w:val="left"/>
      <w:spacing w:before="0" w:beforeAutospacing="1" w:after="0" w:afterAutospacing="1"/>
    </w:pPr>
    <w:rPr>
      <w:sz w:val="24"/>
      <w:lang w:val="en-US" w:eastAsia="zh-CN" w:bidi="ar"/>
    </w:rPr>
  </w:style>
  <w:style w:type="paragraph" w:styleId="866">
    <w:name w:val="Title"/>
    <w:basedOn w:val="834"/>
    <w:next w:val="834"/>
    <w:link w:val="883"/>
    <w:uiPriority w:val="10"/>
    <w:qFormat/>
    <w:pPr>
      <w:contextualSpacing/>
      <w:spacing w:before="300" w:after="200"/>
    </w:pPr>
    <w:rPr>
      <w:sz w:val="48"/>
      <w:szCs w:val="48"/>
    </w:rPr>
  </w:style>
  <w:style w:type="table" w:styleId="8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endnote reference"/>
    <w:uiPriority w:val="99"/>
    <w:semiHidden/>
    <w:unhideWhenUsed/>
    <w:qFormat/>
    <w:rPr>
      <w:vertAlign w:val="superscript"/>
    </w:rPr>
  </w:style>
  <w:style w:type="character" w:styleId="869">
    <w:name w:val="Hyperlink"/>
    <w:uiPriority w:val="99"/>
    <w:unhideWhenUsed/>
    <w:qFormat/>
    <w:rPr>
      <w:color w:val="0000ff" w:themeColor="hyperlink"/>
      <w:u w:val="single"/>
      <w14:textFill>
        <w14:solidFill>
          <w14:schemeClr w14:val="hlink"/>
        </w14:solidFill>
      </w14:textFill>
    </w:rPr>
  </w:style>
  <w:style w:type="character" w:styleId="870">
    <w:name w:val="footnote reference"/>
    <w:uiPriority w:val="99"/>
    <w:unhideWhenUsed/>
    <w:qFormat/>
    <w:rPr>
      <w:vertAlign w:val="superscript"/>
    </w:rPr>
  </w:style>
  <w:style w:type="paragraph" w:styleId="871" w:customStyle="1">
    <w:name w:val="标题 41"/>
    <w:basedOn w:val="834"/>
    <w:next w:val="834"/>
    <w:link w:val="1026"/>
    <w:uiPriority w:val="0"/>
    <w:qFormat/>
    <w:pPr>
      <w:spacing w:before="280" w:after="290" w:line="377" w:lineRule="auto"/>
      <w:outlineLvl w:val="3"/>
    </w:pPr>
    <w:rPr>
      <w:rFonts w:ascii="Arial" w:hAnsi="Arial" w:eastAsia="黑体"/>
      <w:b/>
      <w:bCs/>
      <w:sz w:val="28"/>
      <w:szCs w:val="28"/>
    </w:rPr>
  </w:style>
  <w:style w:type="character" w:styleId="872" w:customStyle="1">
    <w:name w:val="Heading 1 Char"/>
    <w:link w:val="835"/>
    <w:uiPriority w:val="9"/>
    <w:qFormat/>
    <w:rPr>
      <w:rFonts w:ascii="Arial" w:hAnsi="Arial" w:eastAsia="Arial" w:cs="Arial"/>
      <w:sz w:val="40"/>
      <w:szCs w:val="40"/>
    </w:rPr>
  </w:style>
  <w:style w:type="character" w:styleId="873" w:customStyle="1">
    <w:name w:val="Heading 2 Char"/>
    <w:link w:val="836"/>
    <w:uiPriority w:val="9"/>
    <w:qFormat/>
    <w:rPr>
      <w:rFonts w:ascii="Arial" w:hAnsi="Arial" w:eastAsia="Arial" w:cs="Arial"/>
      <w:sz w:val="34"/>
    </w:rPr>
  </w:style>
  <w:style w:type="character" w:styleId="874" w:customStyle="1">
    <w:name w:val="Heading 3 Char"/>
    <w:link w:val="837"/>
    <w:uiPriority w:val="9"/>
    <w:qFormat/>
    <w:rPr>
      <w:rFonts w:ascii="Arial" w:hAnsi="Arial" w:eastAsia="Arial" w:cs="Arial"/>
      <w:sz w:val="30"/>
      <w:szCs w:val="30"/>
    </w:rPr>
  </w:style>
  <w:style w:type="character" w:styleId="875" w:customStyle="1">
    <w:name w:val="Heading 4 Char"/>
    <w:link w:val="838"/>
    <w:uiPriority w:val="9"/>
    <w:qFormat/>
    <w:rPr>
      <w:rFonts w:ascii="Arial" w:hAnsi="Arial" w:eastAsia="Arial" w:cs="Arial"/>
      <w:b/>
      <w:bCs/>
      <w:sz w:val="26"/>
      <w:szCs w:val="26"/>
    </w:rPr>
  </w:style>
  <w:style w:type="character" w:styleId="876" w:customStyle="1">
    <w:name w:val="Heading 5 Char"/>
    <w:link w:val="839"/>
    <w:uiPriority w:val="9"/>
    <w:qFormat/>
    <w:rPr>
      <w:rFonts w:ascii="Arial" w:hAnsi="Arial" w:eastAsia="Arial" w:cs="Arial"/>
      <w:b/>
      <w:bCs/>
      <w:sz w:val="24"/>
      <w:szCs w:val="24"/>
    </w:rPr>
  </w:style>
  <w:style w:type="character" w:styleId="877" w:customStyle="1">
    <w:name w:val="Heading 6 Char"/>
    <w:link w:val="840"/>
    <w:uiPriority w:val="9"/>
    <w:qFormat/>
    <w:rPr>
      <w:rFonts w:ascii="Arial" w:hAnsi="Arial" w:eastAsia="Arial" w:cs="Arial"/>
      <w:b/>
      <w:bCs/>
      <w:sz w:val="22"/>
      <w:szCs w:val="22"/>
    </w:rPr>
  </w:style>
  <w:style w:type="character" w:styleId="878" w:customStyle="1">
    <w:name w:val="Heading 7 Char"/>
    <w:link w:val="841"/>
    <w:uiPriority w:val="9"/>
    <w:qFormat/>
    <w:rPr>
      <w:rFonts w:ascii="Arial" w:hAnsi="Arial" w:eastAsia="Arial" w:cs="Arial"/>
      <w:b/>
      <w:bCs/>
      <w:i/>
      <w:iCs/>
      <w:sz w:val="22"/>
      <w:szCs w:val="22"/>
    </w:rPr>
  </w:style>
  <w:style w:type="character" w:styleId="879" w:customStyle="1">
    <w:name w:val="Heading 8 Char"/>
    <w:link w:val="842"/>
    <w:uiPriority w:val="9"/>
    <w:qFormat/>
    <w:rPr>
      <w:rFonts w:ascii="Arial" w:hAnsi="Arial" w:eastAsia="Arial" w:cs="Arial"/>
      <w:i/>
      <w:iCs/>
      <w:sz w:val="22"/>
      <w:szCs w:val="22"/>
    </w:rPr>
  </w:style>
  <w:style w:type="character" w:styleId="880" w:customStyle="1">
    <w:name w:val="Heading 9 Char"/>
    <w:link w:val="843"/>
    <w:uiPriority w:val="9"/>
    <w:qFormat/>
    <w:rPr>
      <w:rFonts w:ascii="Arial" w:hAnsi="Arial" w:eastAsia="Arial" w:cs="Arial"/>
      <w:i/>
      <w:iCs/>
      <w:sz w:val="21"/>
      <w:szCs w:val="21"/>
    </w:rPr>
  </w:style>
  <w:style w:type="paragraph" w:styleId="881">
    <w:name w:val="List Paragraph"/>
    <w:basedOn w:val="834"/>
    <w:uiPriority w:val="34"/>
    <w:qFormat/>
    <w:pPr>
      <w:contextualSpacing/>
      <w:ind w:left="720"/>
    </w:pPr>
  </w:style>
  <w:style w:type="paragraph" w:styleId="882">
    <w:name w:val="No Spacing"/>
    <w:uiPriority w:val="1"/>
    <w:qFormat/>
    <w:pPr>
      <w:spacing w:before="0" w:after="0" w:line="240" w:lineRule="auto"/>
    </w:pPr>
    <w:rPr>
      <w:rFonts w:hint="default" w:ascii="Times New Roman" w:hAnsi="Times New Roman" w:eastAsia="宋体" w:cs="Times New Roman"/>
    </w:rPr>
  </w:style>
  <w:style w:type="character" w:styleId="883" w:customStyle="1">
    <w:name w:val="Title Char"/>
    <w:link w:val="866"/>
    <w:uiPriority w:val="10"/>
    <w:qFormat/>
    <w:rPr>
      <w:sz w:val="48"/>
      <w:szCs w:val="48"/>
    </w:rPr>
  </w:style>
  <w:style w:type="character" w:styleId="884" w:customStyle="1">
    <w:name w:val="Subtitle Char"/>
    <w:link w:val="859"/>
    <w:uiPriority w:val="11"/>
    <w:qFormat/>
    <w:rPr>
      <w:sz w:val="24"/>
      <w:szCs w:val="24"/>
    </w:rPr>
  </w:style>
  <w:style w:type="paragraph" w:styleId="885">
    <w:name w:val="Quote"/>
    <w:basedOn w:val="834"/>
    <w:next w:val="834"/>
    <w:link w:val="886"/>
    <w:uiPriority w:val="29"/>
    <w:qFormat/>
    <w:pPr>
      <w:ind w:left="720" w:right="720"/>
    </w:pPr>
    <w:rPr>
      <w:i/>
    </w:rPr>
  </w:style>
  <w:style w:type="character" w:styleId="886" w:customStyle="1">
    <w:name w:val="Quote Char"/>
    <w:link w:val="885"/>
    <w:uiPriority w:val="29"/>
    <w:qFormat/>
    <w:rPr>
      <w:i/>
    </w:rPr>
  </w:style>
  <w:style w:type="paragraph" w:styleId="887">
    <w:name w:val="Intense Quote"/>
    <w:basedOn w:val="834"/>
    <w:next w:val="834"/>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Intense Quote Char"/>
    <w:link w:val="887"/>
    <w:uiPriority w:val="30"/>
    <w:qFormat/>
    <w:rPr>
      <w:i/>
    </w:rPr>
  </w:style>
  <w:style w:type="character" w:styleId="889" w:customStyle="1">
    <w:name w:val="Header Char"/>
    <w:link w:val="856"/>
    <w:uiPriority w:val="99"/>
    <w:qFormat/>
  </w:style>
  <w:style w:type="character" w:styleId="890" w:customStyle="1">
    <w:name w:val="Footer Char"/>
    <w:link w:val="855"/>
    <w:uiPriority w:val="99"/>
    <w:qFormat/>
  </w:style>
  <w:style w:type="character" w:styleId="891" w:customStyle="1">
    <w:name w:val="Caption Char"/>
    <w:link w:val="855"/>
    <w:uiPriority w:val="99"/>
    <w:qFormat/>
  </w:style>
  <w:style w:type="table" w:styleId="8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Footnote Text Char"/>
    <w:link w:val="860"/>
    <w:uiPriority w:val="99"/>
    <w:qFormat/>
    <w:rPr>
      <w:sz w:val="18"/>
    </w:rPr>
  </w:style>
  <w:style w:type="character" w:styleId="1018" w:customStyle="1">
    <w:name w:val="Endnote Text Char"/>
    <w:link w:val="854"/>
    <w:uiPriority w:val="99"/>
    <w:qFormat/>
    <w:rPr>
      <w:sz w:val="20"/>
    </w:rPr>
  </w:style>
  <w:style w:type="paragraph" w:styleId="1019" w:customStyle="1">
    <w:name w:val="TOC Heading"/>
    <w:uiPriority w:val="39"/>
    <w:unhideWhenUsed/>
    <w:qFormat/>
    <w:rPr>
      <w:rFonts w:hint="default" w:ascii="Times New Roman" w:hAnsi="Times New Roman" w:eastAsia="宋体" w:cs="Times New Roman"/>
    </w:rPr>
  </w:style>
  <w:style w:type="paragraph" w:styleId="1020" w:customStyle="1">
    <w:name w:val="标题 11"/>
    <w:basedOn w:val="834"/>
    <w:next w:val="834"/>
    <w:link w:val="1027"/>
    <w:uiPriority w:val="99"/>
    <w:qFormat/>
    <w:pPr>
      <w:keepLines/>
      <w:keepNext/>
      <w:spacing w:before="340" w:after="330" w:line="578" w:lineRule="auto"/>
      <w:outlineLvl w:val="0"/>
    </w:pPr>
    <w:rPr>
      <w:rFonts w:ascii="Calibri" w:hAnsi="Calibri"/>
      <w:b/>
      <w:bCs/>
      <w:sz w:val="44"/>
      <w:szCs w:val="44"/>
    </w:rPr>
  </w:style>
  <w:style w:type="paragraph" w:styleId="1021" w:customStyle="1">
    <w:name w:val="标题 21"/>
    <w:basedOn w:val="834"/>
    <w:next w:val="1022"/>
    <w:link w:val="1028"/>
    <w:uiPriority w:val="9"/>
    <w:qFormat/>
    <w:pPr>
      <w:keepLines/>
      <w:keepNext/>
      <w:spacing w:before="260" w:after="260" w:line="416" w:lineRule="auto"/>
      <w:outlineLvl w:val="1"/>
    </w:pPr>
    <w:rPr>
      <w:rFonts w:ascii="Cambria" w:hAnsi="Cambria"/>
      <w:b/>
      <w:bCs/>
      <w:sz w:val="32"/>
      <w:szCs w:val="32"/>
    </w:rPr>
  </w:style>
  <w:style w:type="paragraph" w:styleId="1022" w:customStyle="1">
    <w:name w:val="正文缩进1"/>
    <w:basedOn w:val="834"/>
    <w:uiPriority w:val="0"/>
    <w:unhideWhenUsed/>
    <w:qFormat/>
    <w:pPr>
      <w:ind w:firstLine="420"/>
    </w:pPr>
    <w:rPr>
      <w:rFonts w:ascii="Calibri" w:hAnsi="Calibri" w:eastAsia="宋体" w:cs="Times New Roman"/>
    </w:rPr>
  </w:style>
  <w:style w:type="paragraph" w:styleId="1023" w:customStyle="1">
    <w:name w:val="标题 31"/>
    <w:basedOn w:val="834"/>
    <w:next w:val="834"/>
    <w:link w:val="1029"/>
    <w:uiPriority w:val="0"/>
    <w:qFormat/>
    <w:pPr>
      <w:keepLines/>
      <w:keepNext/>
      <w:spacing w:before="260" w:after="260" w:line="416" w:lineRule="auto"/>
      <w:outlineLvl w:val="2"/>
    </w:pPr>
    <w:rPr>
      <w:rFonts w:ascii="Calibri" w:hAnsi="Calibri"/>
      <w:b/>
      <w:bCs/>
      <w:sz w:val="32"/>
      <w:szCs w:val="32"/>
    </w:rPr>
  </w:style>
  <w:style w:type="character" w:styleId="1024" w:customStyle="1">
    <w:name w:val="默认段落字体1"/>
    <w:link w:val="834"/>
    <w:uiPriority w:val="1"/>
    <w:unhideWhenUsed/>
    <w:qFormat/>
  </w:style>
  <w:style w:type="table" w:styleId="1025" w:customStyle="1">
    <w:name w:val="普通表格1"/>
    <w:uiPriority w:val="99"/>
    <w:unhideWhenUsed/>
    <w:qFormat/>
    <w:tblPr/>
  </w:style>
  <w:style w:type="character" w:styleId="1026" w:customStyle="1">
    <w:name w:val="标题 4 Char"/>
    <w:link w:val="871"/>
    <w:uiPriority w:val="0"/>
    <w:qFormat/>
    <w:rPr>
      <w:rFonts w:ascii="Arial" w:hAnsi="Arial" w:eastAsia="黑体" w:cs="Times New Roman"/>
      <w:b/>
      <w:bCs/>
      <w:sz w:val="28"/>
      <w:szCs w:val="28"/>
    </w:rPr>
  </w:style>
  <w:style w:type="character" w:styleId="1027" w:customStyle="1">
    <w:name w:val="标题 1 Char"/>
    <w:link w:val="1020"/>
    <w:uiPriority w:val="99"/>
    <w:qFormat/>
    <w:rPr>
      <w:rFonts w:ascii="Calibri" w:hAnsi="Calibri" w:eastAsia="宋体" w:cs="Times New Roman"/>
      <w:b/>
      <w:bCs/>
      <w:sz w:val="44"/>
      <w:szCs w:val="44"/>
    </w:rPr>
  </w:style>
  <w:style w:type="character" w:styleId="1028" w:customStyle="1">
    <w:name w:val="标题 2 Char"/>
    <w:link w:val="1021"/>
    <w:uiPriority w:val="9"/>
    <w:qFormat/>
    <w:rPr>
      <w:rFonts w:ascii="Cambria" w:hAnsi="Cambria" w:eastAsia="宋体" w:cs="Times New Roman"/>
      <w:b/>
      <w:bCs/>
      <w:sz w:val="32"/>
      <w:szCs w:val="32"/>
    </w:rPr>
  </w:style>
  <w:style w:type="character" w:styleId="1029" w:customStyle="1">
    <w:name w:val="标题 3 Char"/>
    <w:link w:val="1023"/>
    <w:uiPriority w:val="0"/>
    <w:qFormat/>
    <w:rPr>
      <w:rFonts w:ascii="Calibri" w:hAnsi="Calibri" w:eastAsia="宋体" w:cs="Times New Roman"/>
      <w:b/>
      <w:bCs/>
      <w:sz w:val="32"/>
      <w:szCs w:val="32"/>
    </w:rPr>
  </w:style>
  <w:style w:type="paragraph" w:styleId="1030" w:customStyle="1">
    <w:name w:val="文档结构图1"/>
    <w:basedOn w:val="834"/>
    <w:link w:val="1031"/>
    <w:uiPriority w:val="99"/>
    <w:unhideWhenUsed/>
    <w:qFormat/>
    <w:rPr>
      <w:rFonts w:ascii="宋体"/>
      <w:sz w:val="18"/>
      <w:szCs w:val="18"/>
    </w:rPr>
  </w:style>
  <w:style w:type="character" w:styleId="1031" w:customStyle="1">
    <w:name w:val="文档结构图 Char"/>
    <w:link w:val="1030"/>
    <w:uiPriority w:val="99"/>
    <w:semiHidden/>
    <w:qFormat/>
    <w:rPr>
      <w:rFonts w:ascii="宋体"/>
      <w:sz w:val="18"/>
      <w:szCs w:val="18"/>
    </w:rPr>
  </w:style>
  <w:style w:type="paragraph" w:styleId="1032" w:customStyle="1">
    <w:name w:val="正文文本11"/>
    <w:basedOn w:val="834"/>
    <w:uiPriority w:val="0"/>
    <w:qFormat/>
    <w:rPr>
      <w:rFonts w:ascii="楷体_GB2312" w:hAnsi="Arial" w:eastAsia="楷体_GB2312"/>
      <w:sz w:val="28"/>
      <w:szCs w:val="28"/>
    </w:rPr>
  </w:style>
  <w:style w:type="paragraph" w:styleId="1033" w:customStyle="1">
    <w:name w:val="正文文本缩进1"/>
    <w:uiPriority w:val="0"/>
    <w:qFormat/>
    <w:pPr>
      <w:ind w:left="420"/>
      <w:jc w:val="both"/>
      <w:spacing w:after="120"/>
      <w:widowControl w:val="off"/>
    </w:pPr>
    <w:rPr>
      <w:rFonts w:hint="default" w:ascii="Times New Roman" w:hAnsi="Times New Roman" w:eastAsia="宋体" w:cs="Times New Roman"/>
      <w:sz w:val="21"/>
      <w:szCs w:val="21"/>
      <w:lang w:val="en-US" w:eastAsia="zh-CN" w:bidi="ar-SA"/>
    </w:rPr>
  </w:style>
  <w:style w:type="paragraph" w:styleId="1034" w:customStyle="1">
    <w:name w:val="文本块11"/>
    <w:basedOn w:val="834"/>
    <w:uiPriority w:val="99"/>
    <w:unhideWhenUsed/>
    <w:qFormat/>
    <w:pPr>
      <w:ind w:left="567" w:right="454" w:firstLine="498"/>
      <w:jc w:val="left"/>
    </w:pPr>
    <w:rPr>
      <w:rFonts w:ascii="仿宋_GB2312" w:eastAsia="仿宋_GB2312"/>
      <w:sz w:val="30"/>
      <w:szCs w:val="20"/>
    </w:rPr>
  </w:style>
  <w:style w:type="paragraph" w:styleId="1035" w:customStyle="1">
    <w:name w:val="索引 41"/>
    <w:next w:val="834"/>
    <w:uiPriority w:val="0"/>
    <w:qFormat/>
    <w:pPr>
      <w:ind w:left="1418" w:hanging="420"/>
      <w:jc w:val="both"/>
      <w:widowControl w:val="off"/>
      <w:tabs>
        <w:tab w:val="left" w:pos="1418" w:leader="none"/>
        <w:tab w:val="left" w:pos="2126" w:leader="none"/>
        <w:tab w:val="left" w:pos="2835" w:leader="none"/>
        <w:tab w:val="left" w:pos="3544" w:leader="none"/>
        <w:tab w:val="left" w:pos="4253" w:leader="none"/>
        <w:tab w:val="left" w:pos="4961" w:leader="none"/>
        <w:tab w:val="left" w:pos="5670" w:leader="none"/>
      </w:tabs>
    </w:pPr>
    <w:rPr>
      <w:rFonts w:hint="default" w:ascii="Times New Roman" w:hAnsi="Times New Roman" w:eastAsia="宋体" w:cs="Times New Roman"/>
      <w:sz w:val="24"/>
      <w:lang w:val="en-US" w:eastAsia="zh-CN" w:bidi="ar-SA"/>
    </w:rPr>
  </w:style>
  <w:style w:type="paragraph" w:styleId="1036" w:customStyle="1">
    <w:name w:val="目录 31"/>
    <w:basedOn w:val="834"/>
    <w:next w:val="834"/>
    <w:uiPriority w:val="39"/>
    <w:unhideWhenUsed/>
    <w:qFormat/>
    <w:pPr>
      <w:ind w:left="840"/>
    </w:pPr>
  </w:style>
  <w:style w:type="paragraph" w:styleId="1037" w:customStyle="1">
    <w:name w:val="纯文本11"/>
    <w:basedOn w:val="834"/>
    <w:link w:val="1038"/>
    <w:uiPriority w:val="99"/>
    <w:unhideWhenUsed/>
    <w:qFormat/>
    <w:rPr>
      <w:rFonts w:ascii="宋体" w:hAnsi="Courier New"/>
      <w:sz w:val="20"/>
      <w:szCs w:val="20"/>
    </w:rPr>
  </w:style>
  <w:style w:type="character" w:styleId="1038" w:customStyle="1">
    <w:name w:val="纯文本 Char"/>
    <w:link w:val="1037"/>
    <w:uiPriority w:val="99"/>
    <w:qFormat/>
    <w:rPr>
      <w:rFonts w:ascii="宋体" w:hAnsi="Courier New"/>
    </w:rPr>
  </w:style>
  <w:style w:type="paragraph" w:styleId="1039" w:customStyle="1">
    <w:name w:val="日期1"/>
    <w:basedOn w:val="834"/>
    <w:next w:val="834"/>
    <w:link w:val="1040"/>
    <w:uiPriority w:val="0"/>
    <w:qFormat/>
    <w:rPr>
      <w:sz w:val="24"/>
      <w:szCs w:val="20"/>
    </w:rPr>
  </w:style>
  <w:style w:type="character" w:styleId="1040" w:customStyle="1">
    <w:name w:val="日期 Char"/>
    <w:link w:val="1039"/>
    <w:uiPriority w:val="0"/>
    <w:qFormat/>
    <w:rPr>
      <w:rFonts w:ascii="Times New Roman" w:hAnsi="Times New Roman"/>
      <w:sz w:val="24"/>
    </w:rPr>
  </w:style>
  <w:style w:type="paragraph" w:styleId="1041" w:customStyle="1">
    <w:name w:val="正文文本缩进 21"/>
    <w:basedOn w:val="834"/>
    <w:uiPriority w:val="99"/>
    <w:unhideWhenUsed/>
    <w:qFormat/>
    <w:pPr>
      <w:ind w:firstLine="562"/>
      <w:spacing w:line="480" w:lineRule="exact"/>
    </w:pPr>
    <w:rPr>
      <w:b/>
      <w:bCs/>
      <w:sz w:val="28"/>
      <w:szCs w:val="28"/>
    </w:rPr>
  </w:style>
  <w:style w:type="paragraph" w:styleId="1042" w:customStyle="1">
    <w:name w:val="页脚11"/>
    <w:basedOn w:val="834"/>
    <w:link w:val="1043"/>
    <w:uiPriority w:val="99"/>
    <w:unhideWhenUsed/>
    <w:qFormat/>
    <w:pPr>
      <w:jc w:val="left"/>
      <w:tabs>
        <w:tab w:val="center" w:pos="4153" w:leader="none"/>
        <w:tab w:val="right" w:pos="8306" w:leader="none"/>
      </w:tabs>
    </w:pPr>
    <w:rPr>
      <w:sz w:val="18"/>
      <w:szCs w:val="18"/>
    </w:rPr>
  </w:style>
  <w:style w:type="character" w:styleId="1043" w:customStyle="1">
    <w:name w:val="页脚 Char"/>
    <w:link w:val="1042"/>
    <w:uiPriority w:val="99"/>
    <w:qFormat/>
    <w:rPr>
      <w:sz w:val="18"/>
      <w:szCs w:val="18"/>
    </w:rPr>
  </w:style>
  <w:style w:type="paragraph" w:styleId="1044" w:customStyle="1">
    <w:name w:val="页眉11"/>
    <w:basedOn w:val="834"/>
    <w:link w:val="104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45" w:customStyle="1">
    <w:name w:val="页眉 Char"/>
    <w:link w:val="1044"/>
    <w:uiPriority w:val="99"/>
    <w:qFormat/>
    <w:rPr>
      <w:sz w:val="18"/>
      <w:szCs w:val="18"/>
    </w:rPr>
  </w:style>
  <w:style w:type="paragraph" w:styleId="1046" w:customStyle="1">
    <w:name w:val="目录 11"/>
    <w:basedOn w:val="834"/>
    <w:next w:val="834"/>
    <w:uiPriority w:val="39"/>
    <w:unhideWhenUsed/>
    <w:qFormat/>
    <w:rPr>
      <w:rFonts w:ascii="Calibri" w:hAnsi="Calibri" w:eastAsia="宋体" w:cs="Times New Roman"/>
    </w:rPr>
  </w:style>
  <w:style w:type="paragraph" w:styleId="1047" w:customStyle="1">
    <w:name w:val="目录 21"/>
    <w:basedOn w:val="834"/>
    <w:next w:val="834"/>
    <w:uiPriority w:val="39"/>
    <w:unhideWhenUsed/>
    <w:qFormat/>
    <w:pPr>
      <w:ind w:left="420"/>
    </w:pPr>
  </w:style>
  <w:style w:type="paragraph" w:styleId="1048" w:customStyle="1">
    <w:name w:val="普通(网站)1"/>
    <w:basedOn w:val="834"/>
    <w:uiPriority w:val="0"/>
    <w:unhideWhenUsed/>
    <w:qFormat/>
    <w:pPr>
      <w:jc w:val="left"/>
    </w:pPr>
    <w:rPr>
      <w:rFonts w:ascii="Calibri" w:hAnsi="Calibri" w:eastAsia="宋体" w:cs="Times New Roman"/>
      <w:sz w:val="24"/>
      <w:szCs w:val="24"/>
    </w:rPr>
  </w:style>
  <w:style w:type="character" w:styleId="1049" w:customStyle="1">
    <w:name w:val="要点1"/>
    <w:link w:val="834"/>
    <w:uiPriority w:val="0"/>
    <w:qFormat/>
    <w:rPr>
      <w:b/>
    </w:rPr>
  </w:style>
  <w:style w:type="paragraph" w:styleId="1050" w:customStyle="1">
    <w:name w:val="正文（缩进）"/>
    <w:basedOn w:val="834"/>
    <w:uiPriority w:val="0"/>
    <w:qFormat/>
    <w:pPr>
      <w:ind w:firstLine="480"/>
    </w:pPr>
    <w:rPr>
      <w:rFonts w:ascii="Calibri" w:hAnsi="Calibri" w:eastAsia="宋体" w:cs="Times New Roman"/>
      <w:szCs w:val="24"/>
    </w:rPr>
  </w:style>
  <w:style w:type="paragraph" w:styleId="1051" w:customStyle="1">
    <w:name w:val="正文1"/>
    <w:basedOn w:val="834"/>
    <w:next w:val="1052"/>
    <w:uiPriority w:val="0"/>
    <w:qFormat/>
    <w:pPr>
      <w:jc w:val="left"/>
      <w:spacing w:line="360" w:lineRule="atLeast"/>
    </w:pPr>
    <w:rPr>
      <w:rFonts w:ascii="宋体" w:hAnsi="Calibri" w:eastAsia="宋体" w:cs="Times New Roman"/>
      <w:sz w:val="24"/>
      <w:szCs w:val="20"/>
    </w:rPr>
  </w:style>
  <w:style w:type="paragraph" w:styleId="1052" w:customStyle="1">
    <w:name w:val="正文文本1"/>
    <w:basedOn w:val="1051"/>
    <w:next w:val="1053"/>
    <w:uiPriority w:val="0"/>
    <w:qFormat/>
    <w:pPr>
      <w:spacing w:after="120"/>
    </w:pPr>
    <w:rPr>
      <w:lang w:val="en-US" w:eastAsia="en-US"/>
    </w:rPr>
  </w:style>
  <w:style w:type="paragraph" w:styleId="1053" w:customStyle="1">
    <w:name w:val="一级条标题"/>
    <w:basedOn w:val="1054"/>
    <w:next w:val="10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4" w:customStyle="1">
    <w:name w:val="章标题"/>
    <w:next w:val="83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5" w:customStyle="1">
    <w:name w:val="段"/>
    <w:basedOn w:val="1051"/>
    <w:next w:val="834"/>
    <w:uiPriority w:val="0"/>
    <w:qFormat/>
    <w:pPr>
      <w:ind w:firstLine="200"/>
      <w:widowControl/>
    </w:pPr>
    <w:rPr>
      <w:rFonts w:ascii="宋体"/>
      <w:sz w:val="20"/>
      <w:szCs w:val="20"/>
    </w:rPr>
  </w:style>
  <w:style w:type="paragraph" w:styleId="1056" w:customStyle="1">
    <w:name w:val="首行缩进"/>
    <w:basedOn w:val="834"/>
    <w:uiPriority w:val="0"/>
    <w:qFormat/>
    <w:pPr>
      <w:ind w:firstLine="480"/>
    </w:pPr>
    <w:rPr>
      <w:rFonts w:ascii="Times New Roman" w:hAnsi="Times New Roman"/>
    </w:rPr>
  </w:style>
  <w:style w:type="character" w:styleId="1057" w:customStyle="1">
    <w:name w:val="htd0"/>
    <w:link w:val="834"/>
    <w:uiPriority w:val="0"/>
    <w:qFormat/>
  </w:style>
  <w:style w:type="character" w:styleId="1058" w:customStyle="1">
    <w:name w:val="页脚 Char1"/>
    <w:link w:val="834"/>
    <w:uiPriority w:val="99"/>
    <w:semiHidden/>
    <w:qFormat/>
    <w:rPr>
      <w:sz w:val="18"/>
      <w:szCs w:val="18"/>
    </w:rPr>
  </w:style>
  <w:style w:type="character" w:styleId="1059" w:customStyle="1">
    <w:name w:val="纯文本 Char1"/>
    <w:link w:val="834"/>
    <w:uiPriority w:val="99"/>
    <w:semiHidden/>
    <w:qFormat/>
    <w:rPr>
      <w:rFonts w:ascii="宋体" w:hAnsi="Courier New" w:eastAsia="宋体" w:cs="Courier New"/>
      <w:szCs w:val="21"/>
    </w:rPr>
  </w:style>
  <w:style w:type="character" w:styleId="1060" w:customStyle="1">
    <w:name w:val="批注引用1"/>
    <w:link w:val="1061"/>
    <w:uiPriority w:val="0"/>
    <w:qFormat/>
    <w:rPr>
      <w:rFonts w:ascii="Calibri" w:hAnsi="Calibri"/>
      <w:sz w:val="21"/>
      <w:szCs w:val="24"/>
      <w:lang w:val="en-US" w:eastAsia="zh-CN" w:bidi="ar-SA"/>
    </w:rPr>
  </w:style>
  <w:style w:type="paragraph" w:styleId="1061" w:customStyle="1">
    <w:name w:val="正文111"/>
    <w:next w:val="1062"/>
    <w:link w:val="1060"/>
    <w:uiPriority w:val="0"/>
    <w:qFormat/>
    <w:pPr>
      <w:jc w:val="both"/>
      <w:widowControl w:val="off"/>
    </w:pPr>
    <w:rPr>
      <w:rFonts w:hint="default" w:ascii="Calibri" w:hAnsi="Calibri" w:eastAsia="宋体" w:cs="Times New Roman"/>
      <w:sz w:val="21"/>
      <w:szCs w:val="24"/>
      <w:lang w:val="en-US" w:eastAsia="zh-CN" w:bidi="ar-SA"/>
    </w:rPr>
  </w:style>
  <w:style w:type="paragraph" w:styleId="1062" w:customStyle="1">
    <w:name w:val="文本块1"/>
    <w:basedOn w:val="1061"/>
    <w:uiPriority w:val="0"/>
    <w:qFormat/>
    <w:pPr>
      <w:ind w:left="567" w:right="454" w:firstLine="498"/>
      <w:jc w:val="left"/>
      <w:widowControl/>
    </w:pPr>
    <w:rPr>
      <w:rFonts w:ascii="仿宋_GB2312" w:eastAsia="仿宋_GB2312"/>
      <w:sz w:val="30"/>
      <w:szCs w:val="20"/>
    </w:rPr>
  </w:style>
  <w:style w:type="character" w:styleId="1063" w:customStyle="1">
    <w:name w:val="页眉 Char1"/>
    <w:link w:val="834"/>
    <w:uiPriority w:val="99"/>
    <w:semiHidden/>
    <w:qFormat/>
    <w:rPr>
      <w:sz w:val="18"/>
      <w:szCs w:val="18"/>
    </w:rPr>
  </w:style>
  <w:style w:type="character" w:styleId="1064" w:customStyle="1">
    <w:name w:val="日期 Char1"/>
    <w:link w:val="834"/>
    <w:uiPriority w:val="99"/>
    <w:semiHidden/>
    <w:qFormat/>
  </w:style>
  <w:style w:type="paragraph" w:styleId="1065" w:customStyle="1">
    <w:name w:val="纯文本1"/>
    <w:basedOn w:val="1061"/>
    <w:uiPriority w:val="0"/>
    <w:qFormat/>
    <w:rPr>
      <w:rFonts w:ascii="宋体" w:hAnsi="Courier New"/>
      <w:sz w:val="21"/>
      <w:szCs w:val="21"/>
    </w:rPr>
  </w:style>
  <w:style w:type="paragraph" w:styleId="1066" w:customStyle="1">
    <w:name w:val="页眉1"/>
    <w:basedOn w:val="1061"/>
    <w:uiPriority w:val="0"/>
    <w:qFormat/>
    <w:pPr>
      <w:jc w:val="center"/>
      <w:tabs>
        <w:tab w:val="center" w:pos="4153" w:leader="none"/>
        <w:tab w:val="right" w:pos="8306" w:leader="none"/>
      </w:tabs>
      <w:pBdr>
        <w:bottom w:val="single" w:color="000000" w:sz="6" w:space="1"/>
      </w:pBdr>
    </w:pPr>
    <w:rPr>
      <w:sz w:val="18"/>
      <w:szCs w:val="18"/>
    </w:rPr>
  </w:style>
  <w:style w:type="paragraph" w:styleId="1067" w:customStyle="1">
    <w:name w:val="普通正文"/>
    <w:basedOn w:val="834"/>
    <w:uiPriority w:val="0"/>
    <w:qFormat/>
    <w:pPr>
      <w:ind w:firstLine="480"/>
      <w:jc w:val="left"/>
      <w:spacing w:before="120" w:after="120" w:line="360" w:lineRule="auto"/>
    </w:pPr>
    <w:rPr>
      <w:rFonts w:ascii="Arial" w:hAnsi="Arial" w:eastAsia="宋体" w:cs="Times New Roman"/>
      <w:sz w:val="24"/>
      <w:szCs w:val="24"/>
    </w:rPr>
  </w:style>
  <w:style w:type="paragraph" w:styleId="1068" w:customStyle="1">
    <w:name w:val="默认段落字体 Para Char Char Char Char Char Char Char"/>
    <w:basedOn w:val="834"/>
    <w:next w:val="834"/>
    <w:uiPriority w:val="99"/>
    <w:qFormat/>
    <w:pPr>
      <w:ind w:firstLine="200"/>
    </w:pPr>
    <w:rPr>
      <w:rFonts w:ascii="Calibri" w:hAnsi="Calibri" w:eastAsia="宋体" w:cs="Arial"/>
      <w:szCs w:val="24"/>
    </w:rPr>
  </w:style>
  <w:style w:type="paragraph" w:styleId="1069"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070" w:customStyle="1">
    <w:name w:val="Char"/>
    <w:basedOn w:val="834"/>
    <w:uiPriority w:val="0"/>
    <w:qFormat/>
    <w:pPr>
      <w:ind w:firstLine="200"/>
      <w:tabs>
        <w:tab w:val="left" w:pos="360" w:leader="none"/>
      </w:tabs>
    </w:pPr>
    <w:rPr>
      <w:rFonts w:ascii="Times New Roman" w:hAnsi="Times New Roman" w:eastAsia="宋体" w:cs="Times New Roman"/>
      <w:sz w:val="28"/>
      <w:szCs w:val="30"/>
    </w:rPr>
  </w:style>
  <w:style w:type="paragraph" w:styleId="107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4" w:customStyle="1">
    <w:name w:val="页脚1"/>
    <w:basedOn w:val="1061"/>
    <w:uiPriority w:val="0"/>
    <w:qFormat/>
    <w:pPr>
      <w:jc w:val="left"/>
      <w:tabs>
        <w:tab w:val="center" w:pos="4153" w:leader="none"/>
        <w:tab w:val="right" w:pos="8306" w:leader="none"/>
      </w:tabs>
    </w:pPr>
    <w:rPr>
      <w:sz w:val="18"/>
      <w:szCs w:val="18"/>
    </w:rPr>
  </w:style>
  <w:style w:type="paragraph" w:styleId="1075" w:customStyle="1">
    <w:name w:val="_Style 4"/>
    <w:next w:val="834"/>
    <w:uiPriority w:val="0"/>
    <w:qFormat/>
    <w:pPr>
      <w:jc w:val="both"/>
      <w:keepLines/>
      <w:keepNext/>
      <w:spacing w:before="340" w:after="330" w:line="578" w:lineRule="auto"/>
      <w:widowControl w:val="off"/>
    </w:pPr>
    <w:rPr>
      <w:rFonts w:hint="default" w:ascii="Times New Roman" w:hAnsi="Times New Roman" w:eastAsia="宋体" w:cs="Times New Roman"/>
      <w:b/>
      <w:bCs/>
      <w:sz w:val="44"/>
      <w:szCs w:val="44"/>
      <w:lang w:val="en-US" w:eastAsia="zh-CN" w:bidi="ar-SA"/>
    </w:rPr>
  </w:style>
  <w:style w:type="paragraph" w:styleId="1076" w:customStyle="1">
    <w:name w:val="正文_2"/>
    <w:uiPriority w:val="0"/>
    <w:qFormat/>
    <w:rPr>
      <w:rFonts w:hint="default" w:ascii="Times New Roman" w:hAnsi="Times New Roman" w:eastAsia="宋体" w:cs="Times New Roman"/>
      <w:lang w:val="en-US" w:eastAsia="zh-CN" w:bidi="ar-SA"/>
    </w:rPr>
  </w:style>
  <w:style w:type="paragraph" w:styleId="1077" w:customStyle="1">
    <w:name w:val="WPSOffice手动目录 1"/>
    <w:uiPriority w:val="0"/>
    <w:qFormat/>
    <w:rPr>
      <w:rFonts w:hint="default" w:ascii="Times New Roman" w:hAnsi="Times New Roman" w:eastAsia="宋体" w:cs="Times New Roman"/>
      <w:lang w:val="en-US" w:eastAsia="zh-CN" w:bidi="ar-SA"/>
    </w:rPr>
  </w:style>
  <w:style w:type="character" w:styleId="1078" w:customStyle="1">
    <w:name w:val="font51"/>
    <w:basedOn w:val="844"/>
    <w:uiPriority w:val="0"/>
    <w:qFormat/>
    <w:rPr>
      <w:rFonts w:ascii="宋体" w:hAnsi="宋体" w:eastAsia="宋体" w:cs="宋体"/>
      <w:color w:val="000000"/>
      <w:sz w:val="18"/>
      <w:szCs w:val="18"/>
      <w:u w:val="none"/>
    </w:rPr>
  </w:style>
  <w:style w:type="character" w:styleId="1079" w:customStyle="1">
    <w:name w:val="font31"/>
    <w:basedOn w:val="844"/>
    <w:uiPriority w:val="0"/>
    <w:qFormat/>
    <w:rPr>
      <w:rFonts w:ascii="宋体" w:hAnsi="宋体" w:eastAsia="宋体" w:cs="宋体"/>
      <w:b/>
      <w:bCs/>
      <w:color w:val="000000"/>
      <w:sz w:val="18"/>
      <w:szCs w:val="18"/>
      <w:u w:val="none"/>
    </w:rPr>
  </w:style>
  <w:style w:type="character" w:styleId="1080" w:customStyle="1">
    <w:name w:val="font101"/>
    <w:basedOn w:val="844"/>
    <w:uiPriority w:val="0"/>
    <w:qFormat/>
    <w:rPr>
      <w:rFonts w:hint="default" w:ascii="Arial" w:hAnsi="Arial" w:cs="Arial"/>
      <w:color w:val="000000"/>
      <w:sz w:val="16"/>
      <w:szCs w:val="16"/>
      <w:u w:val="none"/>
    </w:rPr>
  </w:style>
  <w:style w:type="character" w:styleId="1081" w:customStyle="1">
    <w:name w:val="font61"/>
    <w:basedOn w:val="844"/>
    <w:uiPriority w:val="0"/>
    <w:qFormat/>
    <w:rPr>
      <w:rFonts w:ascii="宋体" w:hAnsi="宋体" w:eastAsia="宋体" w:cs="宋体"/>
      <w:color w:val="000000"/>
      <w:sz w:val="16"/>
      <w:szCs w:val="16"/>
      <w:u w:val="none"/>
    </w:rPr>
  </w:style>
  <w:style w:type="character" w:styleId="1082" w:customStyle="1">
    <w:name w:val="font71"/>
    <w:basedOn w:val="844"/>
    <w:uiPriority w:val="0"/>
    <w:qFormat/>
    <w:rPr>
      <w:rFonts w:hint="eastAsia" w:ascii="宋体" w:hAnsi="宋体" w:eastAsia="宋体" w:cs="宋体"/>
      <w:color w:val="000000"/>
      <w:sz w:val="16"/>
      <w:szCs w:val="16"/>
      <w:u w:val="none"/>
    </w:rPr>
  </w:style>
  <w:style w:type="table" w:styleId="1083" w:customStyle="1">
    <w:name w:val="Table Grid"/>
    <w:uiPriority w:val="0"/>
    <w:qFormat/>
    <w:rPr>
      <w:rFonts w:ascii="Times New Roman" w:hAnsi="Times New Roman"/>
    </w:rPr>
    <w:tblPr>
      <w:tblCellMar>
        <w:left w:w="0" w:type="dxa"/>
        <w:top w:w="0" w:type="dxa"/>
        <w:right w:w="0" w:type="dxa"/>
        <w:bottom w:w="0" w:type="dxa"/>
      </w:tblCellMar>
    </w:tblPr>
  </w:style>
  <w:style w:type="character" w:styleId="1084" w:customStyle="1">
    <w:name w:val="超链接1"/>
    <w:basedOn w:val="1024"/>
    <w:link w:val="834"/>
    <w:uiPriority w:val="99"/>
    <w:unhideWhenUsed/>
    <w:qFormat/>
    <w:rPr>
      <w:color w:val="0000ff"/>
      <w:u w:val="single"/>
    </w:rPr>
  </w:style>
  <w:style w:type="paragraph" w:styleId="1085" w:customStyle="1">
    <w:name w:val="Heading 2"/>
    <w:basedOn w:val="1086"/>
    <w:next w:val="1086"/>
    <w:uiPriority w:val="0"/>
    <w:qFormat/>
    <w:pPr>
      <w:ind w:left="1276"/>
      <w:jc w:val="left"/>
      <w:outlineLvl w:val="2"/>
    </w:pPr>
    <w:rPr>
      <w:rFonts w:ascii="宋体" w:hAnsi="宋体" w:cstheme="minorBidi"/>
      <w:b/>
      <w:bCs/>
      <w:sz w:val="32"/>
      <w:szCs w:val="32"/>
      <w:lang w:eastAsia="en-US"/>
    </w:rPr>
  </w:style>
  <w:style w:type="paragraph" w:styleId="1086" w:customStyle="1">
    <w:name w:val="正文4"/>
    <w:uiPriority w:val="0"/>
    <w:qFormat/>
    <w:pPr>
      <w:jc w:val="both"/>
      <w:widowControl w:val="off"/>
    </w:pPr>
    <w:rPr>
      <w:rFonts w:hint="default" w:ascii="Times New Roman" w:hAnsi="Times New Roman" w:eastAsia="宋体" w:cs="Times New Roman"/>
      <w:szCs w:val="24"/>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53135</dc:creator>
  <cp:lastModifiedBy>郭静</cp:lastModifiedBy>
  <cp:revision>10</cp:revision>
  <dcterms:created xsi:type="dcterms:W3CDTF">2025-03-11T09:55:00Z</dcterms:created>
  <dcterms:modified xsi:type="dcterms:W3CDTF">2026-04-20T07:23:51Z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eyJoZGlkIjoiZGEwZTdiNmVmMTdmOTU3ZGZmZjdjNzQ4ZmM0OTgwNTkiLCJ1c2VySWQiOiIzMTUwOTE3NCJ9</vt:lpwstr>
  </property>
  <property fmtid="{D5CDD505-2E9C-101B-9397-08002B2CF9AE}" pid="3" name="KSOProductBuildVer">
    <vt:lpwstr>2052-12.1.0.25225</vt:lpwstr>
  </property>
  <property fmtid="{D5CDD505-2E9C-101B-9397-08002B2CF9AE}" pid="4" name="ICV">
    <vt:lpwstr>2A19E9B0DC9F49F988CB232AAB1564AE_13</vt:lpwstr>
  </property>
</Properties>
</file>