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JSZC-321000-SWGC-G2026-0063</w:t>
      </w:r>
      <w:r>
        <w:rPr>
          <w:rFonts w:hint="eastAsia" w:ascii="宋体" w:hAnsi="宋体" w:cs="宋体"/>
          <w:b/>
          <w:bCs/>
          <w:color w:val="auto"/>
          <w:sz w:val="36"/>
          <w:highlight w:val="none"/>
        </w:rPr>
        <w:t xml:space="preserve">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r>
      <w:r>
        <w:rPr>
          <w:rFonts w:hint="eastAsia" w:ascii="宋体" w:hAnsi="宋体" w:cs="宋体"/>
          <w:b/>
          <w:bCs/>
          <w:color w:val="auto"/>
          <w:spacing w:val="-17"/>
          <w:sz w:val="36"/>
          <w:highlight w:val="none"/>
          <w:lang w:eastAsia="zh-CN"/>
        </w:rPr>
        <w:t xml:space="preserve">苏北人民医院电子支气管镜系统采购</w:t>
      </w:r>
      <w:r>
        <w:rPr>
          <w:rFonts w:hint="eastAsia" w:ascii="宋体" w:hAnsi="宋体" w:cs="宋体"/>
          <w:b/>
          <w:bCs/>
          <w:color w:val="auto"/>
          <w:spacing w:val="-17"/>
          <w:sz w:val="36"/>
          <w:highlight w:val="none"/>
          <w:lang w:eastAsia="zh-CN"/>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8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5</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25</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997"/>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77"/>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val="en-US" w:eastAsia="zh-CN"/>
        </w:rPr>
        <w:t xml:space="preserve">投标邀请</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777"/>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77"/>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18</w:t>
      </w:r>
      <w:r/>
    </w:p>
    <w:p>
      <w:pPr>
        <w:pStyle w:val="777"/>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rFonts w:hint="eastAsia"/>
          <w:color w:val="auto"/>
          <w:highlight w:val="none"/>
        </w:rPr>
        <w:t xml:space="preserve">25</w:t>
      </w:r>
      <w:r/>
    </w:p>
    <w:p>
      <w:pPr>
        <w:pStyle w:val="777"/>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rFonts w:hint="eastAsia"/>
          <w:color w:val="auto"/>
          <w:highlight w:val="none"/>
        </w:rPr>
        <w:t xml:space="preserve">36</w:t>
      </w:r>
      <w:r/>
    </w:p>
    <w:p>
      <w:pPr>
        <w:pStyle w:val="777"/>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rFonts w:hint="eastAsia"/>
          <w:color w:val="auto"/>
          <w:highlight w:val="none"/>
        </w:rPr>
        <w:t xml:space="preserve">42</w:t>
      </w:r>
      <w:r/>
    </w:p>
    <w:p>
      <w:pPr>
        <w:pStyle w:val="783"/>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753"/>
        <w:rPr>
          <w:rFonts w:hint="default" w:eastAsia="宋体"/>
          <w:color w:val="auto"/>
          <w:highlight w:val="none"/>
          <w:lang w:val="en-US" w:eastAsia="zh-CN"/>
        </w:rPr>
      </w:pPr>
      <w:r/>
      <w:bookmarkStart w:id="0" w:name="_Toc30208"/>
      <w:r/>
      <w:bookmarkStart w:id="1" w:name="_Toc55204177"/>
      <w:r>
        <w:rPr>
          <w:rFonts w:hint="eastAsia"/>
          <w:color w:val="auto"/>
          <w:highlight w:val="none"/>
        </w:rPr>
        <w:t xml:space="preserve">第一章 </w:t>
      </w:r>
      <w:bookmarkEnd w:id="0"/>
      <w:r/>
      <w:bookmarkEnd w:id="1"/>
      <w:r>
        <w:rPr>
          <w:rFonts w:hint="eastAsia"/>
          <w:color w:val="auto"/>
          <w:highlight w:val="none"/>
          <w:lang w:val="en-US" w:eastAsia="zh-CN"/>
        </w:rPr>
        <w:t xml:space="preserve">投标邀请</w:t>
      </w:r>
      <w:r/>
    </w:p>
    <w:p>
      <w:pPr>
        <w:ind w:firstLine="420"/>
        <w:jc w:val="left"/>
        <w:pageBreakBefore w:val="0"/>
        <w:spacing w:line="360" w:lineRule="auto"/>
        <w:tabs>
          <w:tab w:val="left" w:pos="26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受苏北人民医院的委托，江苏苏维工程管理有限公司就</w:t>
      </w:r>
      <w:r>
        <w:rPr>
          <w:rFonts w:hint="eastAsia" w:ascii="宋体" w:hAnsi="宋体" w:cs="宋体"/>
          <w:color w:val="auto"/>
          <w:sz w:val="21"/>
          <w:szCs w:val="21"/>
          <w:highlight w:val="none"/>
          <w:lang w:eastAsia="zh-CN"/>
        </w:rPr>
        <w:t xml:space="preserve">苏北人民医院电子支气管镜系统采购项目</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JSZC-321000-SWGC-G2026-0063</w:t>
      </w:r>
      <w:r>
        <w:rPr>
          <w:rFonts w:hint="eastAsia" w:ascii="宋体" w:hAnsi="宋体" w:cs="宋体"/>
          <w:color w:val="auto"/>
          <w:sz w:val="21"/>
          <w:szCs w:val="21"/>
          <w:highlight w:val="none"/>
        </w:rPr>
        <w:t xml:space="preserve">号)进行公开招标采购，欢迎符合条件的供应商投标。</w:t>
      </w:r>
      <w:r/>
    </w:p>
    <w:p>
      <w:pPr>
        <w:ind w:firstLine="422"/>
        <w:pageBreakBefore w:val="0"/>
        <w:spacing w:line="360" w:lineRule="auto"/>
        <w:rPr>
          <w:rFonts w:hint="eastAsia" w:ascii="宋体" w:hAnsi="宋体" w:cs="宋体"/>
          <w:b w:val="0"/>
          <w:bCs w:val="0"/>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1"/>
          <w:szCs w:val="21"/>
          <w:highlight w:val="none"/>
        </w:rPr>
        <w:t xml:space="preserve">项目概况</w:t>
      </w:r>
      <w:r/>
    </w:p>
    <w:p>
      <w:pPr>
        <w:ind w:firstLine="420"/>
        <w:pageBreakBefore w:val="0"/>
        <w:spacing w:line="360" w:lineRule="auto"/>
        <w:rPr>
          <w:rFonts w:hint="eastAsia" w:ascii="宋体" w:hAnsi="宋体" w:cs="宋体"/>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苏北人民医院电子支气管镜系统采购项目JSZC-321000-SWGC-G2026-0063</w:t>
      </w:r>
      <w:r>
        <w:rPr>
          <w:rFonts w:hint="eastAsia" w:ascii="宋体" w:hAnsi="宋体" w:cs="宋体"/>
          <w:color w:val="auto"/>
          <w:sz w:val="21"/>
          <w:szCs w:val="21"/>
          <w:highlight w:val="none"/>
          <w:u w:val="single"/>
          <w:lang w:val="en-US" w:eastAsia="zh-CN"/>
        </w:rPr>
        <w:t xml:space="preserve">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none"/>
        </w:rPr>
        <w:t xml:space="preserve">招标项目的潜在投标人应在</w:t>
      </w:r>
      <w:r>
        <w:rPr>
          <w:rFonts w:hint="eastAsia" w:ascii="宋体" w:hAnsi="宋体" w:cs="宋体"/>
          <w:color w:val="auto"/>
          <w:sz w:val="21"/>
          <w:szCs w:val="21"/>
          <w:highlight w:val="none"/>
          <w:u w:val="single"/>
        </w:rPr>
        <w:t xml:space="preserve">“扬州市政府采购网”“江苏政府采购网”“中国政府采购网”自行免费下载</w:t>
      </w:r>
      <w:r>
        <w:rPr>
          <w:rFonts w:hint="eastAsia" w:ascii="宋体" w:hAnsi="宋体" w:cs="宋体"/>
          <w:color w:val="auto"/>
          <w:sz w:val="21"/>
          <w:szCs w:val="21"/>
          <w:highlight w:val="none"/>
          <w:u w:val="none"/>
        </w:rPr>
        <w:t xml:space="preserve"> 获取招标文件，并于</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15</w:t>
      </w:r>
      <w:r>
        <w:rPr>
          <w:rFonts w:hint="eastAsia" w:ascii="宋体" w:hAnsi="宋体" w:cs="宋体"/>
          <w:color w:val="auto"/>
          <w:sz w:val="21"/>
          <w:szCs w:val="21"/>
          <w:highlight w:val="none"/>
          <w:u w:val="single"/>
        </w:rPr>
        <w:t xml:space="preserve">日上午9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30（北京时间）</w:t>
      </w:r>
      <w:r>
        <w:rPr>
          <w:rFonts w:hint="eastAsia" w:ascii="宋体" w:hAnsi="宋体" w:cs="宋体"/>
          <w:color w:val="auto"/>
          <w:sz w:val="21"/>
          <w:szCs w:val="21"/>
          <w:highlight w:val="none"/>
          <w:u w:val="none"/>
        </w:rPr>
        <w:t xml:space="preserve">前递交投标文件。</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 w:name="_Toc35393621"/>
      <w:r/>
      <w:bookmarkStart w:id="3" w:name="_Toc35393790"/>
      <w:r/>
      <w:bookmarkStart w:id="4" w:name="_Toc28359079"/>
      <w:r/>
      <w:bookmarkStart w:id="5" w:name="_Toc28359002"/>
      <w:r/>
      <w:bookmarkStart w:id="6" w:name="_Toc38985263"/>
      <w:r/>
      <w:bookmarkStart w:id="7" w:name="_Hlk24379207"/>
      <w:r>
        <w:rPr>
          <w:rFonts w:hint="eastAsia" w:ascii="宋体" w:hAnsi="宋体" w:cs="宋体"/>
          <w:b/>
          <w:bCs/>
          <w:color w:val="auto"/>
          <w:sz w:val="21"/>
          <w:szCs w:val="21"/>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JSZC-321000-SWGC-G2026-0063</w:t>
      </w:r>
      <w:r>
        <w:rPr>
          <w:rFonts w:hint="eastAsia" w:ascii="宋体" w:hAnsi="宋体" w:cs="宋体"/>
          <w:color w:val="auto"/>
          <w:sz w:val="21"/>
          <w:szCs w:val="21"/>
          <w:highlight w:val="none"/>
        </w:rPr>
        <w:t xml:space="preserve">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苏北人民医院电子支气管镜系统采购项目</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763"/>
        <w:tblW w:w="38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2"/>
        <w:gridCol w:w="4774"/>
      </w:tblGrid>
      <w:tr>
        <w:trPr/>
        <w:tc>
          <w:tcPr>
            <w:tcW w:w="134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3651"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预算</w:t>
            </w:r>
            <w:r>
              <w:rPr>
                <w:rFonts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34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651"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245</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763"/>
        <w:tblW w:w="38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7"/>
        <w:gridCol w:w="2811"/>
        <w:gridCol w:w="2350"/>
      </w:tblGrid>
      <w:tr>
        <w:trPr/>
        <w:tc>
          <w:tcPr>
            <w:tcW w:w="1053"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2149" w:type="pct"/>
            <w:vAlign w:val="center"/>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firstLine="42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1796" w:type="pct"/>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最高</w:t>
            </w:r>
            <w:r>
              <w:rPr>
                <w:rFonts w:ascii="宋体" w:hAnsi="宋体"/>
                <w:color w:val="auto"/>
                <w:sz w:val="21"/>
                <w:szCs w:val="21"/>
                <w:highlight w:val="none"/>
              </w:rPr>
              <w:t xml:space="preserve">限价</w:t>
            </w:r>
            <w:r/>
          </w:p>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053"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2149"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w:t>
            </w:r>
            <w:r/>
          </w:p>
        </w:tc>
        <w:tc>
          <w:tcPr>
            <w:tcW w:w="1796"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245</w:t>
            </w:r>
            <w:r/>
          </w:p>
        </w:tc>
      </w:tr>
    </w:tbl>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5.采购需求：</w:t>
      </w:r>
      <w:r>
        <w:rPr>
          <w:rFonts w:hint="eastAsia" w:ascii="宋体" w:hAnsi="宋体" w:cs="宋体"/>
          <w:color w:val="auto"/>
          <w:sz w:val="21"/>
          <w:szCs w:val="21"/>
          <w:highlight w:val="none"/>
          <w:lang w:val="en-US" w:eastAsia="zh-CN"/>
        </w:rPr>
        <w:t xml:space="preserve">详</w:t>
      </w:r>
      <w:r>
        <w:rPr>
          <w:rFonts w:hint="eastAsia" w:ascii="宋体" w:hAnsi="宋体" w:cs="宋体"/>
          <w:color w:val="auto"/>
          <w:sz w:val="21"/>
          <w:szCs w:val="21"/>
          <w:highlight w:val="none"/>
        </w:rPr>
        <w:t xml:space="preserve">见招标文件第四章。</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6.合同履行期限：合同签订后90个日历</w:t>
      </w:r>
      <w:r>
        <w:rPr>
          <w:rFonts w:hint="eastAsia" w:ascii="宋体" w:hAnsi="宋体" w:cs="宋体"/>
          <w:color w:val="auto"/>
          <w:sz w:val="21"/>
          <w:szCs w:val="21"/>
          <w:highlight w:val="none"/>
          <w:lang w:val="en-US" w:eastAsia="zh-CN"/>
        </w:rPr>
        <w:t xml:space="preserve">天</w:t>
      </w:r>
      <w:r>
        <w:rPr>
          <w:rFonts w:hint="eastAsia" w:ascii="宋体" w:hAnsi="宋体" w:cs="宋体"/>
          <w:color w:val="auto"/>
          <w:sz w:val="21"/>
          <w:szCs w:val="21"/>
          <w:highlight w:val="none"/>
        </w:rPr>
        <w:t xml:space="preserve">内安装调试完毕。</w:t>
      </w:r>
      <w:r>
        <w:rPr>
          <w:rFonts w:hint="eastAsia" w:ascii="宋体" w:hAnsi="宋体" w:cs="宋体"/>
          <w:color w:val="auto"/>
          <w:sz w:val="21"/>
          <w:szCs w:val="21"/>
          <w:highlight w:val="none"/>
          <w:lang w:val="en-US" w:eastAsia="zh-CN"/>
        </w:rPr>
        <w:t xml:space="preserve">详</w:t>
      </w:r>
      <w:r>
        <w:rPr>
          <w:rFonts w:hint="eastAsia" w:ascii="宋体" w:hAnsi="宋体" w:cs="宋体"/>
          <w:color w:val="auto"/>
          <w:sz w:val="21"/>
          <w:szCs w:val="21"/>
          <w:highlight w:val="none"/>
        </w:rPr>
        <w:t xml:space="preserve">见招标文件第四章。  </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8" w:name="_Toc38985264"/>
      <w:r/>
      <w:bookmarkStart w:id="9" w:name="_Toc28359003"/>
      <w:r/>
      <w:bookmarkStart w:id="10" w:name="_Toc35393622"/>
      <w:r/>
      <w:bookmarkStart w:id="11" w:name="_Toc28359080"/>
      <w:r/>
      <w:bookmarkStart w:id="12" w:name="_Toc35393791"/>
      <w:r>
        <w:rPr>
          <w:rFonts w:hint="eastAsia" w:ascii="宋体" w:hAnsi="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cs="宋体"/>
          <w:color w:val="auto"/>
          <w:sz w:val="21"/>
          <w:szCs w:val="21"/>
          <w:highlight w:val="none"/>
        </w:rPr>
      </w:pPr>
      <w:r/>
      <w:bookmarkStart w:id="13" w:name="_Toc28359004"/>
      <w:r/>
      <w:bookmarkStart w:id="14" w:name="_Toc28359081"/>
      <w:r/>
      <w:bookmarkStart w:id="15" w:name="_Toc38985265"/>
      <w:r/>
      <w:bookmarkStart w:id="16" w:name="_Toc35393623"/>
      <w:r/>
      <w:bookmarkStart w:id="17" w:name="_Toc35393792"/>
      <w:r>
        <w:rPr>
          <w:rFonts w:hint="eastAsia" w:ascii="宋体" w:hAnsi="宋体" w:cs="宋体"/>
          <w:color w:val="auto"/>
          <w:sz w:val="21"/>
          <w:szCs w:val="21"/>
          <w:highlight w:val="none"/>
        </w:rPr>
        <w:t xml:space="preserve">（一）通用资格要求</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 2024年度或2025年度的财务报告情况；</w:t>
      </w:r>
      <w:r>
        <w:rPr>
          <w:rFonts w:hint="eastAsia" w:ascii="宋体" w:hAnsi="宋体" w:cs="宋体"/>
          <w:b/>
          <w:bCs/>
          <w:i/>
          <w:iCs/>
          <w:color w:val="auto"/>
          <w:sz w:val="21"/>
          <w:szCs w:val="21"/>
          <w:highlight w:val="none"/>
          <w:u w:val="single"/>
        </w:rPr>
        <w:t xml:space="preserve">（成立不满一年无需提供）</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1.3 依法缴纳税收和社会保障资金的相关材料；</w:t>
      </w:r>
      <w:r>
        <w:rPr>
          <w:rFonts w:hint="eastAsia" w:ascii="宋体" w:hAnsi="宋体" w:cs="宋体"/>
          <w:b/>
          <w:bCs/>
          <w:i/>
          <w:iCs/>
          <w:color w:val="auto"/>
          <w:sz w:val="21"/>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1.6 供应商信用承诺书；</w:t>
      </w:r>
      <w:r/>
    </w:p>
    <w:p>
      <w:pPr>
        <w:ind w:firstLine="42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1.7法律、行政法规规定的其他条件；</w:t>
      </w:r>
      <w:r>
        <w:rPr>
          <w:rFonts w:hint="eastAsia" w:ascii="宋体" w:hAnsi="宋体" w:cs="宋体"/>
          <w:b/>
          <w:bCs/>
          <w:i/>
          <w:iCs/>
          <w:color w:val="auto"/>
          <w:sz w:val="21"/>
          <w:szCs w:val="21"/>
          <w:highlight w:val="none"/>
          <w:u w:val="single"/>
        </w:rPr>
        <w:t xml:space="preserve">（投标文件中无需提供证明材料）</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 w:val="21"/>
          <w:szCs w:val="21"/>
          <w:highlight w:val="none"/>
          <w:u w:val="single"/>
        </w:rPr>
        <w:t xml:space="preserve">（投标文件中无需提供证明材料）</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val="0"/>
          <w:iCs w:val="0"/>
          <w:color w:val="auto"/>
          <w:sz w:val="21"/>
          <w:szCs w:val="21"/>
          <w:highlight w:val="none"/>
          <w:u w:val="none"/>
        </w:rPr>
        <w:t xml:space="preserve">无</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7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4"/>
        <w:gridCol w:w="3100"/>
        <w:gridCol w:w="3885"/>
      </w:tblGrid>
      <w:tr>
        <w:trPr/>
        <w:tc>
          <w:tcPr>
            <w:tcW w:w="900"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819"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是否接受联合体</w:t>
            </w:r>
            <w:r>
              <w:rPr>
                <w:rFonts w:ascii="宋体" w:hAnsi="宋体"/>
                <w:color w:val="auto"/>
                <w:sz w:val="21"/>
                <w:szCs w:val="21"/>
                <w:highlight w:val="none"/>
              </w:rPr>
              <w:t xml:space="preserve">投标</w:t>
            </w:r>
            <w:r/>
          </w:p>
          <w:p>
            <w:pPr>
              <w:ind w:firstLine="48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279"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该采购包中</w:t>
            </w:r>
            <w:r>
              <w:rPr>
                <w:rFonts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tc>
          <w:tcPr>
            <w:tcW w:w="900" w:type="pct"/>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81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227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r>
    </w:tbl>
    <w:p>
      <w:pPr>
        <w:ind w:firstLine="42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5.进口产品投标</w:t>
      </w:r>
      <w:r/>
    </w:p>
    <w:tbl>
      <w:tblPr>
        <w:tblStyle w:val="763"/>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4100"/>
      </w:tblGrid>
      <w:tr>
        <w:trPr>
          <w:trHeight w:val="372"/>
        </w:trPr>
        <w:tc>
          <w:tcPr>
            <w:tcW w:w="1300"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4100"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是否接受进口产品</w:t>
            </w:r>
            <w:r>
              <w:rPr>
                <w:rFonts w:ascii="宋体" w:hAnsi="宋体"/>
                <w:color w:val="auto"/>
                <w:sz w:val="21"/>
                <w:szCs w:val="21"/>
                <w:highlight w:val="none"/>
              </w:rPr>
              <w:t xml:space="preserve">投标（</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r>
      <w:tr>
        <w:trPr/>
        <w:tc>
          <w:tcPr>
            <w:tcW w:w="1300"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4100" w:type="dxa"/>
            <w:textDirection w:val="lrTb"/>
            <w:noWrap w:val="false"/>
          </w:tcPr>
          <w:p>
            <w:pPr>
              <w:jc w:val="cente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是</w:t>
            </w:r>
            <w:r/>
          </w:p>
        </w:tc>
      </w:tr>
    </w:tbl>
    <w:p>
      <w:pPr>
        <w:numPr>
          <w:ilvl w:val="0"/>
          <w:numId w:val="0"/>
        </w:numPr>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本项目的特定资格要求：</w:t>
      </w:r>
      <w:r/>
    </w:p>
    <w:tbl>
      <w:tblPr>
        <w:tblStyle w:val="7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7217"/>
      </w:tblGrid>
      <w:tr>
        <w:trPr>
          <w:trHeight w:val="512"/>
        </w:trPr>
        <w:tc>
          <w:tcPr>
            <w:tcW w:w="764"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4235"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特定</w:t>
            </w:r>
            <w:r>
              <w:rPr>
                <w:rFonts w:ascii="宋体" w:hAnsi="宋体"/>
                <w:color w:val="auto"/>
                <w:sz w:val="21"/>
                <w:szCs w:val="21"/>
                <w:highlight w:val="none"/>
              </w:rPr>
              <w:t xml:space="preserve">资格要求</w:t>
            </w:r>
            <w:r/>
          </w:p>
        </w:tc>
      </w:tr>
      <w:tr>
        <w:trPr/>
        <w:tc>
          <w:tcPr>
            <w:tcW w:w="764" w:type="pct"/>
            <w:vAlign w:val="center"/>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4235" w:type="pct"/>
            <w:textDirection w:val="lrTb"/>
            <w:noWrap w:val="false"/>
          </w:tcPr>
          <w:p>
            <w:pPr>
              <w:jc w:val="left"/>
              <w:pageBreakBefore w:val="0"/>
              <w:spacing w:line="360" w:lineRule="auto"/>
              <w:rPr>
                <w:rFonts w:hint="eastAsia"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（1）所投产品按国家规定须医疗器械注册证的，投标人须提供所投产品有效的《医疗器械注册证》</w:t>
            </w:r>
            <w:r>
              <w:rPr>
                <w:rFonts w:hint="eastAsia" w:ascii="宋体" w:hAnsi="宋体"/>
                <w:b/>
                <w:bCs/>
                <w:i/>
                <w:iCs/>
                <w:color w:val="auto"/>
                <w:sz w:val="21"/>
                <w:szCs w:val="21"/>
                <w:highlight w:val="none"/>
                <w:u w:val="single"/>
              </w:rPr>
              <w:t xml:space="preserve">（扫描上传系统）</w:t>
            </w:r>
            <w:r>
              <w:rPr>
                <w:rFonts w:hint="eastAsia" w:ascii="宋体" w:hAnsi="宋体"/>
                <w:i/>
                <w:iCs/>
                <w:color w:val="auto"/>
                <w:sz w:val="21"/>
                <w:szCs w:val="21"/>
                <w:highlight w:val="none"/>
                <w:u w:val="single"/>
              </w:rPr>
              <w:t xml:space="preserve">；</w:t>
            </w:r>
            <w:r/>
          </w:p>
          <w:p>
            <w:pPr>
              <w:jc w:val="left"/>
              <w:pageBreakBefore w:val="0"/>
              <w:spacing w:line="360" w:lineRule="auto"/>
              <w:rPr>
                <w:rFonts w:hint="eastAsia"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（2）投标人为医疗器械经营企业的，须根据投标产品的类别，提供投标人的《医疗器械经营许可证》或者《医疗器械经营备案凭证》</w:t>
            </w:r>
            <w:r>
              <w:rPr>
                <w:rFonts w:hint="eastAsia" w:ascii="宋体" w:hAnsi="宋体"/>
                <w:b/>
                <w:bCs/>
                <w:i/>
                <w:iCs/>
                <w:color w:val="auto"/>
                <w:sz w:val="21"/>
                <w:szCs w:val="21"/>
                <w:highlight w:val="none"/>
                <w:u w:val="single"/>
              </w:rPr>
              <w:t xml:space="preserve">（扫描上传系统）</w:t>
            </w:r>
            <w:r>
              <w:rPr>
                <w:rFonts w:hint="eastAsia" w:ascii="宋体" w:hAnsi="宋体"/>
                <w:i/>
                <w:iCs/>
                <w:color w:val="auto"/>
                <w:sz w:val="21"/>
                <w:szCs w:val="21"/>
                <w:highlight w:val="none"/>
                <w:u w:val="single"/>
              </w:rPr>
              <w:t xml:space="preserve">；</w:t>
            </w:r>
            <w:r/>
          </w:p>
          <w:p>
            <w:pPr>
              <w:jc w:val="left"/>
              <w:pageBreakBefore w:val="0"/>
              <w:spacing w:line="360" w:lineRule="auto"/>
              <w:rPr>
                <w:rFonts w:hint="eastAsia"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投标人为医疗器械生产企业的，须提供《医疗器械生产许可证》</w:t>
            </w:r>
            <w:r>
              <w:rPr>
                <w:rFonts w:hint="eastAsia" w:ascii="宋体" w:hAnsi="宋体"/>
                <w:b/>
                <w:bCs/>
                <w:i/>
                <w:iCs/>
                <w:color w:val="auto"/>
                <w:sz w:val="21"/>
                <w:szCs w:val="21"/>
                <w:highlight w:val="none"/>
                <w:u w:val="single"/>
              </w:rPr>
              <w:t xml:space="preserve">（扫描上传系统）</w:t>
            </w:r>
            <w:r>
              <w:rPr>
                <w:rFonts w:hint="eastAsia" w:ascii="宋体" w:hAnsi="宋体"/>
                <w:i/>
                <w:iCs/>
                <w:color w:val="auto"/>
                <w:sz w:val="21"/>
                <w:szCs w:val="21"/>
                <w:highlight w:val="none"/>
                <w:u w:val="single"/>
              </w:rPr>
              <w:t xml:space="preserve">；</w:t>
            </w:r>
            <w:r/>
          </w:p>
          <w:p>
            <w:pPr>
              <w:jc w:val="left"/>
              <w:pageBreakBefore w:val="0"/>
              <w:spacing w:line="360" w:lineRule="auto"/>
              <w:rPr>
                <w:rFonts w:hint="eastAsia" w:ascii="宋体" w:hAnsi="宋体"/>
                <w:color w:val="auto"/>
                <w:sz w:val="21"/>
                <w:szCs w:val="21"/>
                <w:highlight w:val="none"/>
              </w:rPr>
            </w:pPr>
            <w:r>
              <w:rPr>
                <w:rFonts w:hint="eastAsia" w:ascii="宋体" w:hAnsi="宋体"/>
                <w:i/>
                <w:iCs/>
                <w:color w:val="auto"/>
                <w:sz w:val="21"/>
                <w:szCs w:val="21"/>
                <w:highlight w:val="none"/>
                <w:u w:val="single"/>
              </w:rPr>
              <w:t xml:space="preserve">（3）所投产品若为进口产品，须提供制造商（生产者）或代理商授权、进口产品注册证等有效证明（如为外文需提供翻译件）</w:t>
            </w:r>
            <w:r>
              <w:rPr>
                <w:rFonts w:hint="eastAsia" w:ascii="宋体" w:hAnsi="宋体"/>
                <w:b/>
                <w:bCs/>
                <w:i/>
                <w:iCs/>
                <w:color w:val="auto"/>
                <w:sz w:val="21"/>
                <w:szCs w:val="21"/>
                <w:highlight w:val="none"/>
                <w:u w:val="single"/>
              </w:rPr>
              <w:t xml:space="preserve">（扫描上传系统）</w:t>
            </w:r>
            <w:r>
              <w:rPr>
                <w:rFonts w:hint="eastAsia" w:ascii="宋体" w:hAnsi="宋体"/>
                <w:i/>
                <w:iCs/>
                <w:color w:val="auto"/>
                <w:sz w:val="21"/>
                <w:szCs w:val="21"/>
                <w:highlight w:val="none"/>
                <w:u w:val="single"/>
              </w:rPr>
              <w:t xml:space="preserve">；</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（三）其它资格条件：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pageBreakBefore w:val="0"/>
        <w:spacing w:line="360" w:lineRule="auto"/>
        <w:rPr>
          <w:rFonts w:hint="eastAsia" w:ascii="宋体" w:hAnsi="宋体" w:cs="宋体"/>
          <w:b w:val="0"/>
          <w:bCs w:val="0"/>
          <w:color w:val="auto"/>
          <w:sz w:val="21"/>
          <w:szCs w:val="21"/>
          <w:highlight w:val="none"/>
        </w:rPr>
      </w:pPr>
      <w:r/>
      <w:bookmarkStart w:id="18" w:name="_Toc28359082"/>
      <w:r/>
      <w:bookmarkStart w:id="19" w:name="_Toc28359005"/>
      <w:r/>
      <w:bookmarkStart w:id="20" w:name="_Toc38985266"/>
      <w:r/>
      <w:bookmarkStart w:id="21" w:name="_Toc35393624"/>
      <w:r/>
      <w:bookmarkStart w:id="22" w:name="_Toc35393793"/>
      <w:r>
        <w:rPr>
          <w:rFonts w:hint="eastAsia" w:ascii="宋体" w:hAnsi="宋体" w:cs="宋体"/>
          <w:color w:val="auto"/>
          <w:sz w:val="21"/>
          <w:szCs w:val="21"/>
          <w:highlight w:val="none"/>
        </w:rPr>
        <w:t xml:space="preserve">1.时间：自招标文件公告发布之日起5个工作日。5个工作日后仍可下载招标文件，但不</w:t>
      </w:r>
      <w:r>
        <w:rPr>
          <w:rFonts w:hint="eastAsia" w:ascii="宋体" w:hAnsi="宋体" w:cs="宋体"/>
          <w:b w:val="0"/>
          <w:bCs w:val="0"/>
          <w:color w:val="auto"/>
          <w:sz w:val="21"/>
          <w:szCs w:val="21"/>
          <w:highlight w:val="none"/>
        </w:rPr>
        <w:t xml:space="preserve">作为供应商权益受到损害的证明材料和依据。</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2.获取方式：本项目采用网上注册登记方式。</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http</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//zfcg.yangzhou.gov.cn/xzzx/art/2023/art_4d7de1f7865f4a2894fc22bc452f94d8.html。</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w:t>
      </w:r>
      <w:bookmarkEnd w:id="18"/>
      <w:r/>
      <w:bookmarkEnd w:id="19"/>
      <w:r>
        <w:rPr>
          <w:rFonts w:hint="eastAsia" w:ascii="宋体" w:hAnsi="宋体" w:cs="宋体"/>
          <w:b/>
          <w:bCs/>
          <w:color w:val="auto"/>
          <w:sz w:val="21"/>
          <w:szCs w:val="21"/>
          <w:highlight w:val="none"/>
        </w:rPr>
        <w:t xml:space="preserve">截止时间、开标时间和地点</w:t>
      </w:r>
      <w:bookmarkEnd w:id="20"/>
      <w:r/>
      <w:bookmarkEnd w:id="21"/>
      <w:r/>
      <w:bookmarkEnd w:id="22"/>
      <w:r/>
      <w:r/>
    </w:p>
    <w:p>
      <w:pPr>
        <w:ind w:firstLine="420"/>
        <w:pageBreakBefore w:val="0"/>
        <w:spacing w:line="360" w:lineRule="auto"/>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15</w:t>
      </w:r>
      <w:r>
        <w:rPr>
          <w:rFonts w:hint="eastAsia" w:ascii="宋体" w:hAnsi="宋体" w:cs="宋体"/>
          <w:color w:val="auto"/>
          <w:sz w:val="21"/>
          <w:szCs w:val="21"/>
          <w:highlight w:val="none"/>
          <w:u w:val="single"/>
        </w:rPr>
        <w:t xml:space="preserve">日上午9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30</w:t>
      </w:r>
      <w:r>
        <w:rPr>
          <w:rFonts w:hint="eastAsia" w:ascii="宋体" w:hAnsi="宋体" w:cs="宋体"/>
          <w:color w:val="auto"/>
          <w:sz w:val="21"/>
          <w:szCs w:val="21"/>
          <w:highlight w:val="none"/>
        </w:rPr>
        <w:t xml:space="preserve">（北京时间）</w:t>
      </w:r>
      <w:r/>
    </w:p>
    <w:p>
      <w:pPr>
        <w:ind w:firstLine="420"/>
        <w:pageBreakBefore w:val="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2.开标地点：“苏采云”政府采购交易系统。</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3" w:name="_Toc35393625"/>
      <w:r/>
      <w:bookmarkStart w:id="24" w:name="_Toc28359084"/>
      <w:r/>
      <w:bookmarkStart w:id="25" w:name="_Toc38985267"/>
      <w:r/>
      <w:bookmarkStart w:id="26" w:name="_Toc28359007"/>
      <w:r/>
      <w:bookmarkStart w:id="27" w:name="_Toc35393794"/>
      <w:r>
        <w:rPr>
          <w:rFonts w:hint="eastAsia" w:ascii="宋体" w:hAnsi="宋体" w:cs="宋体"/>
          <w:b/>
          <w:bCs/>
          <w:color w:val="auto"/>
          <w:sz w:val="21"/>
          <w:szCs w:val="21"/>
          <w:highlight w:val="none"/>
        </w:rPr>
        <w:t xml:space="preserve">五、公告期限</w:t>
      </w:r>
      <w:bookmarkEnd w:id="23"/>
      <w:r/>
      <w:bookmarkEnd w:id="24"/>
      <w:r/>
      <w:bookmarkEnd w:id="25"/>
      <w:r/>
      <w:bookmarkEnd w:id="26"/>
      <w:r/>
      <w:bookmarkEnd w:id="27"/>
      <w:r/>
      <w:r/>
    </w:p>
    <w:p>
      <w:pPr>
        <w:ind w:firstLine="420"/>
        <w:pageBreakBefore w:val="0"/>
        <w:spacing w:line="360" w:lineRule="auto"/>
        <w:rPr>
          <w:rFonts w:hint="eastAsia" w:ascii="宋体" w:hAnsi="宋体" w:cs="宋体"/>
          <w:color w:val="auto"/>
          <w:sz w:val="21"/>
          <w:szCs w:val="21"/>
          <w:highlight w:val="none"/>
        </w:rPr>
      </w:pPr>
      <w:r/>
      <w:bookmarkStart w:id="28" w:name="_Toc35393795"/>
      <w:r/>
      <w:bookmarkStart w:id="29" w:name="_Toc35393626"/>
      <w:r/>
      <w:bookmarkStart w:id="30" w:name="_Toc38985268"/>
      <w:r>
        <w:rPr>
          <w:rFonts w:hint="eastAsia" w:ascii="宋体" w:hAnsi="宋体" w:cs="宋体"/>
          <w:color w:val="auto"/>
          <w:sz w:val="21"/>
          <w:szCs w:val="21"/>
          <w:highlight w:val="none"/>
        </w:rPr>
        <w:t xml:space="preserve">自本公告发布之日起5个工作日。</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bookmarkEnd w:id="28"/>
      <w:r/>
      <w:bookmarkEnd w:id="29"/>
      <w:r/>
      <w:bookmarkEnd w:id="30"/>
      <w:r/>
      <w:r/>
    </w:p>
    <w:p>
      <w:pPr>
        <w:ind w:firstLine="420"/>
        <w:pageBreakBefore w:val="0"/>
        <w:spacing w:line="360" w:lineRule="auto"/>
        <w:rPr>
          <w:rFonts w:hint="eastAsia" w:ascii="宋体" w:hAnsi="宋体" w:cs="宋体"/>
          <w:bCs/>
          <w:color w:val="auto"/>
          <w:sz w:val="21"/>
          <w:szCs w:val="21"/>
          <w:highlight w:val="none"/>
        </w:rPr>
      </w:pPr>
      <w:r/>
      <w:bookmarkStart w:id="31" w:name="_Toc35393796"/>
      <w:r/>
      <w:bookmarkStart w:id="32" w:name="_Toc38985269"/>
      <w:r/>
      <w:bookmarkStart w:id="33" w:name="_Toc28359085"/>
      <w:r/>
      <w:bookmarkStart w:id="34" w:name="_Toc28359008"/>
      <w:r/>
      <w:bookmarkStart w:id="35" w:name="_Toc35393627"/>
      <w:r>
        <w:rPr>
          <w:rFonts w:hint="eastAsia" w:ascii="宋体" w:hAnsi="宋体" w:cs="宋体"/>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//zfcg.yangzhou.gov.cn/xzzx/art/2023/art_4d7de1f7865f4a2894fc22bc452f94d8.html，请按《操作手册》要求制作、上传电子投标文件。</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u w:val="single"/>
        </w:rPr>
        <w:t xml:space="preserve">不收取 </w:t>
      </w:r>
      <w:r>
        <w:rPr>
          <w:rFonts w:hint="eastAsia" w:ascii="宋体" w:hAnsi="宋体" w:cs="宋体"/>
          <w:color w:val="auto"/>
          <w:sz w:val="21"/>
          <w:szCs w:val="21"/>
          <w:highlight w:val="none"/>
        </w:rPr>
        <w:t xml:space="preserve">投标保证金。</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有关本次招标的事项若存在变动或修改，敬请及时关注</w:t>
      </w:r>
      <w:r>
        <w:rPr>
          <w:rFonts w:hint="eastAsia" w:ascii="宋体" w:hAnsi="宋体" w:cs="宋体"/>
          <w:bCs/>
          <w:color w:val="auto"/>
          <w:sz w:val="21"/>
          <w:szCs w:val="21"/>
          <w:highlight w:val="none"/>
          <w:lang w:eastAsia="zh-CN"/>
        </w:rPr>
        <w:t xml:space="preserve">“扬州市政府采购网”“江苏政府采购网”“中国政府采购网”</w:t>
      </w:r>
      <w:r>
        <w:rPr>
          <w:rFonts w:hint="eastAsia" w:ascii="宋体" w:hAnsi="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.本项目严格执行政府采购关于支持节能产品、环境</w:t>
      </w:r>
      <w:r>
        <w:rPr>
          <w:rFonts w:hint="eastAsia" w:ascii="宋体" w:hAnsi="宋体" w:cs="宋体"/>
          <w:bCs/>
          <w:color w:val="auto"/>
          <w:sz w:val="21"/>
          <w:szCs w:val="21"/>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.供应商对于所投货物的包装应按照“财办库〔2020〕123号《关于印发《商品包装政府采购需求标准（试行）》、《快递包装政府采购需求标准（试行）》的通知》”执行。</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hint="eastAsia" w:ascii="宋体" w:hAnsi="宋体" w:cs="宋体"/>
          <w:color w:val="auto"/>
          <w:sz w:val="21"/>
          <w:szCs w:val="21"/>
          <w:highlight w:val="none"/>
        </w:rPr>
      </w:pPr>
      <w:r/>
      <w:bookmarkStart w:id="36" w:name="_Toc28359010"/>
      <w:r/>
      <w:bookmarkStart w:id="37" w:name="_Toc28359087"/>
      <w:r>
        <w:rPr>
          <w:rFonts w:hint="eastAsia" w:ascii="宋体" w:hAnsi="宋体" w:cs="宋体"/>
          <w:color w:val="auto"/>
          <w:sz w:val="21"/>
          <w:szCs w:val="21"/>
          <w:highlight w:val="none"/>
        </w:rPr>
        <w:t xml:space="preserve">1.采购人信息</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称：苏北人民医院</w:t>
      </w:r>
      <w:r/>
    </w:p>
    <w:p>
      <w:pPr>
        <w:ind w:firstLine="420"/>
        <w:jc w:val="left"/>
        <w:pageBreakBefore w:val="0"/>
        <w:spacing w:line="360" w:lineRule="auto"/>
        <w:rPr>
          <w:rFonts w:hint="eastAsia" w:ascii="宋体" w:hAnsi="宋体" w:cs="宋体"/>
          <w:color w:val="auto"/>
          <w:sz w:val="21"/>
          <w:szCs w:val="21"/>
          <w:highlight w:val="none"/>
        </w:rPr>
      </w:pPr>
      <w:r/>
      <w:bookmarkStart w:id="38" w:name="_Toc28359086"/>
      <w:r/>
      <w:bookmarkStart w:id="39" w:name="_Toc28359009"/>
      <w:r>
        <w:rPr>
          <w:rFonts w:hint="eastAsia" w:ascii="宋体" w:hAnsi="宋体" w:cs="宋体"/>
          <w:color w:val="auto"/>
          <w:sz w:val="21"/>
          <w:szCs w:val="21"/>
          <w:highlight w:val="none"/>
        </w:rPr>
        <w:t xml:space="preserve">地 址：扬州市广陵区南通西路98号 </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联系人：丁老师</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联系方式：0514-87373493  </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bookmarkEnd w:id="38"/>
      <w:r/>
      <w:bookmarkEnd w:id="39"/>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名称：江苏苏维工程管理有限公司</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址：扬州市邗江区翠岗路48号</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联系人：陈秋萍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阮玉婷</w:t>
      </w:r>
      <w:r/>
    </w:p>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联系方式：0514-82129116</w:t>
      </w:r>
      <w:bookmarkEnd w:id="36"/>
      <w:r/>
      <w:bookmarkEnd w:id="37"/>
      <w:r/>
      <w:r/>
    </w:p>
    <w:p>
      <w:pPr>
        <w:pStyle w:val="981"/>
        <w:jc w:val="center"/>
        <w:pageBreakBefore w:val="0"/>
        <w:spacing w:before="0" w:after="0"/>
        <w:rPr>
          <w:rFonts w:hint="eastAsia" w:ascii="宋体" w:hAnsi="宋体" w:cs="宋体"/>
          <w:color w:val="auto"/>
          <w:sz w:val="21"/>
          <w:szCs w:val="21"/>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0" w:name="_Toc55204178"/>
      <w:r/>
      <w:r/>
    </w:p>
    <w:p>
      <w:pPr>
        <w:pStyle w:val="753"/>
        <w:rPr>
          <w:color w:val="auto"/>
          <w:highlight w:val="none"/>
        </w:rPr>
      </w:pPr>
      <w:r/>
      <w:bookmarkStart w:id="41" w:name="_Toc10032"/>
      <w:r>
        <w:rPr>
          <w:rFonts w:hint="eastAsia"/>
          <w:color w:val="auto"/>
          <w:highlight w:val="none"/>
        </w:rPr>
        <w:t xml:space="preserve">第二章 投标人须知</w:t>
      </w:r>
      <w:bookmarkEnd w:id="40"/>
      <w:r/>
      <w:bookmarkEnd w:id="41"/>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JSZC-321000-SWGC-G2026-0063</w:t>
      </w:r>
      <w:r>
        <w:rPr>
          <w:rFonts w:hint="eastAsia" w:ascii="宋体" w:hAnsi="宋体" w:cs="宋体"/>
          <w:bCs/>
          <w:color w:val="auto"/>
          <w:szCs w:val="21"/>
          <w:highlight w:val="none"/>
        </w:rPr>
        <w:t xml:space="preserve">号项目。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en-US" w:eastAsia="zh-CN"/>
        </w:rPr>
        <w:t xml:space="preserve">合格的</w:t>
      </w:r>
      <w:r>
        <w:rPr>
          <w:rFonts w:hint="eastAsia" w:ascii="宋体" w:hAnsi="宋体" w:cs="宋体"/>
          <w:b/>
          <w:color w:val="auto"/>
          <w:szCs w:val="21"/>
          <w:highlight w:val="none"/>
        </w:rPr>
        <w:t xml:space="preserve">投标人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3、适用法律</w:t>
      </w:r>
      <w:r>
        <w:rPr>
          <w:rFonts w:hint="eastAsia" w:ascii="宋体" w:hAnsi="宋体" w:cs="宋体"/>
          <w:b/>
          <w:color w:val="auto"/>
          <w:szCs w:val="21"/>
          <w:highlight w:val="none"/>
          <w:lang w:val="en-US" w:eastAsia="zh-CN"/>
        </w:rPr>
        <w:t xml:space="preserve">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本次采购由中标人在领取中标通知书前参照《招标代理服务收费管理暂行办法》(计价格【2002】1980号文)货物类标准的四折一次性支付给招标代理机构代理服务费。</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具体计算方式详见下表</w:t>
      </w:r>
      <w:r>
        <w:rPr>
          <w:rFonts w:hint="eastAsia" w:ascii="宋体" w:hAnsi="宋体" w:eastAsia="宋体" w:cs="宋体"/>
          <w:b/>
          <w:bCs/>
          <w:color w:val="auto"/>
          <w:sz w:val="21"/>
          <w:szCs w:val="21"/>
          <w:highlight w:val="none"/>
          <w:lang w:eastAsia="zh-CN"/>
        </w:rPr>
        <w:t xml:space="preserve">：</w:t>
      </w:r>
      <w:r/>
    </w:p>
    <w:tbl>
      <w:tblPr>
        <w:tblStyle w:val="763"/>
        <w:tblW w:w="6459" w:type="dxa"/>
        <w:jc w:val="center"/>
        <w:tblLayout w:type="fixed"/>
        <w:tblCellMar>
          <w:left w:w="108" w:type="dxa"/>
          <w:top w:w="0" w:type="dxa"/>
          <w:right w:w="108" w:type="dxa"/>
          <w:bottom w:w="0" w:type="dxa"/>
        </w:tblCellMar>
        <w:tblLook w:val="04A0" w:firstRow="1" w:lastRow="0" w:firstColumn="1" w:lastColumn="0" w:noHBand="0" w:noVBand="1"/>
      </w:tblPr>
      <w:tblGrid>
        <w:gridCol w:w="3137"/>
        <w:gridCol w:w="3322"/>
      </w:tblGrid>
      <w:tr>
        <w:trPr>
          <w:jc w:val="center"/>
          <w:trHeight w:val="3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vMerge w:val="restart"/>
            <w:textDirection w:val="lrTb"/>
            <w:noWrap w:val="false"/>
          </w:tcPr>
          <w:p>
            <w:pPr>
              <w:ind w:left="160"/>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项目</w:t>
            </w:r>
            <w:r/>
          </w:p>
          <w:p>
            <w:pPr>
              <w:ind w:left="160"/>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100万以上</w:t>
            </w:r>
            <w:r/>
          </w:p>
        </w:tc>
      </w:tr>
      <w:tr>
        <w:trPr>
          <w:jc w:val="center"/>
          <w:trHeight w:val="4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vMerge w:val="continue"/>
            <w:textDirection w:val="lrTb"/>
            <w:noWrap w:val="false"/>
          </w:tcPr>
          <w:p>
            <w:pPr>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代理费（折扣）</w:t>
            </w:r>
            <w:r/>
          </w:p>
        </w:tc>
      </w:tr>
      <w:tr>
        <w:trPr>
          <w:jc w:val="center"/>
          <w:trHeight w:val="3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c>
          <w:tcPr>
            <w:shd w:val="clear" w:color="auto" w:fill="auto"/>
            <w:tcBorders>
              <w:top w:val="single" w:color="000000" w:sz="4" w:space="0"/>
              <w:left w:val="single" w:color="000000" w:sz="4" w:space="0"/>
              <w:right w:val="single" w:color="000000" w:sz="4" w:space="0"/>
            </w:tcBorders>
            <w:tcMar>
              <w:left w:w="108" w:type="dxa"/>
              <w:top w:w="0" w:type="dxa"/>
              <w:right w:w="108" w:type="dxa"/>
              <w:bottom w:w="0" w:type="dxa"/>
            </w:tcMar>
            <w:tcW w:w="3322"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40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r>
        <w:trPr>
          <w:jc w:val="center"/>
          <w:trHeight w:val="3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w:t>
            </w:r>
            <w:r/>
          </w:p>
        </w:tc>
        <w:tc>
          <w:tcPr>
            <w:shd w:val="clear" w:color="auto" w:fill="auto"/>
            <w:tcBorders>
              <w:left w:val="single" w:color="000000" w:sz="4" w:space="0"/>
              <w:right w:val="single" w:color="000000" w:sz="4" w:space="0"/>
            </w:tcBorders>
            <w:tcMar>
              <w:left w:w="108" w:type="dxa"/>
              <w:top w:w="0" w:type="dxa"/>
              <w:right w:w="108" w:type="dxa"/>
              <w:bottom w:w="0" w:type="dxa"/>
            </w:tcMar>
            <w:tcW w:w="3322"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工程类</w:t>
            </w:r>
            <w:r/>
          </w:p>
        </w:tc>
        <w:tc>
          <w:tcPr>
            <w:shd w:val="clear" w:color="auto" w:fill="auto"/>
            <w:tcBorders>
              <w:left w:val="single" w:color="000000" w:sz="4" w:space="0"/>
              <w:bottom w:val="single" w:color="000000" w:sz="4" w:space="0"/>
              <w:right w:val="single" w:color="000000" w:sz="4" w:space="0"/>
            </w:tcBorders>
            <w:tcMar>
              <w:left w:w="108" w:type="dxa"/>
              <w:top w:w="0" w:type="dxa"/>
              <w:right w:w="108" w:type="dxa"/>
              <w:bottom w:w="0" w:type="dxa"/>
            </w:tcMar>
            <w:tcW w:w="3322" w:type="dxa"/>
            <w:vAlign w:val="center"/>
            <w:vMerge w:val="continue"/>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基准费率表</w:t>
      </w:r>
      <w:r/>
    </w:p>
    <w:tbl>
      <w:tblPr>
        <w:tblStyle w:val="763"/>
        <w:tblW w:w="6499" w:type="dxa"/>
        <w:jc w:val="center"/>
        <w:tblLayout w:type="fixed"/>
        <w:tblCellMar>
          <w:left w:w="0" w:type="dxa"/>
          <w:top w:w="0" w:type="dxa"/>
          <w:right w:w="0" w:type="dxa"/>
          <w:bottom w:w="0" w:type="dxa"/>
        </w:tblCellMar>
        <w:tblLook w:val="04A0" w:firstRow="1" w:lastRow="0" w:firstColumn="1" w:lastColumn="0" w:noHBand="0" w:noVBand="1"/>
      </w:tblPr>
      <w:tblGrid>
        <w:gridCol w:w="1871"/>
        <w:gridCol w:w="1359"/>
        <w:gridCol w:w="1759"/>
        <w:gridCol w:w="1510"/>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7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工程类</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7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cs="宋体"/>
                <w:color w:val="auto"/>
                <w:sz w:val="21"/>
                <w:szCs w:val="21"/>
                <w:highlight w:val="none"/>
                <w:lang w:eastAsia="zh-CN"/>
              </w:rPr>
              <w:t xml:space="preserve">%</w:t>
            </w:r>
            <w:r/>
          </w:p>
        </w:tc>
      </w:tr>
      <w:tr>
        <w:trPr>
          <w:jc w:val="center"/>
          <w:trHeight w:val="42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7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rPr>
                <w:rFonts w:hint="eastAsia" w:ascii="宋体" w:hAnsi="宋体" w:cs="宋体"/>
                <w:color w:val="auto"/>
                <w:sz w:val="21"/>
                <w:szCs w:val="21"/>
                <w:highlight w:val="none"/>
                <w:lang w:eastAsia="zh-CN"/>
              </w:rPr>
              <w:t xml:space="preserve">%</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（1）本项目代理服务费以为中标价为计算</w:t>
      </w:r>
      <w:r>
        <w:rPr>
          <w:rFonts w:hint="eastAsia" w:ascii="宋体" w:hAnsi="宋体" w:cs="宋体"/>
          <w:b w:val="0"/>
          <w:bCs w:val="0"/>
          <w:color w:val="auto"/>
          <w:szCs w:val="21"/>
          <w:highlight w:val="none"/>
        </w:rPr>
        <w:t xml:space="preserve">基础</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按差额定率累进法计算</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招标代理服务费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9、投标文件的语言及度量衡单位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10.1投标人编写的投标文件应包括基本目录、资格审查内容、符合性审查内容、价格扣除证明文件等部分</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11、证明投标人及投标标的符合招标文件规定的文件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12、投标分项报价表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投标人按照招标文件规定格式填报投标分项报价表。每项货物</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其它费用处理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投标货币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13、技术要求响应及偏离表、商务要求响应及偏离表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.1投标人需对招标文件中的技术要求与商务要求逐项作出响应或偏离，并说明原因。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.2投标人需按照招标文件要求，在投标文件中提供与技术要求和商务要求相关的证明材料。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14、服务承诺、培训计划、人员安排及其他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.1投标人需根据招标文件要求提供有关售后服务的管理制度，售后服务机构的分布情况，售后服务人员的数量、素质、技术水平及售后服务的反应能力等。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.2投标人需根据招标文件要求提供培训计划。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.3投标人需根据招标文件要求提供所投标的的主要组成部分、功能设计、实现思路及关键技术等。</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对于采用货币报价的项目，开标一览表中的价格应与投标文件中分项报价表中的价格一致，如不一致，不作为无效投标处理，但评标时按开标一览表中价格为准。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w:t>
      </w:r>
      <w:r>
        <w:rPr>
          <w:rFonts w:hint="eastAsia" w:ascii="宋体" w:hAnsi="宋体" w:cs="宋体"/>
          <w:bCs/>
          <w:color w:val="auto"/>
          <w:szCs w:val="21"/>
          <w:highlight w:val="none"/>
          <w:lang w:val="en-US" w:eastAsia="zh-CN"/>
        </w:rPr>
        <w:t xml:space="preserve">后</w:t>
      </w:r>
      <w:r>
        <w:rPr>
          <w:rFonts w:hint="eastAsia" w:ascii="宋体" w:hAnsi="宋体" w:cs="宋体"/>
          <w:b/>
          <w:bCs w:val="0"/>
          <w:color w:val="auto"/>
          <w:szCs w:val="21"/>
          <w:highlight w:val="none"/>
          <w:u w:val="single"/>
        </w:rPr>
        <w:t xml:space="preserve">六十（60）天</w:t>
      </w:r>
      <w:r>
        <w:rPr>
          <w:rFonts w:hint="eastAsia" w:ascii="宋体" w:hAnsi="宋体" w:cs="宋体"/>
          <w:bCs/>
          <w:color w:val="auto"/>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2" w:name="_Toc16938541"/>
      <w:r/>
      <w:bookmarkStart w:id="43" w:name="_Toc462564084"/>
      <w:r/>
      <w:bookmarkStart w:id="44" w:name="_Toc513029225"/>
      <w:r/>
      <w:bookmarkStart w:id="45" w:name="_Toc20823297"/>
      <w:r>
        <w:rPr>
          <w:rFonts w:hint="eastAsia" w:ascii="宋体" w:hAnsi="宋体" w:cs="宋体"/>
          <w:b/>
          <w:color w:val="auto"/>
          <w:szCs w:val="21"/>
          <w:highlight w:val="none"/>
        </w:rPr>
        <w:t xml:space="preserve">17、投标文件</w:t>
      </w:r>
      <w:bookmarkEnd w:id="42"/>
      <w:r/>
      <w:bookmarkEnd w:id="43"/>
      <w:r/>
      <w:bookmarkEnd w:id="44"/>
      <w:r/>
      <w:bookmarkEnd w:id="45"/>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6" w:name="_Toc513029226"/>
      <w:r/>
      <w:bookmarkStart w:id="47" w:name="_Toc20823298"/>
      <w:r/>
      <w:bookmarkStart w:id="48" w:name="_Toc16938542"/>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17.2政府采购管理交易系统（苏采云）相关要求是本招标文件的组成部分。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18、投标截止</w:t>
      </w:r>
      <w:bookmarkEnd w:id="46"/>
      <w:r/>
      <w:bookmarkEnd w:id="47"/>
      <w:r/>
      <w:bookmarkEnd w:id="48"/>
      <w:r>
        <w:rPr>
          <w:rFonts w:hint="eastAsia" w:ascii="宋体" w:hAnsi="宋体" w:cs="宋体"/>
          <w:b/>
          <w:color w:val="auto"/>
          <w:szCs w:val="21"/>
          <w:highlight w:val="none"/>
          <w:lang w:val="en-US" w:eastAsia="zh-CN"/>
        </w:rPr>
        <w:t xml:space="preserve">时间</w:t>
      </w:r>
      <w:r/>
    </w:p>
    <w:p>
      <w:pPr>
        <w:ind w:firstLine="420"/>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9" w:name="_Toc20823299"/>
      <w:r/>
      <w:bookmarkStart w:id="50" w:name="_Toc513029227"/>
      <w:r/>
      <w:bookmarkStart w:id="51" w:name="_Toc16938543"/>
      <w:r>
        <w:rPr>
          <w:rFonts w:hint="eastAsia" w:ascii="宋体" w:hAnsi="宋体" w:cs="宋体"/>
          <w:b/>
          <w:color w:val="auto"/>
          <w:szCs w:val="21"/>
          <w:highlight w:val="none"/>
        </w:rPr>
        <w:t xml:space="preserve">19、投标文件</w:t>
      </w:r>
      <w:bookmarkEnd w:id="49"/>
      <w:r/>
      <w:bookmarkEnd w:id="50"/>
      <w:r/>
      <w:bookmarkEnd w:id="51"/>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2" w:name="_Toc20823300"/>
      <w:r/>
      <w:bookmarkStart w:id="53" w:name="_Toc513029228"/>
      <w:r/>
      <w:bookmarkStart w:id="54" w:name="_Toc16938544"/>
      <w:r>
        <w:rPr>
          <w:rFonts w:hint="eastAsia" w:ascii="宋体" w:hAnsi="宋体" w:cs="宋体"/>
          <w:b/>
          <w:color w:val="auto"/>
          <w:szCs w:val="21"/>
          <w:highlight w:val="none"/>
        </w:rPr>
        <w:t xml:space="preserve">20、投标文件的撤回和修改</w:t>
      </w:r>
      <w:bookmarkEnd w:id="52"/>
      <w:r/>
      <w:bookmarkEnd w:id="53"/>
      <w:r/>
      <w:bookmarkEnd w:id="54"/>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投标人在开、评标全过程中应保持通讯畅通，及时登录苏采云系统查阅、答复相关信息，并安排专人与代理机构及评委会联系。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26、无效投标条款和废标条款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26.1无效投标条款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26.1.3投标人同一采购包提交两个（含两个）以上不同的投标报价的。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color w:val="auto"/>
          <w:highlight w:val="none"/>
        </w:rPr>
        <w:t xml:space="preserve">26.1.7不符合招标文件中规定的实质性要求的</w:t>
      </w:r>
      <w:r>
        <w:rPr>
          <w:rFonts w:hint="eastAsia" w:ascii="宋体" w:hAnsi="宋体" w:eastAsia="宋体" w:cs="宋体"/>
          <w:b/>
          <w:bCs/>
          <w:i w:val="0"/>
          <w:iCs w:val="0"/>
          <w:color w:val="auto"/>
          <w:highlight w:val="none"/>
          <w:u w:val="none"/>
        </w:rPr>
        <w:t xml:space="preserve">（本招标文件中</w:t>
      </w:r>
      <w:r>
        <w:rPr>
          <w:rFonts w:hint="eastAsia" w:ascii="宋体" w:hAnsi="宋体" w:eastAsia="宋体" w:cs="宋体"/>
          <w:b/>
          <w:bCs/>
          <w:i/>
          <w:iCs/>
          <w:color w:val="auto"/>
          <w:highlight w:val="none"/>
          <w:u w:val="single"/>
        </w:rPr>
        <w:t xml:space="preserve">斜体且有下划线部分</w:t>
      </w:r>
      <w:r>
        <w:rPr>
          <w:rFonts w:hint="eastAsia" w:ascii="宋体" w:hAnsi="宋体" w:eastAsia="宋体" w:cs="宋体"/>
          <w:b/>
          <w:bCs/>
          <w:i w:val="0"/>
          <w:iCs w:val="0"/>
          <w:color w:val="auto"/>
          <w:highlight w:val="none"/>
          <w:u w:val="none"/>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26.1.10异常低价投标（响应）</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26.1.10.3投标（响应）报价低于采购项目最高限价 45% 的，即投标（响应）报价&lt;采购项目最高限价×45% ；</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26.1.12投标文件未按照招标文件要求加盖CA电子公章的。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26.1.14其他法律、法规及本招标文件规定的属无效投标的情形。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27.1中标候选人的选取原则和数量见招标文件第五章规定。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27.4.1提供虚假材料谋取中标的。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27.4.2向采购人、</w:t>
      </w:r>
      <w:r>
        <w:rPr>
          <w:rFonts w:hint="eastAsia" w:ascii="宋体" w:hAnsi="宋体" w:cs="宋体"/>
          <w:b w:val="0"/>
          <w:bCs/>
          <w:color w:val="auto"/>
          <w:szCs w:val="21"/>
          <w:highlight w:val="none"/>
          <w:lang w:eastAsia="zh-CN"/>
        </w:rPr>
        <w:t xml:space="preserve">代理机构</w:t>
      </w:r>
      <w:r>
        <w:rPr>
          <w:rFonts w:hint="eastAsia" w:ascii="宋体" w:hAnsi="宋体" w:cs="宋体"/>
          <w:b w:val="0"/>
          <w:bCs/>
          <w:color w:val="auto"/>
          <w:szCs w:val="21"/>
          <w:highlight w:val="none"/>
        </w:rPr>
        <w:t xml:space="preserve">行贿或者提供其他不正当利益的。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27.4.3属于本文件规定的无效条件，但在评标过程中又未被评委会发现的。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27.4.4与采购人或者其他供应商恶意串通的。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27.4.5采取不正当手段诋毁、排挤其他供应商的。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 有下列情形之一的，视为投标人串通投标，投标无效：</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27.5.2不同投标人委托同一单位或者个人办理投标事宜。</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27.5.3 不同投标人的投标文件载明的项目管理成员或者联系人员为同一人。</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代理机构应当在收到供应商的书面质疑后</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31、货物（包含与货物相关的服务）的追加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rPr>
        <w:t xml:space="preserve">33、</w:t>
      </w:r>
      <w:r>
        <w:rPr>
          <w:rFonts w:hint="eastAsia" w:ascii="宋体" w:hAnsi="宋体" w:cs="宋体"/>
          <w:b/>
          <w:bCs/>
          <w:color w:val="auto"/>
          <w:highlight w:val="none"/>
        </w:rPr>
        <w:t xml:space="preserve">其他</w:t>
      </w:r>
      <w:r/>
    </w:p>
    <w:p>
      <w:pPr>
        <w:ind w:firstLine="420"/>
        <w:spacing w:line="440" w:lineRule="exact"/>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rPr>
          <w:rFonts w:hint="eastAsia" w:ascii="宋体" w:hAnsi="宋体" w:cs="宋体"/>
          <w:bCs/>
          <w:color w:val="auto"/>
          <w:szCs w:val="21"/>
          <w:highlight w:val="none"/>
        </w:rPr>
        <w:br w:type="page" w:clear="all"/>
      </w:r>
      <w:r/>
    </w:p>
    <w:p>
      <w:pPr>
        <w:pStyle w:val="753"/>
        <w:rPr>
          <w:color w:val="auto"/>
          <w:highlight w:val="none"/>
        </w:rPr>
      </w:pPr>
      <w:r/>
      <w:bookmarkStart w:id="55" w:name="_Toc55204179"/>
      <w:r/>
      <w:bookmarkStart w:id="56" w:name="_Toc18427"/>
      <w:r/>
      <w:bookmarkStart w:id="57" w:name="_Hlk69392822"/>
      <w:r>
        <w:rPr>
          <w:rFonts w:hint="eastAsia"/>
          <w:color w:val="auto"/>
          <w:highlight w:val="none"/>
        </w:rPr>
        <w:t xml:space="preserve">第三章 合同条款及格式</w:t>
      </w:r>
      <w:bookmarkEnd w:id="55"/>
      <w:r/>
      <w:bookmarkEnd w:id="56"/>
      <w:r/>
      <w:r/>
    </w:p>
    <w:p>
      <w:pPr>
        <w:pStyle w:val="993"/>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bookmarkEnd w:id="57"/>
      <w:r/>
      <w:r/>
    </w:p>
    <w:p>
      <w:pPr>
        <w:pStyle w:val="993"/>
        <w:ind w:firstLine="422"/>
        <w:jc w:val="center"/>
        <w:spacing w:line="360" w:lineRule="auto"/>
        <w:rPr>
          <w:rFonts w:hint="eastAsia" w:hAnsi="宋体" w:cs="宋体"/>
          <w:b/>
          <w:bCs/>
          <w:color w:val="auto"/>
          <w:sz w:val="21"/>
          <w:highlight w:val="none"/>
        </w:rPr>
      </w:pPr>
      <w:r/>
      <w:bookmarkStart w:id="58" w:name="_Toc12506"/>
      <w:r/>
      <w:r/>
    </w:p>
    <w:p>
      <w:pPr>
        <w:pStyle w:val="993"/>
        <w:ind w:firstLine="422"/>
        <w:jc w:val="center"/>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扬州市政府采购合同（货物）（合同编号）</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项目名称：</w:t>
      </w:r>
      <w:r>
        <w:rPr>
          <w:rFonts w:hint="eastAsia" w:hAnsi="宋体" w:cs="宋体"/>
          <w:color w:val="auto"/>
          <w:sz w:val="21"/>
          <w:highlight w:val="none"/>
          <w:lang w:eastAsia="zh-CN"/>
        </w:rPr>
        <w:t xml:space="preserve">苏北人民医院电子支气管镜系统采购项目</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项目编号：</w:t>
      </w:r>
      <w:r>
        <w:rPr>
          <w:rFonts w:hint="eastAsia" w:hAnsi="宋体" w:cs="宋体"/>
          <w:color w:val="auto"/>
          <w:sz w:val="21"/>
          <w:highlight w:val="none"/>
          <w:lang w:eastAsia="zh-CN"/>
        </w:rPr>
        <w:t xml:space="preserve">JSZC-321000-SWGC-G2026-0063</w:t>
      </w:r>
      <w:r>
        <w:rPr>
          <w:rFonts w:hint="eastAsia" w:ascii="宋体" w:hAnsi="宋体" w:eastAsia="宋体" w:cs="宋体"/>
          <w:color w:val="auto"/>
          <w:sz w:val="21"/>
          <w:highlight w:val="none"/>
        </w:rPr>
        <w:t xml:space="preserve">号</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甲方：（买方）苏北人民医院</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乙方：（卖方）_________</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见证方：江苏苏维工程管理有限公司</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甲、乙双方根据江苏苏维工程管理有限公司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一、货物及伴随服务</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货物及服务名称：</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型号规格：</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 数量（单位）</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本合同金额为（大写）：_____________圆（_______________元）人民币。</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6.1 乙方交纳人民币</w:t>
      </w:r>
      <w:r>
        <w:rPr>
          <w:rFonts w:hint="eastAsia" w:ascii="宋体" w:hAnsi="宋体" w:eastAsia="宋体" w:cs="宋体"/>
          <w:color w:val="auto"/>
          <w:sz w:val="21"/>
          <w:highlight w:val="none"/>
          <w:u w:val="single"/>
          <w:lang w:val="en-US" w:eastAsia="zh-CN"/>
        </w:rPr>
        <w:t xml:space="preserve"> 零  </w:t>
      </w:r>
      <w:r>
        <w:rPr>
          <w:rFonts w:hint="eastAsia" w:ascii="宋体" w:hAnsi="宋体" w:eastAsia="宋体" w:cs="宋体"/>
          <w:color w:val="auto"/>
          <w:sz w:val="21"/>
          <w:highlight w:val="none"/>
          <w:lang w:val="en-US" w:eastAsia="zh-CN"/>
        </w:rPr>
        <w:t xml:space="preserve">元作为本合同的履约保证金。（不得超过合同金额的10%）</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6.2合同履行结束后，甲方应及时退还交纳的履约保证金。</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6.2.1履约保证金退还方式：无</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6.2.2履约保证金退还时间：无</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6.2.3履约保证金退还条件：无</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6.2.4履约保证金不予退还的情形：无</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w:t>
      </w:r>
      <w:r>
        <w:rPr>
          <w:rFonts w:hint="eastAsia" w:ascii="宋体" w:hAnsi="宋体" w:eastAsia="宋体" w:cs="宋体"/>
          <w:color w:val="auto"/>
          <w:sz w:val="21"/>
          <w:highlight w:val="none"/>
          <w:lang w:eastAsia="zh-CN"/>
        </w:rPr>
        <w:t xml:space="preserve">围内</w:t>
      </w:r>
      <w:r>
        <w:rPr>
          <w:rFonts w:hint="eastAsia" w:ascii="宋体" w:hAnsi="宋体" w:eastAsia="宋体" w:cs="宋体"/>
          <w:color w:val="auto"/>
          <w:sz w:val="21"/>
          <w:highlight w:val="none"/>
        </w:rPr>
        <w:t xml:space="preserve">的货物及服务，应由乙方直接供应，不得转让他人供应；</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年。（自交货验收合格之日起计）</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9.1 交付期：</w:t>
      </w:r>
      <w:r>
        <w:rPr>
          <w:rFonts w:hint="eastAsia" w:ascii="宋体" w:hAnsi="宋体" w:eastAsia="宋体" w:cs="宋体"/>
          <w:color w:val="auto"/>
          <w:sz w:val="21"/>
          <w:highlight w:val="none"/>
          <w:u w:val="single"/>
        </w:rPr>
        <w:t xml:space="preserve">合同签订后90个日历</w:t>
      </w:r>
      <w:r>
        <w:rPr>
          <w:rFonts w:hint="eastAsia" w:ascii="宋体" w:hAnsi="宋体" w:cs="宋体"/>
          <w:color w:val="auto"/>
          <w:sz w:val="21"/>
          <w:highlight w:val="none"/>
          <w:u w:val="single"/>
          <w:lang w:val="en-US" w:eastAsia="zh-CN"/>
        </w:rPr>
        <w:t xml:space="preserve">天</w:t>
      </w:r>
      <w:r>
        <w:rPr>
          <w:rFonts w:hint="eastAsia" w:ascii="宋体" w:hAnsi="宋体" w:eastAsia="宋体" w:cs="宋体"/>
          <w:color w:val="auto"/>
          <w:sz w:val="21"/>
          <w:highlight w:val="none"/>
          <w:u w:val="single"/>
        </w:rPr>
        <w:t xml:space="preserve">内安装调试完毕。</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9.2 交付方式：</w:t>
      </w:r>
      <w:r>
        <w:rPr>
          <w:rFonts w:hint="eastAsia" w:ascii="宋体" w:hAnsi="宋体" w:eastAsia="宋体" w:cs="宋体"/>
          <w:color w:val="auto"/>
          <w:sz w:val="21"/>
          <w:highlight w:val="none"/>
          <w:u w:val="single"/>
        </w:rPr>
        <w:t xml:space="preserve">甲方指定方式</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9.3 交付地点：</w:t>
      </w:r>
      <w:r>
        <w:rPr>
          <w:rFonts w:hint="eastAsia" w:ascii="宋体" w:hAnsi="宋体" w:eastAsia="宋体" w:cs="宋体"/>
          <w:color w:val="auto"/>
          <w:sz w:val="21"/>
          <w:highlight w:val="none"/>
          <w:u w:val="single"/>
        </w:rPr>
        <w:t xml:space="preserve">甲方指定地点</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合同签订后，乙方向甲方开具发票，甲方自收到发票之日起10个工作日内支付合同总价30%的预付款；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设备安装调试</w:t>
      </w:r>
      <w:r>
        <w:rPr>
          <w:rFonts w:hint="eastAsia" w:ascii="宋体" w:hAnsi="宋体" w:eastAsia="宋体" w:cs="宋体"/>
          <w:color w:val="auto"/>
          <w:szCs w:val="21"/>
          <w:highlight w:val="none"/>
          <w:u w:val="single"/>
          <w:lang w:val="en-US" w:eastAsia="zh-CN"/>
        </w:rPr>
        <w:t xml:space="preserve">验收合格</w:t>
      </w:r>
      <w:r>
        <w:rPr>
          <w:rFonts w:hint="eastAsia" w:ascii="宋体" w:hAnsi="宋体" w:eastAsia="宋体" w:cs="宋体"/>
          <w:color w:val="auto"/>
          <w:szCs w:val="21"/>
          <w:highlight w:val="none"/>
          <w:u w:val="single"/>
        </w:rPr>
        <w:t xml:space="preserve">后，乙方向甲方开具发票，甲方自收到发票之日起10个工作日内</w:t>
      </w:r>
      <w:r>
        <w:rPr>
          <w:rFonts w:hint="eastAsia" w:ascii="宋体" w:hAnsi="宋体" w:eastAsia="宋体" w:cs="宋体"/>
          <w:color w:val="auto"/>
          <w:szCs w:val="21"/>
          <w:highlight w:val="none"/>
          <w:u w:val="single"/>
          <w:lang w:val="en-US" w:eastAsia="zh-CN"/>
        </w:rPr>
        <w:t xml:space="preserve">支付剩余合同总价尾款</w:t>
      </w:r>
      <w:r>
        <w:rPr>
          <w:rFonts w:hint="eastAsia" w:ascii="宋体" w:hAnsi="宋体" w:eastAsia="宋体" w:cs="宋体"/>
          <w:color w:val="auto"/>
          <w:szCs w:val="21"/>
          <w:highlight w:val="none"/>
          <w:u w:val="single"/>
          <w:lang w:eastAsia="zh-CN"/>
        </w:rPr>
        <w:t xml:space="preserve">。</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小时内到达甲方现场。</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w:t>
      </w:r>
      <w:r>
        <w:rPr>
          <w:rFonts w:hint="eastAsia" w:ascii="宋体" w:hAnsi="宋体" w:eastAsia="宋体" w:cs="宋体"/>
          <w:color w:val="auto"/>
          <w:sz w:val="21"/>
          <w:highlight w:val="none"/>
          <w:lang w:eastAsia="zh-CN"/>
        </w:rPr>
        <w:t xml:space="preserve">上述</w:t>
      </w:r>
      <w:r>
        <w:rPr>
          <w:rFonts w:hint="eastAsia" w:ascii="宋体" w:hAnsi="宋体" w:eastAsia="宋体" w:cs="宋体"/>
          <w:color w:val="auto"/>
          <w:sz w:val="21"/>
          <w:highlight w:val="none"/>
        </w:rPr>
        <w:t xml:space="preserve">货物及服务免费保修期为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年，因人为因素出现的故障不在免费保修范围内。超过保修期的机器设备，终身维修，维修时只收部件成本费。</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hAnsi="宋体" w:cs="宋体"/>
          <w:color w:val="auto"/>
          <w:sz w:val="21"/>
          <w:highlight w:val="none"/>
          <w:lang w:val="en-US" w:eastAsia="zh-CN"/>
        </w:rPr>
        <w:t xml:space="preserve">13</w:t>
      </w:r>
      <w:r>
        <w:rPr>
          <w:rFonts w:hint="eastAsia" w:ascii="宋体" w:hAnsi="宋体" w:eastAsia="宋体" w:cs="宋体"/>
          <w:color w:val="auto"/>
          <w:sz w:val="21"/>
          <w:highlight w:val="none"/>
        </w:rPr>
        <w:t xml:space="preserve">.1 甲方依法组织履约验收工作。</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.3 对于实际使用人和甲方分离的项目，甲方邀请实际使用人参与验收。</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.4 如有必要，甲方邀请参加本项目的其他供应商或第三方专业机构及专家参与验收，相关意见将作为验收书的参考资料。</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乙方在货物及服务发运手续办理完毕后24小时内或交付到甲方48小时前通知甲方，以准备接受交付。</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Cs w:val="21"/>
          <w:highlight w:val="none"/>
        </w:rPr>
        <w:t xml:space="preserve">。</w:t>
      </w:r>
      <w:r/>
    </w:p>
    <w:p>
      <w:pPr>
        <w:pStyle w:val="99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十九、合同生效及其它</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合同经双方法定代表人签章并加盖单位公章，并经江苏苏维工程管理有限公司见证盖章后生效。</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19.2本合同未尽事宜，遵照《中华人民共和国民法典》有关条文执行。</w:t>
      </w:r>
      <w:r/>
    </w:p>
    <w:p>
      <w:pPr>
        <w:pStyle w:val="99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本合同正本一式四份，具有同等法律效力，甲方、乙方、见证方及财政监管部门各执一份。  </w:t>
      </w:r>
      <w:r/>
    </w:p>
    <w:tbl>
      <w:tblPr>
        <w:tblStyle w:val="763"/>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甲方：苏北人民医院</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93"/>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bl>
    <w:p>
      <w:pPr>
        <w:pStyle w:val="993"/>
        <w:spacing w:line="360" w:lineRule="auto"/>
        <w:rPr>
          <w:color w:val="auto"/>
          <w:highlight w:val="none"/>
        </w:rPr>
      </w:pPr>
      <w:r>
        <w:rPr>
          <w:rFonts w:hint="eastAsia"/>
          <w:color w:val="auto"/>
          <w:highlight w:val="none"/>
        </w:rPr>
        <w:br w:type="page" w:clear="all"/>
      </w:r>
      <w:r/>
    </w:p>
    <w:p>
      <w:pPr>
        <w:pStyle w:val="753"/>
        <w:numPr>
          <w:ilvl w:val="0"/>
          <w:numId w:val="2"/>
        </w:numPr>
        <w:rPr>
          <w:color w:val="auto"/>
          <w:highlight w:val="none"/>
        </w:rPr>
      </w:pPr>
      <w:r>
        <w:rPr>
          <w:rFonts w:hint="eastAsia"/>
          <w:color w:val="auto"/>
          <w:highlight w:val="none"/>
        </w:rPr>
        <w:t xml:space="preserve">项目需求</w:t>
      </w:r>
      <w:bookmarkEnd w:id="58"/>
      <w:r/>
      <w:r/>
    </w:p>
    <w:p>
      <w:pPr>
        <w:pStyle w:val="769"/>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bookmarkStart w:id="59" w:name="_Toc319408306"/>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769"/>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 w:val="0"/>
          <w:bCs w:val="0"/>
          <w:color w:val="auto"/>
          <w:sz w:val="21"/>
          <w:szCs w:val="21"/>
          <w:highlight w:val="none"/>
          <w:u w:val="single"/>
          <w:lang w:val="en-US" w:eastAsia="zh-CN"/>
        </w:rPr>
        <w:t xml:space="preserve">无</w:t>
      </w:r>
      <w:r>
        <w:rPr>
          <w:rFonts w:hint="eastAsia" w:ascii="宋体" w:hAnsi="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3.采购需求中</w:t>
      </w:r>
      <w:r>
        <w:rPr>
          <w:rFonts w:hint="eastAsia" w:ascii="宋体" w:hAnsi="宋体" w:cs="宋体"/>
          <w:b/>
          <w:bCs/>
          <w:i/>
          <w:iCs/>
          <w:color w:val="auto"/>
          <w:sz w:val="21"/>
          <w:szCs w:val="21"/>
          <w:highlight w:val="none"/>
          <w:u w:val="single"/>
        </w:rPr>
        <w:t xml:space="preserve">斜体且有下划线部分</w:t>
      </w:r>
      <w:r>
        <w:rPr>
          <w:rFonts w:hint="eastAsia" w:ascii="宋体" w:hAnsi="宋体" w:cs="宋体"/>
          <w:b/>
          <w:bCs/>
          <w:i/>
          <w:iCs/>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4.投标人需对技术要求（未加斜体下划线的非实质性要求）逐条做出明确响应。如果招标文件要求提供证明材料，投标人需将证明材料列于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技术要求响应及偏离表</w:t>
      </w:r>
      <w:r>
        <w:rPr>
          <w:rFonts w:hint="eastAsia" w:ascii="宋体" w:hAnsi="宋体" w:cs="宋体"/>
          <w:b w:val="0"/>
          <w:bCs w:val="0"/>
          <w:color w:val="auto"/>
          <w:sz w:val="21"/>
          <w:szCs w:val="21"/>
          <w:highlight w:val="none"/>
        </w:rPr>
        <w:t xml:space="preserve">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5.投标人需对商务要求（未加斜体下划线的非实质性要求）逐条做出明确响应。如果招标文件要求提供证明材料，投标人需将证明材料列于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商务要求响应及偏离表</w:t>
      </w:r>
      <w:r>
        <w:rPr>
          <w:rFonts w:hint="eastAsia" w:ascii="宋体" w:hAnsi="宋体" w:cs="宋体"/>
          <w:b w:val="0"/>
          <w:bCs w:val="0"/>
          <w:color w:val="auto"/>
          <w:sz w:val="21"/>
          <w:szCs w:val="21"/>
          <w:highlight w:val="none"/>
        </w:rPr>
        <w:t xml:space="preserve">之下。</w:t>
      </w:r>
      <w:r/>
    </w:p>
    <w:p>
      <w:pPr>
        <w:pStyle w:val="769"/>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6.采购标的清单</w:t>
      </w:r>
      <w:r/>
    </w:p>
    <w:tbl>
      <w:tblPr>
        <w:tblStyle w:val="763"/>
        <w:tblW w:w="44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3105"/>
        <w:gridCol w:w="3193"/>
      </w:tblGrid>
      <w:tr>
        <w:trPr>
          <w:cantSplit/>
          <w:jc w:val="center"/>
          <w:trHeight w:val="607"/>
        </w:trPr>
        <w:tc>
          <w:tcPr>
            <w:tcW w:w="83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2051"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210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cantSplit/>
          <w:jc w:val="center"/>
          <w:trHeight w:val="318"/>
        </w:trPr>
        <w:tc>
          <w:tcPr>
            <w:tcW w:w="83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051" w:type="pct"/>
            <w:vAlign w:val="center"/>
            <w:textDirection w:val="lrTb"/>
            <w:noWrap w:val="false"/>
          </w:tcPr>
          <w:p>
            <w:pPr>
              <w:jc w:val="center"/>
              <w:keepLines w:val="0"/>
              <w:keepNext w:val="0"/>
              <w:pageBreakBefore w:val="0"/>
              <w:spacing w:line="360" w:lineRule="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电子支气管镜</w:t>
            </w:r>
            <w:r/>
          </w:p>
        </w:tc>
        <w:tc>
          <w:tcPr>
            <w:tcW w:w="21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工业</w:t>
            </w:r>
            <w:r/>
          </w:p>
        </w:tc>
      </w:tr>
    </w:tbl>
    <w:p>
      <w:pPr>
        <w:pStyle w:val="1027"/>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本院拟采购电子支气管镜1套，</w:t>
      </w:r>
      <w:r>
        <w:rPr>
          <w:rFonts w:hint="eastAsia" w:ascii="宋体" w:hAnsi="宋体" w:eastAsia="宋体" w:cs="宋体"/>
          <w:color w:val="auto"/>
          <w:sz w:val="21"/>
          <w:szCs w:val="21"/>
          <w:highlight w:val="none"/>
          <w:lang w:val="en-US" w:eastAsia="zh-CN"/>
        </w:rPr>
        <w:t xml:space="preserve">用于治疗人体呼吸道及肺部进行检查、诊断或治疗等。</w:t>
      </w:r>
      <w:r/>
    </w:p>
    <w:p>
      <w:pPr>
        <w:pStyle w:val="1027"/>
        <w:ind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最高限价：</w:t>
      </w:r>
      <w:r>
        <w:rPr>
          <w:rFonts w:hint="eastAsia" w:hAnsi="宋体" w:cs="宋体"/>
          <w:b/>
          <w:bCs/>
          <w:i/>
          <w:iCs/>
          <w:color w:val="auto"/>
          <w:sz w:val="21"/>
          <w:szCs w:val="21"/>
          <w:highlight w:val="none"/>
          <w:u w:val="single"/>
          <w:lang w:val="en-US" w:eastAsia="zh-CN"/>
        </w:rPr>
        <w:t xml:space="preserve">245</w:t>
      </w:r>
      <w:r>
        <w:rPr>
          <w:rFonts w:hint="eastAsia" w:ascii="宋体" w:hAnsi="宋体" w:eastAsia="宋体" w:cs="宋体"/>
          <w:b/>
          <w:bCs/>
          <w:i/>
          <w:iCs/>
          <w:color w:val="auto"/>
          <w:sz w:val="21"/>
          <w:szCs w:val="21"/>
          <w:highlight w:val="none"/>
          <w:u w:val="single"/>
        </w:rPr>
        <w:t xml:space="preserve">万元，投标人报价不得高于最高限价，否则</w:t>
      </w:r>
      <w:r>
        <w:rPr>
          <w:rFonts w:hint="eastAsia" w:hAnsi="宋体" w:cs="宋体"/>
          <w:b/>
          <w:bCs/>
          <w:i/>
          <w:iCs/>
          <w:color w:val="auto"/>
          <w:sz w:val="21"/>
          <w:szCs w:val="21"/>
          <w:highlight w:val="none"/>
          <w:u w:val="single"/>
          <w:lang w:eastAsia="zh-CN"/>
        </w:rPr>
        <w:t xml:space="preserve">作</w:t>
      </w:r>
      <w:r>
        <w:rPr>
          <w:rFonts w:hint="eastAsia" w:ascii="宋体" w:hAnsi="宋体" w:eastAsia="宋体" w:cs="宋体"/>
          <w:b/>
          <w:bCs/>
          <w:i/>
          <w:iCs/>
          <w:color w:val="auto"/>
          <w:sz w:val="21"/>
          <w:szCs w:val="21"/>
          <w:highlight w:val="none"/>
          <w:u w:val="single"/>
        </w:rPr>
        <w:t xml:space="preserve">无效投标处理。（提供开标一览表，扫描上传系统）</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验收要求：货到安装调试完毕后一次性验收，符合国家医疗设备评验标准。</w:t>
      </w:r>
      <w:r/>
    </w:p>
    <w:p>
      <w:pPr>
        <w:pStyle w:val="769"/>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核心产品</w:t>
      </w:r>
      <w:r/>
    </w:p>
    <w:tbl>
      <w:tblPr>
        <w:tblStyle w:val="76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2927"/>
      </w:tblGrid>
      <w:tr>
        <w:trPr/>
        <w:tc>
          <w:tcPr>
            <w:tcW w:w="126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w:t>
            </w:r>
            <w:r/>
          </w:p>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包号</w:t>
            </w:r>
            <w:r/>
          </w:p>
        </w:tc>
        <w:tc>
          <w:tcPr>
            <w:tcW w:w="2927"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r>
      <w:tr>
        <w:trPr/>
        <w:tc>
          <w:tcPr>
            <w:tcW w:w="126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927" w:type="dxa"/>
            <w:vAlign w:val="center"/>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电子支气管镜</w:t>
            </w:r>
            <w:r/>
          </w:p>
        </w:tc>
      </w:tr>
    </w:tbl>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w:t>
      </w:r>
      <w:r>
        <w:rPr>
          <w:rFonts w:hint="eastAsia" w:ascii="宋体" w:hAnsi="宋体" w:cs="宋体"/>
          <w:b w:val="0"/>
          <w:bCs w:val="0"/>
          <w:color w:val="auto"/>
          <w:sz w:val="21"/>
          <w:szCs w:val="21"/>
          <w:highlight w:val="none"/>
        </w:rPr>
        <w:t xml:space="preserve">进口产品投标</w:t>
      </w:r>
      <w:r/>
    </w:p>
    <w:tbl>
      <w:tblPr>
        <w:tblStyle w:val="763"/>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2927"/>
      </w:tblGrid>
      <w:tr>
        <w:trPr>
          <w:trHeight w:val="836"/>
        </w:trPr>
        <w:tc>
          <w:tcPr>
            <w:tcW w:w="126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w:t>
            </w:r>
            <w:r/>
          </w:p>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包号</w:t>
            </w:r>
            <w:r/>
          </w:p>
        </w:tc>
        <w:tc>
          <w:tcPr>
            <w:tcW w:w="2927"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是否接受进口产品投标</w:t>
            </w:r>
            <w:r/>
          </w:p>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w:t>
            </w:r>
            <w:r/>
          </w:p>
        </w:tc>
      </w:tr>
      <w:tr>
        <w:trPr>
          <w:trHeight w:val="433"/>
        </w:trPr>
        <w:tc>
          <w:tcPr>
            <w:tcW w:w="126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927"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是</w:t>
            </w:r>
            <w:r/>
          </w:p>
        </w:tc>
      </w:tr>
    </w:tbl>
    <w:p>
      <w:pPr>
        <w:numPr>
          <w:ilvl w:val="0"/>
          <w:numId w:val="0"/>
        </w:numPr>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政府采购中实施本国产品标准及相关政策</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1.本项目对采购本国产品给予政策支持，具体内容见招标文件“第五章 评标方法与评标标准”。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eastAsia="宋体" w:cs="宋体"/>
          <w:b/>
          <w:bCs/>
          <w:color w:val="auto"/>
          <w:sz w:val="21"/>
          <w:szCs w:val="21"/>
          <w:highlight w:val="none"/>
        </w:rPr>
        <w:t xml:space="preserve">对医疗器械产品，取得药品监督管理部门授予的准字号医疗器械注册证的，属于在中国境内生产的产品；</w:t>
      </w:r>
      <w:r>
        <w:rPr>
          <w:rFonts w:hint="eastAsia" w:ascii="宋体" w:hAnsi="宋体" w:eastAsia="宋体" w:cs="宋体"/>
          <w:color w:val="auto"/>
          <w:sz w:val="21"/>
          <w:szCs w:val="21"/>
          <w:highlight w:val="none"/>
        </w:rPr>
        <w:t xml:space="preserve">其他产品，根据实际情况判断是否在中国境内生产。</w:t>
      </w:r>
      <w:bookmarkEnd w:id="59"/>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0" w:name="_Toc55204181"/>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技术要求</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图像处理装置</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1套</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支持≥1920*1080像素图像传输</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模拟或数字信号输出格式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4种</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具备白平衡调节功能</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具备色彩调节功能</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具备自动增益控制功能 </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≥3种图像对比度模式</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具备≥3种的测光模式</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≥2种图像强调模式</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支持</w:t>
      </w:r>
      <w:r>
        <w:rPr>
          <w:rFonts w:hint="eastAsia" w:ascii="宋体" w:hAnsi="宋体" w:eastAsia="宋体" w:cs="宋体"/>
          <w:color w:val="auto"/>
          <w:sz w:val="21"/>
          <w:szCs w:val="21"/>
          <w:highlight w:val="none"/>
        </w:rPr>
        <w:t xml:space="preserve">通过键盘按键改变内镜图像大小</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冻结功能：</w:t>
      </w:r>
      <w:r>
        <w:rPr>
          <w:rFonts w:hint="eastAsia" w:ascii="宋体" w:hAnsi="宋体" w:eastAsia="宋体" w:cs="宋体"/>
          <w:color w:val="auto"/>
          <w:sz w:val="21"/>
          <w:szCs w:val="21"/>
          <w:highlight w:val="none"/>
          <w:lang w:val="zh-CN"/>
        </w:rPr>
        <w:t xml:space="preserve">可在术中实时进行手术画面冻结，</w:t>
      </w:r>
      <w:r>
        <w:rPr>
          <w:rFonts w:hint="eastAsia" w:ascii="宋体" w:hAnsi="宋体" w:eastAsia="宋体" w:cs="宋体"/>
          <w:color w:val="auto"/>
          <w:sz w:val="21"/>
          <w:szCs w:val="21"/>
          <w:highlight w:val="none"/>
          <w:lang w:val="en-US" w:eastAsia="zh-CN"/>
        </w:rPr>
        <w:t xml:space="preserve">方便</w:t>
      </w:r>
      <w:r>
        <w:rPr>
          <w:rFonts w:hint="eastAsia" w:ascii="宋体" w:hAnsi="宋体" w:eastAsia="宋体" w:cs="宋体"/>
          <w:color w:val="auto"/>
          <w:sz w:val="21"/>
          <w:szCs w:val="21"/>
          <w:highlight w:val="none"/>
          <w:lang w:val="zh-CN"/>
        </w:rPr>
        <w:t xml:space="preserve">进行静态图像采集</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具备患者数据记录功能</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具备USB接口</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配备≥</w:t>
      </w:r>
      <w:r>
        <w:rPr>
          <w:rFonts w:hint="eastAsia" w:ascii="宋体" w:hAnsi="宋体" w:eastAsia="宋体" w:cs="宋体"/>
          <w:color w:val="auto"/>
          <w:sz w:val="21"/>
          <w:szCs w:val="21"/>
          <w:highlight w:val="none"/>
        </w:rPr>
        <w:t xml:space="preserve">2种特殊光成像功能</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主机与光源为分体机</w:t>
      </w:r>
      <w:r>
        <w:rPr>
          <w:rFonts w:hint="eastAsia" w:ascii="宋体" w:hAnsi="宋体" w:eastAsia="宋体" w:cs="宋体"/>
          <w:color w:val="auto"/>
          <w:sz w:val="21"/>
          <w:szCs w:val="21"/>
          <w:highlight w:val="none"/>
          <w:lang w:val="en-US" w:eastAsia="zh-CN"/>
        </w:rPr>
        <w:t xml:space="preserve">或一体机</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▲可兼容超声支气管镜</w:t>
      </w:r>
      <w:r/>
    </w:p>
    <w:p>
      <w:pPr>
        <w:ind w:left="0"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氙气冷光源</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或</w:t>
      </w:r>
      <w:r>
        <w:rPr>
          <w:rFonts w:hint="eastAsia" w:ascii="宋体" w:hAnsi="宋体" w:cs="宋体"/>
          <w:b/>
          <w:color w:val="auto"/>
          <w:sz w:val="21"/>
          <w:szCs w:val="21"/>
          <w:highlight w:val="none"/>
          <w:lang w:eastAsia="zh-CN"/>
        </w:rPr>
        <w:t xml:space="preserve">LED光源）</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1套</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氙气灯光源或LED光源，若是氙气灯光源，</w:t>
      </w:r>
      <w:r>
        <w:rPr>
          <w:rFonts w:hint="eastAsia" w:ascii="宋体" w:hAnsi="宋体" w:eastAsia="宋体" w:cs="宋体"/>
          <w:color w:val="auto"/>
          <w:sz w:val="21"/>
          <w:szCs w:val="21"/>
          <w:highlight w:val="none"/>
          <w:lang w:val="en-US" w:eastAsia="zh-CN"/>
        </w:rPr>
        <w:t xml:space="preserve">配备</w:t>
      </w:r>
      <w:r>
        <w:rPr>
          <w:rFonts w:hint="eastAsia" w:ascii="宋体" w:hAnsi="宋体" w:eastAsia="宋体" w:cs="宋体"/>
          <w:color w:val="auto"/>
          <w:sz w:val="21"/>
          <w:szCs w:val="21"/>
          <w:highlight w:val="none"/>
          <w:lang w:val="zh-CN"/>
        </w:rPr>
        <w:t xml:space="preserve">备用灯</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光源寿命：氙气灯使用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500小时</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rPr>
        <w:t xml:space="preserve">LED灯使用</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10000小时</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电子支气管镜</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检查镜</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两根</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视野范围：≥110°</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视野方向：0°（直视）</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景深：≥2-100mm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弯曲角度：上≥210°，下≥130°</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先端部外径：≤5.0mm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软性部直径：≤5.0mm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lang w:val="zh-CN"/>
        </w:rPr>
        <w:t xml:space="preserve">长度：≥600mm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最小可视距离：距先端≥3.0mm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器械管道内径：≥</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val="zh-CN"/>
        </w:rPr>
        <w:t xml:space="preserve">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具有插入管旋转功能</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color w:val="auto"/>
          <w:highlight w:val="none"/>
          <w:lang w:val="zh-CN" w:eastAsia="zh-CN"/>
        </w:rPr>
        <w:t xml:space="preserve">▲</w:t>
      </w:r>
      <w:r>
        <w:rPr>
          <w:rFonts w:hint="eastAsia" w:ascii="宋体" w:hAnsi="宋体" w:eastAsia="宋体" w:cs="宋体"/>
          <w:color w:val="auto"/>
          <w:sz w:val="21"/>
          <w:szCs w:val="21"/>
          <w:highlight w:val="none"/>
          <w:lang w:val="zh-CN"/>
        </w:rPr>
        <w:t xml:space="preserve">一键式防水接头</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电子支气管镜</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治疗镜</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一根</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视野范围：≥120°</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视野方向：0°（直视）</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景深：≥2-100mm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弯曲角度：上≥180°，下≥130°</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先端部外径：≤6.0mm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软性部直径：≤6.0mm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lang w:val="zh-CN"/>
        </w:rPr>
        <w:t xml:space="preserve">长度：≥600mm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最小可视距离：距先端≥3.0mm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器械管道内径：≥2.8mm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具有插入管旋转功能</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color w:val="auto"/>
          <w:highlight w:val="none"/>
          <w:lang w:val="zh-CN" w:eastAsia="zh-CN"/>
        </w:rPr>
        <w:t xml:space="preserve">▲</w:t>
      </w:r>
      <w:r>
        <w:rPr>
          <w:rFonts w:hint="eastAsia" w:ascii="宋体" w:hAnsi="宋体" w:eastAsia="宋体" w:cs="宋体"/>
          <w:color w:val="auto"/>
          <w:sz w:val="21"/>
          <w:szCs w:val="21"/>
          <w:highlight w:val="none"/>
          <w:lang w:val="zh-CN"/>
        </w:rPr>
        <w:t xml:space="preserve">一键式防水接头</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超声电子支气管镜</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一根</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视野角：≥80°</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视野方向：≥10°向前斜视</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景深：≥2-50mm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color w:val="auto"/>
          <w:highlight w:val="none"/>
          <w:lang w:val="zh-CN" w:eastAsia="zh-CN"/>
        </w:rPr>
        <w:t xml:space="preserve">▲</w:t>
      </w:r>
      <w:r>
        <w:rPr>
          <w:rFonts w:hint="eastAsia" w:ascii="宋体" w:hAnsi="宋体" w:eastAsia="宋体" w:cs="宋体"/>
          <w:color w:val="auto"/>
          <w:sz w:val="21"/>
          <w:szCs w:val="21"/>
          <w:highlight w:val="none"/>
          <w:lang w:val="zh-CN"/>
        </w:rPr>
        <w:t xml:space="preserve">弯曲角度：上≥120°，下≥70°</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先端部外径：≤7.</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插入部直径：≤6.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有效</w:t>
      </w:r>
      <w:r>
        <w:rPr>
          <w:rFonts w:hint="eastAsia" w:ascii="宋体" w:hAnsi="宋体" w:eastAsia="宋体" w:cs="宋体"/>
          <w:color w:val="auto"/>
          <w:sz w:val="21"/>
          <w:szCs w:val="21"/>
          <w:highlight w:val="none"/>
          <w:lang w:val="zh-CN"/>
        </w:rPr>
        <w:t xml:space="preserve">长度：≥600mm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全长：≥875mm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器械管道内径：≥2.0mm</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显示模式：至少包括B模式、彩色血流模式、能量血流模式</w:t>
      </w:r>
      <w:r>
        <w:rPr>
          <w:rFonts w:hint="eastAsia" w:ascii="宋体" w:hAnsi="宋体" w:eastAsia="宋体" w:cs="宋体"/>
          <w:color w:val="auto"/>
          <w:sz w:val="21"/>
          <w:szCs w:val="21"/>
          <w:highlight w:val="none"/>
          <w:lang w:val="en-US" w:eastAsia="zh-CN"/>
        </w:rPr>
        <w:t xml:space="preserve">等</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扫描方式：电子凸阵扫描</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▲扫描频率</w:t>
      </w:r>
      <w:r>
        <w:rPr>
          <w:rFonts w:hint="eastAsia" w:ascii="宋体" w:hAnsi="宋体" w:eastAsia="宋体" w:cs="宋体"/>
          <w:color w:val="auto"/>
          <w:sz w:val="21"/>
          <w:szCs w:val="21"/>
          <w:highlight w:val="none"/>
          <w:lang w:val="en-US" w:eastAsia="zh-CN"/>
        </w:rPr>
        <w:t xml:space="preserve">范围包含</w:t>
      </w:r>
      <w:r>
        <w:rPr>
          <w:rFonts w:hint="eastAsia" w:ascii="宋体" w:hAnsi="宋体" w:eastAsia="宋体" w:cs="宋体"/>
          <w:color w:val="auto"/>
          <w:sz w:val="21"/>
          <w:szCs w:val="21"/>
          <w:highlight w:val="none"/>
          <w:lang w:val="zh-CN"/>
        </w:rPr>
        <w:t xml:space="preserve">：5-12 MHz</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扫描范围：≥65°</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超声扫描接触法：至少包括水囊法、直接接触法</w:t>
      </w:r>
      <w:r>
        <w:rPr>
          <w:rFonts w:hint="eastAsia" w:ascii="宋体" w:hAnsi="宋体" w:eastAsia="宋体" w:cs="宋体"/>
          <w:color w:val="auto"/>
          <w:sz w:val="21"/>
          <w:szCs w:val="21"/>
          <w:highlight w:val="none"/>
          <w:lang w:val="en-US" w:eastAsia="zh-CN"/>
        </w:rPr>
        <w:t xml:space="preserve">等</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配备与内镜用超声主机连接的电缆线</w:t>
      </w:r>
      <w:r/>
    </w:p>
    <w:p>
      <w:pPr>
        <w:ind w:left="0"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（六）配置</w:t>
      </w:r>
      <w:r>
        <w:rPr>
          <w:rFonts w:hint="eastAsia" w:ascii="宋体" w:hAnsi="宋体" w:eastAsia="宋体" w:cs="宋体"/>
          <w:b/>
          <w:color w:val="auto"/>
          <w:sz w:val="21"/>
          <w:szCs w:val="21"/>
          <w:highlight w:val="none"/>
        </w:rPr>
        <w:t xml:space="preserve">医用</w:t>
      </w:r>
      <w:r>
        <w:rPr>
          <w:rFonts w:hint="eastAsia" w:ascii="宋体" w:hAnsi="宋体" w:eastAsia="宋体" w:cs="宋体"/>
          <w:b/>
          <w:color w:val="auto"/>
          <w:sz w:val="21"/>
          <w:szCs w:val="21"/>
          <w:highlight w:val="none"/>
          <w:lang w:val="en-US" w:eastAsia="zh-CN"/>
        </w:rPr>
        <w:t xml:space="preserve">显示器：1台</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显示器尺寸：≥26英寸</w:t>
      </w:r>
      <w:r/>
    </w:p>
    <w:p>
      <w:pPr>
        <w:pStyle w:val="1046"/>
        <w:numPr>
          <w:ilvl w:val="0"/>
          <w:numId w:val="3"/>
        </w:numPr>
        <w:ind w:left="-2" w:firstLine="422"/>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支持显示器分辨率输入≥1080P</w:t>
      </w:r>
      <w:r/>
    </w:p>
    <w:p>
      <w:pPr>
        <w:ind w:left="0"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（七）配置</w:t>
      </w:r>
      <w:r>
        <w:rPr>
          <w:rFonts w:hint="eastAsia" w:ascii="宋体" w:hAnsi="宋体" w:eastAsia="宋体" w:cs="宋体"/>
          <w:b/>
          <w:color w:val="auto"/>
          <w:sz w:val="21"/>
          <w:szCs w:val="21"/>
          <w:highlight w:val="none"/>
        </w:rPr>
        <w:t xml:space="preserve">医用台车</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1台</w:t>
      </w:r>
      <w:r/>
    </w:p>
    <w:p>
      <w:pPr>
        <w:ind w:left="0"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（八）配置</w:t>
      </w:r>
      <w:r>
        <w:rPr>
          <w:rFonts w:hint="eastAsia" w:ascii="宋体" w:hAnsi="宋体" w:eastAsia="宋体" w:cs="宋体"/>
          <w:b/>
          <w:color w:val="auto"/>
          <w:sz w:val="21"/>
          <w:szCs w:val="21"/>
          <w:highlight w:val="none"/>
        </w:rPr>
        <w:t xml:space="preserve">测漏器</w:t>
      </w:r>
      <w:r>
        <w:rPr>
          <w:rFonts w:hint="eastAsia" w:ascii="宋体" w:hAnsi="宋体" w:eastAsia="宋体" w:cs="宋体"/>
          <w:b/>
          <w:color w:val="auto"/>
          <w:sz w:val="21"/>
          <w:szCs w:val="21"/>
          <w:highlight w:val="none"/>
          <w:lang w:val="en-US" w:eastAsia="zh-CN"/>
        </w:rPr>
        <w:t xml:space="preserve">装置：1套</w:t>
      </w:r>
      <w:r/>
    </w:p>
    <w:p>
      <w:p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rPr>
        <w:t xml:space="preserve">、商务要求</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bookmarkStart w:id="61" w:name="_Toc29995"/>
      <w:r>
        <w:rPr>
          <w:rFonts w:hint="eastAsia" w:ascii="宋体" w:hAnsi="宋体" w:eastAsia="宋体" w:cs="宋体"/>
          <w:i w:val="0"/>
          <w:iCs w:val="0"/>
          <w:color w:val="auto"/>
          <w:szCs w:val="21"/>
          <w:highlight w:val="none"/>
          <w:u w:val="none"/>
        </w:rPr>
        <w:t xml:space="preserve">1.</w:t>
      </w:r>
      <w:r>
        <w:rPr>
          <w:rFonts w:hint="eastAsia" w:ascii="宋体" w:hAnsi="宋体" w:eastAsia="宋体" w:cs="宋体"/>
          <w:color w:val="auto"/>
          <w:sz w:val="21"/>
          <w:szCs w:val="21"/>
          <w:highlight w:val="none"/>
        </w:rPr>
        <w:t xml:space="preserve">合同签订后90个日历</w:t>
      </w:r>
      <w:r>
        <w:rPr>
          <w:rFonts w:hint="eastAsia" w:ascii="宋体" w:hAnsi="宋体" w:eastAsia="宋体" w:cs="宋体"/>
          <w:color w:val="auto"/>
          <w:sz w:val="21"/>
          <w:szCs w:val="21"/>
          <w:highlight w:val="none"/>
          <w:lang w:val="en-US" w:eastAsia="zh-CN"/>
        </w:rPr>
        <w:t xml:space="preserve">天</w:t>
      </w:r>
      <w:r>
        <w:rPr>
          <w:rFonts w:hint="eastAsia" w:ascii="宋体" w:hAnsi="宋体" w:eastAsia="宋体" w:cs="宋体"/>
          <w:color w:val="auto"/>
          <w:sz w:val="21"/>
          <w:szCs w:val="21"/>
          <w:highlight w:val="none"/>
        </w:rPr>
        <w:t xml:space="preserve">内安装调试完毕。</w:t>
      </w:r>
      <w:r>
        <w:rPr>
          <w:rFonts w:hint="eastAsia" w:ascii="宋体" w:hAnsi="宋体" w:eastAsia="宋体" w:cs="宋体"/>
          <w:i w:val="0"/>
          <w:iCs w:val="0"/>
          <w:color w:val="auto"/>
          <w:szCs w:val="21"/>
          <w:highlight w:val="none"/>
          <w:u w:val="none"/>
          <w:lang w:val="en-US" w:eastAsia="zh-CN"/>
        </w:rPr>
        <w:t xml:space="preserve">本项目</w:t>
      </w:r>
      <w:r>
        <w:rPr>
          <w:rFonts w:hint="eastAsia" w:ascii="宋体" w:hAnsi="宋体" w:cs="宋体"/>
          <w:i w:val="0"/>
          <w:iCs w:val="0"/>
          <w:color w:val="auto"/>
          <w:szCs w:val="21"/>
          <w:highlight w:val="none"/>
          <w:u w:val="none"/>
          <w:lang w:val="en-US" w:eastAsia="zh-CN"/>
        </w:rPr>
        <w:t xml:space="preserve">设备（含主机和配套管镜）</w:t>
      </w:r>
      <w:r>
        <w:rPr>
          <w:rFonts w:hint="eastAsia" w:ascii="宋体" w:hAnsi="宋体" w:eastAsia="宋体" w:cs="宋体"/>
          <w:i w:val="0"/>
          <w:iCs w:val="0"/>
          <w:color w:val="auto"/>
          <w:szCs w:val="21"/>
          <w:highlight w:val="none"/>
          <w:u w:val="none"/>
        </w:rPr>
        <w:t xml:space="preserve">质量保修期</w:t>
      </w:r>
      <w:r>
        <w:rPr>
          <w:rFonts w:hint="eastAsia" w:ascii="宋体" w:hAnsi="宋体" w:eastAsia="宋体" w:cs="宋体"/>
          <w:i w:val="0"/>
          <w:iCs w:val="0"/>
          <w:color w:val="auto"/>
          <w:szCs w:val="21"/>
          <w:highlight w:val="none"/>
          <w:u w:val="none"/>
          <w:lang w:val="en-US" w:eastAsia="zh-CN"/>
        </w:rPr>
        <w:t xml:space="preserve">至少1</w:t>
      </w:r>
      <w:r>
        <w:rPr>
          <w:rFonts w:hint="eastAsia" w:ascii="宋体" w:hAnsi="宋体" w:eastAsia="宋体" w:cs="宋体"/>
          <w:i w:val="0"/>
          <w:iCs w:val="0"/>
          <w:color w:val="auto"/>
          <w:szCs w:val="21"/>
          <w:highlight w:val="none"/>
          <w:u w:val="none"/>
        </w:rPr>
        <w:t xml:space="preserve">年，自验收合格之日起计算，质保期内免费上门质保。</w:t>
      </w:r>
      <w:r>
        <w:rPr>
          <w:rFonts w:hint="eastAsia" w:ascii="宋体" w:hAnsi="宋体" w:eastAsia="宋体" w:cs="宋体"/>
          <w:color w:val="auto"/>
          <w:szCs w:val="21"/>
          <w:highlight w:val="none"/>
        </w:rPr>
        <w:t xml:space="preserve">中标人负责设备的终身维修，更换部件时须保证与原有产品的规格、型号和结构的一致性，并不得影响已使用场所的正常工作的开展。保修期外仅收取配件费，免收交通费及修理费；中标人保证能提供设备的所有配件。保修期满后需更换配件，价格由双方协商确定。若附件中涉及零配件，易损件价格，则不得高于附件中的相应价格。</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报价应包括货物价格、运杂费（含保险费）、包装费、安装费、安装调试费、验收前保管、调试、验收合格及之前所有含税费用、验收费、各种税费、交付使用前管理费，以及伴随服务/售后服务费等为完成招标文件规定的工作内容所</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的一切相关费用，投标人中标后不得以任何理由进行调整，费用自行考虑均包含在投标报价中，相关费用如缺项，视为让利。</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3.投标人</w:t>
      </w:r>
      <w:r>
        <w:rPr>
          <w:rFonts w:hint="eastAsia" w:ascii="宋体" w:hAnsi="宋体" w:eastAsia="宋体" w:cs="宋体"/>
          <w:color w:val="auto"/>
          <w:szCs w:val="21"/>
          <w:highlight w:val="none"/>
        </w:rPr>
        <w:t xml:space="preserve">提供详细标准配置清单</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详见</w:t>
      </w:r>
      <w:r>
        <w:rPr>
          <w:rFonts w:hint="eastAsia" w:ascii="宋体" w:hAnsi="宋体" w:eastAsia="宋体" w:cs="宋体"/>
          <w:color w:val="auto"/>
          <w:sz w:val="21"/>
          <w:szCs w:val="21"/>
          <w:highlight w:val="none"/>
        </w:rPr>
        <w:t xml:space="preserve">“第六章 投标文件格式”的“配置清单”</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提供质保期满后的全包质保费用，要求不得高于</w:t>
      </w:r>
      <w:r>
        <w:rPr>
          <w:rFonts w:hint="eastAsia" w:ascii="宋体" w:hAnsi="宋体" w:eastAsia="宋体" w:cs="宋体"/>
          <w:color w:val="auto"/>
          <w:szCs w:val="21"/>
          <w:highlight w:val="none"/>
          <w:lang w:val="en-US" w:eastAsia="zh-CN"/>
        </w:rPr>
        <w:t xml:space="preserve">中标价</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%，是否执行由招标人确定。</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.实施要求</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（1）投标人负责设备的安装和调试，并保证安装稳固，如因</w:t>
      </w:r>
      <w:r>
        <w:rPr>
          <w:rFonts w:hint="eastAsia" w:ascii="宋体" w:hAnsi="宋体" w:eastAsia="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倾倒掉落导致安全事故</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投标人负责处理，并由投标人承担相应的赔偿责任。</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（2）调试过程中</w:t>
      </w:r>
      <w:r>
        <w:rPr>
          <w:rFonts w:hint="eastAsia" w:ascii="宋体" w:hAnsi="宋体" w:eastAsia="宋体" w:cs="宋体"/>
          <w:color w:val="auto"/>
          <w:szCs w:val="21"/>
          <w:highlight w:val="none"/>
          <w:lang w:eastAsia="zh-CN"/>
        </w:rPr>
        <w:t xml:space="preserve">需要</w:t>
      </w:r>
      <w:r>
        <w:rPr>
          <w:rFonts w:hint="eastAsia" w:ascii="宋体" w:hAnsi="宋体" w:eastAsia="宋体" w:cs="宋体"/>
          <w:color w:val="auto"/>
          <w:szCs w:val="21"/>
          <w:highlight w:val="none"/>
        </w:rPr>
        <w:t xml:space="preserve">使用的工具、设备、耗材、运输和劳务等所有费用均由投标人承担。</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（3）所有设备安装完成后，应按国家有关规范标准（国家无验收规范标准的按双方合同规定的要求）进行调试、验收。</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（4）所有设备拆箱、通电、调试等各项工作由投标人负责完成。具体实施前，应先经采购人同意且在其指定人员的参与下方可进行。调试的原始记录须经各方签字后留作验收文件。</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（5）设备由投标人运至采购人指定地点，验收交货前存放及保管概由投标人负责。</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.设备要求</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（1）投标人提供的设备必须是制造厂商原装的、全新的产品。其性能及指标参数应符合国家及采购文件提出的有关技术、质量、安全标准。</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（2）投标人应确保提供的设备在开箱检验时完好，无破损，箱内配置与装箱清单相符。数量、质量及性能不得低于采购文件中的相关要求。</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（3）投标人提供的设备应外观整洁，设备型号、规格、制造厂商、生产（出厂）日期须准确清晰。铭牌、使用指示和警告指示均应以中、英文和通俗易懂的符号表示。</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（4）供货时所有设备</w:t>
      </w:r>
      <w:r>
        <w:rPr>
          <w:rFonts w:hint="eastAsia" w:ascii="宋体" w:hAnsi="宋体" w:eastAsia="宋体" w:cs="宋体"/>
          <w:color w:val="auto"/>
          <w:szCs w:val="21"/>
          <w:highlight w:val="none"/>
          <w:lang w:val="en-US" w:eastAsia="zh-CN"/>
        </w:rPr>
        <w:t xml:space="preserve">提供提供中文操作手册及维修手册。</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（5）所有设备配件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易损件、</w:t>
      </w:r>
      <w:r>
        <w:rPr>
          <w:rFonts w:hint="eastAsia" w:ascii="宋体" w:hAnsi="宋体" w:eastAsia="宋体" w:cs="宋体"/>
          <w:color w:val="auto"/>
          <w:szCs w:val="21"/>
          <w:highlight w:val="none"/>
        </w:rPr>
        <w:t xml:space="preserve">耗材在现场安装使用前，采购人将进行随机抽验。</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.售后服务要求</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（1）在保修期内，如有损坏或质量不合格者，中标人应及时给予修复和更换，其修理和更换应免费。正常修理周期和修理期间需提供免费测试。</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保修期内，供应商应在接到故障通知2小时内做出有效响应，并在24小时内到达现场免费予以排除故障、修复或更换零部件。如2个工作日内不能修复必须提供备用机使用，确保采购人能正常开展工作，设备在使用寿命周期内，保证更换到原厂配件。</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（3）在保修期期满前一个月，中标人必须指派专业人员上门检测设备，确保设备的指标符合验收标准，如有问题应作为保修内容给予免费处理。</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（4）在保修期外，中标人为设备提供终身维修服务，维修问题出现时，按技术参</w:t>
      </w:r>
      <w:r>
        <w:rPr>
          <w:rFonts w:hint="eastAsia" w:ascii="宋体" w:hAnsi="宋体" w:eastAsia="宋体" w:cs="宋体"/>
          <w:color w:val="auto"/>
          <w:szCs w:val="21"/>
          <w:highlight w:val="none"/>
          <w:lang w:eastAsia="zh-CN"/>
        </w:rPr>
        <w:t xml:space="preserve">数和</w:t>
      </w:r>
      <w:r>
        <w:rPr>
          <w:rFonts w:hint="eastAsia" w:ascii="宋体" w:hAnsi="宋体" w:eastAsia="宋体" w:cs="宋体"/>
          <w:color w:val="auto"/>
          <w:szCs w:val="21"/>
          <w:highlight w:val="none"/>
        </w:rPr>
        <w:t xml:space="preserve">服务要求相应条款处理。</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（5）在保修期内，如果原厂方鉴定设备因为人为损坏，厂方须出具具有法定权威性的第三方检测证明，否则一律视为保修范围内处理。</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（6）终身提供免费的应用咨询及技术帮助。</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.技术培训：投标人应根据采购人的要求，上门对相关人员进行设备技术免费培训，并制定与投标文件相应的培训方案。培训对象、时间、地点由采购方确定。</w:t>
      </w:r>
      <w:r>
        <w:rPr>
          <w:rFonts w:hint="eastAsia" w:ascii="宋体" w:hAnsi="宋体" w:eastAsia="宋体" w:cs="宋体"/>
          <w:color w:val="auto"/>
          <w:highlight w:val="none"/>
        </w:rPr>
        <w:t xml:space="preserve">提供操作和维护的培训计划。</w:t>
      </w:r>
      <w:r/>
    </w:p>
    <w:p>
      <w:pPr>
        <w:ind w:left="0" w:firstLine="422"/>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bCs/>
          <w:i/>
          <w:iCs/>
          <w:color w:val="auto"/>
          <w:szCs w:val="21"/>
          <w:highlight w:val="none"/>
          <w:u w:val="single"/>
          <w:lang w:val="en-US" w:eastAsia="zh-CN"/>
        </w:rPr>
        <w:t xml:space="preserve">8</w:t>
      </w:r>
      <w:r>
        <w:rPr>
          <w:rFonts w:hint="eastAsia" w:ascii="宋体" w:hAnsi="宋体" w:eastAsia="宋体" w:cs="宋体"/>
          <w:b/>
          <w:bCs/>
          <w:i/>
          <w:iCs/>
          <w:color w:val="auto"/>
          <w:szCs w:val="21"/>
          <w:highlight w:val="none"/>
          <w:u w:val="single"/>
        </w:rPr>
        <w:t xml:space="preserve">.在接到采购人故障报修后，中标人需在2小时内响应，并在24小时内到达现场，48小时未解决故障，免费提供备用机。一切费用由中标人负责</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rPr>
        <w:t xml:space="preserve">（提供承诺书</w:t>
      </w:r>
      <w:r>
        <w:rPr>
          <w:rFonts w:hint="eastAsia" w:ascii="宋体" w:hAnsi="宋体" w:eastAsia="宋体" w:cs="宋体"/>
          <w:b/>
          <w:bCs/>
          <w:i/>
          <w:iCs/>
          <w:color w:val="auto"/>
          <w:szCs w:val="21"/>
          <w:highlight w:val="none"/>
          <w:u w:val="single"/>
          <w:lang w:val="en-US" w:eastAsia="zh-CN"/>
        </w:rPr>
        <w:t xml:space="preserve">加盖投标人公章</w:t>
      </w:r>
      <w:r>
        <w:rPr>
          <w:rFonts w:hint="eastAsia" w:ascii="宋体" w:hAnsi="宋体" w:eastAsia="宋体" w:cs="宋体"/>
          <w:b/>
          <w:bCs/>
          <w:i/>
          <w:iCs/>
          <w:color w:val="auto"/>
          <w:szCs w:val="21"/>
          <w:highlight w:val="none"/>
          <w:u w:val="single"/>
        </w:rPr>
        <w:t xml:space="preserve">，格式自拟，上传系统）</w:t>
      </w:r>
      <w:r>
        <w:rPr>
          <w:rFonts w:hint="eastAsia" w:ascii="宋体" w:hAnsi="宋体" w:eastAsia="宋体" w:cs="宋体"/>
          <w:color w:val="auto"/>
          <w:szCs w:val="21"/>
          <w:highlight w:val="none"/>
        </w:rPr>
        <w:t xml:space="preserve">，若</w:t>
      </w:r>
      <w:r>
        <w:rPr>
          <w:rFonts w:hint="eastAsia" w:ascii="宋体" w:hAnsi="宋体" w:eastAsia="宋体" w:cs="宋体"/>
          <w:color w:val="auto"/>
          <w:szCs w:val="21"/>
          <w:highlight w:val="none"/>
          <w:lang w:eastAsia="zh-CN"/>
        </w:rPr>
        <w:t xml:space="preserve">因</w:t>
      </w:r>
      <w:r>
        <w:rPr>
          <w:rFonts w:hint="eastAsia" w:ascii="宋体" w:hAnsi="宋体" w:eastAsia="宋体" w:cs="宋体"/>
          <w:color w:val="auto"/>
          <w:szCs w:val="21"/>
          <w:highlight w:val="none"/>
        </w:rPr>
        <w:t xml:space="preserve">中标人维修不及时，给采购人造成影响的，采购人有权追究其法律责任。</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投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投标人须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（1）投标人负责保管、看护进场的设备及附配件；</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（2）投标人负</w:t>
      </w:r>
      <w:r>
        <w:rPr>
          <w:rFonts w:hint="eastAsia" w:ascii="宋体" w:hAnsi="宋体" w:eastAsia="宋体" w:cs="宋体"/>
          <w:color w:val="auto"/>
          <w:szCs w:val="21"/>
          <w:highlight w:val="none"/>
          <w:lang w:eastAsia="zh-CN"/>
        </w:rPr>
        <w:t xml:space="preserve">责对</w:t>
      </w:r>
      <w:r>
        <w:rPr>
          <w:rFonts w:hint="eastAsia" w:ascii="宋体" w:hAnsi="宋体" w:eastAsia="宋体" w:cs="宋体"/>
          <w:color w:val="auto"/>
          <w:szCs w:val="21"/>
          <w:highlight w:val="none"/>
        </w:rPr>
        <w:t xml:space="preserve">设备、安装设备（工具）等提供适当的保护、包装或覆盖等处理，以免受损；</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（3）投标人安装调试人员对邻近设备等造成损坏，应由投标人负责修复及承担一切费用；</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（4）无论安装调试期间或保修过程中，投标人负责及时清理垃圾；</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（5）投标人承担安装调试期间安装场所的安全以及设备和安装调试人员的安全责任；</w:t>
      </w:r>
      <w:r/>
    </w:p>
    <w:p>
      <w:pPr>
        <w:ind w:lef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的申请将不被批准。</w:t>
      </w:r>
      <w:r/>
    </w:p>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53"/>
        <w:rPr>
          <w:color w:val="auto"/>
          <w:highlight w:val="none"/>
        </w:rPr>
      </w:pPr>
      <w:r>
        <w:rPr>
          <w:rFonts w:hint="eastAsia"/>
          <w:color w:val="auto"/>
          <w:highlight w:val="none"/>
        </w:rPr>
        <w:t xml:space="preserve">第五章 评标方法及评标标准</w:t>
      </w:r>
      <w:bookmarkEnd w:id="60"/>
      <w:r/>
      <w:bookmarkEnd w:id="61"/>
      <w:r/>
      <w:r/>
    </w:p>
    <w:p>
      <w:pPr>
        <w:pStyle w:val="1018"/>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bookmarkStart w:id="62" w:name="_Toc449016388"/>
      <w:r/>
      <w:bookmarkStart w:id="63" w:name="_Toc449017024"/>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2"/>
      <w:r/>
      <w:bookmarkEnd w:id="63"/>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cs="宋体"/>
          <w:b/>
          <w:color w:val="auto"/>
          <w:sz w:val="21"/>
          <w:szCs w:val="21"/>
          <w:highlight w:val="none"/>
          <w:lang w:val="en-US" w:eastAsia="zh-CN"/>
        </w:rPr>
        <w:t xml:space="preserve">否</w:t>
      </w:r>
      <w:r/>
    </w:p>
    <w:tbl>
      <w:tblPr>
        <w:tblStyle w:val="763"/>
        <w:tblW w:w="0" w:type="auto"/>
        <w:tblInd w:w="11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17"/>
        <w:gridCol w:w="3343"/>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否</w:t>
            </w:r>
            <w:r/>
          </w:p>
        </w:tc>
      </w:tr>
    </w:tbl>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8"/>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63"/>
        <w:tblpPr w:horzAnchor="page" w:tblpX="1658" w:vertAnchor="text" w:tblpY="425" w:leftFromText="180" w:topFromText="0" w:rightFromText="180" w:bottomFromText="0"/>
        <w:tblW w:w="50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3"/>
        <w:gridCol w:w="6987"/>
      </w:tblGrid>
      <w:tr>
        <w:trPr>
          <w:trHeight w:val="586"/>
          <w:tblHeader/>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b/>
                <w:bCs/>
                <w:color w:val="auto"/>
                <w:szCs w:val="21"/>
                <w:highlight w:val="none"/>
              </w:rPr>
            </w:pPr>
            <w:r/>
            <w:bookmarkStart w:id="64" w:name="_Toc18779"/>
            <w:r>
              <w:rPr>
                <w:rFonts w:hint="eastAsia" w:ascii="宋体" w:hAnsi="宋体" w:cs="宋体"/>
                <w:b/>
                <w:bCs/>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评标细则</w:t>
            </w:r>
            <w:r/>
          </w:p>
        </w:tc>
      </w:tr>
      <w:tr>
        <w:trPr>
          <w:trHeight w:val="90"/>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其他投标人的价格分统一按照下列公式计算：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投标报价得分=（评标基准价／投标报价）×30×100%，结果保留两位有效小数。</w:t>
            </w:r>
            <w:r/>
          </w:p>
        </w:tc>
      </w:tr>
      <w:tr>
        <w:trPr>
          <w:trHeight w:val="1805"/>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技术参数响应情况</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33</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评委根据招标文件第四章项目需求中【</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、技术要求】以及投标文件提供的佐证材料等进行评审：所投产品技术参数全部满足或者优于招标文件要求的得满分</w:t>
            </w:r>
            <w:r>
              <w:rPr>
                <w:rFonts w:hint="eastAsia" w:ascii="宋体" w:hAnsi="宋体" w:cs="宋体"/>
                <w:color w:val="auto"/>
                <w:szCs w:val="21"/>
                <w:highlight w:val="none"/>
                <w:lang w:val="en-US" w:eastAsia="zh-CN"/>
              </w:rPr>
              <w:t xml:space="preserve">33</w:t>
            </w:r>
            <w:r>
              <w:rPr>
                <w:rFonts w:hint="eastAsia" w:ascii="宋体" w:hAnsi="宋体" w:cs="宋体"/>
                <w:color w:val="auto"/>
                <w:szCs w:val="21"/>
                <w:highlight w:val="none"/>
              </w:rPr>
              <w:t xml:space="preserve">分。</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”号项指标参数为重要参数（“</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”共</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个），每有1项负偏离（不满足）扣</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分，总分</w:t>
            </w: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其他项作一般技术要求，每有1项负偏离（不满足）扣</w:t>
            </w:r>
            <w:r>
              <w:rPr>
                <w:rFonts w:hint="eastAsia" w:ascii="宋体" w:hAnsi="宋体" w:cs="宋体"/>
                <w:color w:val="auto"/>
                <w:szCs w:val="21"/>
                <w:highlight w:val="none"/>
                <w:lang w:val="en-US" w:eastAsia="zh-CN"/>
              </w:rPr>
              <w:t xml:space="preserve">0.3</w:t>
            </w:r>
            <w:r>
              <w:rPr>
                <w:rFonts w:hint="eastAsia" w:ascii="宋体" w:hAnsi="宋体" w:cs="宋体"/>
                <w:color w:val="auto"/>
                <w:szCs w:val="21"/>
                <w:highlight w:val="none"/>
              </w:rPr>
              <w:t xml:space="preserve">分，总分</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每项指标参数</w:t>
            </w:r>
            <w:r>
              <w:rPr>
                <w:rFonts w:hint="eastAsia" w:ascii="宋体" w:hAnsi="宋体" w:cs="宋体"/>
                <w:b/>
                <w:bCs/>
                <w:color w:val="auto"/>
                <w:szCs w:val="21"/>
                <w:highlight w:val="none"/>
                <w:lang w:val="en-US" w:eastAsia="zh-CN"/>
              </w:rPr>
              <w:t xml:space="preserve">应</w:t>
            </w:r>
            <w:r>
              <w:rPr>
                <w:rFonts w:hint="eastAsia" w:ascii="宋体" w:hAnsi="宋体" w:cs="宋体"/>
                <w:b/>
                <w:bCs/>
                <w:color w:val="auto"/>
                <w:szCs w:val="21"/>
                <w:highlight w:val="none"/>
              </w:rPr>
              <w:t xml:space="preserve">提供第三方检验报告或者技术支持资料（如厂家技术白皮书或厂家公开发行的宣传彩页等）上传系统，并同时须在《技术要求响应及偏离表》中逐条做出明确响应，未按要求提供证明材料并逐条</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的视为负偏离，评审时不予认可。</w:t>
            </w:r>
            <w:r/>
          </w:p>
          <w:p>
            <w:pPr>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2.指标参数建议进行明显标注，采用如箭头、标红或下划线等方式，以方便评委查看。</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设备交付验收时，招标人将对技术要求的具体描述进行逐一核实验收，如发现虚假应标，给招标人造成损失的由投标人承担一切责任。</w:t>
            </w:r>
            <w:r/>
          </w:p>
        </w:tc>
      </w:tr>
      <w:tr>
        <w:trPr>
          <w:trHeight w:val="538"/>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实施方案</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根据项目需求制定整体实施方案，评委依据方案的专业性和完善度进行综合评分。</w:t>
            </w:r>
            <w:r/>
          </w:p>
          <w:p>
            <w:pPr>
              <w:numPr>
                <w:ilvl w:val="0"/>
                <w:numId w:val="4"/>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实施方案明确、思路清晰、内容具体详实、便于操作，项目管理团队人员技术力量雄厚、分工设置合理、进度安排科学合理衔接顺畅的得10分；</w:t>
            </w:r>
            <w:r/>
          </w:p>
          <w:p>
            <w:pPr>
              <w:numPr>
                <w:ilvl w:val="0"/>
                <w:numId w:val="4"/>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实施方案较明确、思路较清晰、内容较具体详实、具有操作性，项目管理团队人员技术力量能够满足需求、分工设置较合理、进度安排可行衔接较顺畅的得7分；</w:t>
            </w:r>
            <w:r/>
          </w:p>
          <w:p>
            <w:pPr>
              <w:numPr>
                <w:ilvl w:val="0"/>
                <w:numId w:val="4"/>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实施方案基本明确、思路基本清晰、内容基本具体但不够详实，具有一定操作性，项目管理团队人员技术力量基本满足需求、分工设置基本合理、有大致进度安排但细节不足的得4分；</w:t>
            </w:r>
            <w:r/>
          </w:p>
          <w:p>
            <w:pPr>
              <w:numPr>
                <w:ilvl w:val="0"/>
                <w:numId w:val="4"/>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实施方案不明确、思路阐述不够清晰、无</w:t>
            </w:r>
            <w:r>
              <w:rPr>
                <w:rFonts w:hint="eastAsia" w:ascii="宋体" w:hAnsi="宋体" w:cs="宋体"/>
                <w:color w:val="auto"/>
                <w:szCs w:val="21"/>
                <w:highlight w:val="none"/>
                <w:lang w:eastAsia="zh-CN" w:bidi="ar"/>
              </w:rPr>
              <w:t xml:space="preserve">实质性</w:t>
            </w:r>
            <w:r>
              <w:rPr>
                <w:rFonts w:hint="eastAsia" w:ascii="宋体" w:hAnsi="宋体" w:cs="宋体"/>
                <w:color w:val="auto"/>
                <w:szCs w:val="21"/>
                <w:highlight w:val="none"/>
                <w:lang w:bidi="ar"/>
              </w:rPr>
              <w:t xml:space="preserve">可行内容，不具有可操作性，项目管理团队人员技术力量薄弱，分工设置不具有合理性、进度安排模糊的得1分；</w:t>
            </w:r>
            <w:r/>
          </w:p>
          <w:p>
            <w:pPr>
              <w:numPr>
                <w:ilvl w:val="0"/>
                <w:numId w:val="4"/>
              </w:num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未提供实施方案的不得分。</w:t>
            </w:r>
            <w:r/>
          </w:p>
        </w:tc>
      </w:tr>
      <w:tr>
        <w:trPr>
          <w:trHeight w:val="6057"/>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w:t>
            </w:r>
            <w:r>
              <w:rPr>
                <w:rFonts w:hint="eastAsia" w:ascii="宋体" w:hAnsi="宋体" w:cs="宋体"/>
                <w:color w:val="auto"/>
                <w:szCs w:val="21"/>
                <w:highlight w:val="none"/>
                <w:lang w:val="en-US" w:eastAsia="zh-CN"/>
              </w:rPr>
              <w:t xml:space="preserve">维护</w:t>
            </w:r>
            <w:r>
              <w:rPr>
                <w:rFonts w:hint="eastAsia" w:ascii="宋体" w:hAnsi="宋体" w:cs="宋体"/>
                <w:color w:val="auto"/>
                <w:szCs w:val="21"/>
                <w:highlight w:val="none"/>
              </w:rPr>
              <w:t xml:space="preserve">方案</w:t>
            </w:r>
            <w:r/>
          </w:p>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pStyle w:val="785"/>
              <w:jc w:val="both"/>
              <w:spacing w:beforeAutospacing="0" w:afterAutospacing="0" w:line="360" w:lineRule="auto"/>
              <w:rPr>
                <w:b/>
                <w:bCs/>
                <w:color w:val="auto"/>
                <w:highlight w:val="none"/>
              </w:rPr>
            </w:pPr>
            <w:r>
              <w:rPr>
                <w:rFonts w:hint="eastAsia" w:ascii="宋体" w:hAnsi="宋体" w:cs="宋体"/>
                <w:b/>
                <w:bCs/>
                <w:color w:val="auto"/>
                <w:sz w:val="21"/>
                <w:szCs w:val="21"/>
                <w:highlight w:val="none"/>
              </w:rPr>
              <w:t xml:space="preserve">根据本项目需求制定详细的售后维护方案，包括响应时间、维修工程师能力、备品配件、维修站点情况、能够提供的增值服务等内容，评委依据方案的专业性和完善度进行综合评分。</w:t>
            </w:r>
            <w:r/>
          </w:p>
          <w:p>
            <w:pPr>
              <w:pStyle w:val="785"/>
              <w:numPr>
                <w:ilvl w:val="0"/>
                <w:numId w:val="5"/>
              </w:numPr>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售后方案内容科学、描述详细，响应时间及相关服务承诺内容详实且合理高效，维修工程师专业素养高且有丰富经验，备品配件齐全，维修站点布局合理、设施完善，提供多样化且实用的增值服务的得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785"/>
              <w:numPr>
                <w:ilvl w:val="0"/>
                <w:numId w:val="5"/>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描述基本齐全，响应时间及相关服务承诺内容基本合理，针对可能发生的不同类型的故障有基本的流程和措施但不够细化、有部分故障覆盖不足，维修工程师有基本专业素养但经验不足，备品配件基本满足日常需求，有维修站点但布局一般、设施一般，无增值服务或增值服务无实用性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pStyle w:val="785"/>
              <w:numPr>
                <w:ilvl w:val="0"/>
                <w:numId w:val="5"/>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售后方案内容描述不详细，响应时间及相关服务承诺内容不明确，维修工程师专业素养不清晰，经验不足，备品配件种类少、储备不足，无维修站点，无增值服务或增值服务无实用性的得1分；</w:t>
            </w:r>
            <w:r/>
          </w:p>
          <w:p>
            <w:pPr>
              <w:numPr>
                <w:ilvl w:val="0"/>
                <w:numId w:val="5"/>
              </w:numPr>
              <w:rPr>
                <w:rFonts w:hint="eastAsia" w:ascii="宋体" w:hAnsi="宋体" w:cs="宋体"/>
                <w:bCs/>
                <w:color w:val="auto"/>
                <w:szCs w:val="21"/>
                <w:highlight w:val="none"/>
              </w:rPr>
            </w:pPr>
            <w:r>
              <w:rPr>
                <w:rFonts w:hint="eastAsia" w:ascii="宋体" w:hAnsi="宋体" w:cs="宋体"/>
                <w:color w:val="auto"/>
                <w:szCs w:val="21"/>
                <w:highlight w:val="none"/>
              </w:rPr>
              <w:t xml:space="preserve">未提供</w:t>
            </w:r>
            <w:r>
              <w:rPr>
                <w:rFonts w:hint="eastAsia" w:ascii="宋体" w:hAnsi="宋体" w:cs="宋体"/>
                <w:color w:val="auto"/>
                <w:szCs w:val="21"/>
                <w:highlight w:val="none"/>
                <w:lang w:val="en-US" w:eastAsia="zh-CN"/>
              </w:rPr>
              <w:t xml:space="preserve">售后</w:t>
            </w:r>
            <w:r>
              <w:rPr>
                <w:rFonts w:hint="eastAsia" w:ascii="宋体" w:hAnsi="宋体" w:cs="宋体"/>
                <w:color w:val="auto"/>
                <w:szCs w:val="21"/>
                <w:highlight w:val="none"/>
              </w:rPr>
              <w:t xml:space="preserve">服务方案的不得分。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培训服务</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w:t>
            </w:r>
            <w:r/>
          </w:p>
          <w:p>
            <w:pPr>
              <w:pStyle w:val="769"/>
              <w:ind w:left="0"/>
              <w:jc w:val="center"/>
              <w:spacing w:after="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根据本项目需求制定详细的培训方案，评委依据方案的专业性和完善度进行综合评分。</w:t>
            </w:r>
            <w:r/>
          </w:p>
          <w:p>
            <w:pPr>
              <w:numPr>
                <w:ilvl w:val="0"/>
                <w:numId w:val="6"/>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培训方案逻辑清晰、内容完整、灵活性大，培训人数多、</w:t>
            </w:r>
            <w:r>
              <w:rPr>
                <w:rFonts w:hint="eastAsia" w:ascii="宋体" w:hAnsi="宋体" w:cs="宋体"/>
                <w:color w:val="auto"/>
                <w:szCs w:val="21"/>
                <w:highlight w:val="none"/>
                <w:lang w:eastAsia="zh-CN"/>
              </w:rPr>
              <w:t xml:space="preserve">时间</w:t>
            </w:r>
            <w:r>
              <w:rPr>
                <w:rFonts w:hint="eastAsia" w:ascii="宋体" w:hAnsi="宋体" w:cs="宋体"/>
                <w:color w:val="auto"/>
                <w:szCs w:val="21"/>
                <w:highlight w:val="none"/>
              </w:rPr>
              <w:t xml:space="preserve">安排合理全面，培训要点难点明确分析精准，覆盖面广泛，且培训计划覆盖供货、安装服务期，具有全面的技术支持能力</w:t>
            </w:r>
            <w:bookmarkStart w:id="93" w:name="_GoBack"/>
            <w:r/>
            <w:bookmarkEnd w:id="93"/>
            <w:r>
              <w:rPr>
                <w:rFonts w:hint="eastAsia" w:ascii="宋体" w:hAnsi="宋体" w:cs="宋体"/>
                <w:color w:val="auto"/>
                <w:szCs w:val="21"/>
                <w:highlight w:val="none"/>
              </w:rPr>
              <w:t xml:space="preserve">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numPr>
                <w:ilvl w:val="0"/>
                <w:numId w:val="6"/>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培训方案逻辑较清晰、内容较完整、灵活性较大、培训人数较多、</w:t>
            </w:r>
            <w:r>
              <w:rPr>
                <w:rFonts w:hint="eastAsia" w:ascii="宋体" w:hAnsi="宋体" w:cs="宋体"/>
                <w:color w:val="auto"/>
                <w:szCs w:val="21"/>
                <w:highlight w:val="none"/>
                <w:lang w:eastAsia="zh-CN"/>
              </w:rPr>
              <w:t xml:space="preserve">时间</w:t>
            </w:r>
            <w:r>
              <w:rPr>
                <w:rFonts w:hint="eastAsia" w:ascii="宋体" w:hAnsi="宋体" w:cs="宋体"/>
                <w:color w:val="auto"/>
                <w:szCs w:val="21"/>
                <w:highlight w:val="none"/>
              </w:rPr>
              <w:t xml:space="preserve">安排较合理全面，培训要点难点明确分析较精准，覆盖面较广泛，且培训计划基本覆盖供货、安装服务期，具有比较全面的技术支持能力的得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numPr>
                <w:ilvl w:val="0"/>
                <w:numId w:val="6"/>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培训方案逻辑不清晰、内容不完整，培训要点难点未有具体分析，覆盖面不广泛，且培训计划未全面覆盖供货、安装服务期，不太能体现技术支持能力的得1分；</w:t>
            </w:r>
            <w:r/>
          </w:p>
          <w:p>
            <w:pPr>
              <w:pStyle w:val="769"/>
              <w:numPr>
                <w:ilvl w:val="0"/>
                <w:numId w:val="6"/>
              </w:numPr>
              <w:ind w:left="0" w:firstLine="0"/>
              <w:spacing w:after="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val="en-US" w:eastAsia="zh-CN"/>
              </w:rPr>
              <w:t xml:space="preserve">培训</w:t>
            </w:r>
            <w:r>
              <w:rPr>
                <w:rFonts w:hint="eastAsia" w:ascii="宋体" w:hAnsi="宋体" w:eastAsia="宋体" w:cs="宋体"/>
                <w:color w:val="auto"/>
                <w:szCs w:val="21"/>
                <w:highlight w:val="none"/>
              </w:rPr>
              <w:t xml:space="preserve">服务方案的不得分。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pStyle w:val="769"/>
              <w:ind w:left="0"/>
              <w:jc w:val="center"/>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突发事件的应急响应措施方案</w:t>
            </w:r>
            <w:r/>
          </w:p>
          <w:p>
            <w:pPr>
              <w:pStyle w:val="769"/>
              <w:ind w:left="0"/>
              <w:jc w:val="center"/>
              <w:spacing w:after="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5分</w:t>
            </w:r>
            <w:r>
              <w:rPr>
                <w:rFonts w:hint="eastAsia" w:ascii="宋体" w:hAnsi="宋体" w:eastAsia="宋体" w:cs="宋体"/>
                <w:color w:val="auto"/>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对供货过程和技术服务期间突发事件的应急响应措施方案，评委依据方案的专业性和完善度进行综合评分。</w:t>
            </w:r>
            <w:r/>
          </w:p>
          <w:p>
            <w:pPr>
              <w:pStyle w:val="785"/>
              <w:numPr>
                <w:ilvl w:val="0"/>
                <w:numId w:val="7"/>
              </w:numPr>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对供货过程和技术服务期间突发事件有具体、可操作的流程和措施的得5分；</w:t>
            </w:r>
            <w:r/>
          </w:p>
          <w:p>
            <w:pPr>
              <w:pStyle w:val="785"/>
              <w:numPr>
                <w:ilvl w:val="0"/>
                <w:numId w:val="7"/>
              </w:numPr>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供货过程和技术服务期间突发事件有基本的流程和措施的得3分；</w:t>
            </w:r>
            <w:r/>
          </w:p>
          <w:p>
            <w:pPr>
              <w:pStyle w:val="785"/>
              <w:numPr>
                <w:ilvl w:val="0"/>
                <w:numId w:val="7"/>
              </w:numPr>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供货过程和技术服务期间突发事件有基本的流程和措施但不够细化、有部分故障覆盖不足的得1分；</w:t>
            </w:r>
            <w:r/>
          </w:p>
          <w:p>
            <w:pPr>
              <w:pStyle w:val="785"/>
              <w:numPr>
                <w:ilvl w:val="0"/>
                <w:numId w:val="7"/>
              </w:numPr>
              <w:jc w:val="both"/>
              <w:spacing w:beforeAutospacing="0" w:afterAutospacing="0" w:line="360" w:lineRule="auto"/>
              <w:rPr>
                <w:rFonts w:hint="eastAsia"/>
                <w:color w:val="auto"/>
                <w:highlight w:val="none"/>
              </w:rPr>
            </w:pPr>
            <w:r>
              <w:rPr>
                <w:rFonts w:hint="eastAsia" w:ascii="宋体" w:hAnsi="宋体" w:cs="宋体"/>
                <w:color w:val="auto"/>
                <w:sz w:val="21"/>
                <w:szCs w:val="21"/>
                <w:highlight w:val="none"/>
                <w:lang w:val="en-US" w:eastAsia="zh-CN"/>
              </w:rPr>
              <w:t xml:space="preserve">未提供方案的不得分。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pStyle w:val="76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投标人或制造商 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年1月1日以来（以合同签订时间为准），承担过与本项目类似业绩，每提供一个得2分，满分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pStyle w:val="768"/>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注：提供类似业绩合同及用户出具的相对应的产品使用评价扫描件，系统上传，类似业绩合同和产品使用评价缺一不可。若所投产品为进口产品，也可提供国内代理商业绩代替合同。</w:t>
            </w:r>
            <w:r/>
          </w:p>
          <w:p>
            <w:pPr>
              <w:pStyle w:val="768"/>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合同至少包含签订时间、合同双方名称、产品名称、合同总价；</w:t>
            </w:r>
            <w:r/>
          </w:p>
          <w:p>
            <w:pPr>
              <w:pStyle w:val="768"/>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产品使用评价至少包含项目名称、时间、合同双方名称、产品名称及业主盖章。合同或产品使用评价要素不完整或者内容不清晰无法辨认或未按要求提供不得分。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pStyle w:val="768"/>
              <w:spacing w:line="360" w:lineRule="auto"/>
              <w:rPr>
                <w:rFonts w:hint="default" w:ascii="宋体" w:hAnsi="宋体" w:eastAsia="宋体" w:cs="宋体"/>
                <w:b/>
                <w:bCs/>
                <w:color w:val="auto"/>
                <w:szCs w:val="21"/>
                <w:highlight w:val="none"/>
                <w:lang w:val="en-US" w:eastAsia="zh-CN"/>
              </w:rPr>
            </w:pPr>
            <w:r>
              <w:rPr>
                <w:rFonts w:hint="eastAsia" w:ascii="宋体" w:hAnsi="宋体" w:cs="宋体"/>
                <w:color w:val="auto"/>
                <w:szCs w:val="21"/>
                <w:highlight w:val="none"/>
              </w:rPr>
              <w:t xml:space="preserve">本项目设备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包含主机和配套管镜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质保期</w:t>
            </w:r>
            <w:r>
              <w:rPr>
                <w:rFonts w:hint="eastAsia" w:ascii="宋体" w:hAnsi="宋体" w:cs="宋体"/>
                <w:color w:val="auto"/>
                <w:szCs w:val="21"/>
                <w:highlight w:val="none"/>
              </w:rPr>
              <w:t xml:space="preserve">至少</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年，在此基础上，投标人分别对</w:t>
            </w:r>
            <w:r>
              <w:rPr>
                <w:rFonts w:hint="eastAsia" w:ascii="宋体" w:hAnsi="宋体" w:cs="宋体"/>
                <w:color w:val="auto"/>
                <w:szCs w:val="21"/>
                <w:highlight w:val="none"/>
                <w:lang w:val="en-US" w:eastAsia="zh-CN"/>
              </w:rPr>
              <w:t xml:space="preserve">设备</w:t>
            </w:r>
            <w:r>
              <w:rPr>
                <w:rFonts w:hint="eastAsia" w:ascii="宋体" w:hAnsi="宋体" w:cs="宋体"/>
                <w:color w:val="auto"/>
                <w:szCs w:val="21"/>
                <w:highlight w:val="none"/>
              </w:rPr>
              <w:t xml:space="preserve">主机、配套管镜承诺延长</w:t>
            </w:r>
            <w:r>
              <w:rPr>
                <w:rFonts w:hint="eastAsia" w:ascii="宋体" w:hAnsi="宋体" w:cs="宋体"/>
                <w:color w:val="auto"/>
                <w:szCs w:val="21"/>
                <w:highlight w:val="none"/>
                <w:lang w:val="en-US" w:eastAsia="zh-CN"/>
              </w:rPr>
              <w:t xml:space="preserve">质保期</w:t>
            </w:r>
            <w:r>
              <w:rPr>
                <w:rFonts w:hint="eastAsia" w:ascii="宋体" w:hAnsi="宋体" w:cs="宋体"/>
                <w:color w:val="auto"/>
                <w:szCs w:val="21"/>
                <w:highlight w:val="none"/>
              </w:rPr>
              <w:t xml:space="preserve">年限</w:t>
            </w:r>
            <w:r>
              <w:rPr>
                <w:rFonts w:hint="eastAsia" w:ascii="宋体" w:hAnsi="宋体" w:cs="宋体"/>
                <w:color w:val="auto"/>
                <w:szCs w:val="21"/>
                <w:highlight w:val="none"/>
                <w:lang w:val="en-US" w:eastAsia="zh-CN"/>
              </w:rPr>
              <w:t xml:space="preserve">的</w:t>
            </w:r>
            <w:r>
              <w:rPr>
                <w:rFonts w:hint="eastAsia" w:ascii="宋体" w:hAnsi="宋体" w:cs="宋体"/>
                <w:color w:val="auto"/>
                <w:szCs w:val="21"/>
                <w:highlight w:val="none"/>
              </w:rPr>
              <w:t xml:space="preserve">，主机承诺每延长1年得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满分1分；</w:t>
            </w:r>
            <w:r>
              <w:rPr>
                <w:rFonts w:hint="eastAsia" w:ascii="宋体" w:hAnsi="宋体" w:cs="宋体"/>
                <w:color w:val="auto"/>
                <w:szCs w:val="21"/>
                <w:highlight w:val="none"/>
              </w:rPr>
              <w:t xml:space="preserve">配套管镜承诺每延长1年得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满分1分。本项满分2分。</w:t>
            </w:r>
            <w:r>
              <w:rPr>
                <w:rFonts w:hint="eastAsia" w:ascii="宋体" w:hAnsi="宋体" w:cs="宋体"/>
                <w:b/>
                <w:bCs/>
                <w:color w:val="auto"/>
                <w:szCs w:val="21"/>
                <w:highlight w:val="none"/>
              </w:rPr>
              <w:t xml:space="preserve">（每次延长时间不足一年的不计分，响应投标文件最低质保期要求的不计分）</w:t>
            </w:r>
            <w:r>
              <w:rPr>
                <w:rFonts w:hint="eastAsia" w:ascii="宋体" w:hAnsi="宋体" w:cs="宋体"/>
                <w:b/>
                <w:bCs/>
                <w:color w:val="auto"/>
                <w:szCs w:val="21"/>
                <w:highlight w:val="none"/>
                <w:lang w:val="en-US" w:eastAsia="zh-CN"/>
              </w:rPr>
              <w:t xml:space="preserve">提供承诺书加盖投标人公章，上传系统，承诺书格式自拟。</w:t>
            </w:r>
            <w:r/>
          </w:p>
        </w:tc>
      </w:tr>
    </w:tbl>
    <w:p>
      <w:pPr>
        <w:rPr>
          <w:color w:val="auto"/>
          <w:highlight w:val="none"/>
        </w:rPr>
      </w:pPr>
      <w:r>
        <w:rPr>
          <w:rFonts w:hint="eastAsia"/>
          <w:color w:val="auto"/>
          <w:highlight w:val="none"/>
        </w:rPr>
        <w:br w:type="page" w:clear="all"/>
      </w:r>
      <w:r/>
    </w:p>
    <w:p>
      <w:pPr>
        <w:pStyle w:val="753"/>
        <w:rPr>
          <w:color w:val="auto"/>
          <w:highlight w:val="none"/>
        </w:rPr>
      </w:pPr>
      <w:r>
        <w:rPr>
          <w:rFonts w:hint="eastAsia"/>
          <w:color w:val="auto"/>
          <w:highlight w:val="none"/>
        </w:rPr>
        <w:t xml:space="preserve">第六章 投标文件格式</w:t>
      </w:r>
      <w:bookmarkEnd w:id="64"/>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69"/>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i w:val="0"/>
          <w:iCs/>
          <w:color w:val="auto"/>
          <w:sz w:val="24"/>
          <w:highlight w:val="none"/>
          <w:u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val="0"/>
          <w:iCs/>
          <w:color w:val="auto"/>
          <w:sz w:val="24"/>
          <w:highlight w:val="none"/>
          <w:u w:val="non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五、投标分项报价表</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配置清单</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lang w:eastAsia="zh-CN"/>
        </w:rPr>
        <w:t xml:space="preserve">技术要求响应及偏离表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商务要求响应及偏离表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lang w:val="en-US" w:eastAsia="zh-CN"/>
        </w:rPr>
        <w:t xml:space="preserve">十</w:t>
      </w:r>
      <w:r>
        <w:rPr>
          <w:rFonts w:hint="eastAsia" w:ascii="宋体" w:hAnsi="宋体" w:cs="宋体"/>
          <w:color w:val="auto"/>
          <w:sz w:val="24"/>
          <w:highlight w:val="none"/>
        </w:rPr>
        <w:t xml:space="preserve">、其他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82"/>
        <w:rPr>
          <w:rFonts w:hint="eastAsia" w:ascii="宋体" w:hAnsi="宋体" w:cs="宋体"/>
          <w:color w:val="auto"/>
          <w:highlight w:val="none"/>
        </w:rPr>
      </w:pPr>
      <w:r>
        <w:rPr>
          <w:rFonts w:hint="eastAsia" w:ascii="宋体" w:hAnsi="宋体" w:eastAsia="宋体" w:cs="宋体"/>
          <w:color w:val="auto"/>
          <w:sz w:val="32"/>
          <w:szCs w:val="32"/>
          <w:highlight w:val="none"/>
        </w:rPr>
        <w:br w:type="page" w:clear="all"/>
      </w:r>
      <w:bookmarkStart w:id="65" w:name="_Toc5792"/>
      <w:r/>
      <w:bookmarkStart w:id="66" w:name="_Toc20369"/>
      <w:r/>
      <w:bookmarkStart w:id="67" w:name="_Toc7268"/>
      <w:r>
        <w:rPr>
          <w:rFonts w:hint="eastAsia" w:ascii="宋体" w:hAnsi="宋体" w:eastAsia="宋体" w:cs="宋体"/>
          <w:color w:val="auto"/>
          <w:sz w:val="32"/>
          <w:highlight w:val="none"/>
        </w:rPr>
        <w:t xml:space="preserve">一、</w:t>
      </w:r>
      <w:bookmarkEnd w:id="65"/>
      <w:r/>
      <w:bookmarkEnd w:id="66"/>
      <w:r/>
      <w:bookmarkEnd w:id="67"/>
      <w:r>
        <w:rPr>
          <w:rFonts w:hint="eastAsia" w:ascii="宋体" w:hAnsi="宋体" w:cs="宋体"/>
          <w:color w:val="auto"/>
          <w:sz w:val="24"/>
          <w:highlight w:val="none"/>
        </w:rPr>
        <w:t xml:space="preserve">资格审查响应对照表</w:t>
      </w:r>
      <w:r/>
    </w:p>
    <w:tbl>
      <w:tblPr>
        <w:tblStyle w:val="76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8"/>
        <w:gridCol w:w="6074"/>
        <w:gridCol w:w="39"/>
        <w:gridCol w:w="1670"/>
      </w:tblGrid>
      <w:tr>
        <w:trPr>
          <w:trHeight w:val="647"/>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gridSpan w:val="2"/>
            <w:tcW w:w="612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gridSpan w:val="2"/>
            <w:tcW w:w="170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5"/>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gridSpan w:val="2"/>
            <w:tcW w:w="170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2024年度或2025年度的财务报告情况；（成立不满一年无需提供）</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法律、行政法规规定的其他条件；（投标文件中无需提供证明材料）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gridSpan w:val="2"/>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8"/>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落实政府采购政策需满足的资格要求：无</w:t>
            </w:r>
            <w:r/>
          </w:p>
        </w:tc>
      </w:tr>
      <w:tr>
        <w:trPr>
          <w:trHeight w:val="452"/>
        </w:trPr>
        <w:tc>
          <w:tcPr>
            <w:gridSpan w:val="5"/>
            <w:tcW w:w="8519"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本项目的特定资格要求</w:t>
            </w:r>
            <w:r/>
          </w:p>
        </w:tc>
      </w:tr>
      <w:tr>
        <w:trPr>
          <w:trHeight w:val="452"/>
        </w:trPr>
        <w:tc>
          <w:tcPr>
            <w:gridSpan w:val="2"/>
            <w:tcBorders>
              <w:right w:val="single" w:color="auto" w:sz="4" w:space="0"/>
            </w:tcBorders>
            <w:tcW w:w="736"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gridSpan w:val="2"/>
            <w:tcBorders>
              <w:left w:val="single" w:color="auto" w:sz="4" w:space="0"/>
              <w:right w:val="single" w:color="auto" w:sz="4" w:space="0"/>
            </w:tcBorders>
            <w:tcW w:w="6113" w:type="dxa"/>
            <w:vAlign w:val="center"/>
            <w:textDirection w:val="lrTb"/>
            <w:noWrap w:val="false"/>
          </w:tcPr>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（1）所投产品按国家规定须医疗器械注册证的，投标人须提供所投产品有效的《医疗器械注册证》（扫描上传系统）；</w:t>
            </w:r>
            <w:r/>
          </w:p>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（2）投标人为医疗器械经营企业的，须根据投标产品的类别，提供投标人的《医疗器械经营许可证》或者《医疗器械经营备案凭证》（扫描上传系统）；</w:t>
            </w:r>
            <w:r/>
          </w:p>
          <w:p>
            <w:pPr>
              <w:spacing w:line="44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投标人为医疗器械生产企业的，须提供《医疗器械生产许可证》（扫描上传系统）；</w:t>
            </w:r>
            <w:r/>
          </w:p>
          <w:p>
            <w:pPr>
              <w:spacing w:line="440" w:lineRule="exact"/>
              <w:rPr>
                <w:rFonts w:hint="eastAsia" w:ascii="宋体" w:hAnsi="宋体" w:cs="宋体"/>
                <w:b/>
                <w:bCs/>
                <w:color w:val="auto"/>
                <w:szCs w:val="21"/>
                <w:highlight w:val="none"/>
              </w:rPr>
            </w:pPr>
            <w:r>
              <w:rPr>
                <w:rFonts w:hint="eastAsia" w:ascii="宋体" w:hAnsi="宋体" w:cs="宋体"/>
                <w:b w:val="0"/>
                <w:bCs w:val="0"/>
                <w:color w:val="auto"/>
                <w:szCs w:val="21"/>
                <w:highlight w:val="none"/>
              </w:rPr>
              <w:t xml:space="preserve">（3）所投产品若为进口产品，须提供制造商（生产者）或代理商授权、进口产品注册证等有效证明（如为外文需提供翻译件）（扫描上传系统）；</w:t>
            </w:r>
            <w:r/>
          </w:p>
        </w:tc>
        <w:tc>
          <w:tcPr>
            <w:tcBorders>
              <w:left w:val="single" w:color="auto" w:sz="4" w:space="0"/>
            </w:tcBorders>
            <w:tcW w:w="1670"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0"/>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（2）凡为采购项目提供整体设计、规范编制或者项目管理、监理、检测等服务的供应商，不得再参加本项目的采购活动；</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firstLine="25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ind w:firstLine="25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法定代表人签章：</w:t>
      </w:r>
      <w:r>
        <w:rPr>
          <w:rFonts w:hint="eastAsia" w:ascii="宋体" w:hAnsi="宋体" w:cs="宋体"/>
          <w:bCs/>
          <w:color w:val="auto"/>
          <w:highlight w:val="none"/>
          <w:u w:val="none"/>
          <w:lang w:val="en-US" w:eastAsia="zh-CN"/>
        </w:rPr>
        <w:t xml:space="preserve">                  </w:t>
      </w:r>
      <w:r/>
    </w:p>
    <w:p>
      <w:pPr>
        <w:ind w:firstLine="25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8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25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ind w:firstLine="25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法定代表人签章：</w:t>
      </w:r>
      <w:r>
        <w:rPr>
          <w:rFonts w:hint="eastAsia" w:ascii="宋体" w:hAnsi="宋体" w:cs="宋体"/>
          <w:bCs/>
          <w:color w:val="auto"/>
          <w:highlight w:val="none"/>
          <w:u w:val="none"/>
          <w:lang w:val="en-US" w:eastAsia="zh-CN"/>
        </w:rPr>
        <w:t xml:space="preserve">                  </w:t>
      </w:r>
      <w:r/>
    </w:p>
    <w:p>
      <w:pPr>
        <w:ind w:firstLine="25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承诺单位（加盖CA电子公章）：    </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1018"/>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101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1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1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1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1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1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1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1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18"/>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1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1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1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1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1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1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1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1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101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1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19"/>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19"/>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1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19"/>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1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pPr>
      <w:r>
        <w:rPr>
          <w:rFonts w:hint="eastAsia" w:ascii="宋体" w:hAnsi="宋体" w:cs="宋体"/>
          <w:bCs/>
          <w:color w:val="auto"/>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提供法定代表人和被授权人身份证扫描件</w:t>
      </w:r>
      <w:r/>
    </w:p>
    <w:p>
      <w:pPr>
        <w:pStyle w:val="982"/>
        <w:rPr>
          <w:rFonts w:hint="eastAsia" w:ascii="宋体" w:hAnsi="宋体" w:eastAsia="宋体" w:cs="宋体"/>
          <w:color w:val="auto"/>
          <w:sz w:val="32"/>
          <w:highlight w:val="none"/>
        </w:rPr>
      </w:pPr>
      <w:r/>
      <w:bookmarkStart w:id="68" w:name="_Toc16911"/>
      <w:r/>
      <w:bookmarkStart w:id="69" w:name="_Toc20616"/>
      <w:r/>
      <w:bookmarkStart w:id="70" w:name="_Toc9345"/>
      <w:r>
        <w:rPr>
          <w:rFonts w:hint="eastAsia" w:ascii="宋体" w:hAnsi="宋体" w:eastAsia="宋体" w:cs="宋体"/>
          <w:color w:val="auto"/>
          <w:sz w:val="32"/>
          <w:highlight w:val="none"/>
        </w:rPr>
        <w:t xml:space="preserve">二、符合性审查响应对照表</w:t>
      </w:r>
      <w:bookmarkEnd w:id="68"/>
      <w:r/>
      <w:bookmarkEnd w:id="69"/>
      <w:r/>
      <w:bookmarkEnd w:id="70"/>
      <w:r/>
      <w:r/>
    </w:p>
    <w:tbl>
      <w:tblPr>
        <w:tblStyle w:val="7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olor w:val="auto"/>
                <w:sz w:val="21"/>
                <w:szCs w:val="21"/>
                <w:highlight w:val="none"/>
              </w:rPr>
              <w:t xml:space="preserve">招标文件（含技术</w:t>
            </w:r>
            <w:r>
              <w:rPr>
                <w:rFonts w:ascii="宋体" w:hAnsi="宋体"/>
                <w:color w:val="auto"/>
                <w:sz w:val="21"/>
                <w:szCs w:val="21"/>
                <w:highlight w:val="none"/>
              </w:rPr>
              <w:t xml:space="preserve">要求和商务</w:t>
            </w:r>
            <w:r>
              <w:rPr>
                <w:rFonts w:hint="eastAsia" w:ascii="宋体" w:hAnsi="宋体"/>
                <w:color w:val="auto"/>
                <w:sz w:val="21"/>
                <w:szCs w:val="21"/>
                <w:highlight w:val="none"/>
              </w:rPr>
              <w:t xml:space="preserve">要求）</w:t>
            </w:r>
            <w:r>
              <w:rPr>
                <w:rFonts w:ascii="宋体" w:hAnsi="宋体"/>
                <w:color w:val="auto"/>
                <w:sz w:val="21"/>
                <w:szCs w:val="21"/>
                <w:highlight w:val="none"/>
              </w:rPr>
              <w:t xml:space="preserve">中的实质性要求</w:t>
            </w:r>
            <w:r>
              <w:rPr>
                <w:rFonts w:hint="eastAsia" w:ascii="宋体" w:hAnsi="宋体"/>
                <w:b/>
                <w:bCs/>
                <w:color w:val="auto"/>
                <w:sz w:val="21"/>
                <w:szCs w:val="21"/>
                <w:highlight w:val="none"/>
              </w:rPr>
              <w:t xml:space="preserve">（</w:t>
            </w:r>
            <w:r>
              <w:rPr>
                <w:rFonts w:hint="eastAsia" w:ascii="宋体" w:hAnsi="宋体"/>
                <w:b/>
                <w:bCs/>
                <w:i/>
                <w:color w:val="auto"/>
                <w:sz w:val="21"/>
                <w:szCs w:val="21"/>
                <w:highlight w:val="none"/>
                <w:u w:val="single"/>
              </w:rPr>
              <w:t xml:space="preserve">斜体且有下划线部分</w:t>
            </w:r>
            <w:r>
              <w:rPr>
                <w:rFonts w:hint="eastAsia" w:ascii="宋体" w:hAnsi="宋体"/>
                <w:b/>
                <w:bCs/>
                <w:color w:val="auto"/>
                <w:sz w:val="21"/>
                <w:szCs w:val="21"/>
                <w:highlight w:val="none"/>
              </w:rPr>
              <w:t xml:space="preserve">）</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1.投标人必须对招标文件（含技术要求和商务要求）中的实质性要求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82"/>
        <w:rPr>
          <w:rFonts w:hint="eastAsia" w:ascii="宋体" w:hAnsi="宋体" w:eastAsia="宋体" w:cs="宋体"/>
          <w:color w:val="auto"/>
          <w:sz w:val="32"/>
          <w:highlight w:val="none"/>
        </w:rPr>
      </w:pPr>
      <w:r/>
      <w:bookmarkStart w:id="71" w:name="_Toc23068"/>
      <w:r/>
      <w:bookmarkStart w:id="72" w:name="_Toc29406"/>
      <w:r/>
      <w:bookmarkStart w:id="73" w:name="_Toc23420"/>
      <w:r>
        <w:rPr>
          <w:rFonts w:hint="eastAsia" w:ascii="宋体" w:hAnsi="宋体" w:eastAsia="宋体" w:cs="宋体"/>
          <w:color w:val="auto"/>
          <w:sz w:val="32"/>
          <w:highlight w:val="none"/>
        </w:rPr>
        <w:t xml:space="preserve">三、非实质性响应对照表</w:t>
      </w:r>
      <w:bookmarkEnd w:id="71"/>
      <w:r/>
      <w:bookmarkEnd w:id="72"/>
      <w:r/>
      <w:bookmarkEnd w:id="73"/>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《中小企业声明函（货物）》</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lang w:eastAsia="zh-CN"/>
              </w:rPr>
            </w:pPr>
            <w:r>
              <w:rPr>
                <w:rFonts w:hint="eastAsia" w:ascii="宋体" w:hAnsi="宋体" w:cs="宋体"/>
                <w:iCs/>
                <w:color w:val="auto"/>
                <w:szCs w:val="21"/>
                <w:highlight w:val="none"/>
                <w:lang w:eastAsia="zh-CN"/>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w:t>
      </w:r>
      <w:r>
        <w:rPr>
          <w:rFonts w:hint="eastAsia" w:ascii="宋体" w:hAnsi="宋体" w:eastAsia="宋体" w:cs="宋体"/>
          <w:color w:val="auto"/>
          <w:szCs w:val="21"/>
          <w:highlight w:val="none"/>
          <w:u w:val="single"/>
        </w:rPr>
        <w:t xml:space="preserve">业）行业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\o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Cs w:val="21"/>
          <w:highlight w:val="none"/>
          <w:vertAlign w:val="superscript"/>
        </w:rPr>
        <w:t xml:space="preserve">1</w:t>
      </w:r>
      <w:r>
        <w:rPr>
          <w:rFonts w:hint="eastAsia" w:ascii="宋体" w:hAnsi="宋体" w:eastAsia="宋体" w:cs="宋体"/>
          <w:color w:val="auto"/>
          <w:spacing w:val="-1"/>
          <w:szCs w:val="21"/>
          <w:highlight w:val="none"/>
          <w:vertAlign w:val="superscript"/>
        </w:rPr>
        <w:fldChar w:fldCharType="end"/>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工业</w:t>
      </w:r>
      <w:r>
        <w:rPr>
          <w:rFonts w:hint="eastAsia" w:ascii="宋体" w:hAnsi="宋体" w:eastAsia="宋体" w:cs="宋体"/>
          <w:color w:val="auto"/>
          <w:szCs w:val="21"/>
          <w:highlight w:val="none"/>
          <w:u w:val="single"/>
        </w:rPr>
        <w:t xml:space="preserve">）行业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5、声明函应涵盖本项目(分包)所有货物，否则价格不作扣除。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rPr>
          <w:rStyle w:val="1008"/>
          <w:rFonts w:hint="eastAsia" w:ascii="宋体" w:hAnsi="宋体" w:cs="宋体"/>
          <w:color w:val="auto"/>
          <w:szCs w:val="21"/>
          <w:highlight w:val="none"/>
        </w:rPr>
      </w:pPr>
      <w:r>
        <w:rPr>
          <w:rStyle w:val="1008"/>
          <w:rFonts w:hint="eastAsia" w:ascii="宋体" w:hAnsi="宋体" w:cs="宋体"/>
          <w:color w:val="auto"/>
          <w:szCs w:val="21"/>
          <w:highlight w:val="none"/>
        </w:rPr>
        <w:br w:type="page" w:clear="all"/>
      </w:r>
      <w:r/>
    </w:p>
    <w:p>
      <w:pPr>
        <w:jc w:val="center"/>
        <w:rPr>
          <w:rStyle w:val="1008"/>
          <w:rFonts w:hint="eastAsia" w:ascii="宋体" w:hAnsi="宋体" w:cs="宋体"/>
          <w:color w:val="auto"/>
          <w:szCs w:val="21"/>
          <w:highlight w:val="none"/>
        </w:rPr>
      </w:pPr>
      <w:r>
        <w:rPr>
          <w:rStyle w:val="1008"/>
          <w:rFonts w:hint="eastAsia" w:ascii="宋体" w:hAnsi="宋体" w:cs="宋体"/>
          <w:color w:val="auto"/>
          <w:szCs w:val="21"/>
          <w:highlight w:val="none"/>
        </w:rPr>
        <w:t xml:space="preserve">中小微企业划型标准</w:t>
      </w:r>
      <w:r/>
    </w:p>
    <w:p>
      <w:pPr>
        <w:pStyle w:val="1003"/>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08"/>
          <w:rFonts w:hint="eastAsia" w:ascii="宋体" w:hAnsi="宋体" w:cs="宋体"/>
          <w:color w:val="auto"/>
          <w:sz w:val="21"/>
          <w:szCs w:val="21"/>
          <w:highlight w:val="none"/>
        </w:rPr>
        <w:t xml:space="preserve">中小微企业划型标准如下：</w:t>
      </w:r>
      <w:r/>
    </w:p>
    <w:tbl>
      <w:tblPr>
        <w:tblStyle w:val="763"/>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03"/>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3"/>
              <w:ind w:firstLine="420"/>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3"/>
              <w:jc w:val="center"/>
              <w:spacing w:after="150" w:line="360" w:lineRule="auto"/>
              <w:widowControl/>
              <w:rPr>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X＜10</w:t>
            </w:r>
            <w:r/>
          </w:p>
        </w:tc>
      </w:tr>
    </w:tbl>
    <w:p>
      <w:pPr>
        <w:pStyle w:val="1003"/>
        <w:ind w:firstLine="810"/>
        <w:spacing w:before="300" w:after="452" w:line="360" w:lineRule="auto"/>
        <w:widowControl/>
        <w:rPr>
          <w:rStyle w:val="1008"/>
          <w:rFonts w:hint="eastAsia" w:ascii="宋体" w:hAnsi="宋体" w:cs="宋体"/>
          <w:color w:val="auto"/>
          <w:sz w:val="21"/>
          <w:szCs w:val="21"/>
          <w:highlight w:val="none"/>
        </w:rPr>
      </w:pPr>
      <w:r>
        <w:rPr>
          <w:rStyle w:val="1008"/>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83"/>
        <w:rPr>
          <w:rFonts w:hint="eastAsia" w:ascii="宋体" w:hAnsi="宋体" w:cs="宋体"/>
          <w:color w:val="auto"/>
          <w:highlight w:val="none"/>
        </w:rPr>
      </w:pPr>
      <w:r>
        <w:rPr>
          <w:rStyle w:val="1008"/>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单位的采购文件编号为</w:t>
      </w:r>
      <w:r>
        <w:rPr>
          <w:rFonts w:hint="eastAsia" w:ascii="宋体" w:hAnsi="宋体"/>
          <w:color w:val="auto"/>
          <w:sz w:val="21"/>
          <w:szCs w:val="21"/>
          <w:highlight w:val="none"/>
          <w:u w:val="single"/>
          <w:lang w:eastAsia="zh-CN"/>
        </w:rPr>
        <w:t xml:space="preserve">JSZC-321000-SWGC-G2026-0063</w:t>
      </w:r>
      <w:r>
        <w:rPr>
          <w:rFonts w:hint="eastAsia" w:ascii="宋体" w:hAnsi="宋体"/>
          <w:color w:val="auto"/>
          <w:sz w:val="21"/>
          <w:szCs w:val="21"/>
          <w:highlight w:val="none"/>
          <w:u w:val="single"/>
        </w:rPr>
        <w:t xml:space="preserve">号 </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项目（采购包号：**）采购活动提供本单位制造的货物，或者提供其他残疾人福利性单位制造的货物（不包括使用非残疾人福利性单位注册商标的货物）。</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right="0" w:firstLine="624"/>
        <w:keepLines w:val="0"/>
        <w:keepNext w:val="0"/>
        <w:pageBreakBefore w:val="0"/>
        <w:spacing w:line="360" w:lineRule="auto"/>
        <w:widowControl w:val="off"/>
        <w:rPr>
          <w:rFonts w:ascii="仿宋_GB2312" w:eastAsia="仿宋_GB2312"/>
          <w:color w:val="auto"/>
          <w:spacing w:val="6"/>
          <w:sz w:val="21"/>
          <w:szCs w:val="21"/>
          <w:highlight w:val="none"/>
        </w:rPr>
      </w:pPr>
      <w:r>
        <w:rPr>
          <w:rFonts w:ascii="仿宋_GB2312" w:eastAsia="仿宋_GB2312"/>
          <w:color w:val="auto"/>
          <w:spacing w:val="6"/>
          <w:sz w:val="21"/>
          <w:szCs w:val="21"/>
          <w:highlight w:val="none"/>
        </w:rPr>
      </w:r>
      <w:r/>
    </w:p>
    <w:p>
      <w:pPr>
        <w:ind w:right="0" w:firstLine="2940"/>
        <w:jc w:val="both"/>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供应商全称（加盖CA电子公章）：</w:t>
      </w:r>
      <w:r/>
    </w:p>
    <w:p>
      <w:pPr>
        <w:ind w:right="0" w:firstLine="2940"/>
        <w:jc w:val="both"/>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关于符合本国产品标准的声明函（采购包号）</w:t>
      </w:r>
      <w:r/>
    </w:p>
    <w:p>
      <w:pPr>
        <w:pStyle w:val="785"/>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24765</wp:posOffset>
                </wp:positionH>
                <wp:positionV relativeFrom="paragraph">
                  <wp:posOffset>352425</wp:posOffset>
                </wp:positionV>
                <wp:extent cx="566420" cy="97155"/>
                <wp:effectExtent l="635" t="4445" r="4445" b="1270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9pt;mso-position-horizontal:absolute;mso-position-vertical-relative:text;margin-top:27.8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117475</wp:posOffset>
                </wp:positionH>
                <wp:positionV relativeFrom="paragraph">
                  <wp:posOffset>621665</wp:posOffset>
                </wp:positionV>
                <wp:extent cx="641985" cy="104775"/>
                <wp:effectExtent l="635" t="4445" r="5080" b="5080"/>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9.2pt;mso-position-horizontal:absolute;mso-position-vertical-relative:text;margin-top:48.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3455035</wp:posOffset>
                </wp:positionH>
                <wp:positionV relativeFrom="paragraph">
                  <wp:posOffset>605790</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272.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2250440</wp:posOffset>
                </wp:positionH>
                <wp:positionV relativeFrom="paragraph">
                  <wp:posOffset>654050</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77.2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4130040</wp:posOffset>
                </wp:positionH>
                <wp:positionV relativeFrom="paragraph">
                  <wp:posOffset>329565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25.2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3025775</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38.2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791"/>
          <w:rFonts w:hint="eastAsia" w:ascii="宋体" w:hAnsi="宋体" w:eastAsia="宋体" w:cs="宋体"/>
          <w:i w:val="0"/>
          <w:color w:val="auto"/>
          <w:highlight w:val="none"/>
          <w:u w:val="single"/>
          <w:shd w:val="clear" w:color="auto" w:fill="ffffff"/>
        </w:rPr>
        <w:t xml:space="preserve">（产品名称1）</w:t>
      </w:r>
      <w:r>
        <w:rPr>
          <w:rStyle w:val="791"/>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91"/>
          <w:rFonts w:hint="eastAsia" w:ascii="宋体" w:hAnsi="宋体" w:eastAsia="宋体" w:cs="宋体"/>
          <w:i w:val="0"/>
          <w:color w:val="auto"/>
          <w:highlight w:val="none"/>
          <w:u w:val="single"/>
          <w:shd w:val="clear" w:color="auto" w:fill="ffffff"/>
        </w:rPr>
        <w:t xml:space="preserve">（厂名）</w:t>
      </w:r>
      <w:r>
        <w:rPr>
          <w:rStyle w:val="791"/>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91"/>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91"/>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791"/>
          <w:rFonts w:hint="eastAsia" w:ascii="宋体" w:hAnsi="宋体" w:eastAsia="宋体" w:cs="宋体"/>
          <w:i w:val="0"/>
          <w:color w:val="auto"/>
          <w:highlight w:val="none"/>
          <w:u w:val="single"/>
          <w:shd w:val="clear" w:color="auto" w:fill="ffffff"/>
        </w:rPr>
        <w:t xml:space="preserve">（规定比例）</w:t>
      </w:r>
      <w:r>
        <w:rPr>
          <w:rStyle w:val="791"/>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91"/>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91"/>
          <w:rFonts w:hint="eastAsia" w:ascii="宋体" w:hAnsi="宋体" w:eastAsia="宋体" w:cs="宋体"/>
          <w:i w:val="0"/>
          <w:color w:val="auto"/>
          <w:highlight w:val="none"/>
          <w:u w:val="single"/>
          <w:shd w:val="clear" w:color="auto" w:fill="ffffff"/>
        </w:rPr>
        <w:t xml:space="preserve">（关键组件）</w:t>
      </w:r>
      <w:r>
        <w:rPr>
          <w:rStyle w:val="791"/>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91"/>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91"/>
          <w:rFonts w:hint="eastAsia" w:ascii="宋体" w:hAnsi="宋体" w:eastAsia="宋体" w:cs="宋体"/>
          <w:i w:val="0"/>
          <w:color w:val="auto"/>
          <w:highlight w:val="none"/>
          <w:u w:val="single"/>
          <w:shd w:val="clear" w:color="auto" w:fill="ffffff"/>
        </w:rPr>
        <w:t xml:space="preserve">（关键工序）</w:t>
      </w:r>
      <w:r>
        <w:rPr>
          <w:rStyle w:val="791"/>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3116580</wp:posOffset>
                </wp:positionH>
                <wp:positionV relativeFrom="paragraph">
                  <wp:posOffset>638175</wp:posOffset>
                </wp:positionV>
                <wp:extent cx="821690" cy="102870"/>
                <wp:effectExtent l="635" t="4445" r="15875" b="6985"/>
                <wp:wrapNone/>
                <wp:docPr id="11"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45.4pt;mso-position-horizontal:absolute;mso-position-vertical-relative:text;margin-top:50.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1869440</wp:posOffset>
                </wp:positionH>
                <wp:positionV relativeFrom="paragraph">
                  <wp:posOffset>626745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47.2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92710</wp:posOffset>
                </wp:positionH>
                <wp:positionV relativeFrom="paragraph">
                  <wp:posOffset>330200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7.3pt;mso-position-horizontal:absolute;mso-position-vertical-relative:text;margin-top:26.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80010</wp:posOffset>
                </wp:positionH>
                <wp:positionV relativeFrom="paragraph">
                  <wp:posOffset>629920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6.3pt;mso-position-horizontal:absolute;mso-position-vertical-relative:text;margin-top:49.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4949190</wp:posOffset>
                </wp:positionH>
                <wp:positionV relativeFrom="paragraph">
                  <wp:posOffset>322580</wp:posOffset>
                </wp:positionV>
                <wp:extent cx="462280" cy="147320"/>
                <wp:effectExtent l="1270" t="4445" r="12700" b="196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89.7pt;mso-position-horizontal:absolute;mso-position-vertical-relative:text;margin-top:25.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3885565</wp:posOffset>
                </wp:positionH>
                <wp:positionV relativeFrom="paragraph">
                  <wp:posOffset>319405</wp:posOffset>
                </wp:positionV>
                <wp:extent cx="849630" cy="120015"/>
                <wp:effectExtent l="635" t="4445" r="6985" b="889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305.9pt;mso-position-horizontal:absolute;mso-position-vertical-relative:text;margin-top:25.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2781935</wp:posOffset>
                </wp:positionH>
                <wp:positionV relativeFrom="paragraph">
                  <wp:posOffset>330835</wp:posOffset>
                </wp:positionV>
                <wp:extent cx="843915" cy="125730"/>
                <wp:effectExtent l="635" t="4445" r="12700" b="222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19.0pt;mso-position-horizontal:absolute;mso-position-vertical-relative:text;margin-top:26.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791"/>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91"/>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91"/>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91"/>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91"/>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91"/>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91"/>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91"/>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91"/>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ind w:right="0" w:firstLine="240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85"/>
        <w:ind w:right="0" w:firstLine="240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日期：　   年　  月　  日         </w:t>
      </w:r>
      <w:r/>
    </w:p>
    <w:p>
      <w:pPr>
        <w:pStyle w:val="785"/>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pStyle w:val="785"/>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lang w:val="en-US" w:eastAsia="zh-CN"/>
        </w:rPr>
      </w:pPr>
      <w:r>
        <w:rPr>
          <w:rFonts w:hint="eastAsia" w:ascii="宋体" w:hAnsi="宋体" w:eastAsia="宋体" w:cs="宋体"/>
          <w:color w:val="auto"/>
          <w:sz w:val="22"/>
          <w:highlight w:val="none"/>
          <w:shd w:val="clear" w:color="auto" w:fill="ffffff"/>
          <w:lang w:val="en-US" w:eastAsia="zh-CN"/>
        </w:rPr>
        <w:t xml:space="preserve">7.如word斜线错位，请以下方图片所示为准。</w:t>
      </w:r>
      <w:r/>
    </w:p>
    <w:p>
      <w:pPr>
        <w:pStyle w:val="785"/>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highlight w:val="none"/>
          <w:shd w:val="clear" w:color="auto" w:fill="ffffff"/>
          <w:lang w:val="en-US" w:eastAsia="zh-CN"/>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9"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xwechat_files\luoboxiaowuzei_e771\temp\RWTemp\2026-03\c9f511a4c1d072259a887ee18cc5d0ba\322a02389c0a3bd68b9fafd7fe73f7eb.png"/>
                        <pic:cNvPicPr>
                          <a:picLocks noChangeAspect="1"/>
                        </pic:cNvPicPr>
                        <pic:nvPr/>
                      </pic:nvPicPr>
                      <pic:blipFill>
                        <a:blip r:embed="rId15"/>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451.0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74" w:name="_Toc19910"/>
      <w:r/>
      <w:bookmarkStart w:id="75" w:name="_Toc25382"/>
      <w:r>
        <w:rPr>
          <w:rFonts w:hint="eastAsia" w:ascii="宋体" w:hAnsi="宋体" w:cs="宋体"/>
          <w:b/>
          <w:bCs/>
          <w:color w:val="auto"/>
          <w:sz w:val="32"/>
          <w:szCs w:val="44"/>
          <w:highlight w:val="none"/>
        </w:rPr>
        <w:t xml:space="preserve">四、开标一览表</w:t>
      </w:r>
      <w:bookmarkEnd w:id="74"/>
      <w:r/>
      <w:bookmarkEnd w:id="75"/>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p>
    <w:tbl>
      <w:tblPr>
        <w:tblStyle w:val="7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投标总报价</w:t>
            </w:r>
            <w:r/>
          </w:p>
        </w:tc>
      </w:tr>
      <w:tr>
        <w:trPr>
          <w:jc w:val="cente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大写：                   （人民币：元）</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小写：                   （人民币：元）</w:t>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bl>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88"/>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8"/>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76" w:name="_Toc17891"/>
      <w:r/>
      <w:bookmarkStart w:id="77" w:name="_Toc20323"/>
      <w:r>
        <w:rPr>
          <w:rFonts w:hint="eastAsia" w:ascii="宋体" w:hAnsi="宋体" w:cs="宋体"/>
          <w:b/>
          <w:bCs/>
          <w:color w:val="auto"/>
          <w:sz w:val="32"/>
          <w:szCs w:val="44"/>
          <w:highlight w:val="none"/>
        </w:rPr>
        <w:t xml:space="preserve">五、投标分项报价表</w:t>
      </w:r>
      <w:bookmarkEnd w:id="76"/>
      <w:r/>
      <w:bookmarkEnd w:id="77"/>
      <w:r/>
      <w:r/>
    </w:p>
    <w:tbl>
      <w:tblPr>
        <w:tblStyle w:val="76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668"/>
        <w:gridCol w:w="668"/>
        <w:gridCol w:w="862"/>
        <w:gridCol w:w="950"/>
        <w:gridCol w:w="961"/>
        <w:gridCol w:w="1271"/>
        <w:gridCol w:w="850"/>
        <w:gridCol w:w="927"/>
        <w:gridCol w:w="903"/>
      </w:tblGrid>
      <w:tr>
        <w:trPr>
          <w:cantSplit/>
          <w:trHeight w:val="544"/>
        </w:trPr>
        <w:tc>
          <w:tcPr>
            <w:tcW w:w="269"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55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6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4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2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cantSplit/>
          <w:trHeight w:val="294"/>
        </w:trPr>
        <w:tc>
          <w:tcPr>
            <w:tcW w:w="26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W w:w="55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制造商名称</w:t>
            </w:r>
            <w:r/>
          </w:p>
        </w:tc>
        <w:tc>
          <w:tcPr>
            <w:tcW w:w="56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W w:w="74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52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trHeight w:val="696"/>
        </w:trPr>
        <w:tc>
          <w:tcPr>
            <w:tcW w:w="26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64"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6" w:type="pct"/>
            <w:vAlign w:val="center"/>
            <w:textDirection w:val="lrTb"/>
            <w:noWrap w:val="false"/>
          </w:tcPr>
          <w:p>
            <w:pPr>
              <w:jc w:val="center"/>
              <w:spacing w:line="0" w:lineRule="atLeas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24"/>
        </w:trPr>
        <w:tc>
          <w:tcPr>
            <w:tcW w:w="26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64"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26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64"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80"/>
        </w:trPr>
        <w:tc>
          <w:tcPr>
            <w:tcW w:w="26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5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64"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34"/>
        </w:trPr>
        <w:tc>
          <w:tcPr>
            <w:gridSpan w:val="10"/>
            <w:tcW w:w="5000" w:type="pct"/>
            <w:textDirection w:val="lrTb"/>
            <w:noWrap w:val="false"/>
          </w:tcPr>
          <w:p>
            <w:pP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投标总报价（人民币：元）</w:t>
            </w:r>
            <w:r>
              <w:rPr>
                <w:rFonts w:hint="eastAsia" w:ascii="宋体" w:hAnsi="宋体" w:eastAsia="宋体" w:cs="宋体"/>
                <w:color w:val="auto"/>
                <w:sz w:val="21"/>
                <w:szCs w:val="21"/>
                <w:highlight w:val="none"/>
                <w:u w:val="single"/>
              </w:rPr>
              <w:t xml:space="preserve">                             </w:t>
            </w:r>
            <w:r/>
          </w:p>
        </w:tc>
      </w:tr>
      <w:tr>
        <w:trPr>
          <w:cantSplit/>
          <w:trHeight w:val="767"/>
        </w:trPr>
        <w:tc>
          <w:tcPr>
            <w:gridSpan w:val="10"/>
            <w:tcW w:w="5000" w:type="pct"/>
            <w:textDirection w:val="lrTb"/>
            <w:noWrap w:val="false"/>
          </w:tcPr>
          <w:p>
            <w:pPr>
              <w:pStyle w:val="785"/>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1.本项目投标报价</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按招标文件要求详细列明各项产品名称、规格型号、数量、单价、总价等内容，报价应清晰、完整、准确。</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3.“投标分项报价表”中“投标总报价”数额应当与“开标一览表”中“投标总报价”数额一致。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5.本项目招标代理服务费应包含在投标总价中，具体计算方式详见招标文件第二章4.3条要求。</w:t>
      </w:r>
      <w:r/>
    </w:p>
    <w:p>
      <w:pPr>
        <w:pStyle w:val="764"/>
        <w:rPr>
          <w:rFonts w:hint="eastAsia"/>
          <w:color w:val="auto"/>
          <w:highlight w:val="none"/>
        </w:rPr>
      </w:pPr>
      <w:r>
        <w:rPr>
          <w:rFonts w:hint="eastAsia"/>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numPr>
          <w:ilvl w:val="0"/>
          <w:numId w:val="8"/>
        </w:numPr>
        <w:jc w:val="cente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t xml:space="preserve">配置清单</w:t>
      </w:r>
      <w:r/>
    </w:p>
    <w:p>
      <w:pPr>
        <w:numPr>
          <w:ilvl w:val="0"/>
          <w:numId w:val="0"/>
        </w:numPr>
        <w:jc w:val="both"/>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tbl>
      <w:tblPr>
        <w:tblStyle w:val="763"/>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pStyle w:val="765"/>
        <w:rPr>
          <w:rFonts w:hint="eastAsia"/>
          <w:color w:val="auto"/>
          <w:highlight w:val="none"/>
        </w:rPr>
      </w:pPr>
      <w:r>
        <w:rPr>
          <w:rFonts w:hint="eastAsia"/>
          <w:color w:val="auto"/>
          <w:highlight w:val="none"/>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注：表格格式供参考，可自拟格式。</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982"/>
        <w:rPr>
          <w:rFonts w:hint="eastAsia" w:ascii="宋体" w:hAnsi="宋体" w:eastAsia="宋体" w:cs="宋体"/>
          <w:color w:val="auto"/>
          <w:sz w:val="32"/>
          <w:highlight w:val="none"/>
          <w:lang w:eastAsia="zh-CN"/>
        </w:rPr>
      </w:pPr>
      <w:r/>
      <w:bookmarkStart w:id="78" w:name="_Toc5967"/>
      <w:r/>
      <w:bookmarkStart w:id="79" w:name="_Toc16517"/>
      <w:r/>
      <w:bookmarkStart w:id="80" w:name="_Toc9678"/>
      <w:r>
        <w:rPr>
          <w:rFonts w:hint="eastAsia" w:ascii="宋体" w:hAnsi="宋体" w:eastAsia="宋体" w:cs="宋体"/>
          <w:color w:val="auto"/>
          <w:sz w:val="32"/>
          <w:highlight w:val="none"/>
          <w:lang w:val="en-US" w:eastAsia="zh-CN"/>
        </w:rPr>
        <w:t xml:space="preserve">七</w:t>
      </w:r>
      <w:r>
        <w:rPr>
          <w:rFonts w:hint="eastAsia" w:ascii="宋体" w:hAnsi="宋体" w:eastAsia="宋体" w:cs="宋体"/>
          <w:color w:val="auto"/>
          <w:sz w:val="32"/>
          <w:highlight w:val="none"/>
        </w:rPr>
        <w:t xml:space="preserve">、</w:t>
      </w:r>
      <w:bookmarkEnd w:id="78"/>
      <w:r/>
      <w:bookmarkEnd w:id="79"/>
      <w:r/>
      <w:bookmarkEnd w:id="80"/>
      <w:r>
        <w:rPr>
          <w:rFonts w:hint="eastAsia" w:ascii="宋体" w:hAnsi="宋体" w:eastAsia="宋体" w:cs="宋体"/>
          <w:color w:val="auto"/>
          <w:sz w:val="32"/>
          <w:highlight w:val="none"/>
          <w:lang w:eastAsia="zh-CN"/>
        </w:rPr>
        <w:t xml:space="preserve">技术要求响应及偏离表</w:t>
      </w:r>
      <w:r/>
    </w:p>
    <w:tbl>
      <w:tblPr>
        <w:tblStyle w:val="7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2826"/>
        <w:gridCol w:w="2991"/>
        <w:gridCol w:w="1615"/>
      </w:tblGrid>
      <w:tr>
        <w:trPr>
          <w:cantSplit/>
        </w:trPr>
        <w:tc>
          <w:tcPr>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8"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技术要求</w:t>
            </w:r>
            <w:r/>
          </w:p>
        </w:tc>
        <w:tc>
          <w:tcPr>
            <w:tcW w:w="1755"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947"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1.投标人需对技术要求（未加斜体下划线的非实质性要求）逐条做出明确响应。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jc w:val="center"/>
        <w:rPr>
          <w:rFonts w:hint="eastAsia" w:ascii="宋体" w:hAnsi="宋体" w:cs="宋体"/>
          <w:b/>
          <w:bCs/>
          <w:color w:val="auto"/>
          <w:sz w:val="32"/>
          <w:szCs w:val="44"/>
          <w:highlight w:val="none"/>
        </w:rPr>
      </w:pPr>
      <w:r/>
      <w:bookmarkStart w:id="81" w:name="_Hlt26955054"/>
      <w:r/>
      <w:bookmarkEnd w:id="81"/>
      <w:r/>
      <w:bookmarkStart w:id="82" w:name="_Toc16820"/>
      <w:r/>
      <w:bookmarkStart w:id="83" w:name="_Toc32154"/>
      <w:r/>
      <w:r/>
    </w:p>
    <w:p>
      <w:pPr>
        <w:pStyle w:val="765"/>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jc w:val="center"/>
        <w:rPr>
          <w:rFonts w:hint="eastAsia" w:ascii="宋体" w:hAnsi="宋体" w:eastAsia="宋体" w:cs="宋体"/>
          <w:color w:val="auto"/>
          <w:sz w:val="32"/>
          <w:highlight w:val="none"/>
          <w:lang w:eastAsia="zh-CN"/>
        </w:rPr>
      </w:pPr>
      <w:r>
        <w:rPr>
          <w:rFonts w:hint="eastAsia" w:ascii="宋体" w:hAnsi="宋体" w:cs="宋体"/>
          <w:b/>
          <w:bCs/>
          <w:color w:val="auto"/>
          <w:sz w:val="32"/>
          <w:szCs w:val="44"/>
          <w:highlight w:val="none"/>
          <w:lang w:val="en-US" w:eastAsia="zh-CN"/>
        </w:rPr>
        <w:t xml:space="preserve">八</w:t>
      </w:r>
      <w:r>
        <w:rPr>
          <w:rFonts w:hint="eastAsia" w:ascii="宋体" w:hAnsi="宋体" w:cs="宋体"/>
          <w:b/>
          <w:bCs/>
          <w:color w:val="auto"/>
          <w:sz w:val="32"/>
          <w:szCs w:val="44"/>
          <w:highlight w:val="none"/>
        </w:rPr>
        <w:t xml:space="preserve">、</w:t>
      </w:r>
      <w:bookmarkEnd w:id="82"/>
      <w:r/>
      <w:bookmarkEnd w:id="83"/>
      <w:r>
        <w:rPr>
          <w:rFonts w:hint="eastAsia" w:ascii="宋体" w:hAnsi="宋体" w:cs="宋体"/>
          <w:b/>
          <w:bCs/>
          <w:color w:val="auto"/>
          <w:sz w:val="32"/>
          <w:szCs w:val="44"/>
          <w:highlight w:val="none"/>
          <w:lang w:eastAsia="zh-CN"/>
        </w:rPr>
        <w:t xml:space="preserve">商务要求响应及偏离表</w:t>
      </w:r>
      <w:r/>
    </w:p>
    <w:tbl>
      <w:tblPr>
        <w:tblStyle w:val="763"/>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84" w:name="_Hlt26782999"/>
            <w:r/>
            <w:bookmarkEnd w:id="84"/>
            <w:r/>
            <w:bookmarkStart w:id="85" w:name="_Hlt26671372"/>
            <w:r/>
            <w:bookmarkEnd w:id="85"/>
            <w:r/>
            <w:bookmarkStart w:id="86" w:name="_Hlt26955064"/>
            <w:r/>
            <w:bookmarkEnd w:id="86"/>
            <w:r/>
            <w:bookmarkStart w:id="87" w:name="_Hlt24879081"/>
            <w:r/>
            <w:bookmarkEnd w:id="87"/>
            <w:r/>
            <w:bookmarkStart w:id="88" w:name="_Hlt26671343"/>
            <w:r/>
            <w:bookmarkEnd w:id="88"/>
            <w:r/>
            <w:bookmarkStart w:id="89" w:name="_Hlt26580838"/>
            <w:r/>
            <w:bookmarkEnd w:id="89"/>
            <w:r/>
            <w:bookmarkStart w:id="90" w:name="_Hlt26609391"/>
            <w:r/>
            <w:bookmarkEnd w:id="90"/>
            <w:r/>
            <w:bookmarkStart w:id="91" w:name="_Hlt26955056"/>
            <w:r/>
            <w:bookmarkEnd w:id="91"/>
            <w:r>
              <w:rPr>
                <w:rFonts w:hint="eastAsia" w:ascii="宋体" w:hAnsi="宋体" w:eastAsia="宋体" w:cs="宋体"/>
                <w:color w:val="auto"/>
                <w:sz w:val="21"/>
                <w:szCs w:val="21"/>
                <w:highlight w:val="none"/>
              </w:rPr>
              <w:t xml:space="preserve">序号</w:t>
            </w:r>
            <w:r/>
          </w:p>
        </w:tc>
        <w:tc>
          <w:tcPr>
            <w:tcW w:w="2885"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商务要求</w:t>
            </w:r>
            <w:r/>
          </w:p>
        </w:tc>
        <w:tc>
          <w:tcPr>
            <w:tcW w:w="1800"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2561"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1.投标人需对商务要求（未加斜体下划线的非实质性要求）逐条做出明确响应。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8"/>
        <w:ind w:firstLine="480"/>
        <w:jc w:val="center"/>
        <w:rPr>
          <w:rFonts w:hint="eastAsia" w:ascii="宋体" w:hAnsi="宋体" w:cs="宋体"/>
          <w:b/>
          <w:bCs/>
          <w:color w:val="auto"/>
          <w:sz w:val="32"/>
          <w:szCs w:val="44"/>
          <w:highlight w:val="none"/>
        </w:rPr>
      </w:pPr>
      <w:r/>
      <w:bookmarkStart w:id="92" w:name="_Toc462564146"/>
      <w:r>
        <w:rPr>
          <w:rFonts w:hint="eastAsia" w:ascii="宋体" w:hAnsi="宋体" w:cs="宋体"/>
          <w:b/>
          <w:bCs/>
          <w:color w:val="auto"/>
          <w:sz w:val="32"/>
          <w:szCs w:val="44"/>
          <w:highlight w:val="none"/>
          <w:lang w:val="en-US" w:eastAsia="zh-CN"/>
        </w:rPr>
        <w:t xml:space="preserve">九</w:t>
      </w:r>
      <w:r>
        <w:rPr>
          <w:rFonts w:hint="eastAsia" w:ascii="宋体" w:hAnsi="宋体" w:cs="宋体"/>
          <w:b/>
          <w:bCs/>
          <w:color w:val="auto"/>
          <w:sz w:val="32"/>
          <w:szCs w:val="44"/>
          <w:highlight w:val="none"/>
        </w:rPr>
        <w:t xml:space="preserve">、拟投入人员一览表</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pStyle w:val="988"/>
        <w:ind w:firstLine="480"/>
        <w:jc w:val="center"/>
        <w:rPr>
          <w:rFonts w:hint="default" w:ascii="宋体" w:hAnsi="宋体" w:cs="宋体"/>
          <w:b/>
          <w:bCs/>
          <w:color w:val="auto"/>
          <w:sz w:val="32"/>
          <w:szCs w:val="44"/>
          <w:highlight w:val="none"/>
          <w:lang w:val="en-US" w:eastAsia="zh-CN"/>
        </w:rPr>
      </w:pPr>
      <w:r>
        <w:rPr>
          <w:rFonts w:hint="eastAsia" w:ascii="宋体" w:hAnsi="宋体" w:cs="宋体"/>
          <w:b/>
          <w:bCs/>
          <w:color w:val="auto"/>
          <w:sz w:val="32"/>
          <w:szCs w:val="44"/>
          <w:highlight w:val="none"/>
          <w:lang w:val="en-US" w:eastAsia="zh-CN"/>
        </w:rPr>
        <w:t xml:space="preserve">十、其他</w:t>
      </w:r>
      <w:bookmarkEnd w:id="92"/>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投标人认为有必要提供的声明和文件，如有自拟并自行添加</w:t>
      </w:r>
      <w:r/>
    </w:p>
    <w:p>
      <w:pPr>
        <w:pStyle w:val="765"/>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65"/>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6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t xml:space="preserve">主要标的信息（中标后将公示）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763"/>
        <w:tblW w:w="39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tblGrid>
      <w:tr>
        <w:trPr>
          <w:trHeight w:val="316"/>
        </w:trPr>
        <w:tc>
          <w:tcPr>
            <w:tcW w:w="390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r>
      <w:tr>
        <w:trPr>
          <w:trHeight w:val="3810"/>
        </w:trPr>
        <w:tc>
          <w:tcPr>
            <w:tcW w:w="3901"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品牌（如有）：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r>
    </w:tbl>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t xml:space="preserve">业绩表（格式仅供参考）</w:t>
      </w:r>
      <w:r/>
    </w:p>
    <w:tbl>
      <w:tblPr>
        <w:tblStyle w:val="1054"/>
        <w:tblW w:w="5427"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12"/>
        <w:gridCol w:w="1008"/>
        <w:gridCol w:w="1730"/>
        <w:gridCol w:w="641"/>
        <w:gridCol w:w="870"/>
        <w:gridCol w:w="1283"/>
        <w:gridCol w:w="755"/>
        <w:gridCol w:w="1130"/>
        <w:gridCol w:w="1130"/>
      </w:tblGrid>
      <w:tr>
        <w:trPr>
          <w:trHeight w:val="840"/>
        </w:trPr>
        <w:tc>
          <w:tcPr>
            <w:tcBorders>
              <w:bottom w:val="single" w:color="000000" w:sz="6" w:space="0"/>
              <w:right w:val="single" w:color="000000" w:sz="6" w:space="0"/>
            </w:tcBorders>
            <w:tcMar>
              <w:left w:w="20" w:type="dxa"/>
              <w:top w:w="20" w:type="dxa"/>
              <w:right w:w="20" w:type="dxa"/>
              <w:bottom w:w="8" w:type="dxa"/>
            </w:tcMar>
            <w:tcW w:w="5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7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供货设备清单</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（品牌、型号）</w:t>
            </w:r>
            <w:r/>
          </w:p>
        </w:tc>
        <w:tc>
          <w:tcPr>
            <w:tcBorders>
              <w:bottom w:val="single" w:color="000000" w:sz="6" w:space="0"/>
              <w:right w:val="single" w:color="000000" w:sz="6" w:space="0"/>
            </w:tcBorders>
            <w:tcMar>
              <w:left w:w="25" w:type="dxa"/>
              <w:top w:w="20" w:type="dxa"/>
              <w:right w:w="20" w:type="dxa"/>
              <w:bottom w:w="8" w:type="dxa"/>
            </w:tcMar>
            <w:tcW w:w="6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bottom w:val="single" w:color="000000" w:sz="6" w:space="0"/>
              <w:right w:val="single" w:color="000000" w:sz="6" w:space="0"/>
            </w:tcBorders>
            <w:tcMar>
              <w:left w:w="25" w:type="dxa"/>
              <w:top w:w="20" w:type="dxa"/>
              <w:right w:w="20" w:type="dxa"/>
              <w:bottom w:w="8" w:type="dxa"/>
            </w:tcMar>
            <w:tcW w:w="8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tc>
        <w:tc>
          <w:tcPr>
            <w:tcBorders>
              <w:bottom w:val="single" w:color="000000" w:sz="6" w:space="0"/>
              <w:right w:val="single" w:color="000000" w:sz="6" w:space="0"/>
            </w:tcBorders>
            <w:tcMar>
              <w:left w:w="25" w:type="dxa"/>
              <w:top w:w="20" w:type="dxa"/>
              <w:right w:w="20" w:type="dxa"/>
              <w:bottom w:w="8" w:type="dxa"/>
            </w:tcMar>
            <w:tcW w:w="128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 名称</w:t>
            </w:r>
            <w:r/>
          </w:p>
        </w:tc>
        <w:tc>
          <w:tcPr>
            <w:tcBorders>
              <w:bottom w:val="single" w:color="000000" w:sz="6" w:space="0"/>
              <w:right w:val="single" w:color="auto" w:sz="4" w:space="0"/>
            </w:tcBorders>
            <w:tcMar>
              <w:left w:w="25" w:type="dxa"/>
              <w:top w:w="20" w:type="dxa"/>
              <w:right w:w="20" w:type="dxa"/>
              <w:bottom w:w="8" w:type="dxa"/>
            </w:tcMar>
            <w:tcW w:w="11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地址/电话/传真</w:t>
            </w:r>
            <w:r/>
          </w:p>
        </w:tc>
        <w:tc>
          <w:tcPr>
            <w:tcBorders>
              <w:top w:val="single" w:color="auto" w:sz="4" w:space="0"/>
              <w:left w:val="single" w:color="auto" w:sz="4" w:space="0"/>
              <w:bottom w:val="single" w:color="auto" w:sz="4" w:space="0"/>
              <w:right w:val="single" w:color="auto" w:sz="4" w:space="0"/>
            </w:tcBorders>
            <w:tcMar>
              <w:left w:w="25" w:type="dxa"/>
              <w:top w:w="20" w:type="dxa"/>
              <w:right w:w="20" w:type="dxa"/>
              <w:bottom w:w="8" w:type="dxa"/>
            </w:tcMar>
            <w:tcW w:w="113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是否有用户反馈情况 </w:t>
            </w:r>
            <w:r/>
          </w:p>
        </w:tc>
      </w:tr>
      <w:tr>
        <w:trPr>
          <w:trHeight w:val="499"/>
        </w:trPr>
        <w:tc>
          <w:tcPr>
            <w:tcBorders>
              <w:bottom w:val="single" w:color="000000" w:sz="6" w:space="0"/>
              <w:right w:val="single" w:color="000000" w:sz="6" w:space="0"/>
            </w:tcBorders>
            <w:tcMar>
              <w:left w:w="20" w:type="dxa"/>
              <w:top w:w="25" w:type="dxa"/>
              <w:right w:w="20" w:type="dxa"/>
              <w:bottom w:w="8" w:type="dxa"/>
            </w:tcMar>
            <w:tcW w:w="512"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00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4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7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83"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5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auto" w:sz="4" w:space="0"/>
            </w:tcBorders>
            <w:tcMar>
              <w:left w:w="25" w:type="dxa"/>
              <w:top w:w="25" w:type="dxa"/>
              <w:right w:w="20" w:type="dxa"/>
              <w:bottom w:w="8" w:type="dxa"/>
            </w:tcMar>
            <w:tcW w:w="11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1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99"/>
        </w:trPr>
        <w:tc>
          <w:tcPr>
            <w:tcBorders>
              <w:bottom w:val="single" w:color="000000" w:sz="6" w:space="0"/>
              <w:right w:val="single" w:color="000000" w:sz="6" w:space="0"/>
            </w:tcBorders>
            <w:tcMar>
              <w:left w:w="20" w:type="dxa"/>
              <w:top w:w="25" w:type="dxa"/>
              <w:right w:w="20" w:type="dxa"/>
              <w:bottom w:w="8" w:type="dxa"/>
            </w:tcMar>
            <w:tcW w:w="512"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00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4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7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83"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55"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auto" w:sz="4" w:space="0"/>
            </w:tcBorders>
            <w:tcMar>
              <w:left w:w="25" w:type="dxa"/>
              <w:top w:w="25" w:type="dxa"/>
              <w:right w:w="20" w:type="dxa"/>
              <w:bottom w:w="8" w:type="dxa"/>
            </w:tcMar>
            <w:tcW w:w="11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130"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联合体协议（如有）</w:t>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（联合体中各供应商全称）在此达成以下协议：</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、我们</w:t>
      </w:r>
      <w:r>
        <w:rPr>
          <w:rFonts w:hint="eastAsia" w:ascii="宋体" w:hAnsi="宋体"/>
          <w:color w:val="auto"/>
          <w:sz w:val="21"/>
          <w:szCs w:val="21"/>
          <w:highlight w:val="none"/>
          <w:u w:val="single"/>
        </w:rPr>
        <w:t xml:space="preserve"> （供应商1），（供应商2） ，</w:t>
      </w:r>
      <w:r>
        <w:rPr>
          <w:rFonts w:ascii="宋体" w:hAnsi="宋体"/>
          <w:color w:val="auto"/>
          <w:sz w:val="21"/>
          <w:szCs w:val="21"/>
          <w:highlight w:val="none"/>
          <w:u w:val="single"/>
        </w:rPr>
        <w:t xml:space="preserve">……</w:t>
      </w:r>
      <w:r>
        <w:rPr>
          <w:rFonts w:hint="eastAsia" w:ascii="宋体" w:hAnsi="宋体"/>
          <w:color w:val="auto"/>
          <w:sz w:val="21"/>
          <w:szCs w:val="21"/>
          <w:highlight w:val="none"/>
        </w:rPr>
        <w:t xml:space="preserve">自愿组成联合体，参加江苏苏维工程管理有限公司组织的采购编号为</w:t>
      </w:r>
      <w:r>
        <w:rPr>
          <w:rFonts w:hint="eastAsia" w:ascii="宋体" w:hAnsi="宋体"/>
          <w:color w:val="auto"/>
          <w:sz w:val="21"/>
          <w:szCs w:val="21"/>
          <w:highlight w:val="none"/>
          <w:u w:val="single"/>
        </w:rPr>
        <w:t xml:space="preserve">（编号全称），（项目全称）</w:t>
      </w:r>
      <w:r>
        <w:rPr>
          <w:rFonts w:hint="eastAsia" w:ascii="宋体" w:hAnsi="宋体"/>
          <w:color w:val="auto"/>
          <w:sz w:val="21"/>
          <w:szCs w:val="21"/>
          <w:highlight w:val="none"/>
        </w:rPr>
        <w:t xml:space="preserve">项目（采购包号：**）的政府采购活动，我联合体指定</w:t>
      </w:r>
      <w:r>
        <w:rPr>
          <w:rFonts w:hint="eastAsia" w:ascii="宋体" w:hAnsi="宋体"/>
          <w:color w:val="auto"/>
          <w:sz w:val="21"/>
          <w:szCs w:val="21"/>
          <w:highlight w:val="none"/>
          <w:u w:val="single"/>
        </w:rPr>
        <w:t xml:space="preserve">（供应商*）</w:t>
      </w:r>
      <w:r>
        <w:rPr>
          <w:rFonts w:hint="eastAsia" w:ascii="宋体" w:hAnsi="宋体"/>
          <w:color w:val="auto"/>
          <w:sz w:val="21"/>
          <w:szCs w:val="21"/>
          <w:highlight w:val="none"/>
        </w:rPr>
        <w:t xml:space="preserve">为牵头单位（牵头单位必须为联合体成员）。</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、若我们联合中标、成交，（供应商单位</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全称）实施项目中（工作内容）部分工作，并承担相应的责任。（供应商单位</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、其中</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（小型、微型企业/残疾人福利性单位/监狱企业全称）为</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（小型、微型企业/残疾人福利性单位/监狱企业）企业，且我们约定该公司/单位所承担的合同金额将占本项目合同总金额的</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56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p>
    <w:p>
      <w:pPr>
        <w:ind w:firstLine="5102"/>
        <w:jc w:val="left"/>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联合体中各供应商全称（公章）：</w:t>
      </w:r>
      <w:r>
        <w:rPr>
          <w:rFonts w:ascii="宋体" w:hAnsi="宋体"/>
          <w:color w:val="auto"/>
          <w:sz w:val="21"/>
          <w:szCs w:val="21"/>
          <w:highlight w:val="none"/>
        </w:rPr>
        <w:t xml:space="preserve">     </w:t>
      </w:r>
      <w:r/>
    </w:p>
    <w:p>
      <w:pPr>
        <w:ind w:firstLine="5102"/>
        <w:jc w:val="left"/>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备注：本招标文件中要求加盖CA电子签章的地方，仅需加盖牵头单位的CA电子签章。</w:t>
      </w:r>
      <w:r/>
    </w:p>
    <w:p>
      <w:pPr>
        <w:jc w:val="left"/>
        <w:spacing w:line="500" w:lineRule="atLeast"/>
        <w:rPr>
          <w:rFonts w:ascii="宋体" w:hAnsi="宋体" w:cs="宋体"/>
          <w:b/>
          <w:bCs/>
          <w:color w:val="auto"/>
          <w:highlight w:val="none"/>
        </w:rPr>
      </w:pPr>
      <w:r>
        <w:rPr>
          <w:rFonts w:ascii="宋体" w:hAnsi="宋体" w:cs="宋体"/>
          <w:b/>
          <w:bCs/>
          <w:color w:val="auto"/>
          <w:highlight w:val="none"/>
        </w:rPr>
      </w:r>
      <w:r/>
    </w:p>
    <w:p>
      <w:pPr>
        <w:pStyle w:val="765"/>
        <w:rPr>
          <w:rFonts w:hint="eastAsia"/>
          <w:color w:val="auto"/>
          <w:highlight w:val="none"/>
        </w:rPr>
      </w:pPr>
      <w:r>
        <w:rPr>
          <w:rFonts w:hint="eastAsia"/>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535253" cy="1729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both"/>
    </w:pPr>
    <w:r>
      <w:rPr>
        <w:rFonts w:hint="eastAsia"/>
        <w:lang w:eastAsia="zh-CN"/>
      </w:rPr>
      <w:t xml:space="preserve">JSZC-321000-SWGC-G2026-0063</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both"/>
    </w:pPr>
    <w:r>
      <w:rPr>
        <w:rFonts w:hint="eastAsia"/>
        <w:lang w:eastAsia="zh-CN"/>
      </w:rPr>
      <w:t xml:space="preserve">JSZC-321000-SWGC-G2026-0063</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
      <w:numFmt w:val="decimal"/>
      <w:isLgl w:val="false"/>
      <w:suff w:val="space"/>
      <w:lvlText w:val="(%1)"/>
      <w:lvlJc w:val="left"/>
      <w:pPr>
        <w:ind w:left="0" w:firstLine="0"/>
      </w:pPr>
      <w:rPr>
        <w:rFonts w:hint="default" w:ascii="宋体" w:hAnsi="宋体" w:eastAsia="宋体" w:cs="宋体"/>
        <w:color w:val="auto"/>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3" w:hanging="425"/>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rPr>
        <w:rFonts w:hint="default" w:ascii="宋体" w:hAnsi="宋体" w:eastAsia="宋体" w:cs="宋体"/>
        <w:color w:val="auto"/>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4"/>
  </w:num>
  <w:num w:numId="5">
    <w:abstractNumId w:val="6"/>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link w:val="833"/>
    <w:uiPriority w:val="9"/>
    <w:qFormat/>
    <w:pPr>
      <w:jc w:val="center"/>
      <w:keepLines/>
      <w:keepNext/>
      <w:spacing w:line="360" w:lineRule="auto"/>
      <w:outlineLvl w:val="0"/>
    </w:pPr>
    <w:rPr>
      <w:rFonts w:ascii="Arial" w:hAnsi="Arial" w:cs="Arial"/>
      <w:b/>
      <w:sz w:val="30"/>
      <w:szCs w:val="40"/>
    </w:rPr>
  </w:style>
  <w:style w:type="paragraph" w:styleId="754">
    <w:name w:val="Heading 2"/>
    <w:basedOn w:val="752"/>
    <w:next w:val="752"/>
    <w:link w:val="834"/>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35"/>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36"/>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37"/>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38"/>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39"/>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40"/>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41"/>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Body Text First Indent"/>
    <w:basedOn w:val="765"/>
    <w:uiPriority w:val="0"/>
    <w:unhideWhenUsed/>
    <w:qFormat/>
    <w:pPr>
      <w:ind w:firstLine="420"/>
    </w:pPr>
    <w:rPr>
      <w:szCs w:val="21"/>
    </w:rPr>
  </w:style>
  <w:style w:type="paragraph" w:styleId="765">
    <w:name w:val="Body Text"/>
    <w:basedOn w:val="752"/>
    <w:uiPriority w:val="0"/>
    <w:qFormat/>
    <w:pPr>
      <w:spacing w:after="120"/>
    </w:pPr>
    <w:rPr>
      <w:rFonts w:ascii="Times New Roman" w:hAnsi="Times New Roman"/>
    </w:rPr>
  </w:style>
  <w:style w:type="paragraph" w:styleId="766">
    <w:name w:val="toc 7"/>
    <w:basedOn w:val="752"/>
    <w:next w:val="752"/>
    <w:uiPriority w:val="39"/>
    <w:unhideWhenUsed/>
    <w:qFormat/>
    <w:pPr>
      <w:ind w:left="1701"/>
      <w:spacing w:after="57"/>
    </w:pPr>
  </w:style>
  <w:style w:type="paragraph" w:styleId="767">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2"/>
    <w:link w:val="1051"/>
    <w:uiPriority w:val="99"/>
    <w:unhideWhenUsed/>
    <w:qFormat/>
    <w:pPr>
      <w:jc w:val="left"/>
    </w:pPr>
  </w:style>
  <w:style w:type="paragraph" w:styleId="769">
    <w:name w:val="Body Text Indent"/>
    <w:basedOn w:val="752"/>
    <w:next w:val="752"/>
    <w:uiPriority w:val="0"/>
    <w:qFormat/>
    <w:pPr>
      <w:ind w:left="420"/>
      <w:spacing w:after="120"/>
    </w:pPr>
    <w:rPr>
      <w:rFonts w:ascii="等线" w:hAnsi="等线" w:eastAsia="等线"/>
    </w:rPr>
  </w:style>
  <w:style w:type="paragraph" w:styleId="770">
    <w:name w:val="toc 5"/>
    <w:basedOn w:val="752"/>
    <w:next w:val="752"/>
    <w:uiPriority w:val="39"/>
    <w:unhideWhenUsed/>
    <w:qFormat/>
    <w:pPr>
      <w:ind w:left="1134"/>
      <w:spacing w:after="57"/>
    </w:pPr>
  </w:style>
  <w:style w:type="paragraph" w:styleId="771">
    <w:name w:val="toc 3"/>
    <w:basedOn w:val="752"/>
    <w:next w:val="752"/>
    <w:uiPriority w:val="39"/>
    <w:unhideWhenUsed/>
    <w:qFormat/>
    <w:pPr>
      <w:ind w:left="567"/>
      <w:spacing w:after="57"/>
    </w:pPr>
  </w:style>
  <w:style w:type="paragraph" w:styleId="772">
    <w:name w:val="Plain Text"/>
    <w:basedOn w:val="752"/>
    <w:uiPriority w:val="0"/>
    <w:qFormat/>
    <w:rPr>
      <w:rFonts w:ascii="宋体" w:hAnsi="Courier New"/>
      <w:sz w:val="20"/>
      <w:szCs w:val="21"/>
    </w:rPr>
  </w:style>
  <w:style w:type="paragraph" w:styleId="773">
    <w:name w:val="toc 8"/>
    <w:basedOn w:val="752"/>
    <w:next w:val="752"/>
    <w:uiPriority w:val="39"/>
    <w:unhideWhenUsed/>
    <w:qFormat/>
    <w:pPr>
      <w:ind w:left="1984"/>
      <w:spacing w:after="57"/>
    </w:pPr>
  </w:style>
  <w:style w:type="paragraph" w:styleId="774">
    <w:name w:val="endnote text"/>
    <w:basedOn w:val="752"/>
    <w:link w:val="979"/>
    <w:uiPriority w:val="99"/>
    <w:semiHidden/>
    <w:unhideWhenUsed/>
    <w:qFormat/>
    <w:rPr>
      <w:sz w:val="20"/>
    </w:rPr>
  </w:style>
  <w:style w:type="paragraph" w:styleId="775">
    <w:name w:val="Footer"/>
    <w:basedOn w:val="752"/>
    <w:link w:val="852"/>
    <w:uiPriority w:val="99"/>
    <w:unhideWhenUsed/>
    <w:qFormat/>
    <w:pPr>
      <w:tabs>
        <w:tab w:val="center" w:pos="7143" w:leader="none"/>
        <w:tab w:val="right" w:pos="14287" w:leader="none"/>
      </w:tabs>
    </w:pPr>
  </w:style>
  <w:style w:type="paragraph" w:styleId="776">
    <w:name w:val="Header"/>
    <w:basedOn w:val="752"/>
    <w:link w:val="850"/>
    <w:uiPriority w:val="99"/>
    <w:unhideWhenUsed/>
    <w:qFormat/>
    <w:pPr>
      <w:tabs>
        <w:tab w:val="center" w:pos="7143" w:leader="none"/>
        <w:tab w:val="right" w:pos="14287" w:leader="none"/>
      </w:tabs>
    </w:pPr>
  </w:style>
  <w:style w:type="paragraph" w:styleId="777">
    <w:name w:val="toc 1"/>
    <w:basedOn w:val="752"/>
    <w:next w:val="752"/>
    <w:uiPriority w:val="39"/>
    <w:unhideWhenUsed/>
    <w:qFormat/>
    <w:pPr>
      <w:spacing w:after="57"/>
    </w:pPr>
  </w:style>
  <w:style w:type="paragraph" w:styleId="778">
    <w:name w:val="toc 4"/>
    <w:basedOn w:val="752"/>
    <w:next w:val="752"/>
    <w:uiPriority w:val="39"/>
    <w:unhideWhenUsed/>
    <w:qFormat/>
    <w:pPr>
      <w:ind w:left="850"/>
      <w:spacing w:after="57"/>
    </w:pPr>
  </w:style>
  <w:style w:type="paragraph" w:styleId="779">
    <w:name w:val="Subtitle"/>
    <w:basedOn w:val="752"/>
    <w:next w:val="752"/>
    <w:link w:val="845"/>
    <w:uiPriority w:val="11"/>
    <w:qFormat/>
    <w:pPr>
      <w:spacing w:before="200" w:after="200"/>
    </w:pPr>
    <w:rPr>
      <w:sz w:val="24"/>
      <w:szCs w:val="24"/>
    </w:rPr>
  </w:style>
  <w:style w:type="paragraph" w:styleId="780">
    <w:name w:val="footnote text"/>
    <w:basedOn w:val="752"/>
    <w:link w:val="978"/>
    <w:uiPriority w:val="99"/>
    <w:semiHidden/>
    <w:unhideWhenUsed/>
    <w:qFormat/>
    <w:pPr>
      <w:spacing w:after="40"/>
    </w:pPr>
    <w:rPr>
      <w:sz w:val="18"/>
    </w:rPr>
  </w:style>
  <w:style w:type="paragraph" w:styleId="781">
    <w:name w:val="toc 6"/>
    <w:basedOn w:val="752"/>
    <w:next w:val="752"/>
    <w:uiPriority w:val="39"/>
    <w:unhideWhenUsed/>
    <w:qFormat/>
    <w:pPr>
      <w:ind w:left="1417"/>
      <w:spacing w:after="57"/>
    </w:pPr>
  </w:style>
  <w:style w:type="paragraph" w:styleId="782">
    <w:name w:val="table of figures"/>
    <w:basedOn w:val="752"/>
    <w:next w:val="752"/>
    <w:uiPriority w:val="99"/>
    <w:unhideWhenUsed/>
    <w:qFormat/>
  </w:style>
  <w:style w:type="paragraph" w:styleId="783">
    <w:name w:val="toc 2"/>
    <w:basedOn w:val="752"/>
    <w:next w:val="752"/>
    <w:uiPriority w:val="39"/>
    <w:unhideWhenUsed/>
    <w:qFormat/>
    <w:pPr>
      <w:ind w:left="283"/>
      <w:spacing w:after="57"/>
    </w:pPr>
  </w:style>
  <w:style w:type="paragraph" w:styleId="784">
    <w:name w:val="toc 9"/>
    <w:basedOn w:val="752"/>
    <w:next w:val="752"/>
    <w:uiPriority w:val="39"/>
    <w:unhideWhenUsed/>
    <w:qFormat/>
    <w:pPr>
      <w:ind w:left="2268"/>
      <w:spacing w:after="57"/>
    </w:pPr>
  </w:style>
  <w:style w:type="paragraph" w:styleId="785">
    <w:name w:val="Normal (Web)"/>
    <w:basedOn w:val="752"/>
    <w:uiPriority w:val="99"/>
    <w:semiHidden/>
    <w:unhideWhenUsed/>
    <w:qFormat/>
    <w:pPr>
      <w:jc w:val="left"/>
      <w:spacing w:beforeAutospacing="1" w:afterAutospacing="1"/>
    </w:pPr>
    <w:rPr>
      <w:sz w:val="24"/>
    </w:rPr>
  </w:style>
  <w:style w:type="paragraph" w:styleId="786">
    <w:name w:val="Title"/>
    <w:basedOn w:val="752"/>
    <w:next w:val="752"/>
    <w:link w:val="844"/>
    <w:uiPriority w:val="10"/>
    <w:qFormat/>
    <w:pPr>
      <w:contextualSpacing/>
      <w:spacing w:before="300" w:after="200"/>
    </w:pPr>
    <w:rPr>
      <w:sz w:val="48"/>
      <w:szCs w:val="48"/>
    </w:rPr>
  </w:style>
  <w:style w:type="paragraph" w:styleId="787">
    <w:name w:val="annotation subject"/>
    <w:basedOn w:val="768"/>
    <w:next w:val="768"/>
    <w:link w:val="1052"/>
    <w:uiPriority w:val="99"/>
    <w:semiHidden/>
    <w:unhideWhenUsed/>
    <w:qFormat/>
    <w:rPr>
      <w:b/>
      <w:bCs/>
    </w:r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62"/>
    <w:uiPriority w:val="22"/>
    <w:qFormat/>
    <w:rPr>
      <w:b/>
    </w:rPr>
  </w:style>
  <w:style w:type="character" w:styleId="790">
    <w:name w:val="endnote reference"/>
    <w:uiPriority w:val="99"/>
    <w:semiHidden/>
    <w:unhideWhenUsed/>
    <w:qFormat/>
    <w:rPr>
      <w:vertAlign w:val="superscript"/>
    </w:rPr>
  </w:style>
  <w:style w:type="character" w:styleId="791">
    <w:name w:val="Emphasis"/>
    <w:uiPriority w:val="0"/>
    <w:qFormat/>
    <w:rPr>
      <w:i/>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annotation reference"/>
    <w:basedOn w:val="762"/>
    <w:uiPriority w:val="0"/>
    <w:qFormat/>
    <w:rPr>
      <w:sz w:val="21"/>
      <w:szCs w:val="21"/>
    </w:rPr>
  </w:style>
  <w:style w:type="character" w:styleId="794">
    <w:name w:val="footnote reference"/>
    <w:uiPriority w:val="99"/>
    <w:unhideWhenUsed/>
    <w:qFormat/>
    <w:rPr>
      <w:vertAlign w:val="superscript"/>
    </w:rPr>
  </w:style>
  <w:style w:type="character" w:styleId="795" w:customStyle="1">
    <w:name w:val="Heading 1 Char"/>
    <w:basedOn w:val="762"/>
    <w:uiPriority w:val="9"/>
    <w:qFormat/>
    <w:rPr>
      <w:rFonts w:ascii="Arial" w:hAnsi="Arial" w:eastAsia="Arial" w:cs="Arial"/>
      <w:sz w:val="40"/>
      <w:szCs w:val="40"/>
    </w:rPr>
  </w:style>
  <w:style w:type="character" w:styleId="796" w:customStyle="1">
    <w:name w:val="Heading 2 Char"/>
    <w:basedOn w:val="762"/>
    <w:uiPriority w:val="9"/>
    <w:qFormat/>
    <w:rPr>
      <w:rFonts w:ascii="Arial" w:hAnsi="Arial" w:eastAsia="Arial" w:cs="Arial"/>
      <w:sz w:val="34"/>
    </w:rPr>
  </w:style>
  <w:style w:type="character" w:styleId="797" w:customStyle="1">
    <w:name w:val="Heading 3 Char"/>
    <w:basedOn w:val="762"/>
    <w:uiPriority w:val="9"/>
    <w:qFormat/>
    <w:rPr>
      <w:rFonts w:ascii="Arial" w:hAnsi="Arial" w:eastAsia="Arial" w:cs="Arial"/>
      <w:sz w:val="30"/>
      <w:szCs w:val="30"/>
    </w:rPr>
  </w:style>
  <w:style w:type="character" w:styleId="798" w:customStyle="1">
    <w:name w:val="Heading 4 Char"/>
    <w:basedOn w:val="762"/>
    <w:uiPriority w:val="9"/>
    <w:qFormat/>
    <w:rPr>
      <w:rFonts w:ascii="Arial" w:hAnsi="Arial" w:eastAsia="Arial" w:cs="Arial"/>
      <w:b/>
      <w:bCs/>
      <w:sz w:val="26"/>
      <w:szCs w:val="26"/>
    </w:rPr>
  </w:style>
  <w:style w:type="character" w:styleId="799" w:customStyle="1">
    <w:name w:val="Heading 5 Char"/>
    <w:basedOn w:val="762"/>
    <w:uiPriority w:val="9"/>
    <w:qFormat/>
    <w:rPr>
      <w:rFonts w:ascii="Arial" w:hAnsi="Arial" w:eastAsia="Arial" w:cs="Arial"/>
      <w:b/>
      <w:bCs/>
      <w:sz w:val="24"/>
      <w:szCs w:val="24"/>
    </w:rPr>
  </w:style>
  <w:style w:type="character" w:styleId="800" w:customStyle="1">
    <w:name w:val="Heading 6 Char"/>
    <w:basedOn w:val="762"/>
    <w:uiPriority w:val="9"/>
    <w:qFormat/>
    <w:rPr>
      <w:rFonts w:ascii="Arial" w:hAnsi="Arial" w:eastAsia="Arial" w:cs="Arial"/>
      <w:b/>
      <w:bCs/>
      <w:sz w:val="22"/>
      <w:szCs w:val="22"/>
    </w:rPr>
  </w:style>
  <w:style w:type="character" w:styleId="801" w:customStyle="1">
    <w:name w:val="Heading 7 Char"/>
    <w:basedOn w:val="762"/>
    <w:uiPriority w:val="9"/>
    <w:qFormat/>
    <w:rPr>
      <w:rFonts w:ascii="Arial" w:hAnsi="Arial" w:eastAsia="Arial" w:cs="Arial"/>
      <w:b/>
      <w:bCs/>
      <w:i/>
      <w:iCs/>
      <w:sz w:val="22"/>
      <w:szCs w:val="22"/>
    </w:rPr>
  </w:style>
  <w:style w:type="character" w:styleId="802" w:customStyle="1">
    <w:name w:val="Heading 8 Char"/>
    <w:basedOn w:val="762"/>
    <w:uiPriority w:val="9"/>
    <w:qFormat/>
    <w:rPr>
      <w:rFonts w:ascii="Arial" w:hAnsi="Arial" w:eastAsia="Arial" w:cs="Arial"/>
      <w:i/>
      <w:iCs/>
      <w:sz w:val="22"/>
      <w:szCs w:val="22"/>
    </w:rPr>
  </w:style>
  <w:style w:type="character" w:styleId="803" w:customStyle="1">
    <w:name w:val="Heading 9 Char"/>
    <w:basedOn w:val="762"/>
    <w:uiPriority w:val="9"/>
    <w:qFormat/>
    <w:rPr>
      <w:rFonts w:ascii="Arial" w:hAnsi="Arial" w:eastAsia="Arial" w:cs="Arial"/>
      <w:i/>
      <w:iCs/>
      <w:sz w:val="21"/>
      <w:szCs w:val="21"/>
    </w:rPr>
  </w:style>
  <w:style w:type="character" w:styleId="804" w:customStyle="1">
    <w:name w:val="Title Char"/>
    <w:basedOn w:val="762"/>
    <w:uiPriority w:val="10"/>
    <w:qFormat/>
    <w:rPr>
      <w:sz w:val="48"/>
      <w:szCs w:val="48"/>
    </w:rPr>
  </w:style>
  <w:style w:type="character" w:styleId="805" w:customStyle="1">
    <w:name w:val="Subtitle Char"/>
    <w:basedOn w:val="762"/>
    <w:uiPriority w:val="11"/>
    <w:qFormat/>
    <w:rPr>
      <w:sz w:val="24"/>
      <w:szCs w:val="24"/>
    </w:rPr>
  </w:style>
  <w:style w:type="character" w:styleId="806" w:customStyle="1">
    <w:name w:val="Quote Char"/>
    <w:uiPriority w:val="29"/>
    <w:qFormat/>
    <w:rPr>
      <w:i/>
    </w:rPr>
  </w:style>
  <w:style w:type="character" w:styleId="807" w:customStyle="1">
    <w:name w:val="Intense Quote Char"/>
    <w:uiPriority w:val="30"/>
    <w:qFormat/>
    <w:rPr>
      <w:i/>
    </w:rPr>
  </w:style>
  <w:style w:type="character" w:styleId="808" w:customStyle="1">
    <w:name w:val="Header Char"/>
    <w:basedOn w:val="762"/>
    <w:uiPriority w:val="99"/>
    <w:qFormat/>
  </w:style>
  <w:style w:type="character" w:styleId="809" w:customStyle="1">
    <w:name w:val="Caption Char"/>
    <w:uiPriority w:val="99"/>
    <w:qFormat/>
  </w:style>
  <w:style w:type="table" w:styleId="810"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Heading"/>
    <w:uiPriority w:val="39"/>
    <w:unhideWhenUsed/>
    <w:qFormat/>
    <w:rPr>
      <w:rFonts w:hint="default" w:ascii="Times New Roman" w:hAnsi="Times New Roman" w:eastAsia="宋体" w:cs="Times New Roman"/>
    </w:rPr>
  </w:style>
  <w:style w:type="paragraph" w:styleId="832" w:customStyle="1">
    <w:name w:val="Default"/>
    <w:next w:val="752"/>
    <w:uiPriority w:val="0"/>
    <w:qFormat/>
    <w:pPr>
      <w:widowControl w:val="off"/>
    </w:pPr>
    <w:rPr>
      <w:rFonts w:hint="default" w:ascii="黑体" w:hAnsi="Times New Roman" w:eastAsia="黑体" w:cs="Times New Roman"/>
      <w:lang w:val="en-US" w:eastAsia="zh-CN" w:bidi="ar-SA"/>
    </w:rPr>
  </w:style>
  <w:style w:type="character" w:styleId="833" w:customStyle="1">
    <w:name w:val="标题 1 字符"/>
    <w:link w:val="753"/>
    <w:uiPriority w:val="9"/>
    <w:qFormat/>
    <w:rPr>
      <w:rFonts w:ascii="Arial" w:hAnsi="Arial" w:eastAsia="宋体" w:cs="Arial"/>
      <w:b/>
      <w:sz w:val="30"/>
      <w:szCs w:val="40"/>
    </w:rPr>
  </w:style>
  <w:style w:type="character" w:styleId="834" w:customStyle="1">
    <w:name w:val="标题 2 字符"/>
    <w:link w:val="754"/>
    <w:uiPriority w:val="9"/>
    <w:qFormat/>
    <w:rPr>
      <w:rFonts w:ascii="Arial" w:hAnsi="Arial" w:eastAsia="Arial" w:cs="Arial"/>
      <w:sz w:val="34"/>
    </w:rPr>
  </w:style>
  <w:style w:type="character" w:styleId="835" w:customStyle="1">
    <w:name w:val="标题 3 字符"/>
    <w:link w:val="755"/>
    <w:uiPriority w:val="9"/>
    <w:qFormat/>
    <w:rPr>
      <w:rFonts w:ascii="Arial" w:hAnsi="Arial" w:eastAsia="Arial" w:cs="Arial"/>
      <w:sz w:val="30"/>
      <w:szCs w:val="30"/>
    </w:rPr>
  </w:style>
  <w:style w:type="character" w:styleId="836" w:customStyle="1">
    <w:name w:val="标题 4 字符"/>
    <w:link w:val="756"/>
    <w:uiPriority w:val="9"/>
    <w:qFormat/>
    <w:rPr>
      <w:rFonts w:ascii="Arial" w:hAnsi="Arial" w:eastAsia="Arial" w:cs="Arial"/>
      <w:b/>
      <w:bCs/>
      <w:sz w:val="26"/>
      <w:szCs w:val="26"/>
    </w:rPr>
  </w:style>
  <w:style w:type="character" w:styleId="837" w:customStyle="1">
    <w:name w:val="标题 5 字符"/>
    <w:link w:val="757"/>
    <w:uiPriority w:val="9"/>
    <w:qFormat/>
    <w:rPr>
      <w:rFonts w:ascii="Arial" w:hAnsi="Arial" w:eastAsia="Arial" w:cs="Arial"/>
      <w:b/>
      <w:bCs/>
      <w:sz w:val="24"/>
      <w:szCs w:val="24"/>
    </w:rPr>
  </w:style>
  <w:style w:type="character" w:styleId="838" w:customStyle="1">
    <w:name w:val="标题 6 字符"/>
    <w:link w:val="758"/>
    <w:uiPriority w:val="9"/>
    <w:qFormat/>
    <w:rPr>
      <w:rFonts w:ascii="Arial" w:hAnsi="Arial" w:eastAsia="Arial" w:cs="Arial"/>
      <w:b/>
      <w:bCs/>
      <w:sz w:val="22"/>
      <w:szCs w:val="22"/>
    </w:rPr>
  </w:style>
  <w:style w:type="character" w:styleId="839" w:customStyle="1">
    <w:name w:val="标题 7 字符"/>
    <w:link w:val="759"/>
    <w:uiPriority w:val="9"/>
    <w:qFormat/>
    <w:rPr>
      <w:rFonts w:ascii="Arial" w:hAnsi="Arial" w:eastAsia="Arial" w:cs="Arial"/>
      <w:b/>
      <w:bCs/>
      <w:i/>
      <w:iCs/>
      <w:sz w:val="22"/>
      <w:szCs w:val="22"/>
    </w:rPr>
  </w:style>
  <w:style w:type="character" w:styleId="840" w:customStyle="1">
    <w:name w:val="标题 8 字符"/>
    <w:link w:val="760"/>
    <w:uiPriority w:val="9"/>
    <w:qFormat/>
    <w:rPr>
      <w:rFonts w:ascii="Arial" w:hAnsi="Arial" w:eastAsia="Arial" w:cs="Arial"/>
      <w:i/>
      <w:iCs/>
      <w:sz w:val="22"/>
      <w:szCs w:val="22"/>
    </w:rPr>
  </w:style>
  <w:style w:type="character" w:styleId="841" w:customStyle="1">
    <w:name w:val="标题 9 字符"/>
    <w:link w:val="761"/>
    <w:uiPriority w:val="9"/>
    <w:qFormat/>
    <w:rPr>
      <w:rFonts w:ascii="Arial" w:hAnsi="Arial" w:eastAsia="Arial" w:cs="Arial"/>
      <w:i/>
      <w:iCs/>
      <w:sz w:val="21"/>
      <w:szCs w:val="21"/>
    </w:rPr>
  </w:style>
  <w:style w:type="paragraph" w:styleId="842">
    <w:name w:val="List Paragraph"/>
    <w:basedOn w:val="752"/>
    <w:uiPriority w:val="34"/>
    <w:qFormat/>
    <w:pPr>
      <w:contextualSpacing/>
      <w:ind w:left="720"/>
    </w:pPr>
  </w:style>
  <w:style w:type="paragraph" w:styleId="843">
    <w:name w:val="No Spacing"/>
    <w:uiPriority w:val="1"/>
    <w:qFormat/>
    <w:rPr>
      <w:rFonts w:hint="default" w:ascii="Times New Roman" w:hAnsi="Times New Roman" w:eastAsia="宋体" w:cs="Times New Roman"/>
      <w:lang w:val="en-US" w:eastAsia="zh-CN" w:bidi="ar-SA"/>
    </w:rPr>
  </w:style>
  <w:style w:type="character" w:styleId="844" w:customStyle="1">
    <w:name w:val="标题 字符"/>
    <w:link w:val="786"/>
    <w:uiPriority w:val="10"/>
    <w:qFormat/>
    <w:rPr>
      <w:sz w:val="48"/>
      <w:szCs w:val="48"/>
    </w:rPr>
  </w:style>
  <w:style w:type="character" w:styleId="845" w:customStyle="1">
    <w:name w:val="副标题 字符"/>
    <w:link w:val="779"/>
    <w:uiPriority w:val="11"/>
    <w:qFormat/>
    <w:rPr>
      <w:sz w:val="24"/>
      <w:szCs w:val="24"/>
    </w:rPr>
  </w:style>
  <w:style w:type="paragraph" w:styleId="846">
    <w:name w:val="Quote"/>
    <w:basedOn w:val="752"/>
    <w:next w:val="752"/>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52"/>
    <w:next w:val="752"/>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页眉 字符"/>
    <w:link w:val="776"/>
    <w:uiPriority w:val="99"/>
    <w:qFormat/>
  </w:style>
  <w:style w:type="character" w:styleId="851" w:customStyle="1">
    <w:name w:val="Footer Char"/>
    <w:uiPriority w:val="99"/>
    <w:qFormat/>
  </w:style>
  <w:style w:type="character" w:styleId="852" w:customStyle="1">
    <w:name w:val="页脚 字符"/>
    <w:link w:val="775"/>
    <w:uiPriority w:val="99"/>
    <w:qFormat/>
  </w:style>
  <w:style w:type="table" w:styleId="85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字符"/>
    <w:link w:val="780"/>
    <w:uiPriority w:val="99"/>
    <w:qFormat/>
    <w:rPr>
      <w:sz w:val="18"/>
    </w:rPr>
  </w:style>
  <w:style w:type="character" w:styleId="979" w:customStyle="1">
    <w:name w:val="尾注文本 字符"/>
    <w:link w:val="774"/>
    <w:uiPriority w:val="99"/>
    <w:qFormat/>
    <w:rPr>
      <w:sz w:val="20"/>
    </w:rPr>
  </w:style>
  <w:style w:type="paragraph" w:styleId="980" w:customStyle="1">
    <w:name w:val="TOC 标题1"/>
    <w:uiPriority w:val="39"/>
    <w:unhideWhenUsed/>
    <w:qFormat/>
    <w:rPr>
      <w:rFonts w:hint="default" w:ascii="Times New Roman" w:hAnsi="Times New Roman" w:eastAsia="宋体" w:cs="Times New Roman"/>
      <w:lang w:val="en-US" w:eastAsia="zh-CN" w:bidi="ar-SA"/>
    </w:rPr>
  </w:style>
  <w:style w:type="paragraph" w:styleId="981" w:customStyle="1">
    <w:name w:val="标题 11"/>
    <w:basedOn w:val="752"/>
    <w:next w:val="752"/>
    <w:uiPriority w:val="9"/>
    <w:qFormat/>
    <w:pPr>
      <w:keepLines/>
      <w:keepNext/>
      <w:spacing w:before="340" w:after="330" w:line="578" w:lineRule="auto"/>
      <w:outlineLvl w:val="0"/>
    </w:pPr>
    <w:rPr>
      <w:b/>
      <w:bCs/>
      <w:sz w:val="44"/>
      <w:szCs w:val="44"/>
    </w:rPr>
  </w:style>
  <w:style w:type="paragraph" w:styleId="982" w:customStyle="1">
    <w:name w:val="标题 21"/>
    <w:basedOn w:val="752"/>
    <w:next w:val="7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3" w:customStyle="1">
    <w:name w:val="标题 31"/>
    <w:basedOn w:val="752"/>
    <w:next w:val="752"/>
    <w:uiPriority w:val="0"/>
    <w:qFormat/>
    <w:pPr>
      <w:keepLines/>
      <w:keepNext/>
      <w:spacing w:before="260" w:after="260" w:line="416" w:lineRule="auto"/>
      <w:outlineLvl w:val="2"/>
    </w:pPr>
    <w:rPr>
      <w:b/>
      <w:bCs/>
      <w:sz w:val="32"/>
      <w:szCs w:val="32"/>
    </w:rPr>
  </w:style>
  <w:style w:type="character" w:styleId="984" w:customStyle="1">
    <w:name w:val="默认段落字体1"/>
    <w:uiPriority w:val="1"/>
    <w:unhideWhenUsed/>
    <w:qFormat/>
  </w:style>
  <w:style w:type="table" w:styleId="985" w:customStyle="1">
    <w:name w:val="普通表格1"/>
    <w:uiPriority w:val="99"/>
    <w:unhideWhenUsed/>
    <w:qFormat/>
    <w:tblPr>
      <w:tblCellMar>
        <w:left w:w="0" w:type="dxa"/>
        <w:top w:w="0" w:type="dxa"/>
        <w:right w:w="0" w:type="dxa"/>
        <w:bottom w:w="0" w:type="dxa"/>
      </w:tblCellMar>
    </w:tblPr>
  </w:style>
  <w:style w:type="paragraph" w:styleId="986" w:customStyle="1">
    <w:name w:val="正文文本缩进1"/>
    <w:basedOn w:val="752"/>
    <w:next w:val="987"/>
    <w:uiPriority w:val="0"/>
    <w:qFormat/>
    <w:pPr>
      <w:ind w:left="420"/>
      <w:spacing w:after="120"/>
    </w:pPr>
    <w:rPr>
      <w:rFonts w:ascii="等线" w:hAnsi="等线" w:eastAsia="等线"/>
    </w:rPr>
  </w:style>
  <w:style w:type="paragraph" w:styleId="987" w:customStyle="1">
    <w:name w:val="寄信人地址1"/>
    <w:basedOn w:val="752"/>
    <w:uiPriority w:val="99"/>
    <w:unhideWhenUsed/>
    <w:qFormat/>
    <w:rPr>
      <w:rFonts w:ascii="Arial" w:hAnsi="Arial"/>
    </w:rPr>
  </w:style>
  <w:style w:type="paragraph" w:styleId="988" w:customStyle="1">
    <w:name w:val="正文缩进1"/>
    <w:basedOn w:val="752"/>
    <w:uiPriority w:val="0"/>
    <w:unhideWhenUsed/>
    <w:qFormat/>
    <w:pPr>
      <w:ind w:firstLine="420"/>
    </w:pPr>
  </w:style>
  <w:style w:type="paragraph" w:styleId="989" w:customStyle="1">
    <w:name w:val="批注文字1"/>
    <w:basedOn w:val="752"/>
    <w:link w:val="990"/>
    <w:uiPriority w:val="0"/>
    <w:qFormat/>
    <w:pPr>
      <w:jc w:val="left"/>
    </w:pPr>
  </w:style>
  <w:style w:type="character" w:styleId="990" w:customStyle="1">
    <w:name w:val="批注文字 Char"/>
    <w:link w:val="989"/>
    <w:uiPriority w:val="0"/>
    <w:qFormat/>
    <w:rPr>
      <w:rFonts w:ascii="Calibri" w:hAnsi="Calibri"/>
      <w:sz w:val="21"/>
      <w:szCs w:val="22"/>
    </w:rPr>
  </w:style>
  <w:style w:type="paragraph" w:styleId="991" w:customStyle="1">
    <w:name w:val="正文文本11"/>
    <w:basedOn w:val="752"/>
    <w:next w:val="992"/>
    <w:uiPriority w:val="0"/>
    <w:qFormat/>
    <w:rPr>
      <w:rFonts w:ascii="楷体_GB2312" w:hAnsi="Arial" w:eastAsia="楷体_GB2312"/>
      <w:sz w:val="28"/>
      <w:szCs w:val="28"/>
    </w:rPr>
  </w:style>
  <w:style w:type="paragraph" w:styleId="992" w:customStyle="1">
    <w:name w:val="标题1"/>
    <w:basedOn w:val="752"/>
    <w:next w:val="752"/>
    <w:uiPriority w:val="0"/>
    <w:qFormat/>
    <w:pPr>
      <w:jc w:val="center"/>
      <w:spacing w:before="240" w:after="60" w:line="360" w:lineRule="auto"/>
      <w:outlineLvl w:val="0"/>
    </w:pPr>
    <w:rPr>
      <w:rFonts w:ascii="宋体" w:hAnsi="宋体"/>
      <w:b/>
      <w:bCs/>
      <w:sz w:val="32"/>
      <w:szCs w:val="32"/>
    </w:rPr>
  </w:style>
  <w:style w:type="paragraph" w:styleId="993" w:customStyle="1">
    <w:name w:val="纯文本1"/>
    <w:basedOn w:val="752"/>
    <w:uiPriority w:val="99"/>
    <w:qFormat/>
    <w:rPr>
      <w:rFonts w:ascii="宋体" w:hAnsi="Courier New"/>
      <w:sz w:val="20"/>
      <w:szCs w:val="21"/>
    </w:rPr>
  </w:style>
  <w:style w:type="paragraph" w:styleId="994" w:customStyle="1">
    <w:name w:val="正文文本缩进 21"/>
    <w:basedOn w:val="752"/>
    <w:uiPriority w:val="0"/>
    <w:qFormat/>
    <w:pPr>
      <w:ind w:left="640"/>
      <w:spacing w:after="120" w:line="480" w:lineRule="auto"/>
    </w:pPr>
    <w:rPr>
      <w:rFonts w:eastAsia="仿宋_GB2312"/>
      <w:sz w:val="32"/>
      <w:szCs w:val="28"/>
    </w:rPr>
  </w:style>
  <w:style w:type="paragraph" w:styleId="995" w:customStyle="1">
    <w:name w:val="批注框文本1"/>
    <w:basedOn w:val="752"/>
    <w:link w:val="996"/>
    <w:uiPriority w:val="0"/>
    <w:qFormat/>
    <w:rPr>
      <w:sz w:val="18"/>
      <w:szCs w:val="18"/>
    </w:rPr>
  </w:style>
  <w:style w:type="character" w:styleId="996" w:customStyle="1">
    <w:name w:val="批注框文本 Char"/>
    <w:link w:val="995"/>
    <w:uiPriority w:val="0"/>
    <w:qFormat/>
    <w:rPr>
      <w:sz w:val="18"/>
      <w:szCs w:val="18"/>
    </w:rPr>
  </w:style>
  <w:style w:type="paragraph" w:styleId="997" w:customStyle="1">
    <w:name w:val="页脚1"/>
    <w:basedOn w:val="752"/>
    <w:uiPriority w:val="99"/>
    <w:unhideWhenUsed/>
    <w:qFormat/>
    <w:pPr>
      <w:jc w:val="left"/>
      <w:tabs>
        <w:tab w:val="center" w:pos="4153" w:leader="none"/>
        <w:tab w:val="right" w:pos="8306" w:leader="none"/>
      </w:tabs>
    </w:pPr>
    <w:rPr>
      <w:sz w:val="18"/>
      <w:szCs w:val="18"/>
    </w:rPr>
  </w:style>
  <w:style w:type="paragraph" w:styleId="998" w:customStyle="1">
    <w:name w:val="页眉1"/>
    <w:basedOn w:val="75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9" w:customStyle="1">
    <w:name w:val="目录 11"/>
    <w:basedOn w:val="752"/>
    <w:next w:val="752"/>
    <w:uiPriority w:val="39"/>
    <w:unhideWhenUsed/>
    <w:qFormat/>
  </w:style>
  <w:style w:type="paragraph" w:styleId="1000" w:customStyle="1">
    <w:name w:val="目录 21"/>
    <w:basedOn w:val="752"/>
    <w:next w:val="752"/>
    <w:uiPriority w:val="0"/>
    <w:qFormat/>
    <w:pPr>
      <w:ind w:left="420"/>
    </w:pPr>
  </w:style>
  <w:style w:type="paragraph" w:styleId="1001" w:customStyle="1">
    <w:name w:val="正文文本 21"/>
    <w:basedOn w:val="752"/>
    <w:uiPriority w:val="0"/>
    <w:qFormat/>
    <w:pPr>
      <w:spacing w:after="120" w:line="480" w:lineRule="auto"/>
    </w:pPr>
  </w:style>
  <w:style w:type="paragraph" w:styleId="1002" w:customStyle="1">
    <w:name w:val="信息标题1"/>
    <w:basedOn w:val="75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3" w:customStyle="1">
    <w:name w:val="普通(网站)1"/>
    <w:basedOn w:val="752"/>
    <w:uiPriority w:val="0"/>
    <w:qFormat/>
    <w:rPr>
      <w:rFonts w:ascii="Times New Roman" w:hAnsi="Times New Roman"/>
      <w:sz w:val="24"/>
    </w:rPr>
  </w:style>
  <w:style w:type="paragraph" w:styleId="1004" w:customStyle="1">
    <w:name w:val="批注主题1"/>
    <w:basedOn w:val="989"/>
    <w:next w:val="989"/>
    <w:link w:val="1005"/>
    <w:uiPriority w:val="0"/>
    <w:qFormat/>
    <w:rPr>
      <w:b/>
      <w:bCs/>
    </w:rPr>
  </w:style>
  <w:style w:type="character" w:styleId="1005" w:customStyle="1">
    <w:name w:val="批注主题 Char"/>
    <w:link w:val="1004"/>
    <w:uiPriority w:val="0"/>
    <w:qFormat/>
    <w:rPr>
      <w:rFonts w:ascii="Calibri" w:hAnsi="Calibri"/>
      <w:b/>
      <w:bCs/>
      <w:sz w:val="21"/>
      <w:szCs w:val="22"/>
    </w:rPr>
  </w:style>
  <w:style w:type="paragraph" w:styleId="1006" w:customStyle="1">
    <w:name w:val="正文首行缩进 21"/>
    <w:basedOn w:val="986"/>
    <w:next w:val="752"/>
    <w:uiPriority w:val="0"/>
    <w:qFormat/>
    <w:pPr>
      <w:ind w:firstLine="420"/>
      <w:spacing w:before="100" w:beforeAutospacing="1"/>
    </w:pPr>
    <w:rPr>
      <w:rFonts w:ascii="Times New Roman" w:hAnsi="Times New Roman" w:eastAsia="宋体"/>
      <w:sz w:val="20"/>
      <w:szCs w:val="21"/>
    </w:rPr>
  </w:style>
  <w:style w:type="table" w:styleId="1007" w:customStyle="1">
    <w:name w:val="网格型1"/>
    <w:basedOn w:val="985"/>
    <w:uiPriority w:val="0"/>
    <w:qFormat/>
    <w:pPr>
      <w:jc w:val="both"/>
      <w:widowControl w:val="off"/>
    </w:pPr>
    <w:tblPr/>
  </w:style>
  <w:style w:type="character" w:styleId="1008" w:customStyle="1">
    <w:name w:val="要点1"/>
    <w:uiPriority w:val="0"/>
    <w:qFormat/>
    <w:rPr>
      <w:b/>
    </w:rPr>
  </w:style>
  <w:style w:type="character" w:styleId="1009" w:customStyle="1">
    <w:name w:val="强调1"/>
    <w:uiPriority w:val="0"/>
    <w:qFormat/>
    <w:rPr>
      <w:i/>
    </w:rPr>
  </w:style>
  <w:style w:type="character" w:styleId="1010" w:customStyle="1">
    <w:name w:val="超链接1"/>
    <w:uiPriority w:val="0"/>
    <w:qFormat/>
    <w:rPr>
      <w:color w:val="0000ff"/>
      <w:u w:val="single"/>
    </w:rPr>
  </w:style>
  <w:style w:type="character" w:styleId="1011" w:customStyle="1">
    <w:name w:val="批注引用1"/>
    <w:uiPriority w:val="0"/>
    <w:qFormat/>
    <w:rPr>
      <w:sz w:val="21"/>
      <w:szCs w:val="21"/>
    </w:rPr>
  </w:style>
  <w:style w:type="paragraph" w:styleId="1012" w:customStyle="1">
    <w:name w:val="正文（缩进）"/>
    <w:basedOn w:val="752"/>
    <w:uiPriority w:val="0"/>
    <w:qFormat/>
    <w:pPr>
      <w:ind w:firstLine="480"/>
      <w:spacing w:before="156" w:after="156"/>
    </w:pPr>
  </w:style>
  <w:style w:type="paragraph" w:styleId="1013" w:customStyle="1">
    <w:name w:val="正文1"/>
    <w:basedOn w:val="752"/>
    <w:next w:val="1014"/>
    <w:uiPriority w:val="0"/>
    <w:qFormat/>
    <w:pPr>
      <w:jc w:val="left"/>
      <w:spacing w:line="360" w:lineRule="atLeast"/>
    </w:pPr>
    <w:rPr>
      <w:rFonts w:ascii="宋体" w:cs="Arial"/>
      <w:sz w:val="24"/>
      <w:szCs w:val="20"/>
    </w:rPr>
  </w:style>
  <w:style w:type="paragraph" w:styleId="1014" w:customStyle="1">
    <w:name w:val="正文文本1"/>
    <w:basedOn w:val="1013"/>
    <w:next w:val="1015"/>
    <w:uiPriority w:val="0"/>
    <w:qFormat/>
    <w:pPr>
      <w:spacing w:after="120"/>
    </w:pPr>
    <w:rPr>
      <w:lang w:eastAsia="en-US"/>
    </w:rPr>
  </w:style>
  <w:style w:type="paragraph" w:styleId="1015" w:customStyle="1">
    <w:name w:val="一级条标题"/>
    <w:basedOn w:val="1016"/>
    <w:next w:val="10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6" w:customStyle="1">
    <w:name w:val="章标题"/>
    <w:next w:val="7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7" w:customStyle="1">
    <w:name w:val="段"/>
    <w:basedOn w:val="1013"/>
    <w:next w:val="752"/>
    <w:uiPriority w:val="0"/>
    <w:qFormat/>
    <w:pPr>
      <w:ind w:firstLine="200"/>
      <w:widowControl/>
    </w:pPr>
    <w:rPr>
      <w:sz w:val="20"/>
    </w:rPr>
  </w:style>
  <w:style w:type="paragraph" w:styleId="1018"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1019" w:customStyle="1">
    <w:name w:val="Char"/>
    <w:basedOn w:val="752"/>
    <w:uiPriority w:val="0"/>
    <w:qFormat/>
    <w:pPr>
      <w:ind w:firstLine="200"/>
      <w:tabs>
        <w:tab w:val="left" w:pos="360" w:leader="none"/>
      </w:tabs>
    </w:pPr>
    <w:rPr>
      <w:rFonts w:ascii="Times New Roman" w:hAnsi="Times New Roman"/>
      <w:sz w:val="28"/>
      <w:szCs w:val="30"/>
    </w:rPr>
  </w:style>
  <w:style w:type="paragraph" w:styleId="1020" w:customStyle="1">
    <w:name w:val="Table Paragraph"/>
    <w:basedOn w:val="752"/>
    <w:uiPriority w:val="1"/>
    <w:qFormat/>
    <w:rPr>
      <w:rFonts w:ascii="Noto Sans CJK JP Regular" w:hAnsi="Noto Sans CJK JP Regular" w:eastAsia="Noto Sans CJK JP Regular" w:cs="Noto Sans CJK JP Regular"/>
    </w:rPr>
  </w:style>
  <w:style w:type="paragraph" w:styleId="1021" w:customStyle="1">
    <w:name w:val="正文（1）"/>
    <w:basedOn w:val="752"/>
    <w:uiPriority w:val="0"/>
    <w:qFormat/>
    <w:pPr>
      <w:numPr>
        <w:ilvl w:val="0"/>
        <w:numId w:val="1"/>
      </w:numPr>
      <w:ind w:firstLine="200"/>
    </w:pPr>
    <w:rPr>
      <w:szCs w:val="24"/>
    </w:rPr>
  </w:style>
  <w:style w:type="paragraph" w:styleId="1022" w:customStyle="1">
    <w:name w:val="朱-正文"/>
    <w:basedOn w:val="752"/>
    <w:uiPriority w:val="0"/>
    <w:qFormat/>
    <w:pPr>
      <w:ind w:firstLine="200"/>
    </w:pPr>
    <w:rPr>
      <w:rFonts w:ascii="Times New Roman"/>
      <w:color w:val="000000"/>
      <w:szCs w:val="24"/>
      <w:lang w:val="en-GB"/>
    </w:rPr>
  </w:style>
  <w:style w:type="paragraph" w:styleId="1023" w:customStyle="1">
    <w:name w:val="GP正文(首行缩进)"/>
    <w:basedOn w:val="752"/>
    <w:uiPriority w:val="0"/>
    <w:qFormat/>
    <w:pPr>
      <w:ind w:firstLine="480"/>
      <w:jc w:val="left"/>
    </w:pPr>
    <w:rPr>
      <w:rFonts w:ascii="Times New Roman" w:hAnsi="宋体"/>
      <w:sz w:val="24"/>
      <w:szCs w:val="24"/>
    </w:rPr>
  </w:style>
  <w:style w:type="character" w:styleId="1024" w:customStyle="1">
    <w:name w:val="font71"/>
    <w:uiPriority w:val="0"/>
    <w:qFormat/>
    <w:rPr>
      <w:rFonts w:hint="eastAsia" w:ascii="宋体" w:hAnsi="宋体" w:eastAsia="宋体" w:cs="宋体"/>
      <w:color w:val="ff0000"/>
      <w:sz w:val="21"/>
      <w:szCs w:val="21"/>
      <w:u w:val="none"/>
    </w:rPr>
  </w:style>
  <w:style w:type="character" w:styleId="1025" w:customStyle="1">
    <w:name w:val="font41"/>
    <w:uiPriority w:val="0"/>
    <w:qFormat/>
    <w:rPr>
      <w:rFonts w:hint="eastAsia" w:ascii="宋体" w:hAnsi="宋体" w:eastAsia="宋体" w:cs="宋体"/>
      <w:color w:val="000000"/>
      <w:sz w:val="21"/>
      <w:szCs w:val="21"/>
      <w:u w:val="none"/>
    </w:rPr>
  </w:style>
  <w:style w:type="paragraph" w:styleId="1026" w:customStyle="1">
    <w:name w:val="列出段落"/>
    <w:basedOn w:val="752"/>
    <w:uiPriority w:val="0"/>
    <w:qFormat/>
    <w:pPr>
      <w:ind w:firstLine="420"/>
    </w:pPr>
  </w:style>
  <w:style w:type="paragraph" w:styleId="1027" w:customStyle="1">
    <w:name w:val="列出段落2"/>
    <w:basedOn w:val="752"/>
    <w:uiPriority w:val="34"/>
    <w:qFormat/>
    <w:pPr>
      <w:ind w:firstLine="420"/>
    </w:pPr>
    <w:rPr>
      <w:rFonts w:ascii="宋体"/>
      <w:color w:val="404040"/>
    </w:rPr>
  </w:style>
  <w:style w:type="paragraph" w:styleId="1028" w:customStyle="1">
    <w:name w:val="列表段落1"/>
    <w:basedOn w:val="752"/>
    <w:uiPriority w:val="0"/>
    <w:qFormat/>
    <w:pPr>
      <w:ind w:firstLine="200"/>
    </w:pPr>
    <w:rPr>
      <w:rFonts w:cs="宋体"/>
    </w:rPr>
  </w:style>
  <w:style w:type="character" w:styleId="1029" w:customStyle="1">
    <w:name w:val="font51"/>
    <w:uiPriority w:val="0"/>
    <w:qFormat/>
    <w:rPr>
      <w:rFonts w:hint="eastAsia" w:ascii="宋体" w:hAnsi="宋体" w:eastAsia="宋体" w:cs="宋体"/>
      <w:color w:val="000000"/>
      <w:sz w:val="24"/>
      <w:szCs w:val="24"/>
      <w:u w:val="none"/>
      <w:vertAlign w:val="subscript"/>
    </w:rPr>
  </w:style>
  <w:style w:type="character" w:styleId="1030" w:customStyle="1">
    <w:name w:val="font61"/>
    <w:uiPriority w:val="0"/>
    <w:qFormat/>
    <w:rPr>
      <w:rFonts w:hint="eastAsia" w:ascii="宋体" w:hAnsi="宋体" w:eastAsia="宋体" w:cs="宋体"/>
      <w:color w:val="000000"/>
      <w:sz w:val="24"/>
      <w:szCs w:val="24"/>
      <w:u w:val="none"/>
    </w:rPr>
  </w:style>
  <w:style w:type="character" w:styleId="1031" w:customStyle="1">
    <w:name w:val="font01"/>
    <w:uiPriority w:val="0"/>
    <w:qFormat/>
    <w:rPr>
      <w:rFonts w:hint="eastAsia" w:ascii="宋体" w:hAnsi="宋体" w:eastAsia="宋体" w:cs="宋体"/>
      <w:color w:val="000000"/>
      <w:sz w:val="24"/>
      <w:szCs w:val="24"/>
      <w:u w:val="none"/>
    </w:rPr>
  </w:style>
  <w:style w:type="character" w:styleId="1032" w:customStyle="1">
    <w:name w:val="font81"/>
    <w:uiPriority w:val="0"/>
    <w:qFormat/>
    <w:rPr>
      <w:rFonts w:ascii="微软雅黑" w:hAnsi="微软雅黑" w:eastAsia="微软雅黑" w:cs="微软雅黑"/>
      <w:color w:val="000000"/>
      <w:sz w:val="24"/>
      <w:szCs w:val="24"/>
      <w:u w:val="none"/>
    </w:rPr>
  </w:style>
  <w:style w:type="character" w:styleId="1033" w:customStyle="1">
    <w:name w:val="font91"/>
    <w:uiPriority w:val="0"/>
    <w:qFormat/>
    <w:rPr>
      <w:rFonts w:ascii="Segoe UI Symbol" w:hAnsi="Segoe UI Symbol" w:eastAsia="Segoe UI Symbol" w:cs="Segoe UI Symbol"/>
      <w:color w:val="000000"/>
      <w:sz w:val="24"/>
      <w:szCs w:val="24"/>
      <w:u w:val="none"/>
    </w:rPr>
  </w:style>
  <w:style w:type="character" w:styleId="1034" w:customStyle="1">
    <w:name w:val="font101"/>
    <w:uiPriority w:val="0"/>
    <w:qFormat/>
    <w:rPr>
      <w:rFonts w:ascii="Calibri" w:hAnsi="Calibri" w:cs="Calibri"/>
      <w:color w:val="000000"/>
      <w:sz w:val="24"/>
      <w:szCs w:val="24"/>
      <w:u w:val="none"/>
    </w:rPr>
  </w:style>
  <w:style w:type="paragraph" w:styleId="1035"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36" w:customStyle="1">
    <w:name w:val="TableEmphasis"/>
    <w:basedOn w:val="752"/>
    <w:uiPriority w:val="0"/>
    <w:qFormat/>
    <w:rPr>
      <w:rFonts w:ascii="Times New Roman" w:hAnsi="Times New Roman" w:eastAsia="Times New Roman"/>
      <w:b/>
      <w:bCs/>
      <w:color w:val="3333ff"/>
      <w:sz w:val="16"/>
      <w:szCs w:val="18"/>
    </w:rPr>
  </w:style>
  <w:style w:type="paragraph" w:styleId="1037" w:customStyle="1">
    <w:name w:val="修订1"/>
    <w:uiPriority w:val="99"/>
    <w:unhideWhenUsed/>
    <w:qFormat/>
    <w:rPr>
      <w:rFonts w:hint="default" w:ascii="Calibri" w:hAnsi="Calibri" w:eastAsia="宋体" w:cs="Times New Roman"/>
      <w:sz w:val="21"/>
      <w:szCs w:val="22"/>
      <w:lang w:val="en-US" w:eastAsia="zh-CN" w:bidi="ar-SA"/>
    </w:rPr>
  </w:style>
  <w:style w:type="paragraph" w:styleId="1038" w:customStyle="1">
    <w:name w:val="修订2"/>
    <w:uiPriority w:val="99"/>
    <w:semiHidden/>
    <w:qFormat/>
    <w:rPr>
      <w:rFonts w:hint="default" w:ascii="Calibri" w:hAnsi="Calibri" w:eastAsia="宋体" w:cs="Times New Roman"/>
      <w:sz w:val="21"/>
      <w:szCs w:val="22"/>
      <w:lang w:val="en-US" w:eastAsia="zh-CN" w:bidi="ar-SA"/>
    </w:rPr>
  </w:style>
  <w:style w:type="character" w:styleId="1039" w:customStyle="1">
    <w:name w:val="font11"/>
    <w:uiPriority w:val="0"/>
    <w:qFormat/>
    <w:rPr>
      <w:rFonts w:hint="eastAsia" w:ascii="宋体" w:hAnsi="宋体" w:eastAsia="宋体" w:cs="宋体"/>
      <w:color w:val="000000"/>
      <w:sz w:val="24"/>
      <w:szCs w:val="24"/>
      <w:u w:val="none"/>
    </w:rPr>
  </w:style>
  <w:style w:type="character" w:styleId="1040" w:customStyle="1">
    <w:name w:val="font21"/>
    <w:uiPriority w:val="0"/>
    <w:qFormat/>
    <w:rPr>
      <w:rFonts w:ascii="Segoe UI Symbol" w:hAnsi="Segoe UI Symbol" w:eastAsia="Segoe UI Symbol" w:cs="Segoe UI Symbol"/>
      <w:color w:val="000000"/>
      <w:sz w:val="24"/>
      <w:szCs w:val="24"/>
      <w:u w:val="none"/>
    </w:rPr>
  </w:style>
  <w:style w:type="character" w:styleId="1041" w:customStyle="1">
    <w:name w:val="NormalCharacter1"/>
    <w:uiPriority w:val="0"/>
    <w:semiHidden/>
    <w:qFormat/>
  </w:style>
  <w:style w:type="character" w:styleId="1042" w:customStyle="1">
    <w:name w:val="font31"/>
    <w:uiPriority w:val="0"/>
    <w:qFormat/>
    <w:rPr>
      <w:rFonts w:hint="eastAsia" w:ascii="宋体" w:hAnsi="宋体" w:eastAsia="宋体" w:cs="宋体"/>
      <w:color w:val="000000"/>
      <w:sz w:val="21"/>
      <w:szCs w:val="21"/>
      <w:u w:val="none"/>
    </w:rPr>
  </w:style>
  <w:style w:type="paragraph" w:styleId="1043" w:customStyle="1">
    <w:name w:val="无间隔1"/>
    <w:uiPriority w:val="1"/>
    <w:qFormat/>
    <w:rPr>
      <w:rFonts w:hint="default" w:ascii="Times New Roman" w:hAnsi="Times New Roman" w:eastAsia="宋体" w:cs="Times New Roman"/>
      <w:lang w:val="en-US" w:eastAsia="zh-CN" w:bidi="ar-SA"/>
    </w:rPr>
  </w:style>
  <w:style w:type="paragraph" w:styleId="1044" w:customStyle="1">
    <w:name w:val="索引 41"/>
    <w:basedOn w:val="752"/>
    <w:next w:val="752"/>
    <w:uiPriority w:val="99"/>
    <w:unhideWhenUsed/>
    <w:qFormat/>
    <w:pPr>
      <w:ind w:left="600"/>
    </w:pPr>
    <w:rPr>
      <w:rFonts w:ascii="Verdana" w:hAnsi="Verdana" w:eastAsia="微软雅黑"/>
      <w:szCs w:val="20"/>
    </w:rPr>
  </w:style>
  <w:style w:type="paragraph" w:styleId="1045" w:customStyle="1">
    <w:name w:val="首行缩进"/>
    <w:basedOn w:val="752"/>
    <w:uiPriority w:val="0"/>
    <w:qFormat/>
    <w:pPr>
      <w:ind w:firstLine="420"/>
      <w:spacing w:line="360" w:lineRule="auto"/>
    </w:pPr>
  </w:style>
  <w:style w:type="paragraph" w:styleId="1046" w:customStyle="1">
    <w:name w:val="表格文字"/>
    <w:basedOn w:val="752"/>
    <w:uiPriority w:val="0"/>
    <w:qFormat/>
    <w:rPr>
      <w:rFonts w:cs="宋体"/>
      <w:spacing w:val="2"/>
      <w:szCs w:val="21"/>
      <w:lang w:eastAsia="en-US"/>
    </w:rPr>
  </w:style>
  <w:style w:type="paragraph" w:styleId="1047" w:customStyle="1">
    <w:name w:val="修订3"/>
    <w:hidden/>
    <w:uiPriority w:val="99"/>
    <w:unhideWhenUsed/>
    <w:qFormat/>
    <w:rPr>
      <w:rFonts w:hint="default" w:ascii="Calibri" w:hAnsi="Calibri" w:eastAsia="宋体" w:cs="Times New Roman"/>
      <w:sz w:val="21"/>
      <w:szCs w:val="22"/>
      <w:lang w:val="en-US" w:eastAsia="zh-CN" w:bidi="ar-SA"/>
    </w:rPr>
  </w:style>
  <w:style w:type="paragraph" w:styleId="1048" w:customStyle="1">
    <w:name w:val="修订4"/>
    <w:hidden/>
    <w:uiPriority w:val="99"/>
    <w:unhideWhenUsed/>
    <w:qFormat/>
    <w:rPr>
      <w:rFonts w:hint="default" w:ascii="Calibri" w:hAnsi="Calibri" w:eastAsia="宋体" w:cs="Times New Roman"/>
      <w:sz w:val="21"/>
      <w:szCs w:val="22"/>
      <w:lang w:val="en-US" w:eastAsia="zh-CN" w:bidi="ar-SA"/>
    </w:rPr>
  </w:style>
  <w:style w:type="paragraph" w:styleId="1049" w:customStyle="1">
    <w:name w:val="修订5"/>
    <w:hidden/>
    <w:uiPriority w:val="99"/>
    <w:unhideWhenUsed/>
    <w:qFormat/>
    <w:rPr>
      <w:rFonts w:hint="default" w:ascii="Calibri" w:hAnsi="Calibri" w:eastAsia="宋体" w:cs="Times New Roman"/>
      <w:sz w:val="21"/>
      <w:szCs w:val="22"/>
      <w:lang w:val="en-US" w:eastAsia="zh-CN" w:bidi="ar-SA"/>
    </w:rPr>
  </w:style>
  <w:style w:type="paragraph" w:styleId="1050" w:customStyle="1">
    <w:name w:val="修订6"/>
    <w:hidden/>
    <w:uiPriority w:val="99"/>
    <w:unhideWhenUsed/>
    <w:qFormat/>
    <w:rPr>
      <w:rFonts w:hint="default" w:ascii="Calibri" w:hAnsi="Calibri" w:eastAsia="宋体" w:cs="Times New Roman"/>
      <w:sz w:val="21"/>
      <w:szCs w:val="22"/>
      <w:lang w:val="en-US" w:eastAsia="zh-CN" w:bidi="ar-SA"/>
    </w:rPr>
  </w:style>
  <w:style w:type="character" w:styleId="1051" w:customStyle="1">
    <w:name w:val="批注文字 字符"/>
    <w:basedOn w:val="762"/>
    <w:link w:val="768"/>
    <w:uiPriority w:val="99"/>
    <w:qFormat/>
    <w:rPr>
      <w:rFonts w:ascii="Calibri" w:hAnsi="Calibri"/>
      <w:sz w:val="21"/>
      <w:szCs w:val="22"/>
    </w:rPr>
  </w:style>
  <w:style w:type="character" w:styleId="1052" w:customStyle="1">
    <w:name w:val="批注主题 字符"/>
    <w:basedOn w:val="1051"/>
    <w:link w:val="787"/>
    <w:uiPriority w:val="99"/>
    <w:semiHidden/>
    <w:qFormat/>
    <w:rPr>
      <w:rFonts w:ascii="Calibri" w:hAnsi="Calibri"/>
      <w:b/>
      <w:bCs/>
      <w:sz w:val="21"/>
      <w:szCs w:val="22"/>
    </w:rPr>
  </w:style>
  <w:style w:type="paragraph" w:styleId="1053" w:customStyle="1">
    <w:name w:val="Revision"/>
    <w:hidden/>
    <w:uiPriority w:val="99"/>
    <w:unhideWhenUsed/>
    <w:qFormat/>
    <w:rPr>
      <w:rFonts w:hint="default" w:ascii="Calibri" w:hAnsi="Calibri" w:eastAsia="宋体" w:cs="Times New Roman"/>
      <w:sz w:val="21"/>
      <w:szCs w:val="22"/>
      <w:lang w:val="en-US" w:eastAsia="zh-CN" w:bidi="ar-SA"/>
    </w:rPr>
  </w:style>
  <w:style w:type="table" w:styleId="1054" w:customStyle="1">
    <w:name w:val="table"/>
    <w:basedOn w:val="763"/>
    <w:uiPriority w:val="0"/>
    <w:qFormat/>
    <w:rPr>
      <w:rFonts w:eastAsiaTheme="minorEastAsia"/>
    </w:rPr>
    <w:tbl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80</cp:revision>
  <dcterms:created xsi:type="dcterms:W3CDTF">2024-11-07T06:15:00Z</dcterms:created>
  <dcterms:modified xsi:type="dcterms:W3CDTF">2026-05-21T09:30:23Z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D6EB4104FF3E4B228FDEFBB95E50664A</vt:lpwstr>
  </property>
  <property fmtid="{D5CDD505-2E9C-101B-9397-08002B2CF9AE}" pid="4" name="KSOTemplateDocerSaveRecord">
    <vt:lpwstr>eyJoZGlkIjoiMmU0ZDNiZGQ3MGE0MGI4YjY5ZGRmN2U5ZDI5YWYzMTEiLCJ1c2VySWQiOiI0NjY3MzgyMDAifQ==</vt:lpwstr>
  </property>
</Properties>
</file>