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firstLine="0"/>
        <w:rPr>
          <w:rFonts w:eastAsia="黑体"/>
          <w:b/>
          <w:bCs/>
          <w:sz w:val="84"/>
          <w:highlight w:val="none"/>
        </w:rPr>
      </w:pPr>
      <w:r/>
      <w:bookmarkStart w:id="0" w:name="_Hlk69393945"/>
      <w:r/>
      <w:bookmarkStart w:id="1" w:name="_Toc528771312"/>
      <w:r/>
      <w:bookmarkStart w:id="2" w:name="_Toc27744861"/>
      <w:r>
        <w:rPr>
          <w:rFonts w:eastAsia="黑体"/>
          <w:b/>
          <w:bCs/>
          <w:sz w:val="84"/>
          <w:highlight w:val="none"/>
        </w:rPr>
      </w:r>
      <w:r/>
    </w:p>
    <w:p>
      <w:pPr>
        <w:pStyle w:val="926"/>
        <w:ind w:firstLine="0"/>
        <w:jc w:val="center"/>
        <w:rPr>
          <w:rFonts w:eastAsia="黑体"/>
          <w:b/>
          <w:bCs/>
          <w:sz w:val="84"/>
          <w:highlight w:val="none"/>
        </w:rPr>
      </w:pPr>
      <w:r>
        <w:rPr>
          <w:rFonts w:hint="eastAsia" w:eastAsia="黑体"/>
          <w:b/>
          <w:bCs/>
          <w:sz w:val="84"/>
          <w:highlight w:val="none"/>
        </w:rPr>
        <w:t xml:space="preserve">招　标　文　件</w:t>
      </w:r>
      <w:r>
        <w:rPr>
          <w:rFonts w:eastAsia="黑体"/>
          <w:b/>
          <w:bCs/>
          <w:sz w:val="84"/>
          <w:highlight w:val="none"/>
        </w:rPr>
      </w:r>
      <w:r/>
    </w:p>
    <w:p>
      <w:pPr>
        <w:pStyle w:val="926"/>
        <w:ind w:firstLine="2249"/>
        <w:rPr>
          <w:b/>
          <w:bCs/>
          <w:sz w:val="32"/>
          <w:highlight w:val="none"/>
        </w:rPr>
      </w:pPr>
      <w:r>
        <w:rPr>
          <w:b/>
          <w:bCs/>
          <w:sz w:val="32"/>
          <w:highlight w:val="none"/>
        </w:rPr>
      </w:r>
      <w:r/>
    </w:p>
    <w:p>
      <w:pPr>
        <w:pStyle w:val="926"/>
        <w:ind w:firstLine="2249"/>
        <w:rPr>
          <w:b/>
          <w:bCs/>
          <w:sz w:val="32"/>
          <w:highlight w:val="none"/>
        </w:rPr>
      </w:pPr>
      <w:r>
        <w:rPr>
          <w:b/>
          <w:bCs/>
          <w:sz w:val="32"/>
          <w:highlight w:val="none"/>
        </w:rPr>
      </w:r>
      <w:r/>
    </w:p>
    <w:p>
      <w:pPr>
        <w:pStyle w:val="926"/>
        <w:ind w:firstLine="2249"/>
        <w:rPr>
          <w:b/>
          <w:bCs/>
          <w:sz w:val="32"/>
          <w:highlight w:val="none"/>
        </w:rPr>
      </w:pPr>
      <w:r>
        <w:rPr>
          <w:b/>
          <w:bCs/>
          <w:sz w:val="32"/>
          <w:highlight w:val="none"/>
        </w:rPr>
      </w:r>
      <w:r/>
    </w:p>
    <w:p>
      <w:pPr>
        <w:pStyle w:val="926"/>
        <w:ind w:firstLine="2249"/>
        <w:rPr>
          <w:b/>
          <w:bCs/>
          <w:sz w:val="32"/>
          <w:highlight w:val="none"/>
        </w:rPr>
      </w:pPr>
      <w:r>
        <w:rPr>
          <w:b/>
          <w:bCs/>
          <w:sz w:val="32"/>
          <w:highlight w:val="none"/>
        </w:rPr>
      </w:r>
      <w:r/>
    </w:p>
    <w:p>
      <w:pPr>
        <w:pStyle w:val="926"/>
        <w:ind w:firstLine="2249"/>
        <w:rPr>
          <w:b/>
          <w:bCs/>
          <w:sz w:val="32"/>
          <w:highlight w:val="none"/>
        </w:rPr>
      </w:pPr>
      <w:r>
        <w:rPr>
          <w:b/>
          <w:bCs/>
          <w:sz w:val="32"/>
          <w:highlight w:val="none"/>
        </w:rPr>
      </w:r>
      <w:r/>
    </w:p>
    <w:p>
      <w:pPr>
        <w:pStyle w:val="926"/>
        <w:ind w:firstLine="2249"/>
        <w:rPr>
          <w:b/>
          <w:bCs/>
          <w:spacing w:val="-20"/>
          <w:sz w:val="32"/>
          <w:highlight w:val="none"/>
        </w:rPr>
      </w:pPr>
      <w:r>
        <w:rPr>
          <w:b/>
          <w:bCs/>
          <w:spacing w:val="-20"/>
          <w:sz w:val="32"/>
          <w:highlight w:val="none"/>
        </w:rPr>
      </w:r>
      <w:r/>
    </w:p>
    <w:p>
      <w:pPr>
        <w:pStyle w:val="926"/>
        <w:ind w:left="0" w:firstLine="0"/>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扬州市直属监所医疗卫生专业化达标建设项目</w:t>
      </w:r>
      <w:r>
        <w:rPr>
          <w:rFonts w:hint="eastAsia" w:ascii="宋体" w:hAnsi="宋体" w:eastAsia="宋体" w:cs="宋体"/>
          <w:b/>
          <w:bCs/>
          <w:sz w:val="32"/>
          <w:highlight w:val="none"/>
        </w:rPr>
      </w:r>
      <w:r/>
    </w:p>
    <w:p>
      <w:pPr>
        <w:pStyle w:val="870"/>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 xml:space="preserve">项目编号：</w:t>
      </w:r>
      <w:r>
        <w:rPr>
          <w:rFonts w:hint="eastAsia" w:ascii="宋体" w:hAnsi="宋体" w:eastAsia="宋体" w:cs="宋体"/>
          <w:b/>
          <w:bCs/>
          <w:sz w:val="32"/>
          <w:szCs w:val="24"/>
          <w:highlight w:val="none"/>
          <w:lang w:eastAsia="zh-CN"/>
        </w:rPr>
        <w:t xml:space="preserve">JSZC-321000-ZYCG-G2026-0008</w:t>
      </w:r>
      <w:r>
        <w:rPr>
          <w:rFonts w:hint="eastAsia" w:ascii="宋体" w:hAnsi="宋体" w:eastAsia="宋体" w:cs="宋体"/>
          <w:b/>
          <w:bCs/>
          <w:sz w:val="32"/>
          <w:szCs w:val="24"/>
          <w:highlight w:val="none"/>
        </w:rPr>
        <w:t xml:space="preserve">   </w:t>
      </w:r>
      <w:r>
        <w:rPr>
          <w:rFonts w:hint="eastAsia" w:ascii="宋体" w:hAnsi="宋体" w:eastAsia="宋体" w:cs="宋体"/>
          <w:b/>
          <w:bCs/>
          <w:sz w:val="32"/>
          <w:szCs w:val="24"/>
          <w:highlight w:val="none"/>
        </w:rPr>
      </w:r>
      <w:r/>
    </w:p>
    <w:p>
      <w:pPr>
        <w:pStyle w:val="870"/>
        <w:jc w:val="center"/>
        <w:spacing w:line="360" w:lineRule="auto"/>
        <w:rPr>
          <w:rFonts w:hint="eastAsia" w:ascii="宋体" w:hAnsi="宋体" w:eastAsia="宋体" w:cs="宋体"/>
          <w:color w:val="000000"/>
          <w:sz w:val="44"/>
          <w:szCs w:val="28"/>
          <w:highlight w:val="none"/>
          <w:lang w:eastAsia="zh-CN"/>
        </w:rPr>
      </w:pPr>
      <w:r>
        <w:rPr>
          <w:rFonts w:hint="eastAsia" w:ascii="宋体" w:hAnsi="宋体" w:eastAsia="宋体" w:cs="宋体"/>
          <w:color w:val="000000"/>
          <w:sz w:val="44"/>
          <w:szCs w:val="28"/>
          <w:highlight w:val="none"/>
          <w:lang w:eastAsia="zh-CN"/>
        </w:rPr>
      </w:r>
      <w:r/>
    </w:p>
    <w:p>
      <w:pPr>
        <w:pStyle w:val="870"/>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870"/>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928"/>
        <w:tabs>
          <w:tab w:val="left" w:pos="0" w:leader="none"/>
          <w:tab w:val="left" w:pos="993" w:leader="none"/>
          <w:tab w:val="left" w:pos="113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0"/>
        <w:jc w:val="center"/>
        <w:spacing w:line="360" w:lineRule="auto"/>
        <w:rPr>
          <w:rFonts w:hint="eastAsia" w:ascii="宋体" w:hAnsi="宋体" w:eastAsia="宋体" w:cs="宋体"/>
          <w:b/>
          <w:bCs/>
          <w:color w:val="000000"/>
          <w:sz w:val="32"/>
          <w:szCs w:val="21"/>
          <w:highlight w:val="none"/>
        </w:rPr>
      </w:pPr>
      <w:r>
        <w:rPr>
          <w:rFonts w:hint="eastAsia" w:ascii="宋体" w:hAnsi="宋体" w:eastAsia="宋体" w:cs="宋体"/>
          <w:b/>
          <w:bCs/>
          <w:color w:val="000000"/>
          <w:sz w:val="32"/>
          <w:szCs w:val="21"/>
          <w:highlight w:val="none"/>
        </w:rPr>
        <w:t xml:space="preserve">扬州筑苑工程招标咨询有限公司</w:t>
      </w:r>
      <w:r>
        <w:rPr>
          <w:rFonts w:hint="eastAsia" w:ascii="宋体" w:hAnsi="宋体" w:eastAsia="宋体" w:cs="宋体"/>
          <w:b/>
          <w:bCs/>
          <w:color w:val="000000"/>
          <w:sz w:val="32"/>
          <w:szCs w:val="21"/>
          <w:highlight w:val="none"/>
        </w:rPr>
      </w:r>
      <w:r/>
    </w:p>
    <w:p>
      <w:pPr>
        <w:pStyle w:val="870"/>
        <w:jc w:val="center"/>
        <w:spacing w:line="360" w:lineRule="auto"/>
        <w:rPr>
          <w:rFonts w:hint="eastAsia" w:ascii="宋体" w:hAnsi="宋体" w:eastAsia="宋体" w:cs="宋体"/>
          <w:b/>
          <w:bCs/>
          <w:color w:val="000000"/>
          <w:sz w:val="32"/>
          <w:szCs w:val="21"/>
          <w:highlight w:val="none"/>
          <w:lang w:eastAsia="zh-CN"/>
        </w:rPr>
      </w:pPr>
      <w:r>
        <w:rPr>
          <w:rFonts w:hint="eastAsia" w:ascii="宋体" w:hAnsi="宋体" w:eastAsia="宋体" w:cs="宋体"/>
          <w:b/>
          <w:bCs/>
          <w:color w:val="000000"/>
          <w:sz w:val="32"/>
          <w:szCs w:val="21"/>
          <w:highlight w:val="none"/>
          <w:lang w:eastAsia="zh-CN"/>
        </w:rPr>
        <w:t xml:space="preserve">2026年5月</w:t>
      </w:r>
      <w:r>
        <w:rPr>
          <w:rFonts w:hint="eastAsia" w:ascii="宋体" w:hAnsi="宋体" w:eastAsia="宋体" w:cs="宋体"/>
          <w:b/>
          <w:bCs/>
          <w:color w:val="000000"/>
          <w:sz w:val="32"/>
          <w:szCs w:val="21"/>
          <w:highlight w:val="none"/>
          <w:lang w:eastAsia="zh-CN"/>
        </w:rPr>
      </w:r>
      <w:r/>
    </w:p>
    <w:p>
      <w:pPr>
        <w:pStyle w:val="870"/>
        <w:jc w:val="center"/>
        <w:spacing w:line="360" w:lineRule="auto"/>
        <w:rPr>
          <w:color w:val="000000"/>
          <w:highlight w:val="none"/>
        </w:rPr>
      </w:pPr>
      <w:r>
        <w:rPr>
          <w:color w:val="000000"/>
          <w:highlight w:val="none"/>
        </w:rPr>
        <w:br w:type="page" w:clear="all"/>
      </w:r>
      <w:r>
        <w:rPr>
          <w:color w:val="000000"/>
          <w:highlight w:val="none"/>
        </w:rPr>
      </w:r>
      <w:r/>
    </w:p>
    <w:p>
      <w:pPr>
        <w:pStyle w:val="870"/>
        <w:jc w:val="center"/>
        <w:spacing w:line="360" w:lineRule="auto"/>
        <w:rPr>
          <w:rFonts w:ascii="宋体" w:hAnsi="宋体"/>
          <w:color w:val="000000"/>
          <w:sz w:val="44"/>
          <w:szCs w:val="44"/>
          <w:highlight w:val="none"/>
        </w:rPr>
      </w:pPr>
      <w:r>
        <w:rPr>
          <w:rFonts w:hint="eastAsia" w:ascii="宋体" w:hAnsi="宋体"/>
          <w:color w:val="000000"/>
          <w:sz w:val="44"/>
          <w:szCs w:val="44"/>
          <w:highlight w:val="none"/>
          <w:lang w:val="en-US" w:eastAsia="zh-CN"/>
        </w:rPr>
        <w:t xml:space="preserve">总  </w:t>
      </w:r>
      <w:r>
        <w:rPr>
          <w:rFonts w:hint="eastAsia" w:ascii="宋体" w:hAnsi="宋体"/>
          <w:color w:val="000000"/>
          <w:sz w:val="44"/>
          <w:szCs w:val="44"/>
          <w:highlight w:val="none"/>
        </w:rPr>
        <w:t xml:space="preserve">目</w:t>
      </w:r>
      <w:r>
        <w:rPr>
          <w:rFonts w:ascii="宋体" w:hAnsi="宋体"/>
          <w:color w:val="000000"/>
          <w:sz w:val="44"/>
          <w:szCs w:val="44"/>
          <w:highlight w:val="none"/>
        </w:rPr>
        <w:t xml:space="preserve"> 录</w:t>
      </w:r>
      <w:r>
        <w:rPr>
          <w:rFonts w:ascii="宋体" w:hAnsi="宋体"/>
          <w:color w:val="000000"/>
          <w:sz w:val="44"/>
          <w:szCs w:val="44"/>
          <w:highlight w:val="none"/>
        </w:rPr>
      </w:r>
      <w:r/>
    </w:p>
    <w:p>
      <w:pPr>
        <w:pStyle w:val="886"/>
        <w:rPr>
          <w:color w:val="000000"/>
          <w:highlight w:val="none"/>
        </w:rPr>
      </w:pPr>
      <w:r>
        <w:rPr>
          <w:color w:val="000000"/>
          <w:highlight w:val="none"/>
        </w:rPr>
      </w:r>
      <w:r/>
    </w:p>
    <w:p>
      <w:pPr>
        <w:pStyle w:val="898"/>
        <w:spacing w:line="360" w:lineRule="auto"/>
        <w:tabs>
          <w:tab w:val="right" w:pos="829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cs="宋体"/>
          <w:color w:val="000000"/>
          <w:sz w:val="24"/>
          <w:szCs w:val="24"/>
          <w:highlight w:val="none"/>
          <w:lang w:val="en-US" w:eastAsia="zh-CN"/>
        </w:rPr>
        <w:t xml:space="preserve">投标邀请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_Toc109304962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360" w:lineRule="auto"/>
        <w:tabs>
          <w:tab w:val="right" w:pos="8296" w:leader="dot"/>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第二章 </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p>
      <w:pPr>
        <w:pStyle w:val="898"/>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第三章 合同</w:t>
      </w:r>
      <w:r>
        <w:rPr>
          <w:rFonts w:hint="eastAsia" w:ascii="宋体" w:hAnsi="宋体" w:cs="宋体"/>
          <w:color w:val="000000"/>
          <w:sz w:val="24"/>
          <w:szCs w:val="24"/>
          <w:highlight w:val="none"/>
          <w:lang w:val="en-US" w:eastAsia="zh-CN"/>
        </w:rPr>
        <w:t xml:space="preserve">文本</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p>
      <w:pPr>
        <w:pStyle w:val="898"/>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第四章 </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p>
      <w:pPr>
        <w:pStyle w:val="898"/>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第五章 评标方法与评标</w:t>
      </w:r>
      <w:r>
        <w:rPr>
          <w:rFonts w:hint="eastAsia" w:ascii="宋体" w:hAnsi="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p>
      <w:pPr>
        <w:pStyle w:val="898"/>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p>
      <w:pPr>
        <w:pStyle w:val="870"/>
        <w:spacing w:line="360" w:lineRule="auto"/>
        <w:rPr>
          <w:rFonts w:ascii="宋体" w:hAnsi="宋体"/>
          <w:color w:val="000000"/>
          <w:sz w:val="28"/>
          <w:highlight w:val="none"/>
        </w:rPr>
      </w:pPr>
      <w:r>
        <w:rPr>
          <w:rFonts w:hint="eastAsia" w:ascii="宋体" w:hAnsi="宋体" w:eastAsia="宋体" w:cs="宋体"/>
          <w:color w:val="000000"/>
          <w:sz w:val="24"/>
          <w:szCs w:val="24"/>
          <w:highlight w:val="none"/>
        </w:rPr>
        <w:fldChar w:fldCharType="end"/>
      </w:r>
      <w:r>
        <w:rPr>
          <w:rFonts w:ascii="宋体" w:hAnsi="宋体"/>
          <w:color w:val="000000"/>
          <w:sz w:val="28"/>
          <w:highlight w:val="none"/>
        </w:rPr>
      </w:r>
      <w:r/>
    </w:p>
    <w:p>
      <w:pPr>
        <w:pStyle w:val="870"/>
        <w:spacing w:line="360" w:lineRule="auto"/>
        <w:rPr>
          <w:color w:val="000000"/>
          <w:highlight w:val="none"/>
        </w:rPr>
      </w:pPr>
      <w:r>
        <w:rPr>
          <w:color w:val="000000"/>
          <w:highlight w:val="none"/>
        </w:rPr>
      </w:r>
      <w:r/>
    </w:p>
    <w:p>
      <w:pPr>
        <w:pStyle w:val="871"/>
        <w:jc w:val="center"/>
        <w:spacing w:line="360" w:lineRule="auto"/>
        <w:rPr>
          <w:rFonts w:hint="eastAsia" w:ascii="宋体" w:hAnsi="宋体"/>
          <w:color w:val="000000"/>
          <w:sz w:val="36"/>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 w:name="_Toc109304962"/>
      <w:r>
        <w:rPr>
          <w:rFonts w:hint="eastAsia" w:ascii="宋体" w:hAnsi="宋体"/>
          <w:color w:val="000000"/>
          <w:sz w:val="36"/>
          <w:szCs w:val="28"/>
          <w:highlight w:val="none"/>
        </w:rPr>
      </w:r>
      <w:r/>
    </w:p>
    <w:p>
      <w:pPr>
        <w:pStyle w:val="871"/>
        <w:jc w:val="center"/>
        <w:spacing w:line="360" w:lineRule="auto"/>
        <w:rPr>
          <w:rFonts w:hint="eastAsia" w:ascii="宋体" w:hAnsi="宋体"/>
          <w:color w:val="000000"/>
          <w:sz w:val="28"/>
          <w:szCs w:val="28"/>
          <w:highlight w:val="none"/>
        </w:rPr>
      </w:pPr>
      <w:r>
        <w:rPr>
          <w:rFonts w:hint="eastAsia" w:ascii="宋体" w:hAnsi="宋体"/>
          <w:color w:val="000000"/>
          <w:sz w:val="36"/>
          <w:szCs w:val="28"/>
          <w:highlight w:val="none"/>
        </w:rPr>
        <w:t xml:space="preserve">第一章 </w:t>
      </w:r>
      <w:bookmarkEnd w:id="3"/>
      <w:r>
        <w:rPr>
          <w:rFonts w:hint="eastAsia" w:ascii="宋体" w:hAnsi="宋体"/>
          <w:color w:val="000000"/>
          <w:sz w:val="36"/>
          <w:szCs w:val="28"/>
          <w:highlight w:val="none"/>
        </w:rPr>
        <w:t xml:space="preserve">投标邀请</w:t>
      </w:r>
      <w:r>
        <w:rPr>
          <w:rFonts w:hint="eastAsia" w:ascii="宋体" w:hAnsi="宋体"/>
          <w:color w:val="000000"/>
          <w:sz w:val="28"/>
          <w:szCs w:val="28"/>
          <w:highlight w:val="none"/>
        </w:rPr>
      </w:r>
      <w:r/>
    </w:p>
    <w:p>
      <w:pPr>
        <w:pStyle w:val="870"/>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受</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扬州市公安局</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的委托，扬州筑苑工程招标咨询有限公司就</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扬州市直属监所医疗卫生专业化达标建设项目</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（JSZC-321000-ZYCG-G2026-0008）</w:t>
      </w:r>
      <w:r>
        <w:rPr>
          <w:rFonts w:hint="eastAsia" w:ascii="宋体" w:hAnsi="宋体" w:eastAsia="宋体" w:cs="宋体"/>
          <w:color w:val="000000"/>
          <w:sz w:val="24"/>
          <w:szCs w:val="21"/>
          <w:highlight w:val="none"/>
          <w:lang w:val="en-US" w:eastAsia="zh-CN"/>
        </w:rPr>
        <w:t xml:space="preserve">项目</w:t>
      </w:r>
      <w:r>
        <w:rPr>
          <w:rFonts w:hint="eastAsia" w:ascii="宋体" w:hAnsi="宋体" w:eastAsia="宋体" w:cs="宋体"/>
          <w:color w:val="000000"/>
          <w:sz w:val="24"/>
          <w:szCs w:val="21"/>
          <w:highlight w:val="none"/>
          <w:lang w:eastAsia="zh-CN"/>
        </w:rPr>
        <w:t xml:space="preserve">进行公开招标采购，欢迎符合条件的投标人投标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870"/>
        <w:ind w:firstLine="482"/>
        <w:pageBreakBefore w:val="0"/>
        <w:spacing w:line="360" w:lineRule="auto"/>
        <w:widowControl w:val="off"/>
        <w:rPr>
          <w:rFonts w:hint="eastAsia" w:ascii="宋体" w:hAnsi="宋体" w:eastAsia="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扬州市直属监所医疗卫生专业化达标建设项目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lang w:eastAsia="zh-CN"/>
        </w:rPr>
        <w:t xml:space="preserve">“江苏政府采购网”、“扬州市政府采购网”</w:t>
      </w:r>
      <w:r>
        <w:rPr>
          <w:rFonts w:hint="eastAsia" w:ascii="宋体" w:hAnsi="宋体" w:eastAsia="宋体" w:cs="宋体"/>
          <w:sz w:val="24"/>
          <w:szCs w:val="24"/>
          <w:highlight w:val="none"/>
          <w:u w:val="single"/>
        </w:rPr>
        <w:t xml:space="preserve">自行免费下载</w:t>
      </w:r>
      <w:r>
        <w:rPr>
          <w:rFonts w:hint="eastAsia" w:ascii="宋体" w:hAnsi="宋体" w:eastAsia="宋体" w:cs="宋体"/>
          <w:sz w:val="24"/>
          <w:szCs w:val="24"/>
          <w:highlight w:val="none"/>
        </w:rPr>
        <w:t xml:space="preserve">招标文件</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eastAsia="zh-CN"/>
        </w:rPr>
        <w:t xml:space="preserve">2026年0</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lang w:eastAsia="zh-CN"/>
        </w:rPr>
        <w:t xml:space="preserve">月</w:t>
      </w:r>
      <w:r>
        <w:rPr>
          <w:rFonts w:hint="eastAsia" w:ascii="宋体" w:hAnsi="宋体" w:eastAsia="宋体" w:cs="宋体"/>
          <w:color w:val="000000"/>
          <w:sz w:val="24"/>
          <w:szCs w:val="24"/>
          <w:highlight w:val="none"/>
          <w:u w:val="single"/>
          <w:lang w:val="en-US" w:eastAsia="zh-CN"/>
        </w:rPr>
        <w:t xml:space="preserve">03</w:t>
      </w:r>
      <w:r>
        <w:rPr>
          <w:rFonts w:hint="eastAsia" w:ascii="宋体" w:hAnsi="宋体" w:eastAsia="宋体" w:cs="宋体"/>
          <w:color w:val="000000"/>
          <w:sz w:val="24"/>
          <w:szCs w:val="24"/>
          <w:highlight w:val="none"/>
          <w:u w:val="single"/>
          <w:lang w:eastAsia="zh-CN"/>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bookmarkStart w:id="4" w:name="_Toc109304963"/>
      <w:r>
        <w:rPr>
          <w:rFonts w:hint="eastAsia" w:ascii="宋体" w:hAnsi="宋体" w:eastAsia="宋体" w:cs="宋体"/>
          <w:bCs w:val="0"/>
          <w:color w:val="000000"/>
          <w:sz w:val="24"/>
          <w:szCs w:val="24"/>
          <w:highlight w:val="none"/>
        </w:rPr>
        <w:t xml:space="preserve">一、项目基本情况</w:t>
      </w:r>
      <w:bookmarkEnd w:id="4"/>
      <w:r>
        <w:rPr>
          <w:rFonts w:hint="eastAsia" w:ascii="宋体" w:hAnsi="宋体" w:eastAsia="宋体" w:cs="宋体"/>
          <w:bCs w:val="0"/>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JSZC-321000-ZYCG-G2026-0008</w:t>
      </w:r>
      <w:r/>
    </w:p>
    <w:p>
      <w:pPr>
        <w:pStyle w:val="870"/>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扬州市直属监所医疗卫生专业化达标建设项目</w:t>
      </w:r>
      <w:r>
        <w:rPr>
          <w:rFonts w:hint="eastAsia" w:ascii="宋体" w:hAnsi="宋体" w:eastAsia="宋体" w:cs="宋体"/>
          <w:color w:val="000000"/>
          <w:sz w:val="24"/>
          <w:szCs w:val="24"/>
          <w:highlight w:val="none"/>
          <w:lang w:eastAsia="zh-CN"/>
        </w:rPr>
      </w:r>
      <w:r/>
    </w:p>
    <w:p>
      <w:pPr>
        <w:pStyle w:val="870"/>
        <w:ind w:firstLine="48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330</w:t>
      </w:r>
      <w:r>
        <w:rPr>
          <w:rFonts w:hint="eastAsia" w:ascii="宋体" w:hAnsi="宋体" w:eastAsia="宋体" w:cs="宋体"/>
          <w:color w:val="000000"/>
          <w:sz w:val="24"/>
          <w:szCs w:val="24"/>
          <w:highlight w:val="none"/>
          <w:lang w:eastAsia="zh-CN"/>
        </w:rPr>
        <w:t xml:space="preserve">万元</w:t>
      </w:r>
      <w:r>
        <w:rPr>
          <w:rFonts w:ascii="宋体" w:hAnsi="宋体" w:eastAsia="宋体" w:cs="宋体"/>
          <w:color w:val="000000"/>
          <w:sz w:val="24"/>
          <w:szCs w:val="24"/>
          <w:highlight w:val="none"/>
          <w:lang w:val="en-US"/>
        </w:rPr>
      </w:r>
      <w:r/>
    </w:p>
    <w:p>
      <w:pPr>
        <w:pStyle w:val="870"/>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.本项目设置最高限价，最高限价为</w:t>
      </w:r>
      <w:r>
        <w:rPr>
          <w:rFonts w:hint="eastAsia" w:ascii="宋体" w:hAnsi="宋体" w:eastAsia="宋体" w:cs="宋体"/>
          <w:color w:val="000000"/>
          <w:sz w:val="24"/>
          <w:szCs w:val="24"/>
          <w:highlight w:val="none"/>
          <w:lang w:val="en-US" w:eastAsia="zh-CN"/>
        </w:rPr>
        <w:t xml:space="preserve">330万元</w:t>
      </w:r>
      <w:r>
        <w:rPr>
          <w:rFonts w:hint="eastAsia" w:ascii="宋体" w:hAnsi="宋体" w:eastAsia="宋体" w:cs="宋体"/>
          <w:color w:val="000000"/>
          <w:sz w:val="24"/>
          <w:szCs w:val="24"/>
          <w:highlight w:val="none"/>
        </w:rPr>
        <w:t xml:space="preserve">，最后报价超过最高限价的为无效报价，按照无效响</w:t>
      </w:r>
      <w:r>
        <w:rPr>
          <w:rFonts w:hint="eastAsia" w:ascii="宋体" w:hAnsi="宋体" w:eastAsia="宋体" w:cs="宋体"/>
          <w:color w:val="000000"/>
          <w:sz w:val="24"/>
          <w:szCs w:val="24"/>
          <w:highlight w:val="none"/>
        </w:rPr>
        <w:t xml:space="preserve">应处理。</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简介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拟由扬州市区综合性医院派驻专业人员负责市直属监所医疗保障和体检中心新入所人员健康体检等工作，并提供配套医疗设施保障服务。</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服务期限为1年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bookmarkStart w:id="5" w:name="_Toc109304964"/>
      <w:r>
        <w:rPr>
          <w:rFonts w:hint="eastAsia" w:ascii="宋体" w:hAnsi="宋体" w:eastAsia="宋体" w:cs="宋体"/>
          <w:bCs w:val="0"/>
          <w:color w:val="000000"/>
          <w:sz w:val="24"/>
          <w:szCs w:val="24"/>
          <w:highlight w:val="none"/>
        </w:rPr>
        <w:t xml:space="preserve">二、申请人的资格要求：</w:t>
      </w:r>
      <w:bookmarkEnd w:id="5"/>
      <w:r>
        <w:rPr>
          <w:rFonts w:hint="eastAsia" w:ascii="宋体" w:hAnsi="宋体" w:eastAsia="宋体" w:cs="宋体"/>
          <w:bCs w:val="0"/>
          <w:color w:val="000000"/>
          <w:sz w:val="24"/>
          <w:szCs w:val="24"/>
          <w:highlight w:val="none"/>
        </w:rPr>
      </w:r>
      <w:r/>
    </w:p>
    <w:p>
      <w:pPr>
        <w:pStyle w:val="870"/>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1.满足《中华人民共和国政府采购法》第二十二条规定，并提供下列材料：</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 法人或者其他组织的营业执照等证明文件，自然人的身份证明；</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w:t>
      </w:r>
      <w:r>
        <w:rPr>
          <w:rFonts w:hint="eastAsia" w:ascii="宋体" w:hAnsi="宋体" w:eastAsia="宋体" w:cs="宋体"/>
          <w:i/>
          <w:iCs/>
          <w:color w:val="000000"/>
          <w:sz w:val="24"/>
          <w:szCs w:val="24"/>
          <w:highlight w:val="none"/>
          <w:u w:val="single"/>
          <w:lang w:eastAsia="zh-CN"/>
        </w:rPr>
        <w:t xml:space="preserve">上一年度（2025年度）的财务状况报告</w:t>
      </w:r>
      <w:r>
        <w:rPr>
          <w:rFonts w:hint="eastAsia" w:ascii="宋体" w:hAnsi="宋体" w:eastAsia="宋体" w:cs="宋体"/>
          <w:i/>
          <w:iCs/>
          <w:color w:val="000000"/>
          <w:sz w:val="24"/>
          <w:szCs w:val="24"/>
          <w:highlight w:val="none"/>
          <w:u w:val="single"/>
        </w:rPr>
        <w:t xml:space="preserve">（成立不满一年无需提供）；</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1.4具备履行合同所必需的设备和专业技术能力的书面声明；</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1.5参加政府采购活动前3年内在经营活动中没有重大违法记录的书面声明；</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w:t>
      </w:r>
      <w:r>
        <w:rPr>
          <w:rFonts w:hint="eastAsia" w:ascii="宋体" w:hAnsi="宋体" w:eastAsia="宋体" w:cs="宋体"/>
          <w:i/>
          <w:iCs/>
          <w:color w:val="000000"/>
          <w:sz w:val="24"/>
          <w:szCs w:val="24"/>
          <w:highlight w:val="none"/>
          <w:u w:val="single"/>
          <w:lang w:eastAsia="zh-CN"/>
        </w:rPr>
        <w:t xml:space="preserve">投标人</w:t>
      </w:r>
      <w:r>
        <w:rPr>
          <w:rFonts w:hint="eastAsia" w:ascii="宋体" w:hAnsi="宋体" w:eastAsia="宋体" w:cs="宋体"/>
          <w:i/>
          <w:iCs/>
          <w:color w:val="000000"/>
          <w:sz w:val="24"/>
          <w:szCs w:val="24"/>
          <w:highlight w:val="none"/>
          <w:u w:val="single"/>
        </w:rPr>
        <w:t xml:space="preserve">信用承诺函；</w:t>
      </w:r>
      <w:r>
        <w:rPr>
          <w:rFonts w:hint="eastAsia" w:ascii="宋体" w:hAnsi="宋体" w:eastAsia="宋体" w:cs="宋体"/>
          <w:i/>
          <w:iCs/>
          <w:color w:val="000000"/>
          <w:sz w:val="24"/>
          <w:szCs w:val="24"/>
          <w:highlight w:val="none"/>
          <w:u w:val="single"/>
        </w:rPr>
      </w:r>
      <w:r/>
    </w:p>
    <w:p>
      <w:pPr>
        <w:pStyle w:val="870"/>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2.未被“信用中国”网站（www.creditchina.gov.cn）、“中国政府采购网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i/>
          <w:iCs/>
          <w:color w:val="000000"/>
          <w:sz w:val="24"/>
          <w:szCs w:val="24"/>
          <w:highlight w:val="none"/>
          <w:u w:val="single"/>
        </w:rPr>
      </w:r>
      <w:r/>
    </w:p>
    <w:p>
      <w:pPr>
        <w:pStyle w:val="870"/>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3.落实政府采购政策需满足的资格要</w:t>
      </w:r>
      <w:r>
        <w:rPr>
          <w:rFonts w:hint="eastAsia" w:ascii="宋体" w:hAnsi="宋体" w:eastAsia="宋体" w:cs="宋体"/>
          <w:color w:val="000000"/>
          <w:sz w:val="24"/>
          <w:szCs w:val="24"/>
          <w:highlight w:val="none"/>
        </w:rPr>
        <w:t xml:space="preserve">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sz w:val="24"/>
          <w:szCs w:val="24"/>
          <w:highlight w:val="none"/>
        </w:rPr>
        <w:t xml:space="preserve">本项目（是/否）接受联合体投标：否</w:t>
      </w:r>
      <w:r>
        <w:rPr>
          <w:rFonts w:hint="eastAsia" w:ascii="宋体" w:hAnsi="宋体" w:eastAsia="宋体" w:cs="宋体"/>
          <w:color w:val="000000"/>
          <w:sz w:val="24"/>
          <w:szCs w:val="24"/>
          <w:highlight w:val="none"/>
        </w:rPr>
      </w:r>
      <w:r/>
    </w:p>
    <w:p>
      <w:pPr>
        <w:pStyle w:val="870"/>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rPr>
        <w:t xml:space="preserve">本项目（是/否）</w:t>
      </w:r>
      <w:r>
        <w:rPr>
          <w:rFonts w:ascii="宋体" w:hAnsi="宋体" w:eastAsia="宋体" w:cs="宋体"/>
          <w:color w:val="000000"/>
          <w:sz w:val="24"/>
          <w:highlight w:val="none"/>
        </w:rPr>
        <w:t xml:space="preserve">接受进口产品</w:t>
      </w:r>
      <w:r>
        <w:rPr>
          <w:rFonts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：否（注：指产品而非构成产品的零部件或者原材料，本文件所称进口产品是指通过中国海关报关验放进入中国境内且产自关境外的产品）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i/>
          <w:iCs/>
          <w:color w:val="000000"/>
          <w:sz w:val="24"/>
          <w:szCs w:val="24"/>
          <w:highlight w:val="none"/>
          <w:u w:val="single"/>
          <w:lang w:eastAsia="zh-CN"/>
        </w:rPr>
        <w:t xml:space="preserve">投标人应为综合性医院，且应具有有效期内的医疗执业机构许可证</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t xml:space="preserve">（提供医疗执业机构许可证正本及副本原件，扫描上传）</w:t>
      </w:r>
      <w:r>
        <w:rPr>
          <w:rFonts w:hint="eastAsia" w:ascii="宋体" w:hAnsi="宋体" w:eastAsia="宋体" w:cs="宋体"/>
          <w:i/>
          <w:iCs/>
          <w:color w:val="000000"/>
          <w:sz w:val="24"/>
          <w:szCs w:val="24"/>
          <w:highlight w:val="none"/>
          <w:u w:val="singl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bookmarkStart w:id="6" w:name="_Toc109304965"/>
      <w:r>
        <w:rPr>
          <w:rFonts w:hint="eastAsia" w:ascii="宋体" w:hAnsi="宋体" w:eastAsia="宋体" w:cs="宋体"/>
          <w:bCs w:val="0"/>
          <w:color w:val="000000"/>
          <w:sz w:val="24"/>
          <w:szCs w:val="24"/>
          <w:highlight w:val="none"/>
        </w:rPr>
        <w:t xml:space="preserve">三、获取采购文件</w:t>
      </w:r>
      <w:bookmarkEnd w:id="6"/>
      <w:r>
        <w:rPr>
          <w:rFonts w:hint="eastAsia" w:ascii="宋体" w:hAnsi="宋体" w:eastAsia="宋体" w:cs="宋体"/>
          <w:bCs w:val="0"/>
          <w:color w:val="000000"/>
          <w:sz w:val="24"/>
          <w:szCs w:val="24"/>
          <w:highlight w:val="none"/>
        </w:rPr>
      </w:r>
      <w:r/>
    </w:p>
    <w:p>
      <w:pPr>
        <w:pStyle w:val="870"/>
        <w:ind w:firstLine="480"/>
        <w:spacing w:line="360" w:lineRule="auto"/>
        <w:rPr>
          <w:rFonts w:hint="eastAsia" w:ascii="宋体" w:hAnsi="宋体" w:eastAsia="宋体" w:cs="宋体"/>
          <w:sz w:val="24"/>
          <w:szCs w:val="24"/>
          <w:highlight w:val="none"/>
        </w:rPr>
      </w:pPr>
      <w:r/>
      <w:bookmarkStart w:id="7" w:name="_Toc109304966"/>
      <w:r>
        <w:rPr>
          <w:rFonts w:hint="eastAsia" w:ascii="宋体" w:hAnsi="宋体" w:eastAsia="宋体" w:cs="宋体"/>
          <w:sz w:val="24"/>
          <w:szCs w:val="24"/>
          <w:highlight w:val="none"/>
        </w:rPr>
        <w:t xml:space="preserve">1.时间：自招标文件公告发布之日起5个工作日。</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w:t>
      </w:r>
      <w:bookmarkEnd w:id="7"/>
      <w:r>
        <w:rPr>
          <w:rFonts w:hint="eastAsia" w:ascii="宋体" w:hAnsi="宋体" w:eastAsia="宋体" w:cs="宋体"/>
          <w:bCs w:val="0"/>
          <w:color w:val="000000"/>
          <w:sz w:val="24"/>
          <w:szCs w:val="24"/>
          <w:highlight w:val="none"/>
        </w:rPr>
        <w:t xml:space="preserve">提交投标文件截止时间、开标时间和地点</w:t>
      </w:r>
      <w:r>
        <w:rPr>
          <w:rFonts w:hint="eastAsia" w:ascii="宋体" w:hAnsi="宋体" w:eastAsia="宋体" w:cs="宋体"/>
          <w:bCs w:val="0"/>
          <w:color w:val="000000"/>
          <w:sz w:val="24"/>
          <w:szCs w:val="24"/>
          <w:highlight w:val="none"/>
        </w:rPr>
      </w:r>
      <w:r/>
    </w:p>
    <w:p>
      <w:pPr>
        <w:pStyle w:val="870"/>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bookmarkStart w:id="8" w:name="_Toc109304968"/>
      <w:r>
        <w:rPr>
          <w:rFonts w:ascii="宋体" w:hAnsi="宋体" w:eastAsia="宋体" w:cs="宋体"/>
          <w:color w:val="000000"/>
          <w:sz w:val="24"/>
          <w:highlight w:val="none"/>
          <w:u w:val="none"/>
        </w:rPr>
        <w:t xml:space="preserve">1.</w:t>
      </w:r>
      <w:r>
        <w:rPr>
          <w:rFonts w:hint="eastAsia" w:ascii="宋体" w:hAnsi="宋体" w:eastAsia="宋体" w:cs="宋体"/>
          <w:color w:val="000000"/>
          <w:sz w:val="24"/>
          <w:highlight w:val="none"/>
          <w:lang w:eastAsia="zh-CN"/>
        </w:rPr>
        <w:t xml:space="preserve">2026年0</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03</w:t>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val="en-US" w:eastAsia="zh-CN"/>
        </w:rPr>
        <w:t xml:space="preserve">09</w:t>
      </w:r>
      <w:r>
        <w:rPr>
          <w:rFonts w:hint="eastAsia" w:ascii="宋体" w:hAnsi="宋体" w:eastAsia="宋体" w:cs="宋体"/>
          <w:color w:val="000000"/>
          <w:sz w:val="24"/>
          <w:highlight w:val="none"/>
        </w:rPr>
        <w:t xml:space="preserve">点30分</w:t>
      </w:r>
      <w:r>
        <w:rPr>
          <w:rFonts w:ascii="宋体" w:hAnsi="宋体" w:eastAsia="宋体" w:cs="宋体"/>
          <w:color w:val="000000"/>
          <w:sz w:val="24"/>
          <w:highlight w:val="none"/>
          <w:u w:val="none"/>
        </w:rPr>
        <w:t xml:space="preserve">（</w:t>
      </w:r>
      <w:r>
        <w:rPr>
          <w:rFonts w:ascii="宋体" w:hAnsi="宋体" w:eastAsia="宋体" w:cs="宋体"/>
          <w:color w:val="000000"/>
          <w:sz w:val="24"/>
          <w:highlight w:val="none"/>
        </w:rPr>
        <w:t xml:space="preserve">北京时间）</w:t>
      </w:r>
      <w:r>
        <w:rPr>
          <w:highlight w:val="none"/>
        </w:rPr>
      </w:r>
      <w:r/>
    </w:p>
    <w:p>
      <w:pPr>
        <w:pStyle w:val="870"/>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rPr>
          <w:highlight w:val="non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五</w:t>
      </w:r>
      <w:r>
        <w:rPr>
          <w:rFonts w:hint="eastAsia" w:ascii="宋体" w:hAnsi="宋体" w:eastAsia="宋体" w:cs="宋体"/>
          <w:bCs w:val="0"/>
          <w:color w:val="000000"/>
          <w:sz w:val="24"/>
          <w:szCs w:val="24"/>
          <w:highlight w:val="none"/>
        </w:rPr>
        <w:t xml:space="preserve">、公告期限</w:t>
      </w:r>
      <w:bookmarkEnd w:id="8"/>
      <w:r>
        <w:rPr>
          <w:rFonts w:hint="eastAsia" w:ascii="宋体" w:hAnsi="宋体" w:eastAsia="宋体" w:cs="宋体"/>
          <w:bCs w:val="0"/>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bookmarkStart w:id="9" w:name="_Toc109304969"/>
      <w:r>
        <w:rPr>
          <w:rFonts w:hint="eastAsia" w:ascii="宋体" w:hAnsi="宋体" w:eastAsia="宋体" w:cs="宋体"/>
          <w:color w:val="000000"/>
          <w:sz w:val="24"/>
          <w:szCs w:val="24"/>
          <w:highlight w:val="none"/>
        </w:rPr>
        <w:t xml:space="preserve">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87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、其他补充事宜</w:t>
      </w:r>
      <w:bookmarkEnd w:id="9"/>
      <w:r>
        <w:rPr>
          <w:rFonts w:hint="eastAsia" w:ascii="宋体" w:hAnsi="宋体" w:eastAsia="宋体" w:cs="宋体"/>
          <w:color w:val="000000"/>
          <w:sz w:val="24"/>
          <w:szCs w:val="24"/>
          <w:highlight w:val="none"/>
        </w:rPr>
      </w:r>
      <w:r/>
    </w:p>
    <w:p>
      <w:pPr>
        <w:pStyle w:val="870"/>
        <w:ind w:firstLine="420"/>
        <w:jc w:val="left"/>
        <w:spacing w:line="360" w:lineRule="auto"/>
        <w:widowControl/>
        <w:rPr>
          <w:rFonts w:hint="eastAsia" w:ascii="宋体" w:hAnsi="宋体" w:eastAsia="宋体" w:cs="宋体"/>
          <w:sz w:val="24"/>
          <w:szCs w:val="24"/>
          <w:highlight w:val="none"/>
        </w:rPr>
      </w:pPr>
      <w:r/>
      <w:bookmarkStart w:id="10" w:name="_Toc109304970"/>
      <w:r>
        <w:rPr>
          <w:rFonts w:hint="eastAsia" w:ascii="宋体" w:hAnsi="宋体" w:eastAsia="宋体" w:cs="宋体"/>
          <w:sz w:val="24"/>
          <w:szCs w:val="24"/>
          <w:highlight w:val="none"/>
        </w:rPr>
        <w:t xml:space="preserve">1.潜在投标人访问政府采购管理交易系统（苏采云）的网络地址和方法：</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（3）“CA数字证书”的办理材料以及供应商操作手册详见：</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http://zfcg.yangzhou.gov.cn/zfcg/xzzx/202309/4d7de1f7865f4a2894fc22bc452f94d8.shtml。</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（4）潜在供应商访问“苏采云”系统的网络地址和方法：“苏采云”系统的网址：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（7）苏采云系统使用谷歌浏览器参与不见面开标。</w:t>
      </w:r>
      <w:r>
        <w:rPr>
          <w:rFonts w:hint="eastAsia" w:ascii="宋体" w:hAnsi="宋体" w:eastAsia="宋体" w:cs="宋体"/>
          <w:sz w:val="24"/>
          <w:szCs w:val="24"/>
          <w:highlight w:val="none"/>
        </w:rPr>
      </w:r>
      <w:r/>
    </w:p>
    <w:p>
      <w:pPr>
        <w:pStyle w:val="87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sz w:val="24"/>
          <w:szCs w:val="24"/>
          <w:highlight w:val="none"/>
        </w:rPr>
      </w:r>
      <w:r/>
    </w:p>
    <w:p>
      <w:pPr>
        <w:pStyle w:val="870"/>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rFonts w:hint="eastAsia" w:ascii="宋体" w:hAnsi="宋体" w:eastAsia="宋体" w:cs="宋体"/>
          <w:sz w:val="24"/>
          <w:szCs w:val="24"/>
          <w:highlight w:val="none"/>
        </w:rPr>
      </w:r>
      <w:r/>
    </w:p>
    <w:p>
      <w:pPr>
        <w:pStyle w:val="870"/>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3.供应商如确定参加投标，可自行下载招标文件及有关资料，按照《操作手册》进行注册，领取CA和办理电子签章，并按《操作手册》要求制作、上传电子投标文件，技术支持联系方式：13813140731。</w:t>
      </w:r>
      <w:r>
        <w:rPr>
          <w:rFonts w:hint="eastAsia" w:ascii="宋体" w:hAnsi="宋体" w:eastAsia="宋体" w:cs="宋体"/>
          <w:sz w:val="24"/>
          <w:szCs w:val="24"/>
          <w:highlight w:val="none"/>
        </w:rPr>
      </w:r>
      <w:r/>
    </w:p>
    <w:p>
      <w:pPr>
        <w:pStyle w:val="870"/>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4.严格执行政府采购关于支持</w:t>
      </w:r>
      <w:r>
        <w:rPr>
          <w:rFonts w:hint="eastAsia" w:ascii="宋体" w:hAnsi="宋体" w:eastAsia="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highlight w:val="none"/>
        </w:rPr>
      </w:r>
      <w:r/>
    </w:p>
    <w:p>
      <w:pPr>
        <w:pStyle w:val="91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5.供应商对于投标产品的包装应按照“财办库〔2020〕123号《关于印发《商品包装政府采购需求标准（试行）》、《快递包装政府采购需求标准（试行）》的通知》”执行。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rPr>
      </w:r>
      <w:r/>
    </w:p>
    <w:p>
      <w:pPr>
        <w:pStyle w:val="870"/>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6.潜在投标人对招标文件项目需求部分的询问、质疑请向采购人提出，由采购人负责答复。</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7.本次招标不收取投标保证金。</w:t>
      </w:r>
      <w:r>
        <w:rPr>
          <w:rFonts w:hint="eastAsia" w:ascii="宋体" w:hAnsi="宋体" w:eastAsia="宋体" w:cs="宋体"/>
          <w:color w:val="ff0000"/>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8.有关本次招标的事项若存在变动或修改，敬</w:t>
      </w:r>
      <w:r>
        <w:rPr>
          <w:rFonts w:hint="eastAsia" w:ascii="宋体" w:hAnsi="宋体" w:eastAsia="宋体" w:cs="宋体"/>
          <w:sz w:val="24"/>
          <w:szCs w:val="24"/>
          <w:highlight w:val="none"/>
        </w:rPr>
        <w:t xml:space="preserve">请及时关注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发布的信息。</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9.本项目招标文件中所有斜体下划线部分为实质性条款，如不满足，则为无效投标。</w:t>
      </w:r>
      <w:r>
        <w:rPr>
          <w:rFonts w:hint="eastAsia" w:ascii="宋体" w:hAnsi="宋体" w:eastAsia="宋体" w:cs="宋体"/>
          <w:i/>
          <w:iCs/>
          <w:sz w:val="24"/>
          <w:szCs w:val="24"/>
          <w:highlight w:val="none"/>
          <w:u w:val="single"/>
        </w:rPr>
      </w:r>
      <w:r/>
    </w:p>
    <w:p>
      <w:pPr>
        <w:pStyle w:val="872"/>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七</w:t>
      </w:r>
      <w:r>
        <w:rPr>
          <w:rFonts w:hint="eastAsia" w:ascii="宋体" w:hAnsi="宋体" w:eastAsia="宋体" w:cs="宋体"/>
          <w:bCs w:val="0"/>
          <w:color w:val="000000"/>
          <w:sz w:val="24"/>
          <w:szCs w:val="24"/>
          <w:highlight w:val="none"/>
        </w:rPr>
        <w:t xml:space="preserve">、</w:t>
      </w:r>
      <w:bookmarkEnd w:id="10"/>
      <w:r>
        <w:rPr>
          <w:rFonts w:hint="eastAsia" w:ascii="宋体" w:hAnsi="宋体" w:eastAsia="宋体" w:cs="宋体"/>
          <w:bCs w:val="0"/>
          <w:color w:val="000000"/>
          <w:sz w:val="24"/>
          <w:szCs w:val="24"/>
          <w:highlight w:val="none"/>
        </w:rPr>
        <w:t xml:space="preserve">本次招标联系方式</w:t>
      </w:r>
      <w:r>
        <w:rPr>
          <w:rFonts w:hint="eastAsia" w:ascii="宋体" w:hAnsi="宋体" w:eastAsia="宋体" w:cs="宋体"/>
          <w:bCs w:val="0"/>
          <w:color w:val="000000"/>
          <w:sz w:val="24"/>
          <w:szCs w:val="24"/>
          <w:highlight w:val="none"/>
        </w:rPr>
      </w:r>
      <w:r/>
    </w:p>
    <w:p>
      <w:pPr>
        <w:pStyle w:val="888"/>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扬州市公安局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扬州市邗江区润扬中路98号</w:t>
      </w:r>
      <w:r>
        <w:rPr>
          <w:rFonts w:hint="eastAsia" w:ascii="宋体" w:hAnsi="宋体" w:eastAsia="宋体" w:cs="宋体"/>
          <w:color w:val="000000"/>
          <w:sz w:val="24"/>
          <w:szCs w:val="24"/>
          <w:highlight w:val="none"/>
          <w:lang w:eastAsia="zh-CN"/>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徐敏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联系方式：0514-</w:t>
      </w:r>
      <w:r>
        <w:rPr>
          <w:rFonts w:hint="eastAsia" w:ascii="宋体" w:hAnsi="宋体" w:eastAsia="宋体" w:cs="宋体"/>
          <w:color w:val="000000"/>
          <w:sz w:val="24"/>
          <w:szCs w:val="24"/>
          <w:highlight w:val="none"/>
          <w:lang w:val="en-US" w:eastAsia="zh-CN"/>
        </w:rPr>
        <w:t xml:space="preserve">87838080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88"/>
        <w:ind w:firstLine="480"/>
        <w:pageBreakBefore w:val="0"/>
        <w:spacing w:line="360" w:lineRule="auto"/>
        <w:widowControl w:val="off"/>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称：扬州筑苑工程招标咨询有限公司   </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址：扬州市润扬北路19号</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薛梦宇</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rPr>
        <w:t xml:space="preserve">：0514-87116778</w:t>
      </w:r>
      <w:r>
        <w:rPr>
          <w:rFonts w:hint="eastAsia" w:ascii="宋体" w:hAnsi="宋体" w:eastAsia="宋体" w:cs="宋体"/>
          <w:color w:val="000000"/>
          <w:sz w:val="24"/>
          <w:szCs w:val="24"/>
          <w:highlight w:val="none"/>
        </w:rPr>
      </w:r>
      <w:r/>
    </w:p>
    <w:p>
      <w:pPr>
        <w:pStyle w:val="943"/>
        <w:jc w:val="center"/>
        <w:spacing w:line="360" w:lineRule="auto"/>
        <w:rPr>
          <w:rFonts w:hint="eastAsia" w:ascii="宋体" w:hAnsi="宋体"/>
          <w:color w:val="000000"/>
          <w:highlight w:val="none"/>
        </w:rPr>
      </w:pPr>
      <w:r>
        <w:rPr>
          <w:rFonts w:ascii="宋体" w:hAnsi="宋体"/>
          <w:color w:val="000000"/>
          <w:sz w:val="36"/>
          <w:highlight w:val="none"/>
        </w:rPr>
        <w:br w:type="page" w:clear="all"/>
      </w:r>
      <w:bookmarkStart w:id="11" w:name="_Toc109304972"/>
      <w:r>
        <w:rPr>
          <w:rFonts w:hint="eastAsia" w:ascii="宋体" w:hAnsi="宋体"/>
          <w:color w:val="000000"/>
          <w:highlight w:val="none"/>
        </w:rPr>
        <w:t xml:space="preserve">第二章 </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须知</w:t>
      </w:r>
      <w:r>
        <w:rPr>
          <w:rFonts w:hint="eastAsia" w:ascii="宋体" w:hAnsi="宋体"/>
          <w:color w:val="000000"/>
          <w:highlight w:val="none"/>
        </w:rPr>
      </w:r>
      <w:r/>
    </w:p>
    <w:p>
      <w:pPr>
        <w:pStyle w:val="955"/>
        <w:ind w:firstLine="498"/>
        <w:pageBreakBefore w:val="0"/>
        <w:spacing w:before="145" w:after="145" w:line="360" w:lineRule="auto"/>
        <w:widowControl w:val="off"/>
        <w:rPr>
          <w:rFonts w:hint="eastAsia" w:ascii="宋体" w:hAnsi="宋体" w:eastAsia="宋体" w:cs="宋体"/>
          <w:sz w:val="24"/>
          <w:szCs w:val="24"/>
          <w:highlight w:val="none"/>
        </w:rPr>
      </w:pPr>
      <w:r/>
      <w:bookmarkEnd w:id="11"/>
      <w:r/>
      <w:bookmarkStart w:id="12" w:name="_Toc109304973"/>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1、招标方式</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2、合格的投标人</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的资格要求的规定。</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3、适用法律</w:t>
      </w:r>
      <w:r>
        <w:rPr>
          <w:rFonts w:hint="eastAsia" w:ascii="宋体" w:hAnsi="宋体" w:eastAsia="宋体" w:cs="宋体"/>
          <w:b w:val="0"/>
          <w:bCs w:val="0"/>
          <w:sz w:val="24"/>
          <w:szCs w:val="24"/>
          <w:highlight w:val="none"/>
        </w:rPr>
      </w:r>
      <w:r/>
    </w:p>
    <w:p>
      <w:pPr>
        <w:pStyle w:val="870"/>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4、投标费用</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投标人应自行承担所有与参加投标有关的费用，无论投标过程中的做法和结果如何，</w:t>
      </w:r>
      <w:r>
        <w:rPr>
          <w:rFonts w:hint="eastAsia" w:ascii="宋体" w:hAnsi="宋体" w:eastAsia="宋体" w:cs="宋体"/>
          <w:bCs/>
          <w:sz w:val="24"/>
          <w:szCs w:val="24"/>
          <w:highlight w:val="none"/>
          <w:lang w:eastAsia="zh-CN"/>
        </w:rPr>
        <w:t xml:space="preserve">扬州筑苑工程招标咨询有限公司</w:t>
      </w:r>
      <w:r>
        <w:rPr>
          <w:rFonts w:hint="eastAsia" w:ascii="宋体" w:hAnsi="宋体" w:eastAsia="宋体" w:cs="宋体"/>
          <w:bCs/>
          <w:sz w:val="24"/>
          <w:szCs w:val="24"/>
          <w:highlight w:val="none"/>
        </w:rPr>
        <w:t xml:space="preserve">（以下简称</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）在任何情况下均无义务和责任承担这些费用。</w:t>
      </w:r>
      <w:r>
        <w:rPr>
          <w:rFonts w:hint="eastAsia" w:ascii="宋体" w:hAnsi="宋体" w:eastAsia="宋体" w:cs="宋体"/>
          <w:bCs/>
          <w:sz w:val="24"/>
          <w:szCs w:val="24"/>
          <w:highlight w:val="none"/>
        </w:rPr>
      </w:r>
      <w:r/>
    </w:p>
    <w:p>
      <w:pPr>
        <w:pStyle w:val="958"/>
        <w:ind w:firstLine="480"/>
        <w:spacing w:line="360" w:lineRule="auto"/>
        <w:rPr>
          <w:rFonts w:hint="eastAsia" w:ascii="宋体" w:hAnsi="宋体" w:eastAsia="宋体" w:cs="宋体"/>
          <w:bCs/>
          <w:sz w:val="24"/>
          <w:szCs w:val="24"/>
          <w:highlight w:val="none"/>
        </w:rPr>
      </w:pPr>
      <w:r/>
      <w:bookmarkStart w:id="13" w:name="_Hlk115095815"/>
      <w:r>
        <w:rPr>
          <w:rFonts w:hint="eastAsia" w:ascii="宋体" w:hAnsi="宋体" w:eastAsia="宋体" w:cs="宋体"/>
          <w:bCs/>
          <w:sz w:val="24"/>
          <w:szCs w:val="24"/>
          <w:highlight w:val="none"/>
        </w:rPr>
        <w:t xml:space="preserve">4.2</w:t>
      </w:r>
      <w:r>
        <w:rPr>
          <w:rFonts w:hint="eastAsia" w:ascii="宋体" w:hAnsi="宋体" w:eastAsia="宋体" w:cs="宋体"/>
          <w:b w:val="0"/>
          <w:bCs w:val="0"/>
          <w:color w:val="000000"/>
          <w:sz w:val="24"/>
          <w:szCs w:val="24"/>
          <w:highlight w:val="none"/>
        </w:rPr>
        <w:t xml:space="preserve">本项目代理服</w:t>
      </w:r>
      <w:r>
        <w:rPr>
          <w:rFonts w:hint="eastAsia" w:ascii="宋体" w:hAnsi="宋体" w:eastAsia="宋体" w:cs="宋体"/>
          <w:color w:val="000000"/>
          <w:sz w:val="24"/>
          <w:szCs w:val="24"/>
          <w:highlight w:val="none"/>
        </w:rPr>
        <w:t xml:space="preserve">务费</w:t>
      </w:r>
      <w:r>
        <w:rPr>
          <w:rFonts w:hint="eastAsia" w:hAnsi="宋体" w:eastAsia="宋体" w:cs="宋体"/>
          <w:color w:val="000000"/>
          <w:sz w:val="24"/>
          <w:szCs w:val="24"/>
          <w:highlight w:val="none"/>
          <w:lang w:val="en-US" w:eastAsia="zh-CN"/>
        </w:rPr>
        <w:t xml:space="preserve">由中标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在领取</w:t>
      </w:r>
      <w:r>
        <w:rPr>
          <w:rFonts w:hint="eastAsia"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通知书前向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一次性支付</w:t>
      </w:r>
      <w:r>
        <w:rPr>
          <w:rFonts w:hint="eastAsia" w:hAnsi="宋体" w:eastAsia="宋体" w:cs="宋体"/>
          <w:color w:val="000000"/>
          <w:sz w:val="24"/>
          <w:szCs w:val="24"/>
          <w:highlight w:val="none"/>
          <w:lang w:val="en-US" w:eastAsia="zh-CN"/>
        </w:rPr>
        <w:t xml:space="preserve">壹万伍仟元整</w:t>
      </w: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招标代理服务费开户银行： 江苏银行股份有限公司扬州分行</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开户名称：扬州筑苑工程招标咨询有限公司 </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开户账号</w:t>
      </w:r>
      <w:r>
        <w:rPr>
          <w:rFonts w:hint="eastAsia" w:ascii="宋体" w:hAnsi="宋体" w:eastAsia="宋体" w:cs="宋体"/>
          <w:bCs/>
          <w:sz w:val="24"/>
          <w:szCs w:val="24"/>
          <w:highlight w:val="none"/>
        </w:rPr>
        <w:t xml:space="preserve">：90080188000034881 </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4.3专家评审费按扬财购【2020】40号文《关于进一步规范扬州市政府采购专</w:t>
      </w:r>
      <w:r>
        <w:rPr>
          <w:rFonts w:hint="eastAsia" w:ascii="宋体" w:hAnsi="宋体" w:eastAsia="宋体" w:cs="宋体"/>
          <w:b w:val="0"/>
          <w:bCs/>
          <w:sz w:val="24"/>
          <w:szCs w:val="24"/>
          <w:highlight w:val="none"/>
        </w:rPr>
        <w:t xml:space="preserve">家评审费标准的通知》执行。</w:t>
      </w:r>
      <w:r>
        <w:rPr>
          <w:rFonts w:hint="eastAsia" w:ascii="宋体" w:hAnsi="宋体" w:eastAsia="宋体" w:cs="宋体"/>
          <w:b w:val="0"/>
          <w:bCs/>
          <w:sz w:val="24"/>
          <w:szCs w:val="24"/>
          <w:highlight w:val="none"/>
        </w:rPr>
      </w:r>
      <w:r/>
    </w:p>
    <w:p>
      <w:pPr>
        <w:pStyle w:val="951"/>
        <w:ind w:firstLine="602"/>
        <w:pageBreakBefore w:val="0"/>
        <w:spacing w:before="0" w:after="0" w:line="360" w:lineRule="auto"/>
        <w:widowControl w:val="off"/>
        <w:rPr>
          <w:rFonts w:hint="eastAsia" w:ascii="宋体" w:hAnsi="宋体" w:eastAsia="宋体" w:cs="宋体"/>
          <w:b w:val="0"/>
          <w:bCs w:val="0"/>
          <w:sz w:val="24"/>
          <w:szCs w:val="24"/>
          <w:highlight w:val="none"/>
        </w:rPr>
      </w:pPr>
      <w:r/>
      <w:bookmarkEnd w:id="13"/>
      <w:r>
        <w:rPr>
          <w:rFonts w:hint="eastAsia" w:ascii="宋体" w:hAnsi="宋体" w:eastAsia="宋体" w:cs="宋体"/>
          <w:b w:val="0"/>
          <w:bCs/>
          <w:sz w:val="24"/>
          <w:szCs w:val="24"/>
          <w:highlight w:val="none"/>
        </w:rPr>
        <w:t xml:space="preserve">5、招标</w:t>
      </w:r>
      <w:r>
        <w:rPr>
          <w:rFonts w:hint="eastAsia" w:ascii="宋体" w:hAnsi="宋体" w:eastAsia="宋体" w:cs="宋体"/>
          <w:b w:val="0"/>
          <w:bCs w:val="0"/>
          <w:sz w:val="24"/>
          <w:szCs w:val="24"/>
          <w:highlight w:val="none"/>
        </w:rPr>
        <w:t xml:space="preserve">文件的约束力</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955"/>
        <w:ind w:firstLine="321"/>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6、招标文件构成</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 招标文件由以下部分组成：</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951"/>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7、招标文件的澄清</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 任何要求对招标文件进行澄清的投标人，应在投标截止期</w:t>
      </w:r>
      <w:r>
        <w:rPr>
          <w:rFonts w:hint="eastAsia" w:ascii="宋体" w:hAnsi="宋体" w:eastAsia="宋体" w:cs="宋体"/>
          <w:b/>
          <w:sz w:val="24"/>
          <w:szCs w:val="24"/>
          <w:highlight w:val="none"/>
        </w:rPr>
        <w:t xml:space="preserve">十日</w:t>
      </w:r>
      <w:r>
        <w:rPr>
          <w:rFonts w:hint="eastAsia" w:ascii="宋体" w:hAnsi="宋体" w:eastAsia="宋体" w:cs="宋体"/>
          <w:sz w:val="24"/>
          <w:szCs w:val="24"/>
          <w:highlight w:val="none"/>
        </w:rPr>
        <w:t xml:space="preserve">前按招标公告中的通讯地址，以书面形式通知</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1"/>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8、招标文件的修改</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 在投标截止时间前，</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可以对招标文件进行修改。</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 </w:t>
      </w:r>
      <w:r>
        <w:rPr>
          <w:rFonts w:hint="eastAsia" w:ascii="宋体" w:hAnsi="宋体" w:eastAsia="宋体" w:cs="宋体"/>
          <w:sz w:val="24"/>
          <w:szCs w:val="24"/>
          <w:highlight w:val="none"/>
        </w:rPr>
        <w:t xml:space="preserve">招标文件的修改将在江苏政府采购网、扬州市政府采购网公布，补充文件将作为招标文件的组成部分，并对投标人具有约束力。</w:t>
      </w:r>
      <w:r>
        <w:rPr>
          <w:rFonts w:hint="eastAsia" w:ascii="宋体" w:hAnsi="宋体" w:eastAsia="宋体" w:cs="宋体"/>
          <w:sz w:val="24"/>
          <w:szCs w:val="24"/>
          <w:highlight w:val="none"/>
        </w:rPr>
      </w:r>
      <w:r/>
    </w:p>
    <w:p>
      <w:pPr>
        <w:pStyle w:val="955"/>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951"/>
        <w:ind w:firstLine="560"/>
        <w:pageBreakBefore w:val="0"/>
        <w:spacing w:before="0" w:after="0" w:line="360" w:lineRule="auto"/>
        <w:widowControl w:val="off"/>
        <w:rPr>
          <w:rFonts w:hint="eastAsia" w:ascii="宋体" w:hAnsi="宋体" w:eastAsia="宋体" w:cs="宋体"/>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就有关投标的所有来往通知、函件和文件均应使用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 除技术性能另有规定外，投标文件所使用的度量衡单位，均须采用国家法定计量单位。</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10、投标文件构成</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11、证明投标人及投标标的符合招标文件规定的文件</w:t>
      </w:r>
      <w:r>
        <w:rPr>
          <w:rFonts w:hint="eastAsia" w:ascii="宋体" w:hAnsi="宋体" w:eastAsia="宋体" w:cs="宋体"/>
          <w:b w:val="0"/>
          <w:bCs w:val="0"/>
          <w:sz w:val="24"/>
          <w:szCs w:val="24"/>
          <w:highlight w:val="none"/>
        </w:rPr>
      </w:r>
      <w:r/>
    </w:p>
    <w:p>
      <w:pPr>
        <w:pStyle w:val="87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12、投标分项报价表</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 投标人应按照招标文件规定格式填报投标分项报价表。</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投标货币。投标文件中的单价和总价无特殊规定的采用人民币报价，以元为单位标注。</w:t>
      </w:r>
      <w:r>
        <w:rPr>
          <w:rFonts w:hint="eastAsia" w:ascii="宋体" w:hAnsi="宋体" w:eastAsia="宋体" w:cs="宋体"/>
          <w:sz w:val="24"/>
          <w:szCs w:val="24"/>
          <w:highlight w:val="none"/>
        </w:rPr>
        <w:t xml:space="preserve">招标文件中另有规定的按规定执行。</w:t>
      </w:r>
      <w:r>
        <w:rPr>
          <w:rFonts w:hint="eastAsia" w:ascii="宋体" w:hAnsi="宋体" w:eastAsia="宋体" w:cs="宋体"/>
          <w:bCs/>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13、技术要求响应及偏离表、商务要求响应及偏离表</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 投标人需对招标文件中的技术要求与商务要求逐项作出响应或偏离，并说明原因。</w:t>
      </w:r>
      <w:r>
        <w:rPr>
          <w:rFonts w:hint="eastAsia" w:ascii="宋体" w:hAnsi="宋体" w:eastAsia="宋体" w:cs="宋体"/>
          <w:sz w:val="24"/>
          <w:szCs w:val="24"/>
          <w:highlight w:val="none"/>
        </w:rPr>
      </w:r>
      <w:r/>
    </w:p>
    <w:p>
      <w:pPr>
        <w:pStyle w:val="870"/>
        <w:ind w:firstLine="480"/>
        <w:pageBreakBefore w:val="0"/>
        <w:spacing w:line="360" w:lineRule="auto"/>
        <w:widowControl w:val="off"/>
        <w:tabs>
          <w:tab w:val="left" w:pos="103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 投标人可在投标文件中提供认为需要的其他技术文件或说明。</w:t>
      </w:r>
      <w:r>
        <w:rPr>
          <w:rFonts w:hint="eastAsia" w:ascii="宋体" w:hAnsi="宋体" w:eastAsia="宋体" w:cs="宋体"/>
          <w:sz w:val="24"/>
          <w:szCs w:val="24"/>
          <w:highlight w:val="none"/>
          <w:lang w:val="zh-CN"/>
        </w:rPr>
      </w:r>
      <w:r/>
    </w:p>
    <w:p>
      <w:pPr>
        <w:pStyle w:val="870"/>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15、投标函和开标一览表</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15.1</w:t>
      </w:r>
      <w:r>
        <w:rPr>
          <w:rFonts w:hint="eastAsia" w:ascii="宋体" w:hAnsi="宋体" w:eastAsia="宋体" w:cs="宋体"/>
          <w:sz w:val="24"/>
          <w:szCs w:val="24"/>
          <w:highlight w:val="none"/>
        </w:rPr>
        <w:t xml:space="preserve"> 投标人应按照招标文件中提供的格式完整、正确填写投标函、开标一览表。</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15.2</w:t>
      </w:r>
      <w:r>
        <w:rPr>
          <w:rFonts w:hint="eastAsia" w:ascii="宋体" w:hAnsi="宋体" w:eastAsia="宋体" w:cs="宋体"/>
          <w:sz w:val="24"/>
          <w:szCs w:val="24"/>
          <w:highlight w:val="none"/>
        </w:rPr>
        <w:t xml:space="preserve"> 对于采用货币报价的项目，</w:t>
      </w:r>
      <w:r>
        <w:rPr>
          <w:rFonts w:hint="eastAsia" w:ascii="宋体" w:hAnsi="宋体" w:eastAsia="宋体" w:cs="宋体"/>
          <w:bCs/>
          <w:sz w:val="24"/>
          <w:szCs w:val="24"/>
          <w:highlight w:val="none"/>
        </w:rPr>
        <w:t xml:space="preserve">开标一览表中的投标总报价应与投标分项报价表中的投标总报价一致，如不一致，</w:t>
      </w:r>
      <w:r>
        <w:rPr>
          <w:rFonts w:hint="eastAsia" w:ascii="宋体" w:hAnsi="宋体" w:eastAsia="宋体" w:cs="宋体"/>
          <w:sz w:val="24"/>
          <w:szCs w:val="24"/>
          <w:highlight w:val="none"/>
        </w:rPr>
        <w:t xml:space="preserve">不作为无效投标处理</w:t>
      </w:r>
      <w:r>
        <w:rPr>
          <w:rFonts w:hint="eastAsia" w:ascii="宋体" w:hAnsi="宋体" w:eastAsia="宋体" w:cs="宋体"/>
          <w:bCs/>
          <w:sz w:val="24"/>
          <w:szCs w:val="24"/>
          <w:highlight w:val="none"/>
        </w:rPr>
        <w:t xml:space="preserve">，但评标时按开标一览表中价格为准</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16、投标有效期</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16.1</w:t>
      </w:r>
      <w:r>
        <w:rPr>
          <w:rFonts w:hint="eastAsia" w:ascii="宋体" w:hAnsi="宋体" w:eastAsia="宋体" w:cs="宋体"/>
          <w:bCs/>
          <w:sz w:val="24"/>
          <w:szCs w:val="24"/>
          <w:highlight w:val="none"/>
        </w:rPr>
        <w:t xml:space="preserve"> 投标有效期为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规定的开标之日后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。投标有效期比规定短的将被视为未实质性响应招标文件而予以拒绝。</w:t>
      </w:r>
      <w:r>
        <w:rPr>
          <w:rFonts w:hint="eastAsia" w:ascii="宋体" w:hAnsi="宋体" w:eastAsia="宋体" w:cs="宋体"/>
          <w:bCs/>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17、投标有效期的延长</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bCs/>
          <w:sz w:val="24"/>
          <w:szCs w:val="24"/>
          <w:highlight w:val="none"/>
        </w:rPr>
        <w:t xml:space="preserve"> 在特殊情况下，</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5"/>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四、投标文件的递交</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18、投标文件的递交</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18.1 电子投标文件的递交</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投标人应当按照《操作手册》规定，在投标截止时间前制作并上传电子投标文件。</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19、投标截止时间</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 投标人上传电子投标文件的时间不得迟于招标公告中规定的投标截止时间。</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投标人应充分考虑到网</w:t>
      </w:r>
      <w:r>
        <w:rPr>
          <w:rFonts w:hint="eastAsia" w:ascii="宋体" w:hAnsi="宋体" w:eastAsia="宋体" w:cs="宋体"/>
          <w:bCs/>
          <w:sz w:val="24"/>
          <w:szCs w:val="24"/>
          <w:highlight w:val="none"/>
        </w:rPr>
        <w:t xml:space="preserve">络环境、网络带宽等风险因素，如因投标人自身原因造成的电子投标文件上传不成功的按照本招标文件第二章第26.1.2条 规定做无效投标处理。</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19.2</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20、投标文件的拒收</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拒绝接收在其规定的投标截止时间后上传的任何投标文件。</w:t>
      </w:r>
      <w:r>
        <w:rPr>
          <w:rFonts w:hint="eastAsia" w:ascii="宋体" w:hAnsi="宋体" w:eastAsia="宋体" w:cs="宋体"/>
          <w:bCs/>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21、投标文件的撤回和修改</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电子投标文件的撤回</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21.2.2</w:t>
      </w:r>
      <w:r>
        <w:rPr>
          <w:rFonts w:hint="eastAsia" w:ascii="宋体" w:hAnsi="宋体" w:eastAsia="宋体" w:cs="宋体"/>
          <w:bCs/>
          <w:sz w:val="24"/>
          <w:szCs w:val="24"/>
          <w:highlight w:val="none"/>
        </w:rPr>
        <w:t xml:space="preserve"> 在投标截止时间之后，投标人不得对其电子投标文件作任何修改。</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bCs/>
          <w:sz w:val="24"/>
          <w:szCs w:val="24"/>
          <w:highlight w:val="none"/>
        </w:rPr>
        <w:t xml:space="preserve">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55"/>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22、开标</w:t>
      </w:r>
      <w:r>
        <w:rPr>
          <w:rFonts w:hint="eastAsia" w:ascii="宋体" w:hAnsi="宋体" w:eastAsia="宋体" w:cs="宋体"/>
          <w:b w:val="0"/>
          <w:bCs w:val="0"/>
          <w:sz w:val="24"/>
          <w:szCs w:val="24"/>
          <w:highlight w:val="none"/>
        </w:rPr>
      </w:r>
      <w:r/>
    </w:p>
    <w:p>
      <w:pPr>
        <w:pStyle w:val="870"/>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22.2</w:t>
      </w:r>
      <w:r>
        <w:rPr>
          <w:rFonts w:hint="eastAsia" w:ascii="宋体" w:hAnsi="宋体" w:eastAsia="宋体" w:cs="宋体"/>
          <w:sz w:val="24"/>
          <w:szCs w:val="24"/>
          <w:highlight w:val="none"/>
        </w:rPr>
        <w:t xml:space="preserve">开标仪式由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23、评标委员会</w:t>
      </w:r>
      <w:r>
        <w:rPr>
          <w:rFonts w:hint="eastAsia" w:ascii="宋体" w:hAnsi="宋体" w:eastAsia="宋体" w:cs="宋体"/>
          <w:b w:val="0"/>
          <w:bCs w:val="0"/>
          <w:sz w:val="24"/>
          <w:szCs w:val="24"/>
          <w:highlight w:val="none"/>
        </w:rPr>
      </w:r>
      <w:r/>
    </w:p>
    <w:p>
      <w:pPr>
        <w:pStyle w:val="87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87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87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24、评标过程的保密与公正</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24.1</w:t>
      </w:r>
      <w:r>
        <w:rPr>
          <w:rFonts w:hint="eastAsia" w:ascii="宋体" w:hAnsi="宋体" w:eastAsia="宋体" w:cs="宋体"/>
          <w:bCs/>
          <w:sz w:val="24"/>
          <w:szCs w:val="24"/>
          <w:highlight w:val="none"/>
        </w:rPr>
        <w:t xml:space="preserve">凡是与审查、澄清、评价和比较投标的有关资料以及授标建议等，采购人、评委、</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均不得向投标人或与评标无关的其他人员透露。</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25、投标文件的澄清</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25.2需要</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进行澄清、说明和补正的，评委会将通过苏采云系统向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87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25.3 接到评委会澄清、说明和补正要求的投标人如未按规定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26、对投标文件的初审</w:t>
      </w:r>
      <w:r>
        <w:rPr>
          <w:rFonts w:hint="eastAsia" w:ascii="宋体" w:hAnsi="宋体" w:eastAsia="宋体" w:cs="宋体"/>
          <w:b w:val="0"/>
          <w:bCs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w:t>
      </w:r>
      <w:r>
        <w:rPr>
          <w:rFonts w:hint="eastAsia" w:ascii="宋体" w:hAnsi="宋体" w:eastAsia="宋体" w:cs="宋体"/>
          <w:bCs/>
          <w:sz w:val="24"/>
          <w:szCs w:val="24"/>
          <w:highlight w:val="none"/>
        </w:rPr>
        <w:t xml:space="preserve">投标文件初审分为资格审查和符合性审查。</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采购人在进行资格性审查的同时，将在“信用中国”网站（www.creditchina.gov.cn）和</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bCs/>
          <w:sz w:val="24"/>
          <w:szCs w:val="24"/>
          <w:highlight w:val="none"/>
        </w:rPr>
        <w:t xml:space="preserve">查询投标人的信用记录，以确定投标人是否具备投标资格</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查询结果留存并归档。</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的身份共同参加政府采购活动的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联合体成员存在不良信用记录的，视同联合体存在不良应用记录。</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 未通过资格审查或符合性审查的投标人，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中告知未通过资格审查或符合性审查的原因，评标结束后，</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将不再告知未通过资格审查和符合性审查的原因。</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26.4</w:t>
      </w:r>
      <w:r>
        <w:rPr>
          <w:rFonts w:hint="eastAsia" w:ascii="宋体" w:hAnsi="宋体" w:eastAsia="宋体" w:cs="宋体"/>
          <w:bCs/>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26.5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告知投标人，调整后的价格应对投标人具有约束力。如果投标人不接受修正后的价格，则其投标将被拒绝。</w:t>
      </w:r>
      <w:r>
        <w:rPr>
          <w:rFonts w:hint="eastAsia" w:ascii="宋体" w:hAnsi="宋体" w:eastAsia="宋体" w:cs="宋体"/>
          <w:bCs/>
          <w:sz w:val="24"/>
          <w:szCs w:val="24"/>
          <w:highlight w:val="none"/>
        </w:rPr>
      </w:r>
      <w:r/>
    </w:p>
    <w:p>
      <w:pPr>
        <w:pStyle w:val="870"/>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26.6投标人在开、评标全过程中应保持通讯畅通，及时登录苏采云系统查阅、答复相关信息，并安排专人与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及评标委员会联系。</w:t>
      </w:r>
      <w:r>
        <w:rPr>
          <w:rFonts w:hint="eastAsia" w:ascii="宋体" w:hAnsi="宋体" w:eastAsia="宋体" w:cs="宋体"/>
          <w:sz w:val="24"/>
          <w:szCs w:val="24"/>
          <w:highlight w:val="none"/>
        </w:rPr>
      </w:r>
      <w:r/>
    </w:p>
    <w:p>
      <w:pPr>
        <w:pStyle w:val="951"/>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27、无效投标条款和废标条款</w:t>
      </w:r>
      <w:r>
        <w:rPr>
          <w:rFonts w:hint="eastAsia" w:ascii="宋体" w:hAnsi="宋体" w:eastAsia="宋体" w:cs="宋体"/>
          <w:b w:val="0"/>
          <w:bCs w:val="0"/>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27.1无效投标条款</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27.1.2 投标人未按照招标文件要求上传电子投标文件的。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27.1.3同一投标人提交两个（含两个）以上不同的投标报价的。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27.1.4投标人不具备招标文件中规定资格要求的。</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27.1.5投标人的报价超过了采购预算或最高限价的。</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27.1.6未通过符合性审查的。</w:t>
      </w:r>
      <w:r>
        <w:rPr>
          <w:rFonts w:hint="eastAsia" w:ascii="宋体" w:hAnsi="宋体" w:eastAsia="宋体" w:cs="宋体"/>
          <w:bCs/>
          <w:i/>
          <w:sz w:val="24"/>
          <w:szCs w:val="24"/>
          <w:highlight w:val="none"/>
          <w:u w:val="single"/>
        </w:rPr>
      </w:r>
      <w:r/>
    </w:p>
    <w:p>
      <w:pPr>
        <w:pStyle w:val="870"/>
        <w:ind w:firstLine="36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 27.1.7不符合招标文件中规定的实质性要求和条件的（</w:t>
      </w:r>
      <w:r>
        <w:rPr>
          <w:rFonts w:hint="eastAsia" w:ascii="宋体" w:hAnsi="宋体" w:eastAsia="宋体" w:cs="宋体"/>
          <w:bCs/>
          <w:i/>
          <w:sz w:val="24"/>
          <w:szCs w:val="24"/>
          <w:highlight w:val="none"/>
          <w:u w:val="single"/>
        </w:rPr>
        <w:t xml:space="preserve">本招标文件中斜体且有下划线部分为实质性要求和条件）。</w:t>
      </w:r>
      <w:r>
        <w:rPr>
          <w:rFonts w:hint="eastAsia" w:ascii="宋体" w:hAnsi="宋体" w:eastAsia="宋体" w:cs="宋体"/>
          <w:bCs/>
          <w:i/>
          <w:sz w:val="24"/>
          <w:szCs w:val="24"/>
          <w:highlight w:val="none"/>
          <w:u w:val="singl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27.1.8 投标人被 “信用中国”网站（www.creditchina.gov.cn）列入失信被执行人或重大税收违法案件当事人名单或政府采购严重失信行为记录名单，被</w:t>
      </w:r>
      <w:r>
        <w:rPr>
          <w:rFonts w:hint="eastAsia" w:ascii="宋体" w:hAnsi="宋体" w:eastAsia="宋体" w:cs="宋体"/>
          <w:sz w:val="24"/>
          <w:szCs w:val="24"/>
          <w:highlight w:val="none"/>
        </w:rPr>
        <w:t xml:space="preserve">“中国政府采购网"(www.ccgp.gov.cn)列入政府采购严重失信行为记录名单，</w:t>
      </w:r>
      <w:r>
        <w:rPr>
          <w:rFonts w:hint="eastAsia" w:ascii="宋体" w:hAnsi="宋体" w:eastAsia="宋体" w:cs="宋体"/>
          <w:bCs/>
          <w:sz w:val="24"/>
          <w:szCs w:val="24"/>
          <w:highlight w:val="none"/>
        </w:rPr>
        <w:t xml:space="preserve">或查询“信用中国”网站后发现投标人存在其他不符合《中华人民共和国政府采购法》第二十二条规定条件的信用记录。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27.1.9 投标文件含有采购人不能接受的附加条件的。</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rPr>
        <w:t xml:space="preserve">2</w:t>
      </w:r>
      <w:r>
        <w:rPr>
          <w:rFonts w:hint="eastAsia" w:ascii="宋体" w:hAnsi="宋体" w:eastAsia="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rPr>
        <w:t xml:space="preserve">.1.10</w:t>
      </w:r>
      <w:r>
        <w:rPr>
          <w:rFonts w:hint="eastAsia" w:ascii="宋体" w:hAnsi="宋体" w:eastAsia="宋体" w:cs="宋体"/>
          <w:bCs/>
          <w:color w:val="ff0000"/>
          <w:sz w:val="24"/>
          <w:szCs w:val="24"/>
          <w:highlight w:val="none"/>
          <w:lang w:val="en-US" w:eastAsia="zh-CN"/>
        </w:rPr>
        <w:t xml:space="preserve"> 异常低价投标（响应）</w:t>
      </w:r>
      <w:r>
        <w:rPr>
          <w:rFonts w:hint="eastAsia" w:ascii="宋体" w:hAnsi="宋体" w:eastAsia="宋体" w:cs="宋体"/>
          <w:bCs/>
          <w:color w:val="ff0000"/>
          <w:sz w:val="24"/>
          <w:szCs w:val="24"/>
          <w:highlight w:val="none"/>
          <w:lang w:val="en-US" w:eastAsia="zh-CN"/>
        </w:rPr>
      </w:r>
      <w:r/>
    </w:p>
    <w:p>
      <w:pPr>
        <w:pStyle w:val="870"/>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ff0000"/>
          <w:sz w:val="24"/>
          <w:szCs w:val="24"/>
          <w:highlight w:val="none"/>
          <w:lang w:val="en-US" w:eastAsia="zh-CN"/>
        </w:rPr>
      </w:r>
      <w:r/>
    </w:p>
    <w:p>
      <w:pPr>
        <w:pStyle w:val="870"/>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ff0000"/>
          <w:sz w:val="24"/>
          <w:szCs w:val="24"/>
          <w:highlight w:val="none"/>
          <w:lang w:val="en-US" w:eastAsia="zh-CN"/>
        </w:rPr>
      </w:r>
      <w:r/>
    </w:p>
    <w:p>
      <w:pPr>
        <w:pStyle w:val="870"/>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ff0000"/>
          <w:sz w:val="24"/>
          <w:szCs w:val="24"/>
          <w:highlight w:val="none"/>
          <w:lang w:val="en-US" w:eastAsia="zh-CN"/>
        </w:rPr>
      </w:r>
      <w:r/>
    </w:p>
    <w:p>
      <w:pPr>
        <w:pStyle w:val="870"/>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ff0000"/>
          <w:sz w:val="24"/>
          <w:szCs w:val="24"/>
          <w:highlight w:val="none"/>
          <w:lang w:val="en-US" w:eastAsia="zh-CN"/>
        </w:rPr>
      </w:r>
      <w:r/>
    </w:p>
    <w:p>
      <w:pPr>
        <w:pStyle w:val="870"/>
        <w:ind w:firstLine="480"/>
        <w:spacing w:line="312" w:lineRule="auto"/>
        <w:rPr>
          <w:rFonts w:hint="eastAsia" w:ascii="宋体" w:hAnsi="宋体" w:eastAsia="宋体" w:cs="宋体"/>
          <w:bCs/>
          <w:color w:val="ff0000"/>
          <w:sz w:val="24"/>
          <w:szCs w:val="24"/>
          <w:highlight w:val="none"/>
        </w:rPr>
      </w:pPr>
      <w:r>
        <w:rPr>
          <w:rFonts w:hint="eastAsia" w:ascii="宋体" w:hAnsi="宋体" w:eastAsia="宋体" w:cs="宋体"/>
          <w:color w:val="ff0000"/>
          <w:sz w:val="24"/>
          <w:szCs w:val="24"/>
          <w:highlight w:val="none"/>
          <w:lang w:val="en-US" w:eastAsia="zh-CN"/>
        </w:rPr>
        <w:t xml:space="preserve">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Cs/>
          <w:color w:val="ff000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27.1.11 投标文件未按照招标文件要求加盖CA电子公章的。</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27.1.12其他法律、法规及本招标文件规定的属无效投标的情形。</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27.2废标条款</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27.2.1符合专业条件的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或者对招标文件作实质响应的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27.2.2出现影响采购公正的违法、违规行为的。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27.2.3因重大变故，采购任务取消的。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27.2.4评标委员会认定招标文件存在歧义、重大缺陷导致评审工作无法进行。</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27.2.5 因</w:t>
      </w:r>
      <w:r>
        <w:rPr>
          <w:rFonts w:hint="eastAsia" w:ascii="宋体" w:hAnsi="宋体" w:eastAsia="宋体" w:cs="宋体"/>
          <w:sz w:val="24"/>
          <w:szCs w:val="24"/>
          <w:highlight w:val="none"/>
        </w:rPr>
        <w:t xml:space="preserve">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bCs/>
          <w:sz w:val="24"/>
          <w:szCs w:val="24"/>
          <w:highlight w:val="none"/>
        </w:rPr>
        <w:t xml:space="preserve">原因造成开标不成功的。</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 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不足三家的处理：</w:t>
      </w:r>
      <w:r>
        <w:rPr>
          <w:rFonts w:hint="eastAsia" w:ascii="宋体" w:hAnsi="宋体" w:eastAsia="宋体" w:cs="宋体"/>
          <w:bCs/>
          <w:sz w:val="24"/>
          <w:szCs w:val="24"/>
          <w:highlight w:val="none"/>
        </w:rPr>
      </w:r>
      <w:r/>
    </w:p>
    <w:p>
      <w:pPr>
        <w:pStyle w:val="870"/>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27.3.1如出现投标截止时间结束后参加投标的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或者在评标期间对招标文件做出实质响应的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不足三家情况，按政府采购相关规定执行。六、定标</w:t>
      </w:r>
      <w:r>
        <w:rPr>
          <w:rFonts w:hint="eastAsia" w:ascii="宋体" w:hAnsi="宋体" w:eastAsia="宋体" w:cs="宋体"/>
          <w:bCs/>
          <w:sz w:val="24"/>
          <w:szCs w:val="24"/>
          <w:highlight w:val="none"/>
        </w:rPr>
      </w:r>
      <w:r/>
    </w:p>
    <w:p>
      <w:pPr>
        <w:pStyle w:val="951"/>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28、确定中标单位</w:t>
      </w:r>
      <w:r>
        <w:rPr>
          <w:rFonts w:hint="eastAsia" w:ascii="宋体" w:hAnsi="宋体" w:eastAsia="宋体" w:cs="宋体"/>
          <w:b w:val="0"/>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28.1中标候选人的选取原则和数量见招标文件第五章规定。 </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采购人应根据评委会推荐的中标候选人确定中标人。</w:t>
      </w:r>
      <w:r>
        <w:rPr>
          <w:rFonts w:hint="eastAsia" w:ascii="宋体" w:hAnsi="宋体" w:eastAsia="宋体" w:cs="宋体"/>
          <w:bCs/>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28.3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将在“江苏政府采购网”、“扬州市政府采购网”发布中标公告，公告期限为1个工作日。</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28.4.1提供虚假材料谋取中标的。</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28.4.4与采购人或者其他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28.4.5采取不正当手段诋毁、排挤其他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有下列情形之一的，视为投标人串通投标，投标无效：</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951"/>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29、质疑处理</w:t>
      </w:r>
      <w:r>
        <w:rPr>
          <w:rFonts w:hint="eastAsia" w:ascii="宋体" w:hAnsi="宋体" w:eastAsia="宋体" w:cs="宋体"/>
          <w:b w:val="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提出质疑的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应当是参与所质疑项目采购活动的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依法获取其可质疑的采购文件的，可以对采购文件提出质疑。</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应当在法定质疑期内一次性提出针对同一采购程序环节的质疑。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第一次质疑作出答复。</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29.3质疑函必须按照本招标文件中《质疑函范本》要求的格式和内容进行填写。</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（含潜在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）对采购方式、招标文件中采购需求、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资格条件、评标方法和评标标准、合同文本及资格审查</w:t>
      </w:r>
      <w:r>
        <w:rPr>
          <w:rFonts w:hint="eastAsia" w:ascii="宋体" w:hAnsi="宋体" w:eastAsia="宋体" w:cs="宋体"/>
          <w:color w:val="000000"/>
          <w:sz w:val="24"/>
          <w:szCs w:val="24"/>
          <w:highlight w:val="none"/>
        </w:rPr>
        <w:t xml:space="preserve">结果的询问、质疑请向采购人提出，由采购人负责答复。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对其他事项的询问、质疑请向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870"/>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尽量通过邮寄方式提</w:t>
      </w:r>
      <w:r>
        <w:rPr>
          <w:rFonts w:hint="eastAsia" w:ascii="宋体" w:hAnsi="宋体" w:eastAsia="宋体" w:cs="宋体"/>
          <w:color w:val="000000"/>
          <w:sz w:val="24"/>
          <w:szCs w:val="24"/>
          <w:highlight w:val="none"/>
        </w:rPr>
        <w:t xml:space="preserve">交质疑（采购人和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质疑接受人及联系方式详见招标文件第一章。</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以下情形的质疑不予受理</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 超出政府采购法定期限的质疑。</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 未参加投标活动的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或在投标活动中自身权益未受到损害的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w:t>
      </w:r>
      <w:r>
        <w:rPr>
          <w:rFonts w:hint="eastAsia" w:ascii="宋体" w:hAnsi="宋体" w:eastAsia="宋体" w:cs="宋体"/>
          <w:sz w:val="24"/>
          <w:szCs w:val="24"/>
          <w:highlight w:val="none"/>
        </w:rPr>
      </w:r>
      <w:r/>
    </w:p>
    <w:p>
      <w:pPr>
        <w:pStyle w:val="870"/>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组成联合体参加投标，联合体中任何一方或多方未按要求签字、盖章、加盖公章的质疑。</w:t>
      </w:r>
      <w:r>
        <w:rPr>
          <w:rFonts w:hint="eastAsia" w:ascii="宋体" w:hAnsi="宋体" w:eastAsia="宋体" w:cs="宋体"/>
          <w:sz w:val="24"/>
          <w:szCs w:val="24"/>
          <w:highlight w:val="none"/>
        </w:rPr>
      </w:r>
      <w:r/>
    </w:p>
    <w:p>
      <w:pPr>
        <w:pStyle w:val="870"/>
        <w:ind w:firstLine="468"/>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提出书面质疑必须有理、有据，不得捏造事实、提供虚假材料进行恶意质疑。否则，一经查实，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进行相应的行政处罚和记录该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的失信信息。</w:t>
      </w:r>
      <w:r>
        <w:rPr>
          <w:rFonts w:hint="eastAsia" w:ascii="宋体" w:hAnsi="宋体" w:eastAsia="宋体" w:cs="宋体"/>
          <w:sz w:val="24"/>
          <w:szCs w:val="24"/>
          <w:highlight w:val="none"/>
        </w:rPr>
      </w:r>
      <w:r/>
    </w:p>
    <w:p>
      <w:pPr>
        <w:pStyle w:val="951"/>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30、中标通知书</w:t>
      </w:r>
      <w:r>
        <w:rPr>
          <w:rFonts w:hint="eastAsia" w:ascii="宋体" w:hAnsi="宋体" w:eastAsia="宋体" w:cs="宋体"/>
          <w:b w:val="0"/>
          <w:sz w:val="24"/>
          <w:szCs w:val="24"/>
          <w:highlight w:val="none"/>
        </w:rPr>
      </w:r>
      <w:r/>
    </w:p>
    <w:p>
      <w:pPr>
        <w:pStyle w:val="870"/>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870"/>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955"/>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951"/>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 签订合同</w:t>
      </w:r>
      <w:r>
        <w:rPr>
          <w:rFonts w:hint="eastAsia" w:ascii="宋体" w:hAnsi="宋体" w:eastAsia="宋体" w:cs="宋体"/>
          <w:b w:val="0"/>
          <w:sz w:val="24"/>
          <w:szCs w:val="24"/>
          <w:highlight w:val="none"/>
        </w:rPr>
      </w:r>
      <w:r/>
    </w:p>
    <w:p>
      <w:pPr>
        <w:pStyle w:val="870"/>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31</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rPr>
          <w:rFonts w:hint="eastAsia" w:ascii="宋体" w:hAnsi="宋体" w:eastAsia="宋体" w:cs="宋体"/>
          <w:sz w:val="24"/>
          <w:szCs w:val="24"/>
          <w:highlight w:val="none"/>
        </w:rPr>
      </w:r>
      <w:r/>
    </w:p>
    <w:p>
      <w:pPr>
        <w:pStyle w:val="870"/>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870"/>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签订合同后，</w:t>
      </w:r>
      <w:r>
        <w:rPr>
          <w:rFonts w:hint="eastAsia" w:ascii="宋体" w:hAnsi="宋体" w:eastAsia="宋体" w:cs="宋体"/>
          <w:i/>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951"/>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32、政府采购履约资金扶持政策</w:t>
      </w:r>
      <w:r>
        <w:rPr>
          <w:rFonts w:hint="eastAsia" w:ascii="宋体" w:hAnsi="宋体" w:eastAsia="宋体" w:cs="宋体"/>
          <w:b w:val="0"/>
          <w:sz w:val="24"/>
          <w:szCs w:val="24"/>
          <w:highlight w:val="none"/>
        </w:rPr>
      </w:r>
      <w:r/>
    </w:p>
    <w:p>
      <w:pPr>
        <w:pStyle w:val="937"/>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中标人可凭政府采购合同办理融资贷款，详情请见江苏政府采购网、扬州市政府采购网“政采贷”专栏。</w:t>
      </w:r>
      <w:r>
        <w:rPr>
          <w:rFonts w:hint="eastAsia" w:ascii="宋体" w:hAnsi="宋体" w:eastAsia="宋体" w:cs="宋体"/>
          <w:sz w:val="24"/>
          <w:szCs w:val="24"/>
          <w:highlight w:val="none"/>
        </w:rPr>
      </w:r>
      <w:r/>
    </w:p>
    <w:p>
      <w:pPr>
        <w:pStyle w:val="871"/>
        <w:jc w:val="center"/>
        <w:pageBreakBefore w:val="0"/>
        <w:spacing w:line="360" w:lineRule="auto"/>
        <w:widowControl w:val="off"/>
        <w:rPr>
          <w:rFonts w:hint="eastAsia" w:ascii="宋体" w:hAnsi="宋体" w:eastAsia="宋体" w:cs="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71"/>
        <w:jc w:val="center"/>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第三章 合同</w:t>
      </w:r>
      <w:bookmarkEnd w:id="12"/>
      <w:r>
        <w:rPr>
          <w:rFonts w:hint="eastAsia" w:ascii="宋体" w:hAnsi="宋体"/>
          <w:color w:val="000000"/>
          <w:highlight w:val="none"/>
          <w:lang w:val="en-US" w:eastAsia="zh-CN"/>
        </w:rPr>
        <w:t xml:space="preserve">文本</w:t>
      </w:r>
      <w:r>
        <w:rPr>
          <w:rFonts w:hint="eastAsia" w:ascii="宋体" w:hAnsi="宋体" w:eastAsia="宋体"/>
          <w:color w:val="000000"/>
          <w:highlight w:val="none"/>
          <w:lang w:eastAsia="zh-CN"/>
        </w:rPr>
      </w:r>
      <w:r/>
    </w:p>
    <w:p>
      <w:pPr>
        <w:pStyle w:val="870"/>
        <w:ind w:left="0" w:right="0" w:firstLine="0"/>
        <w:jc w:val="center"/>
        <w:spacing w:before="145" w:after="145"/>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江苏省政府采购合同（服务）（合同编号）</w:t>
      </w:r>
      <w:r>
        <w:rPr>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扬州市直属监所医疗卫生专业化达标建设项目</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：JSZC-321000-ZYCG-G2026-0008</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乙双方按照扬州筑苑工程招标咨询有限公司关于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项目公开招标的结果，签署本合同。</w:t>
      </w:r>
      <w:r>
        <w:rPr>
          <w:rFonts w:hint="eastAsia" w:ascii="宋体" w:hAnsi="宋体" w:eastAsia="宋体" w:cs="宋体"/>
          <w:color w:val="000000"/>
          <w:sz w:val="24"/>
          <w:szCs w:val="24"/>
          <w:highlight w:val="none"/>
          <w:u w:val="none"/>
          <w:lang w:val="en-US" w:eastAsia="zh-CN"/>
        </w:rPr>
      </w:r>
      <w:r/>
    </w:p>
    <w:p>
      <w:pPr>
        <w:pStyle w:val="8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履行地点：______</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1.6履行方式：______</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widowControl w:val="off"/>
        <w:rPr>
          <w:rFonts w:hint="eastAsia" w:hAnsi="宋体" w:cs="宋体"/>
          <w:highlight w:val="none"/>
        </w:rPr>
      </w:pPr>
      <w:r>
        <w:rPr>
          <w:rFonts w:hint="eastAsia" w:ascii="宋体" w:hAnsi="宋体" w:eastAsia="宋体" w:cs="宋体"/>
          <w:color w:val="000000"/>
          <w:sz w:val="24"/>
          <w:szCs w:val="24"/>
          <w:highlight w:val="none"/>
        </w:rPr>
        <w:t xml:space="preserve">2.1 本合同金额为（大写）：___________圆（________元）人民币或其他币种。</w:t>
      </w:r>
      <w:r>
        <w:rPr>
          <w:rFonts w:hint="eastAsia" w:hAnsi="宋体" w:cs="宋体"/>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3.1乙方应按采购文件规定的时间向甲方提供使用服务或产品的有关技术资料。</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w:t>
      </w:r>
      <w:r>
        <w:rPr>
          <w:rFonts w:hint="eastAsia" w:hAnsi="宋体" w:eastAsia="宋体" w:cs="宋体"/>
          <w:color w:val="000000"/>
          <w:sz w:val="24"/>
          <w:szCs w:val="24"/>
          <w:highlight w:val="none"/>
          <w:lang w:eastAsia="zh-CN"/>
        </w:rPr>
        <w:t xml:space="preserve">提供基于</w:t>
      </w:r>
      <w:r>
        <w:rPr>
          <w:rFonts w:hint="eastAsia" w:ascii="宋体" w:hAnsi="宋体" w:eastAsia="宋体" w:cs="宋体"/>
          <w:color w:val="000000"/>
          <w:sz w:val="24"/>
          <w:szCs w:val="24"/>
          <w:highlight w:val="none"/>
        </w:rPr>
        <w:t xml:space="preserve">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乙方保证所交付的服务或产品的所有权完全属于乙方且无任何抵押、查封等产权瑕疵。</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w:t>
      </w:r>
      <w:r>
        <w:rPr>
          <w:rFonts w:hint="eastAsia" w:ascii="宋体" w:hAnsi="宋体" w:eastAsia="宋体" w:cs="宋体"/>
          <w:color w:val="000000"/>
          <w:sz w:val="24"/>
          <w:szCs w:val="24"/>
          <w:highlight w:val="none"/>
          <w:u w:val="single"/>
        </w:rPr>
        <w:t xml:space="preserve"> 零 </w:t>
      </w:r>
      <w:r>
        <w:rPr>
          <w:rFonts w:hint="eastAsia" w:ascii="宋体" w:hAnsi="宋体" w:eastAsia="宋体" w:cs="宋体"/>
          <w:color w:val="000000"/>
          <w:sz w:val="24"/>
          <w:szCs w:val="24"/>
          <w:highlight w:val="none"/>
        </w:rPr>
        <w:t xml:space="preserve">元作为本合同的履约保证金。（不得超过合同金额的10%）</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6.2合同履行结束后，甲方应及时退还交纳的履约保证金。</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6.2.1履约保证金退还方式：无</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6.2.2履约保证金退还时间：无</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6.2.3履约保证金退还条件：无</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6.2.4履约保证金不予退还的情形：无</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七、转包或分包</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7.1本合同范围的服务或产品，应由乙方直接供应，不得转让他人供应；</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除非得到甲方的书面同意，乙方不得部分分包给他人供应。</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 w:val="24"/>
          <w:szCs w:val="24"/>
          <w:highlight w:val="none"/>
        </w:rPr>
      </w:r>
      <w:r/>
    </w:p>
    <w:p>
      <w:pPr>
        <w:pStyle w:val="88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八、合同款项支付</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870"/>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合同签订后，乙方向甲方开具发票，甲方自收到发票之日起10个工作日内支付合同总价30%的预付款；服务开始后，剩余合同总价的70%，甲乙双方按半年为一个周期结算服务费用，每周期结束后，中标人向采购人开具发票，采购人自收到发票之日起10个工作日内支付。（预付款扣除，扣完为止）</w:t>
      </w:r>
      <w:r>
        <w:rPr>
          <w:rFonts w:hint="eastAsia" w:ascii="宋体" w:hAnsi="宋体" w:eastAsia="宋体" w:cs="宋体"/>
          <w:b/>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九、税金</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十一、违约责任</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甲方无正当理由拒绝接受乙方提供服务的，甲方向乙方偿付拒绝接受服务合同价款总值的违约金。</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甲方无故逾期验收和办理合同款项支付手续的,甲方应按逾期付款总额每日向乙方支付违约金。</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乙方所提供服务的标准不符合合同规定及采购文件规定标准的，甲方有权拒绝接受服务，并可单方面解除合同。</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十二、不可抗力事件处理</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888"/>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952"/>
        <w:ind w:firstLine="48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88"/>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十四、合同生效及其它</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w:t>
      </w:r>
      <w:r>
        <w:rPr>
          <w:rFonts w:ascii="宋体" w:hAnsi="宋体" w:eastAsia="宋体" w:cs="宋体"/>
          <w:color w:val="000000"/>
          <w:sz w:val="24"/>
          <w:highlight w:val="none"/>
        </w:rPr>
        <w:t xml:space="preserve">遵照中华人民共和国现行法律法规有关条文执行。</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14.3 本合同正本</w:t>
      </w:r>
      <w:r>
        <w:rPr>
          <w:rFonts w:hint="eastAsia" w:hAnsi="宋体" w:eastAsia="宋体" w:cs="宋体"/>
          <w:color w:val="000000"/>
          <w:sz w:val="24"/>
          <w:szCs w:val="24"/>
          <w:highlight w:val="none"/>
          <w:lang w:eastAsia="zh-CN"/>
        </w:rPr>
        <w:t xml:space="preserve">一式四份</w:t>
      </w:r>
      <w:r>
        <w:rPr>
          <w:rFonts w:hint="eastAsia" w:ascii="宋体" w:hAnsi="宋体" w:eastAsia="宋体" w:cs="宋体"/>
          <w:color w:val="000000"/>
          <w:sz w:val="24"/>
          <w:szCs w:val="24"/>
          <w:highlight w:val="none"/>
        </w:rPr>
        <w:t xml:space="preserve">，具有同等法律效力，甲方、乙方各执</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w:t>
      </w:r>
      <w:r>
        <w:rPr>
          <w:rFonts w:hint="eastAsia" w:hAnsi="宋体" w:cs="宋体"/>
          <w:color w:val="000000"/>
          <w:sz w:val="24"/>
          <w:szCs w:val="24"/>
          <w:highlight w:val="none"/>
        </w:rPr>
      </w:r>
      <w:r/>
    </w:p>
    <w:p>
      <w:pPr>
        <w:pStyle w:val="88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甲方：</w:t>
            </w:r>
            <w:r>
              <w:rPr>
                <w:rFonts w:hint="eastAsia" w:hAnsi="宋体" w:cs="宋体"/>
                <w:color w:val="000000"/>
                <w:sz w:val="24"/>
                <w:szCs w:val="24"/>
                <w:highlight w:val="none"/>
                <w:lang w:eastAsia="zh-CN"/>
              </w:rPr>
              <w:t xml:space="preserve">扬州市公安局</w:t>
            </w:r>
            <w:r>
              <w:rPr>
                <w:rFonts w:hint="eastAsia" w:hAnsi="宋体" w:eastAsia="宋体" w:cs="宋体"/>
                <w:color w:val="000000"/>
                <w:sz w:val="24"/>
                <w:szCs w:val="24"/>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r>
    </w:tbl>
    <w:p>
      <w:pPr>
        <w:pStyle w:val="888"/>
        <w:ind w:firstLine="240"/>
        <w:jc w:val="right"/>
        <w:spacing w:before="120" w:after="120" w:line="360" w:lineRule="auto"/>
        <w:rPr>
          <w:rFonts w:hint="eastAsia" w:hAnsi="宋体" w:cs="宋体"/>
          <w:color w:val="000000"/>
          <w:sz w:val="21"/>
          <w:szCs w:val="21"/>
          <w:highlight w:val="none"/>
        </w:rPr>
      </w:pPr>
      <w:r>
        <w:rPr>
          <w:rFonts w:hint="eastAsia" w:hAnsi="宋体" w:cs="宋体"/>
          <w:color w:val="000000"/>
          <w:sz w:val="24"/>
          <w:szCs w:val="24"/>
          <w:highlight w:val="none"/>
        </w:rPr>
        <w:t xml:space="preserve">签订日期：     年   月   日</w:t>
      </w:r>
      <w:r>
        <w:rPr>
          <w:rFonts w:hint="eastAsia" w:hAnsi="宋体" w:cs="宋体"/>
          <w:color w:val="000000"/>
          <w:sz w:val="21"/>
          <w:szCs w:val="21"/>
          <w:highlight w:val="none"/>
        </w:rPr>
      </w:r>
      <w:r/>
    </w:p>
    <w:p>
      <w:pPr>
        <w:pStyle w:val="871"/>
        <w:jc w:val="center"/>
        <w:spacing w:line="360" w:lineRule="auto"/>
        <w:rPr>
          <w:rFonts w:hint="eastAsia" w:ascii="宋体" w:hAnsi="宋体"/>
          <w:color w:val="000000"/>
          <w:highlight w:val="none"/>
        </w:rPr>
      </w:pPr>
      <w:r>
        <w:rPr>
          <w:color w:val="000000"/>
          <w:highlight w:val="none"/>
        </w:rPr>
        <w:br w:type="page" w:clear="all"/>
      </w:r>
      <w:bookmarkStart w:id="14" w:name="_Toc109304974"/>
      <w:r>
        <w:rPr>
          <w:rFonts w:hint="eastAsia"/>
          <w:color w:val="000000"/>
          <w:highlight w:val="none"/>
        </w:rPr>
        <w:t xml:space="preserve">第四章 </w:t>
      </w:r>
      <w:r>
        <w:rPr>
          <w:rFonts w:hint="eastAsia"/>
          <w:color w:val="000000"/>
          <w:highlight w:val="none"/>
          <w:lang w:val="en-US" w:eastAsia="zh-CN"/>
        </w:rPr>
        <w:t xml:space="preserve">采购</w:t>
      </w:r>
      <w:r>
        <w:rPr>
          <w:rFonts w:hint="eastAsia"/>
          <w:color w:val="000000"/>
          <w:highlight w:val="none"/>
        </w:rPr>
        <w:t xml:space="preserve">需求</w:t>
      </w:r>
      <w:bookmarkEnd w:id="14"/>
      <w:r/>
      <w:bookmarkStart w:id="15" w:name="_Toc109304975"/>
      <w:r>
        <w:rPr>
          <w:rFonts w:hint="eastAsia" w:ascii="宋体" w:hAnsi="宋体"/>
          <w:color w:val="000000"/>
          <w:highlight w:val="none"/>
        </w:rPr>
      </w:r>
      <w:r/>
    </w:p>
    <w:p>
      <w:pPr>
        <w:pStyle w:val="8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服务类项目。</w:t>
      </w:r>
      <w:r>
        <w:rPr>
          <w:rFonts w:hint="eastAsia" w:ascii="宋体" w:hAnsi="宋体" w:eastAsia="宋体" w:cs="宋体"/>
          <w:color w:val="000000"/>
          <w:sz w:val="21"/>
          <w:szCs w:val="21"/>
          <w:highlight w:val="none"/>
        </w:rPr>
      </w:r>
      <w:r/>
    </w:p>
    <w:p>
      <w:pPr>
        <w:pStyle w:val="870"/>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其他要求</w:t>
      </w:r>
      <w:r>
        <w:rPr>
          <w:rFonts w:hint="eastAsia" w:ascii="宋体" w:hAnsi="宋体" w:eastAsia="宋体" w:cs="宋体"/>
          <w:bCs/>
          <w:iCs/>
          <w:color w:val="000000"/>
          <w:sz w:val="21"/>
          <w:szCs w:val="21"/>
          <w:highlight w:val="none"/>
        </w:rPr>
      </w:r>
      <w:r/>
    </w:p>
    <w:p>
      <w:pPr>
        <w:pStyle w:val="870"/>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Cs/>
          <w:iCs/>
          <w:color w:val="000000"/>
          <w:sz w:val="21"/>
          <w:szCs w:val="21"/>
          <w:highlight w:val="none"/>
          <w:lang w:eastAsia="zh-CN"/>
        </w:rPr>
        <w:t xml:space="preserve">投标人</w:t>
      </w:r>
      <w:r>
        <w:rPr>
          <w:rFonts w:hint="eastAsia" w:ascii="宋体" w:hAnsi="宋体" w:eastAsia="宋体" w:cs="宋体"/>
          <w:bCs/>
          <w:iCs/>
          <w:color w:val="000000"/>
          <w:sz w:val="21"/>
          <w:szCs w:val="21"/>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 w:val="21"/>
          <w:szCs w:val="21"/>
          <w:highlight w:val="none"/>
        </w:rPr>
      </w:r>
      <w:r/>
    </w:p>
    <w:p>
      <w:pPr>
        <w:pStyle w:val="870"/>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lang w:eastAsia="zh-CN"/>
        </w:rPr>
        <w:t xml:space="preserve">投标人</w:t>
      </w:r>
      <w:r>
        <w:rPr>
          <w:rFonts w:hint="eastAsia" w:ascii="宋体" w:hAnsi="宋体" w:eastAsia="宋体" w:cs="宋体"/>
          <w:bCs/>
          <w:iCs/>
          <w:color w:val="000000"/>
          <w:sz w:val="21"/>
          <w:szCs w:val="21"/>
          <w:highlight w:val="none"/>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 w:val="21"/>
          <w:szCs w:val="21"/>
          <w:highlight w:val="none"/>
        </w:rPr>
      </w:r>
      <w:r/>
    </w:p>
    <w:p>
      <w:pPr>
        <w:pStyle w:val="872"/>
        <w:ind w:firstLine="422"/>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采购标的对应的中小企业划分标准所属行业一览表</w:t>
      </w:r>
      <w:r>
        <w:rPr>
          <w:rFonts w:hint="eastAsia" w:ascii="宋体" w:hAnsi="宋体" w:eastAsia="宋体" w:cs="宋体"/>
          <w:color w:val="000000"/>
          <w:sz w:val="21"/>
          <w:szCs w:val="21"/>
          <w:highlight w:val="none"/>
        </w:rPr>
      </w:r>
      <w:r/>
    </w:p>
    <w:tbl>
      <w:tblPr>
        <w:tblW w:w="7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544"/>
        <w:gridCol w:w="3158"/>
      </w:tblGrid>
      <w:tr>
        <w:trPr>
          <w:cantSplit/>
        </w:trPr>
        <w:tc>
          <w:tcPr>
            <w:tcW w:w="928" w:type="dxa"/>
            <w:vAlign w:val="center"/>
            <w:textDirection w:val="lrTb"/>
            <w:noWrap w:val="false"/>
          </w:tcPr>
          <w:p>
            <w:pPr>
              <w:pStyle w:val="87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544" w:type="dxa"/>
            <w:vAlign w:val="center"/>
            <w:textDirection w:val="lrTb"/>
            <w:noWrap w:val="false"/>
          </w:tcPr>
          <w:p>
            <w:pPr>
              <w:pStyle w:val="87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3158" w:type="dxa"/>
            <w:vAlign w:val="center"/>
            <w:textDirection w:val="lrTb"/>
            <w:noWrap w:val="false"/>
          </w:tcPr>
          <w:p>
            <w:pPr>
              <w:pStyle w:val="87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291"/>
        </w:trPr>
        <w:tc>
          <w:tcPr>
            <w:tcW w:w="928" w:type="dxa"/>
            <w:vAlign w:val="center"/>
            <w:textDirection w:val="lrTb"/>
            <w:noWrap w:val="false"/>
          </w:tcPr>
          <w:p>
            <w:pPr>
              <w:pStyle w:val="87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544" w:type="dxa"/>
            <w:vAlign w:val="top"/>
            <w:textDirection w:val="lrTb"/>
            <w:noWrap w:val="false"/>
          </w:tcPr>
          <w:p>
            <w:pPr>
              <w:pStyle w:val="870"/>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扬州市直属监所医疗卫生专业化达标建设项目</w:t>
            </w:r>
            <w:r>
              <w:rPr>
                <w:rFonts w:hint="eastAsia" w:ascii="宋体" w:hAnsi="宋体" w:eastAsia="宋体" w:cs="宋体"/>
                <w:color w:val="000000"/>
                <w:sz w:val="21"/>
                <w:szCs w:val="21"/>
                <w:highlight w:val="none"/>
                <w:lang w:eastAsia="zh-CN"/>
              </w:rPr>
            </w:r>
            <w:r/>
          </w:p>
        </w:tc>
        <w:tc>
          <w:tcPr>
            <w:tcW w:w="3158" w:type="dxa"/>
            <w:vAlign w:val="center"/>
            <w:textDirection w:val="lrTb"/>
            <w:noWrap w:val="false"/>
          </w:tcPr>
          <w:p>
            <w:pPr>
              <w:pStyle w:val="87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val="0"/>
                <w:i w:val="0"/>
                <w:iCs w:val="0"/>
                <w:color w:val="000000"/>
                <w:sz w:val="21"/>
                <w:szCs w:val="21"/>
                <w:highlight w:val="none"/>
                <w:u w:val="none"/>
              </w:rPr>
              <w:t xml:space="preserve">其他未列明行业</w:t>
            </w:r>
            <w:r>
              <w:rPr>
                <w:rFonts w:hint="eastAsia" w:ascii="宋体" w:hAnsi="宋体" w:eastAsia="宋体" w:cs="宋体"/>
                <w:color w:val="000000"/>
                <w:sz w:val="21"/>
                <w:szCs w:val="21"/>
                <w:highlight w:val="none"/>
              </w:rPr>
            </w:r>
            <w:r/>
          </w:p>
        </w:tc>
      </w:tr>
    </w:tbl>
    <w:p>
      <w:pPr>
        <w:pStyle w:val="87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7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一、项目预算</w:t>
      </w:r>
      <w:r>
        <w:rPr>
          <w:rFonts w:hint="eastAsia" w:ascii="宋体" w:hAnsi="宋体" w:eastAsia="宋体" w:cs="宋体"/>
          <w:b/>
          <w:bCs/>
          <w:color w:val="000000"/>
          <w:sz w:val="24"/>
          <w:szCs w:val="24"/>
          <w:highlight w:val="none"/>
        </w:rPr>
      </w:r>
      <w:r/>
    </w:p>
    <w:p>
      <w:pPr>
        <w:pStyle w:val="870"/>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330万/年，不含需求中明确另行计费项目，超过预算报价视为无效响应。</w:t>
      </w:r>
      <w:r>
        <w:rPr>
          <w:rFonts w:hint="eastAsia" w:ascii="宋体" w:hAnsi="宋体" w:eastAsia="宋体" w:cs="宋体"/>
          <w:b/>
          <w:bCs/>
          <w:color w:val="000000"/>
          <w:sz w:val="24"/>
          <w:szCs w:val="24"/>
          <w:highlight w:val="none"/>
          <w:lang w:val="en-US"/>
        </w:rPr>
      </w:r>
      <w:r/>
    </w:p>
    <w:p>
      <w:pPr>
        <w:pStyle w:val="870"/>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医疗机构等级要求</w:t>
      </w:r>
      <w:r>
        <w:rPr>
          <w:rFonts w:hint="eastAsia" w:ascii="宋体" w:hAnsi="宋体" w:eastAsia="宋体" w:cs="宋体"/>
          <w:b/>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综合性医疗机构。</w:t>
      </w:r>
      <w:r>
        <w:rPr>
          <w:rFonts w:hint="eastAsia" w:ascii="宋体" w:hAnsi="宋体" w:eastAsia="宋体" w:cs="宋体"/>
          <w:b/>
          <w:bCs/>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、派驻医疗专业力量需求</w:t>
      </w:r>
      <w:r>
        <w:rPr>
          <w:rFonts w:hint="eastAsia" w:ascii="宋体" w:hAnsi="宋体" w:eastAsia="宋体" w:cs="宋体"/>
          <w:b/>
          <w:bCs/>
          <w:color w:val="000000"/>
          <w:sz w:val="24"/>
          <w:szCs w:val="24"/>
          <w:highlight w:val="none"/>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乙方共派驻不少于19名人员，包括临床医师不少于6名、放射技师3名、超声医师3名、护士6名和管理人员1名，派驻人员的调整由乙方全权负责；管理人员负责医务人员的日常管理和对接协调工作。乙方负责派驻人员的职业资格审查，甲方负责派驻人员的政治审查及职业资格复查。</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遇不可抗力或突发公共卫生事件，经双方协商可临时调整方案。</w:t>
      </w:r>
      <w:r>
        <w:rPr>
          <w:rFonts w:hint="eastAsia" w:ascii="宋体" w:hAnsi="宋体" w:eastAsia="宋体" w:cs="宋体"/>
          <w:b w:val="0"/>
          <w:bCs/>
          <w:color w:val="000000"/>
          <w:sz w:val="24"/>
          <w:szCs w:val="24"/>
          <w:highlight w:val="none"/>
          <w:lang w:val="en-US" w:eastAsia="zh-CN"/>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（一）派驻监所医疗专业力量。共</w:t>
      </w:r>
      <w:r>
        <w:rPr>
          <w:rFonts w:hint="eastAsia" w:ascii="宋体" w:hAnsi="宋体" w:eastAsia="宋体" w:cs="宋体"/>
          <w:b w:val="0"/>
          <w:bCs/>
          <w:color w:val="000000"/>
          <w:sz w:val="24"/>
          <w:szCs w:val="24"/>
          <w:highlight w:val="none"/>
          <w:lang w:val="en-US" w:eastAsia="zh-CN"/>
        </w:rPr>
        <w:t xml:space="preserve">临床医师不少于6名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护士6名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1.在岗情况。</w:t>
      </w:r>
      <w:r>
        <w:rPr>
          <w:rFonts w:hint="eastAsia" w:ascii="宋体" w:hAnsi="宋体" w:eastAsia="宋体" w:cs="宋体"/>
          <w:b w:val="0"/>
          <w:bCs/>
          <w:color w:val="000000"/>
          <w:sz w:val="24"/>
          <w:szCs w:val="24"/>
          <w:highlight w:val="none"/>
          <w:lang w:val="en-US" w:eastAsia="zh-CN"/>
        </w:rPr>
        <w:t xml:space="preserve">看守所24小时1医1护在岗值班，工作日白天（8:00—17:00）另外安排1医1护在岗；行政所（拘留所、戒毒所合署）24小时1医在岗值班；具体在岗情况按照排班表执行。在岗期间遇有特殊情况需离开，由乙方及时安排人员替代，做到无缝衔接。</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2.中标医院驻所医师要求。</w:t>
      </w:r>
      <w:r>
        <w:rPr>
          <w:rFonts w:hint="eastAsia" w:ascii="宋体" w:hAnsi="宋体" w:eastAsia="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（１）原则上，年龄不超过65周岁，具有大专及以上学历，主治及以上职称医师不少于3名，</w:t>
      </w:r>
      <w:r>
        <w:rPr>
          <w:rFonts w:hint="eastAsia" w:ascii="宋体" w:hAnsi="宋体" w:eastAsia="宋体" w:cs="宋体"/>
          <w:b w:val="0"/>
          <w:bCs/>
          <w:color w:val="000000"/>
          <w:sz w:val="24"/>
          <w:szCs w:val="24"/>
          <w:highlight w:val="none"/>
          <w:lang w:val="en-US" w:eastAsia="zh-CN"/>
        </w:rPr>
        <w:t xml:space="preserve">在编主治</w:t>
      </w:r>
      <w:r>
        <w:rPr>
          <w:rFonts w:hint="eastAsia" w:ascii="宋体" w:hAnsi="宋体" w:cs="宋体"/>
          <w:b w:val="0"/>
          <w:bCs/>
          <w:color w:val="000000"/>
          <w:sz w:val="24"/>
          <w:szCs w:val="24"/>
          <w:highlight w:val="none"/>
          <w:lang w:val="en-US" w:eastAsia="zh-CN"/>
        </w:rPr>
        <w:t xml:space="preserve">及</w:t>
      </w:r>
      <w:r>
        <w:rPr>
          <w:rFonts w:hint="eastAsia" w:ascii="宋体" w:hAnsi="宋体" w:eastAsia="宋体" w:cs="宋体"/>
          <w:b w:val="0"/>
          <w:bCs/>
          <w:color w:val="000000"/>
          <w:sz w:val="24"/>
          <w:szCs w:val="24"/>
          <w:highlight w:val="none"/>
          <w:lang w:val="en-US" w:eastAsia="zh-CN"/>
        </w:rPr>
        <w:t xml:space="preserve">以上职称医师</w:t>
      </w:r>
      <w:r>
        <w:rPr>
          <w:rFonts w:hint="eastAsia" w:ascii="宋体" w:hAnsi="宋体" w:cs="宋体"/>
          <w:b w:val="0"/>
          <w:bCs/>
          <w:color w:val="000000"/>
          <w:sz w:val="24"/>
          <w:szCs w:val="24"/>
          <w:highlight w:val="none"/>
          <w:lang w:val="en-US" w:eastAsia="zh-CN"/>
        </w:rPr>
        <w:t xml:space="preserve">须有</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副主任及以上职称医师</w:t>
      </w:r>
      <w:r>
        <w:rPr>
          <w:rFonts w:hint="eastAsia" w:ascii="宋体" w:hAnsi="宋体" w:cs="宋体"/>
          <w:b w:val="0"/>
          <w:bCs/>
          <w:color w:val="000000"/>
          <w:sz w:val="24"/>
          <w:szCs w:val="24"/>
          <w:highlight w:val="none"/>
          <w:lang w:val="en-US" w:eastAsia="zh-CN"/>
        </w:rPr>
        <w:t xml:space="preserve">须有</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（２）原则上，医师执业类别以全科医学科、急诊医学科、重症医学科、老年医学科、心血管内科、神经内科等为主，其他执业类别为辅；</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（３）为保持工作的连续性，乙方应保证医务人员相对稳定，原则上人员轮换时间不低于6个月。</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lang w:val="en-US" w:eastAsia="zh-CN"/>
        </w:rPr>
        <w:t xml:space="preserve">护士要求。</w:t>
      </w:r>
      <w:r>
        <w:rPr>
          <w:rFonts w:hint="eastAsia" w:ascii="宋体" w:hAnsi="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ascii="宋体" w:hAnsi="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原则上，年龄不超过</w:t>
      </w:r>
      <w:r>
        <w:rPr>
          <w:rFonts w:hint="eastAsia" w:ascii="宋体" w:hAnsi="宋体" w:cs="宋体"/>
          <w:b w:val="0"/>
          <w:bCs/>
          <w:color w:val="000000"/>
          <w:sz w:val="24"/>
          <w:szCs w:val="24"/>
          <w:highlight w:val="none"/>
          <w:lang w:val="en-US" w:eastAsia="zh-CN"/>
        </w:rPr>
        <w:t xml:space="preserve">60周</w:t>
      </w:r>
      <w:r>
        <w:rPr>
          <w:rFonts w:hint="eastAsia" w:ascii="宋体" w:hAnsi="宋体" w:eastAsia="宋体" w:cs="宋体"/>
          <w:b w:val="0"/>
          <w:bCs/>
          <w:color w:val="000000"/>
          <w:sz w:val="24"/>
          <w:szCs w:val="24"/>
          <w:highlight w:val="none"/>
          <w:lang w:val="en-US" w:eastAsia="zh-CN"/>
        </w:rPr>
        <w:t xml:space="preserve">岁，具有大专及以上学历</w:t>
      </w:r>
      <w:r>
        <w:rPr>
          <w:rFonts w:hint="eastAsia" w:ascii="宋体" w:hAnsi="宋体" w:cs="宋体"/>
          <w:b w:val="0"/>
          <w:bCs/>
          <w:color w:val="000000"/>
          <w:sz w:val="24"/>
          <w:szCs w:val="24"/>
          <w:highlight w:val="none"/>
          <w:lang w:val="en-US" w:eastAsia="zh-CN"/>
        </w:rPr>
        <w:t xml:space="preserve">。</w:t>
      </w:r>
      <w:r>
        <w:rPr>
          <w:rFonts w:ascii="宋体" w:hAnsi="宋体" w:cs="宋体"/>
          <w:b/>
          <w:bCs w:val="0"/>
          <w:color w:val="000000"/>
          <w:sz w:val="24"/>
          <w:szCs w:val="24"/>
          <w:highlight w:val="none"/>
          <w:lang w:val="en-US" w:eastAsia="zh-CN"/>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（二）派驻体检中心医疗专业力量。</w:t>
      </w:r>
      <w:r>
        <w:rPr>
          <w:rFonts w:hint="eastAsia" w:ascii="宋体" w:hAnsi="宋体" w:eastAsia="宋体" w:cs="宋体"/>
          <w:b w:val="0"/>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）配置</w:t>
      </w:r>
      <w:r>
        <w:rPr>
          <w:rFonts w:hint="eastAsia" w:ascii="宋体" w:hAnsi="宋体" w:eastAsia="宋体" w:cs="宋体"/>
          <w:b w:val="0"/>
          <w:bCs/>
          <w:color w:val="000000"/>
          <w:sz w:val="24"/>
          <w:szCs w:val="24"/>
          <w:highlight w:val="none"/>
          <w:lang w:val="en-US" w:eastAsia="zh-CN"/>
        </w:rPr>
        <w:t xml:space="preserve">3名超声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lang w:val="en-US" w:eastAsia="zh-CN"/>
        </w:rPr>
        <w:t xml:space="preserve">3名</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体检中心24小时开放，</w:t>
      </w:r>
      <w:r>
        <w:rPr>
          <w:rFonts w:hint="eastAsia" w:ascii="宋体" w:hAnsi="宋体" w:eastAsia="宋体" w:cs="宋体"/>
          <w:b w:val="0"/>
          <w:bCs/>
          <w:color w:val="000000"/>
          <w:sz w:val="24"/>
          <w:szCs w:val="24"/>
          <w:highlight w:val="none"/>
          <w:lang w:eastAsia="zh-CN"/>
        </w:rPr>
        <w:t xml:space="preserve">有</w:t>
      </w:r>
      <w:r>
        <w:rPr>
          <w:rFonts w:hint="eastAsia" w:ascii="宋体" w:hAnsi="宋体" w:eastAsia="宋体" w:cs="宋体"/>
          <w:b w:val="0"/>
          <w:bCs/>
          <w:color w:val="000000"/>
          <w:sz w:val="24"/>
          <w:szCs w:val="24"/>
          <w:highlight w:val="none"/>
          <w:lang w:val="en-US" w:eastAsia="zh-CN"/>
        </w:rPr>
        <w:t xml:space="preserve">1名超声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和</w:t>
      </w:r>
      <w:r>
        <w:rPr>
          <w:rFonts w:hint="eastAsia" w:ascii="宋体" w:hAnsi="宋体" w:eastAsia="宋体" w:cs="宋体"/>
          <w:b w:val="0"/>
          <w:bCs/>
          <w:color w:val="000000"/>
          <w:sz w:val="24"/>
          <w:szCs w:val="24"/>
          <w:highlight w:val="none"/>
          <w:lang w:val="en-US" w:eastAsia="zh-CN"/>
        </w:rPr>
        <w:t xml:space="preserve">1名护士在岗值班</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原则上，超声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护士年龄不超过</w:t>
      </w:r>
      <w:r>
        <w:rPr>
          <w:rFonts w:hint="eastAsia" w:ascii="宋体" w:hAnsi="宋体" w:cs="宋体"/>
          <w:b w:val="0"/>
          <w:bCs/>
          <w:color w:val="000000"/>
          <w:sz w:val="24"/>
          <w:szCs w:val="24"/>
          <w:highlight w:val="none"/>
          <w:lang w:val="en-US" w:eastAsia="zh-CN"/>
        </w:rPr>
        <w:t xml:space="preserve">60周</w:t>
      </w:r>
      <w:r>
        <w:rPr>
          <w:rFonts w:hint="eastAsia" w:ascii="宋体" w:hAnsi="宋体" w:eastAsia="宋体" w:cs="宋体"/>
          <w:b w:val="0"/>
          <w:bCs/>
          <w:color w:val="000000"/>
          <w:sz w:val="24"/>
          <w:szCs w:val="24"/>
          <w:highlight w:val="none"/>
          <w:lang w:val="en-US" w:eastAsia="zh-CN"/>
        </w:rPr>
        <w:t xml:space="preserve">岁，具有大专及以上学历</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r>
      <w:r/>
    </w:p>
    <w:p>
      <w:pPr>
        <w:pStyle w:val="870"/>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、监所医疗卫生保障各岗位主要工作</w:t>
      </w:r>
      <w:r>
        <w:rPr>
          <w:rFonts w:hint="eastAsia" w:ascii="宋体" w:hAnsi="宋体" w:eastAsia="宋体" w:cs="宋体"/>
          <w:b w:val="0"/>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（一）医生主要工作</w:t>
      </w:r>
      <w:r>
        <w:rPr>
          <w:rFonts w:hint="eastAsia" w:ascii="宋体" w:hAnsi="宋体" w:eastAsia="宋体" w:cs="宋体"/>
          <w:b w:val="0"/>
          <w:bCs/>
          <w:color w:val="000000"/>
          <w:sz w:val="24"/>
          <w:szCs w:val="24"/>
          <w:highlight w:val="none"/>
        </w:rPr>
      </w:r>
      <w:r/>
    </w:p>
    <w:p>
      <w:pPr>
        <w:pStyle w:val="952"/>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1.白天在岗期间</w:t>
      </w:r>
      <w:r>
        <w:rPr>
          <w:rFonts w:hint="eastAsia" w:ascii="宋体" w:hAnsi="宋体" w:eastAsia="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(1)看守所/行政所岗位：工作日上、下午对责任监区监室各开展一次巡诊，逐监室了解被监管人员身体健康状况；连续一周跟踪新入所人员健康状况，对患病、有伤的被监管人员及时给予治疗；紧急情况医疗急救</w:t>
      </w:r>
      <w:r>
        <w:rPr>
          <w:rFonts w:hint="eastAsia" w:ascii="宋体" w:hAnsi="宋体" w:eastAsia="宋体" w:cs="宋体"/>
          <w:b w:val="0"/>
          <w:bCs/>
          <w:color w:val="000000"/>
          <w:sz w:val="24"/>
          <w:szCs w:val="24"/>
          <w:highlight w:val="none"/>
          <w:lang w:val="en" w:eastAsia="zh-CN"/>
        </w:rPr>
        <w:t xml:space="preserve">，对是否需要出所就医提出专业意见，</w:t>
      </w:r>
      <w:r>
        <w:rPr>
          <w:rFonts w:hint="eastAsia" w:ascii="宋体" w:hAnsi="宋体" w:eastAsia="宋体" w:cs="宋体"/>
          <w:b w:val="0"/>
          <w:bCs/>
          <w:color w:val="000000"/>
          <w:sz w:val="24"/>
          <w:szCs w:val="24"/>
          <w:highlight w:val="none"/>
          <w:lang w:val="en-US" w:eastAsia="zh-CN"/>
        </w:rPr>
        <w:t xml:space="preserve">原则上出所就医决定需由中标医院在编医师会诊后下达；辅助完善基础疾病人员医疗档案。</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(2)负责被送押对象健康和体格检查。各所每日值班医生负责审核体检项目是否完整、填写体检结论并签名。对拟不予收押（拘）对象提出进一步检查意见。</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(3)会诊重点病员，研究跟进措施，评估羁押风险，提出对策建议。</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(4)配合体检中心每月集中对羁押满半年押员开展体检。</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(5)定期对民警、在押人员开展健康讲座，对民警定期安排急救知识宣教与实际操作培训，加强卫生防疫知识的宣传。</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2.夜间值班期间</w:t>
      </w:r>
      <w:r>
        <w:rPr>
          <w:rFonts w:hint="eastAsia" w:ascii="宋体" w:hAnsi="宋体" w:eastAsia="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(1)负责被送押对象健康和体格检查，对拟不予收押（拘）对象提出进一步检查意见。</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(2)负责监区医疗警情处置，对拟出所就医对象提出专业意见。</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（二）护士主要工作</w:t>
      </w:r>
      <w:r>
        <w:rPr>
          <w:rFonts w:hint="eastAsia" w:ascii="宋体" w:hAnsi="宋体" w:eastAsia="宋体" w:cs="宋体"/>
          <w:b w:val="0"/>
          <w:bCs/>
          <w:color w:val="000000"/>
          <w:sz w:val="24"/>
          <w:szCs w:val="24"/>
          <w:highlight w:val="none"/>
        </w:rPr>
      </w:r>
      <w:r/>
    </w:p>
    <w:p>
      <w:pPr>
        <w:pStyle w:val="952"/>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1.配合医师完成当日医疗工作。</w:t>
      </w:r>
      <w:r>
        <w:rPr>
          <w:rFonts w:hint="eastAsia" w:ascii="宋体" w:hAnsi="宋体" w:eastAsia="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(1)看守所岗位：①工作日上、下午对责任监区监室各开展一次巡诊、</w:t>
      </w:r>
      <w:r>
        <w:rPr>
          <w:rFonts w:hint="eastAsia" w:ascii="宋体" w:hAnsi="宋体" w:eastAsia="宋体" w:cs="宋体"/>
          <w:b w:val="0"/>
          <w:bCs/>
          <w:color w:val="000000"/>
          <w:sz w:val="24"/>
          <w:szCs w:val="24"/>
          <w:highlight w:val="none"/>
          <w:lang w:val="en" w:eastAsia="zh-CN"/>
        </w:rPr>
        <w:t xml:space="preserve">对需输液治疗病员遵照医嘱执行</w:t>
      </w:r>
      <w:r>
        <w:rPr>
          <w:rFonts w:hint="eastAsia" w:ascii="宋体" w:hAnsi="宋体" w:eastAsia="宋体" w:cs="宋体"/>
          <w:b w:val="0"/>
          <w:bCs/>
          <w:color w:val="000000"/>
          <w:sz w:val="24"/>
          <w:szCs w:val="24"/>
          <w:highlight w:val="none"/>
          <w:lang w:val="en-US" w:eastAsia="zh-CN"/>
        </w:rPr>
        <w:t xml:space="preserve">；②紧急情况下参与医疗急救；③ </w:t>
      </w:r>
      <w:r>
        <w:rPr>
          <w:rFonts w:hint="eastAsia" w:ascii="宋体" w:hAnsi="宋体" w:eastAsia="宋体" w:cs="宋体"/>
          <w:b w:val="0"/>
          <w:bCs/>
          <w:color w:val="000000"/>
          <w:sz w:val="24"/>
          <w:szCs w:val="24"/>
          <w:highlight w:val="none"/>
          <w:lang w:val="en" w:eastAsia="zh-CN"/>
        </w:rPr>
        <w:t xml:space="preserve">每日整理服药医嘱，为慢性病服药人员配药，填写新入所人员七天健康情况跟踪表，协助医疗岗整理医疗档案。</w:t>
      </w:r>
      <w:r>
        <w:rPr>
          <w:rFonts w:hint="eastAsia" w:ascii="宋体" w:hAnsi="宋体" w:eastAsia="宋体" w:cs="宋体"/>
          <w:b w:val="0"/>
          <w:bCs/>
          <w:color w:val="000000"/>
          <w:sz w:val="24"/>
          <w:szCs w:val="24"/>
          <w:highlight w:val="none"/>
          <w:lang w:val="en-US" w:eastAsia="zh-CN"/>
        </w:rPr>
        <w:t xml:space="preserve">④</w:t>
      </w:r>
      <w:r>
        <w:rPr>
          <w:rFonts w:hint="eastAsia" w:ascii="宋体" w:hAnsi="宋体" w:eastAsia="宋体" w:cs="宋体"/>
          <w:b w:val="0"/>
          <w:bCs/>
          <w:color w:val="000000"/>
          <w:sz w:val="24"/>
          <w:szCs w:val="24"/>
          <w:highlight w:val="none"/>
          <w:lang w:val="en" w:eastAsia="zh-CN"/>
        </w:rPr>
        <w:t xml:space="preserve">每日填写三会商一评估工作日志。</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(2)体检中心岗位：除体检中心日常工作外，</w:t>
      </w:r>
      <w:r>
        <w:rPr>
          <w:rFonts w:hint="eastAsia" w:ascii="宋体" w:hAnsi="宋体" w:eastAsia="宋体" w:cs="宋体"/>
          <w:b w:val="0"/>
          <w:bCs/>
          <w:color w:val="000000"/>
          <w:sz w:val="24"/>
          <w:szCs w:val="24"/>
          <w:highlight w:val="none"/>
          <w:lang w:val="en" w:eastAsia="zh-CN"/>
        </w:rPr>
        <w:t xml:space="preserve">对</w:t>
      </w:r>
      <w:r>
        <w:rPr>
          <w:rFonts w:hint="eastAsia" w:ascii="宋体" w:hAnsi="宋体" w:eastAsia="宋体" w:cs="宋体"/>
          <w:b w:val="0"/>
          <w:bCs/>
          <w:color w:val="000000"/>
          <w:sz w:val="24"/>
          <w:szCs w:val="24"/>
          <w:highlight w:val="none"/>
          <w:lang w:val="en-US" w:eastAsia="zh-CN"/>
        </w:rPr>
        <w:t xml:space="preserve">行政所</w:t>
      </w:r>
      <w:r>
        <w:rPr>
          <w:rFonts w:hint="eastAsia" w:ascii="宋体" w:hAnsi="宋体" w:eastAsia="宋体" w:cs="宋体"/>
          <w:b w:val="0"/>
          <w:bCs/>
          <w:color w:val="000000"/>
          <w:sz w:val="24"/>
          <w:szCs w:val="24"/>
          <w:highlight w:val="none"/>
          <w:lang w:val="en" w:eastAsia="zh-CN"/>
        </w:rPr>
        <w:t xml:space="preserve">需输液治疗病员遵照医嘱执行；</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 w:eastAsia="zh-CN"/>
        </w:rPr>
        <w:t xml:space="preserve">每周填写一周病员风险研判报表。</w:t>
      </w:r>
      <w:r>
        <w:rPr>
          <w:rFonts w:hint="eastAsia" w:ascii="宋体" w:hAnsi="宋体" w:eastAsia="宋体" w:cs="宋体"/>
          <w:b w:val="0"/>
          <w:bCs/>
          <w:color w:val="000000"/>
          <w:sz w:val="24"/>
          <w:szCs w:val="24"/>
          <w:highlight w:val="none"/>
          <w:lang w:val="en"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3.每月配合核查需要半年体检的在押人员。</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 w:eastAsia="zh-CN"/>
        </w:rPr>
        <w:t xml:space="preserve">每月对出入库药品进行登记并盘点，整理、填写药品发票报表。</w:t>
      </w:r>
      <w:r>
        <w:rPr>
          <w:rFonts w:hint="eastAsia" w:ascii="宋体" w:hAnsi="宋体" w:eastAsia="宋体" w:cs="宋体"/>
          <w:b w:val="0"/>
          <w:bCs/>
          <w:color w:val="000000"/>
          <w:sz w:val="24"/>
          <w:szCs w:val="24"/>
          <w:highlight w:val="none"/>
          <w:lang w:val="en-US" w:eastAsia="zh-CN"/>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根据需要对部分特定对象人员抽血检测。</w:t>
      </w:r>
      <w:r>
        <w:rPr>
          <w:rFonts w:hint="eastAsia" w:ascii="宋体" w:hAnsi="宋体" w:eastAsia="宋体" w:cs="宋体"/>
          <w:b w:val="0"/>
          <w:bCs/>
          <w:color w:val="000000"/>
          <w:sz w:val="24"/>
          <w:szCs w:val="24"/>
          <w:highlight w:val="none"/>
        </w:rPr>
      </w:r>
      <w:r/>
    </w:p>
    <w:p>
      <w:pPr>
        <w:pStyle w:val="87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6.配合民警、医生复印需投劳病历资料。</w:t>
      </w:r>
      <w:r>
        <w:rPr>
          <w:rFonts w:hint="eastAsia" w:ascii="宋体" w:hAnsi="宋体" w:eastAsia="宋体" w:cs="宋体"/>
          <w:b w:val="0"/>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负责</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疗区域内务</w:t>
      </w:r>
      <w:r>
        <w:rPr>
          <w:rFonts w:hint="eastAsia" w:ascii="宋体" w:hAnsi="宋体" w:eastAsia="宋体" w:cs="宋体"/>
          <w:b w:val="0"/>
          <w:bCs/>
          <w:color w:val="000000"/>
          <w:sz w:val="24"/>
          <w:szCs w:val="24"/>
          <w:highlight w:val="none"/>
        </w:rPr>
        <w:t xml:space="preserve">卫生</w:t>
      </w:r>
      <w:r>
        <w:rPr>
          <w:rFonts w:hint="eastAsia" w:ascii="宋体" w:hAnsi="宋体" w:eastAsia="宋体" w:cs="宋体"/>
          <w:b w:val="0"/>
          <w:bCs/>
          <w:color w:val="000000"/>
          <w:sz w:val="24"/>
          <w:szCs w:val="24"/>
          <w:highlight w:val="none"/>
          <w:lang w:eastAsia="zh-CN"/>
        </w:rPr>
        <w:t xml:space="preserve">和医疗废弃物收集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（三）体检中心主要工作</w:t>
      </w:r>
      <w:r>
        <w:rPr>
          <w:rFonts w:hint="eastAsia" w:ascii="宋体" w:hAnsi="宋体" w:eastAsia="宋体" w:cs="宋体"/>
          <w:b w:val="0"/>
          <w:bCs/>
          <w:color w:val="000000"/>
          <w:sz w:val="24"/>
          <w:szCs w:val="24"/>
          <w:highlight w:val="none"/>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1.进行入所健康体检。</w:t>
      </w:r>
      <w:r>
        <w:rPr>
          <w:rFonts w:hint="eastAsia" w:ascii="宋体" w:hAnsi="宋体" w:eastAsia="宋体" w:cs="宋体"/>
          <w:b w:val="0"/>
          <w:bCs/>
          <w:color w:val="000000"/>
          <w:sz w:val="24"/>
          <w:szCs w:val="24"/>
          <w:highlight w:val="none"/>
          <w:lang w:val="en-US" w:eastAsia="zh-CN"/>
        </w:rPr>
        <w:t xml:space="preserve">包括内外科一般检查，以及测血压、血常规、心电图、胸部DR、腹部B超、急诊肝肾功能、血脂两项、随机血糖等。适龄女性进行尿妊娠试验；原则上，以上检查结果必需在被送押（拘）对象收押（拘）前出具。</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需艾滋病初筛的，乙方负责抽血后，由监管支队派员送疾控中心检测。</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2.进行半年健康体检。</w:t>
      </w:r>
      <w:r>
        <w:rPr>
          <w:rFonts w:hint="eastAsia" w:ascii="宋体" w:hAnsi="宋体" w:eastAsia="宋体" w:cs="宋体"/>
          <w:b w:val="0"/>
          <w:bCs/>
          <w:color w:val="000000"/>
          <w:sz w:val="24"/>
          <w:szCs w:val="24"/>
          <w:highlight w:val="none"/>
          <w:lang w:val="en-US" w:eastAsia="zh-CN"/>
        </w:rPr>
        <w:t xml:space="preserve">包括内外科一般检查，以及测血压、血常规、心电图、胸部DR、腹部B超、急诊肝肾功能、血脂两项、随机血糖等。在押人员半年体检时乙方须配足医务人员、配齐相关设备器材，所有体检项目在监所内实施。</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四</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其他相关工作</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1.会诊要求。</w:t>
      </w:r>
      <w:r>
        <w:rPr>
          <w:rFonts w:hint="eastAsia" w:ascii="宋体" w:hAnsi="宋体" w:eastAsia="宋体" w:cs="宋体"/>
          <w:b w:val="0"/>
          <w:bCs/>
          <w:color w:val="000000"/>
          <w:sz w:val="24"/>
          <w:szCs w:val="24"/>
          <w:highlight w:val="none"/>
          <w:lang w:val="en-US" w:eastAsia="zh-CN"/>
        </w:rPr>
        <w:t xml:space="preserve">被监管人员需要医院专家来所会诊时，会诊工作由乙方管理人员负责协调，在提出申请24小时内予以</w:t>
      </w:r>
      <w:r>
        <w:rPr>
          <w:rFonts w:hint="eastAsia" w:ascii="宋体" w:hAnsi="宋体" w:eastAsia="宋体" w:cs="宋体"/>
          <w:b w:val="0"/>
          <w:bCs/>
          <w:color w:val="000000"/>
          <w:sz w:val="24"/>
          <w:szCs w:val="24"/>
          <w:highlight w:val="none"/>
          <w:lang w:val="en" w:eastAsia="zh-CN"/>
        </w:rPr>
        <w:t xml:space="preserve">优先</w:t>
      </w:r>
      <w:r>
        <w:rPr>
          <w:rFonts w:hint="eastAsia" w:ascii="宋体" w:hAnsi="宋体" w:eastAsia="宋体" w:cs="宋体"/>
          <w:b w:val="0"/>
          <w:bCs/>
          <w:color w:val="000000"/>
          <w:sz w:val="24"/>
          <w:szCs w:val="24"/>
          <w:highlight w:val="none"/>
          <w:lang w:val="en-US" w:eastAsia="zh-CN"/>
        </w:rPr>
        <w:t xml:space="preserve">安排到所开展会诊。</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2.管理人员职责。</w:t>
      </w:r>
      <w:r>
        <w:rPr>
          <w:rFonts w:hint="eastAsia" w:ascii="宋体" w:hAnsi="宋体" w:eastAsia="宋体" w:cs="宋体"/>
          <w:b w:val="0"/>
          <w:bCs/>
          <w:color w:val="000000"/>
          <w:sz w:val="24"/>
          <w:szCs w:val="24"/>
          <w:highlight w:val="none"/>
          <w:lang w:val="en-US" w:eastAsia="zh-CN"/>
        </w:rPr>
        <w:t xml:space="preserve">管理人员负责医疗人员的日常管理考核和对接协调工作，每月整理相关台账，形成报表。每月考核依据由监管支队协同提供（医疗服务考核表详见附表）。</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3.日常管理。</w:t>
      </w:r>
      <w:r>
        <w:rPr>
          <w:rFonts w:hint="eastAsia" w:ascii="宋体" w:hAnsi="宋体" w:eastAsia="宋体" w:cs="宋体"/>
          <w:b w:val="0"/>
          <w:bCs/>
          <w:color w:val="000000"/>
          <w:sz w:val="24"/>
          <w:szCs w:val="24"/>
          <w:highlight w:val="none"/>
          <w:lang w:val="en-US" w:eastAsia="zh-CN"/>
        </w:rPr>
        <w:t xml:space="preserve">所有派驻医务人员的日常管理、安全教育、医疗事务由乙方负责。</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4.纪律要求。</w:t>
      </w:r>
      <w:r>
        <w:rPr>
          <w:rFonts w:hint="eastAsia" w:ascii="宋体" w:hAnsi="宋体" w:eastAsia="宋体" w:cs="宋体"/>
          <w:b w:val="0"/>
          <w:bCs/>
          <w:color w:val="000000"/>
          <w:sz w:val="24"/>
          <w:szCs w:val="24"/>
          <w:highlight w:val="none"/>
          <w:lang w:val="en-US" w:eastAsia="zh-CN"/>
        </w:rPr>
        <w:t xml:space="preserve">乙方入驻监所工作人员，必须严格遵守监所安全管理规定和相关工作要求，不得在体检中弄虚作假，不得打听相关案情、不得为被监管人员通风报信或私自传递物品。</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五</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体检收费及治疗费用</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1.入所体检基本费用由乙方按照280元/人次实时收取（体检内容包括：血压、血常规、心电图、胸部DR、腹部B超、急诊肝肾功能、血脂两项、随机血糖）</w:t>
      </w:r>
      <w:r>
        <w:rPr>
          <w:rFonts w:hint="eastAsia" w:ascii="宋体" w:hAnsi="宋体" w:eastAsia="宋体" w:cs="宋体"/>
          <w:b w:val="0"/>
          <w:bCs/>
          <w:color w:val="000000"/>
          <w:sz w:val="24"/>
          <w:szCs w:val="24"/>
          <w:highlight w:val="none"/>
          <w:lang w:val="en" w:eastAsia="zh-CN"/>
        </w:rPr>
        <w:t xml:space="preserve">。</w:t>
      </w:r>
      <w:r>
        <w:rPr>
          <w:rFonts w:hint="eastAsia" w:ascii="宋体" w:hAnsi="宋体" w:eastAsia="宋体" w:cs="宋体"/>
          <w:b w:val="0"/>
          <w:bCs/>
          <w:color w:val="000000"/>
          <w:sz w:val="24"/>
          <w:szCs w:val="24"/>
          <w:highlight w:val="none"/>
          <w:lang w:val="en-US" w:eastAsia="zh-CN"/>
        </w:rPr>
        <w:t xml:space="preserve">适龄女性</w:t>
      </w:r>
      <w:r>
        <w:rPr>
          <w:rFonts w:hint="eastAsia" w:ascii="宋体" w:hAnsi="宋体" w:eastAsia="宋体" w:cs="宋体"/>
          <w:b w:val="0"/>
          <w:bCs/>
          <w:color w:val="000000"/>
          <w:sz w:val="24"/>
          <w:szCs w:val="24"/>
          <w:highlight w:val="none"/>
          <w:lang w:val="en" w:eastAsia="zh-CN"/>
        </w:rPr>
        <w:t xml:space="preserve">增加血、尿</w:t>
      </w:r>
      <w:r>
        <w:rPr>
          <w:rFonts w:hint="eastAsia" w:ascii="宋体" w:hAnsi="宋体" w:eastAsia="宋体" w:cs="宋体"/>
          <w:b w:val="0"/>
          <w:bCs/>
          <w:color w:val="000000"/>
          <w:sz w:val="24"/>
          <w:szCs w:val="24"/>
          <w:highlight w:val="none"/>
          <w:lang w:val="en-US" w:eastAsia="zh-CN"/>
        </w:rPr>
        <w:t xml:space="preserve">妊娠试验，相关费用另外结算；</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2.半年体检基本费用按照280元/人收取（体检内容包括：血压、血常规、心电图、胸部DR、腹部B超、急诊肝肾功能、血脂两项、随机血糖）</w:t>
      </w:r>
      <w:r>
        <w:rPr>
          <w:rFonts w:hint="eastAsia" w:ascii="宋体" w:hAnsi="宋体" w:eastAsia="宋体" w:cs="宋体"/>
          <w:b w:val="0"/>
          <w:bCs/>
          <w:color w:val="000000"/>
          <w:sz w:val="24"/>
          <w:szCs w:val="24"/>
          <w:highlight w:val="none"/>
          <w:lang w:val="en" w:eastAsia="zh-CN"/>
        </w:rPr>
        <w:t xml:space="preserve">。入所满45日</w:t>
      </w:r>
      <w:r>
        <w:rPr>
          <w:rFonts w:hint="eastAsia" w:ascii="宋体" w:hAnsi="宋体" w:eastAsia="宋体" w:cs="宋体"/>
          <w:b w:val="0"/>
          <w:bCs/>
          <w:color w:val="000000"/>
          <w:sz w:val="24"/>
          <w:szCs w:val="24"/>
          <w:highlight w:val="none"/>
          <w:lang w:val="en-US" w:eastAsia="zh-CN"/>
        </w:rPr>
        <w:t xml:space="preserve">适龄女性</w:t>
      </w:r>
      <w:r>
        <w:rPr>
          <w:rFonts w:hint="eastAsia" w:ascii="宋体" w:hAnsi="宋体" w:eastAsia="宋体" w:cs="宋体"/>
          <w:b w:val="0"/>
          <w:bCs/>
          <w:color w:val="000000"/>
          <w:sz w:val="24"/>
          <w:szCs w:val="24"/>
          <w:highlight w:val="none"/>
          <w:lang w:val="en" w:eastAsia="zh-CN"/>
        </w:rPr>
        <w:t xml:space="preserve">增加血、尿</w:t>
      </w:r>
      <w:r>
        <w:rPr>
          <w:rFonts w:hint="eastAsia" w:ascii="宋体" w:hAnsi="宋体" w:eastAsia="宋体" w:cs="宋体"/>
          <w:b w:val="0"/>
          <w:bCs/>
          <w:color w:val="000000"/>
          <w:sz w:val="24"/>
          <w:szCs w:val="24"/>
          <w:highlight w:val="none"/>
          <w:lang w:val="en-US" w:eastAsia="zh-CN"/>
        </w:rPr>
        <w:t xml:space="preserve">妊娠试验，相关费用另外结算；</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3.被监管人员需进行常规体检项目之外其他检测及治疗的，乙方按正常资费收取。</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六</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就医绿色通道</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建立出所就医绿色通道，双方建立协作联动机制，明确专人负责协调，确保出所就医人员到达医院后15分钟内得到高效救治，相关费用定期结算。</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七</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其他相关要求</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1.医疗机构执业许可要求</w:t>
      </w:r>
      <w:r>
        <w:rPr>
          <w:rFonts w:hint="eastAsia" w:ascii="宋体" w:hAnsi="宋体" w:eastAsia="宋体" w:cs="宋体"/>
          <w:b/>
          <w:bCs w:val="0"/>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监管支队医疗机构（扬州市看守所卫生站、扬州市公安局戒毒所卫生所）执业许可证（含副本中相关诊疗科目）符合本项目依法执业相关要求；同时协助乙方在监管支队执业地点新申领医疗机构执业许可证、放射诊疗许可证、辐射安全许可证等，全体医务人员均需在此机构注册登记。</w:t>
      </w:r>
      <w:r>
        <w:rPr>
          <w:rFonts w:hint="eastAsia" w:ascii="宋体" w:hAnsi="宋体" w:eastAsia="宋体" w:cs="宋体"/>
          <w:b w:val="0"/>
          <w:bCs/>
          <w:color w:val="000000"/>
          <w:sz w:val="24"/>
          <w:szCs w:val="24"/>
          <w:highlight w:val="none"/>
          <w:lang w:val="en-US" w:eastAsia="zh-CN"/>
        </w:rPr>
      </w:r>
      <w:r/>
    </w:p>
    <w:p>
      <w:pPr>
        <w:pStyle w:val="952"/>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（2）乙方在监管支队执业地点新申领医疗机构执业许可证，法定代表人和主要负责人由乙方相关人员担任。合同到期后，该医疗机构执业许可证甲方无权使用。</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bCs w:val="0"/>
          <w:i w:val="0"/>
          <w:iCs w:val="0"/>
          <w:color w:val="000000"/>
          <w:sz w:val="24"/>
          <w:szCs w:val="24"/>
          <w:highlight w:val="none"/>
          <w:u w:val="none"/>
          <w:lang w:val="en-US" w:eastAsia="zh-CN"/>
        </w:rPr>
        <w:t xml:space="preserve">2.乙方技术能力水平要求。</w:t>
      </w:r>
      <w:r>
        <w:rPr>
          <w:rFonts w:hint="eastAsia" w:ascii="宋体" w:hAnsi="宋体" w:eastAsia="宋体" w:cs="宋体"/>
          <w:b w:val="0"/>
          <w:bCs/>
          <w:i w:val="0"/>
          <w:iCs w:val="0"/>
          <w:color w:val="000000"/>
          <w:sz w:val="24"/>
          <w:szCs w:val="24"/>
          <w:highlight w:val="none"/>
          <w:u w:val="none"/>
          <w:lang w:val="en-US" w:eastAsia="zh-CN"/>
        </w:rPr>
        <w:t xml:space="preserve">根据近年来监管场所在押人员突发心脑血管等疾病猝死的情况，乙方需具备高水平的危急重症患者救治技术能力，包括且不限于急诊情况下的心血管介入手术、冠脉搭桥手术、心脏大血管手术、神经介入手术、综合介入手术、ECMO治疗技术等。</w:t>
      </w:r>
      <w:r>
        <w:rPr>
          <w:rFonts w:hint="eastAsia" w:ascii="宋体" w:hAnsi="宋体" w:eastAsia="宋体" w:cs="宋体"/>
          <w:b w:val="0"/>
          <w:bCs/>
          <w:i w:val="0"/>
          <w:iCs w:val="0"/>
          <w:color w:val="000000"/>
          <w:sz w:val="24"/>
          <w:szCs w:val="24"/>
          <w:highlight w:val="none"/>
          <w:u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3.药品采购、保管。</w:t>
      </w:r>
      <w:r>
        <w:rPr>
          <w:rFonts w:hint="eastAsia" w:ascii="宋体" w:hAnsi="宋体" w:eastAsia="宋体" w:cs="宋体"/>
          <w:b w:val="0"/>
          <w:bCs/>
          <w:color w:val="000000"/>
          <w:sz w:val="24"/>
          <w:szCs w:val="24"/>
          <w:highlight w:val="none"/>
          <w:lang w:val="en-US" w:eastAsia="zh-CN"/>
        </w:rPr>
        <w:t xml:space="preserve">监管支队负责大宗药品采购，乙方负责药品保管、合理使用、出入库盘点并结合药品使用情况提出采购建议，监所临时需要补充少量特殊药品，提出需求后由乙方按需及时提供，相关费用定期结算。</w:t>
      </w:r>
      <w:r>
        <w:rPr>
          <w:rFonts w:hint="eastAsia" w:ascii="宋体" w:hAnsi="宋体" w:eastAsia="宋体" w:cs="宋体"/>
          <w:b w:val="0"/>
          <w:bCs/>
          <w:color w:val="000000"/>
          <w:sz w:val="24"/>
          <w:szCs w:val="24"/>
          <w:highlight w:val="none"/>
          <w:lang w:val="en-US" w:eastAsia="zh-CN"/>
        </w:rPr>
      </w:r>
      <w:r/>
    </w:p>
    <w:p>
      <w:pPr>
        <w:pStyle w:val="952"/>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4.血样送检。</w:t>
      </w:r>
      <w:r>
        <w:rPr>
          <w:rFonts w:hint="eastAsia" w:ascii="宋体" w:hAnsi="宋体" w:eastAsia="宋体" w:cs="宋体"/>
          <w:b w:val="0"/>
          <w:bCs/>
          <w:color w:val="000000"/>
          <w:sz w:val="24"/>
          <w:szCs w:val="24"/>
          <w:highlight w:val="none"/>
          <w:lang w:val="en-US" w:eastAsia="zh-CN"/>
        </w:rPr>
        <w:t xml:space="preserve">乙方安排体检中心护士将血样放置到专用转运箱，监管支队安排车辆和驾驶员每天上午9时前将专用转运箱（含血样）送到乙方检验科（有专人对接）检测。</w:t>
      </w:r>
      <w:r>
        <w:rPr>
          <w:rFonts w:hint="eastAsia" w:ascii="宋体" w:hAnsi="宋体" w:eastAsia="宋体" w:cs="宋体"/>
          <w:b w:val="0"/>
          <w:bCs/>
          <w:color w:val="000000"/>
          <w:sz w:val="24"/>
          <w:szCs w:val="24"/>
          <w:highlight w:val="none"/>
          <w:lang w:val="en-US" w:eastAsia="zh-CN"/>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、相关保障</w:t>
      </w:r>
      <w:r>
        <w:rPr>
          <w:rFonts w:hint="eastAsia" w:ascii="宋体" w:hAnsi="宋体" w:eastAsia="宋体" w:cs="宋体"/>
          <w:b/>
          <w:bCs/>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（一）体检中心运行保障。</w:t>
      </w:r>
      <w:r>
        <w:rPr>
          <w:rFonts w:hint="eastAsia" w:ascii="宋体" w:hAnsi="宋体" w:eastAsia="宋体" w:cs="宋体"/>
          <w:color w:val="000000"/>
          <w:sz w:val="24"/>
          <w:szCs w:val="24"/>
          <w:highlight w:val="none"/>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监管支队为体检中心提供医疗用房，负责基础设施、监控设备等日常维护和水电费用。医院负责提供体检中心所需要的医疗器材、临床检验及影像设备等医疗设备维护和耗材。</w:t>
      </w:r>
      <w:r>
        <w:rPr>
          <w:rFonts w:hint="eastAsia" w:ascii="宋体" w:hAnsi="宋体" w:eastAsia="宋体" w:cs="宋体"/>
          <w:color w:val="000000"/>
          <w:sz w:val="24"/>
          <w:szCs w:val="24"/>
          <w:highlight w:val="none"/>
        </w:rPr>
      </w:r>
      <w:r/>
    </w:p>
    <w:p>
      <w:pPr>
        <w:pStyle w:val="87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医院监管病房。</w:t>
      </w:r>
      <w:r>
        <w:rPr>
          <w:rFonts w:hint="eastAsia" w:ascii="宋体" w:hAnsi="宋体" w:eastAsia="宋体" w:cs="宋体"/>
          <w:color w:val="000000"/>
          <w:sz w:val="24"/>
          <w:szCs w:val="24"/>
          <w:highlight w:val="none"/>
        </w:rPr>
      </w:r>
      <w:r/>
    </w:p>
    <w:p>
      <w:pPr>
        <w:pStyle w:val="870"/>
        <w:numPr>
          <w:ilvl w:val="0"/>
          <w:numId w:val="0"/>
        </w:numP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医院需在所属医院本部住院、门诊或急诊区域内设置独立监管病房一间（不少于2张病床、内设卫生间，距离病区护士站较近的位置）,设施设备应符合监管病房安防要求。</w:t>
      </w:r>
      <w:r>
        <w:rPr>
          <w:rFonts w:hint="eastAsia" w:ascii="宋体" w:hAnsi="宋体" w:eastAsia="宋体" w:cs="宋体"/>
          <w:color w:val="000000"/>
          <w:sz w:val="24"/>
          <w:szCs w:val="24"/>
          <w:highlight w:val="none"/>
          <w:lang w:val="en-US" w:eastAsia="zh-CN"/>
        </w:rPr>
        <w:t xml:space="preserve">相关费用由中标人承担。</w:t>
      </w:r>
      <w:r>
        <w:rPr>
          <w:rFonts w:ascii="宋体" w:hAnsi="宋体" w:eastAsia="宋体" w:cs="宋体"/>
          <w:color w:val="000000"/>
          <w:sz w:val="24"/>
          <w:szCs w:val="24"/>
          <w:highlight w:val="none"/>
          <w:lang w:val="en-US" w:eastAsia="zh-CN"/>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六、隐私保护管理要求​</w:t>
      </w:r>
      <w:r>
        <w:rPr>
          <w:rFonts w:hint="eastAsia" w:ascii="宋体" w:hAnsi="宋体" w:eastAsia="宋体" w:cs="宋体"/>
          <w:b/>
          <w:bCs/>
          <w:color w:val="000000"/>
          <w:sz w:val="24"/>
          <w:szCs w:val="24"/>
          <w:highlight w:val="none"/>
          <w:lang w:eastAsia="zh-CN"/>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（一）医疗数据管理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有被监管人员的医疗档案、体检报告、诊断记录等信息均属于隐私数据，需严格按照《中华人民共和国个人信息保护法》和《医疗机构病历管理规定》进行管理。建立专门的加密数据库存储相关信息，限制访问权限，仅授权的医护人员、监管人员因工作需要方可查看。未经审批，严禁以任何形式复制、传播、泄露被监管人员的医疗隐私数据。医疗数据的传输需采用加密通道，防止数据在传输过程中被窃取或篡改。定期对医疗数据进行备份，并将备份数据存放在安全的物理位置，确保数据安全可恢</w:t>
      </w:r>
      <w:r>
        <w:rPr>
          <w:rFonts w:hint="eastAsia" w:ascii="宋体" w:hAnsi="宋体" w:eastAsia="宋体" w:cs="宋体"/>
          <w:color w:val="000000"/>
          <w:sz w:val="24"/>
          <w:szCs w:val="24"/>
          <w:highlight w:val="none"/>
          <w:lang w:eastAsia="zh-CN"/>
        </w:rPr>
        <w:t xml:space="preserve">复。</w:t>
      </w:r>
      <w:r>
        <w:rPr>
          <w:rFonts w:hint="eastAsia" w:ascii="宋体" w:hAnsi="宋体" w:eastAsia="宋体" w:cs="宋体"/>
          <w:color w:val="000000"/>
          <w:sz w:val="24"/>
          <w:szCs w:val="24"/>
          <w:highlight w:val="none"/>
          <w:lang w:eastAsia="zh-CN"/>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（二）诊疗操作规范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诊疗过程中，医护人员需充分尊重被监管人员的隐私。进行身体检查、治疗等操作时，应设置独立的诊疗空间，必要时使用隔帘、屏风等进行遮挡，避免无关人员观看。在询问病史、病情时，应注意保护被监管人员的隐私信息，避免在公共场合大声讨论敏感内容。对于女性被监管人员，涉及隐私部位的检查、治疗等操作，应由</w:t>
      </w:r>
      <w:r>
        <w:rPr>
          <w:rFonts w:hint="eastAsia" w:ascii="宋体" w:hAnsi="宋体" w:eastAsia="宋体" w:cs="宋体"/>
          <w:color w:val="000000"/>
          <w:sz w:val="24"/>
          <w:szCs w:val="24"/>
          <w:highlight w:val="none"/>
          <w:lang w:eastAsia="zh-CN"/>
        </w:rPr>
        <w:t xml:space="preserve">女</w:t>
      </w:r>
      <w:r>
        <w:rPr>
          <w:rFonts w:hint="eastAsia" w:ascii="宋体" w:hAnsi="宋体" w:eastAsia="宋体" w:cs="宋体"/>
          <w:color w:val="000000"/>
          <w:sz w:val="24"/>
          <w:szCs w:val="24"/>
          <w:highlight w:val="none"/>
        </w:rPr>
        <w:t xml:space="preserve">性医护人员进行，特殊情况需有女性监管人员陪同，并做好记录。​</w:t>
      </w:r>
      <w:r>
        <w:rPr>
          <w:rFonts w:hint="eastAsia" w:ascii="宋体" w:hAnsi="宋体" w:eastAsia="宋体" w:cs="宋体"/>
          <w:color w:val="000000"/>
          <w:sz w:val="24"/>
          <w:szCs w:val="24"/>
          <w:highlight w:val="none"/>
        </w:rPr>
      </w:r>
      <w:r/>
    </w:p>
    <w:p>
      <w:pPr>
        <w:pStyle w:val="87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人员培训管理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定期组织医护人员、监管人员开展隐私保护专题培训，强化隐私保护意识，使其熟悉隐私保护相关法律法规和操作规范。培训内容应包括如何正确处理医疗隐私数据、在诊疗过程中如何保护被监管人员隐私等。培训后进行考核，考核合格者方可上岗，对于违反隐私保护规定的人员，依法依规严肃处理，并记录在个人工作档案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7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（四）第三方合作管理。</w:t>
      </w:r>
      <w:r>
        <w:rPr>
          <w:rFonts w:hint="eastAsia" w:ascii="宋体" w:hAnsi="宋体" w:eastAsia="宋体" w:cs="宋体"/>
          <w:color w:val="000000"/>
          <w:sz w:val="24"/>
          <w:szCs w:val="24"/>
          <w:highlight w:val="none"/>
          <w:lang w:eastAsia="zh-CN"/>
        </w:rPr>
      </w:r>
      <w:r/>
    </w:p>
    <w:p>
      <w:pPr>
        <w:pStyle w:val="870"/>
        <w:numPr>
          <w:ilvl w:val="0"/>
          <w:numId w:val="0"/>
        </w:numPr>
        <w:keepLines w:val="0"/>
        <w:keepNext w:val="0"/>
        <w:pageBreakBefore w:val="0"/>
        <w:spacing w:line="360" w:lineRule="auto"/>
        <w:widowControl w:val="off"/>
        <w:rPr>
          <w:rFonts w:hint="eastAsia" w:ascii="宋体" w:hAnsi="宋体" w:eastAsia="宋体" w:cs="宋体"/>
          <w:bCs/>
          <w:iCs/>
          <w:color w:val="000000"/>
          <w:sz w:val="24"/>
          <w:szCs w:val="24"/>
          <w:highlight w:val="none"/>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若涉及与第三方机构合作，如医疗设备供应商、软件服务商等，需在合同中明确第三方机构的隐私保护责任和义务。要求第三方机构遵守相关法律法规，采取必要的技术和管理措施保护被监管人员的隐私数据。定期对第三方机构的隐私保护工作进行监督和检查，发现问题及时要求整改，若第三方机构违反隐私保护规定，应立即终止合作，并追究其法律责任</w:t>
      </w:r>
      <w:r>
        <w:rPr>
          <w:rFonts w:hint="eastAsia" w:ascii="宋体" w:hAnsi="宋体" w:eastAsia="宋体" w:cs="宋体"/>
          <w:bCs/>
          <w:iCs/>
          <w:color w:val="000000"/>
          <w:sz w:val="24"/>
          <w:szCs w:val="24"/>
          <w:highlight w:val="none"/>
        </w:rPr>
        <w:t xml:space="preserve">。</w:t>
      </w:r>
      <w:r>
        <w:rPr>
          <w:rFonts w:hint="eastAsia" w:ascii="宋体" w:hAnsi="宋体" w:eastAsia="宋体" w:cs="宋体"/>
          <w:bCs/>
          <w:iCs/>
          <w:color w:val="000000"/>
          <w:sz w:val="24"/>
          <w:szCs w:val="24"/>
          <w:highlight w:val="none"/>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七、其他要求</w:t>
      </w:r>
      <w:r>
        <w:rPr>
          <w:rFonts w:hint="eastAsia" w:ascii="宋体" w:hAnsi="宋体" w:eastAsia="宋体" w:cs="宋体"/>
          <w:b/>
          <w:bCs/>
          <w:color w:val="000000"/>
          <w:sz w:val="24"/>
          <w:szCs w:val="24"/>
          <w:highlight w:val="none"/>
          <w:lang w:eastAsia="zh-CN"/>
        </w:rPr>
      </w:r>
      <w:r/>
    </w:p>
    <w:p>
      <w:pPr>
        <w:pStyle w:val="870"/>
        <w:ind w:firstLine="420"/>
        <w:keepLines w:val="0"/>
        <w:keepNext w:val="0"/>
        <w:pageBreakBefore w:val="0"/>
        <w:spacing w:line="360" w:lineRule="auto"/>
        <w:widowControl w:val="off"/>
        <w:rPr>
          <w:rFonts w:hint="eastAsia" w:ascii="宋体" w:hAnsi="宋体" w:eastAsia="宋体" w:cs="宋体"/>
          <w:b w:val="0"/>
          <w:bCs/>
          <w:i/>
          <w:i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4"/>
          <w:szCs w:val="24"/>
          <w:highlight w:val="none"/>
          <w:u w:val="single"/>
          <w:lang w:val="en-US" w:eastAsia="zh-CN" w:bidi="ar-SA"/>
        </w:rPr>
        <w:t xml:space="preserve">（一）供应商与从业人员自行签订用工合同，与采购人无关，供应商负责按照政策缴纳各 项费用并且依法纳税。供应商从业人员的经济责任和安全责任等所有可能产生的一切风险均由供应商自行承担。</w:t>
      </w:r>
      <w:r>
        <w:rPr>
          <w:rFonts w:hint="eastAsia" w:ascii="宋体" w:hAnsi="宋体" w:eastAsia="宋体" w:cs="宋体"/>
          <w:b/>
          <w:bCs w:val="0"/>
          <w:i/>
          <w:iCs/>
          <w:color w:val="000000"/>
          <w:sz w:val="24"/>
          <w:szCs w:val="24"/>
          <w:highlight w:val="none"/>
          <w:u w:val="single"/>
          <w:lang w:val="en-US" w:eastAsia="zh-CN" w:bidi="ar-SA"/>
        </w:rPr>
        <w:t xml:space="preserve">（提供承诺函，格式自拟，系统上传，未按要求提供视为无效响应）</w:t>
      </w:r>
      <w:r>
        <w:rPr>
          <w:rFonts w:hint="eastAsia" w:ascii="宋体" w:hAnsi="宋体" w:eastAsia="宋体" w:cs="宋体"/>
          <w:b w:val="0"/>
          <w:bCs/>
          <w:i/>
          <w:iCs/>
          <w:color w:val="000000"/>
          <w:sz w:val="24"/>
          <w:szCs w:val="24"/>
          <w:highlight w:val="none"/>
          <w:u w:val="single"/>
          <w:lang w:val="en-US" w:eastAsia="zh-CN" w:bidi="ar-SA"/>
        </w:rPr>
      </w:r>
      <w:r/>
    </w:p>
    <w:p>
      <w:pPr>
        <w:pStyle w:val="870"/>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4"/>
          <w:szCs w:val="24"/>
          <w:highlight w:val="none"/>
          <w:u w:val="single"/>
          <w:lang w:val="en-US" w:eastAsia="zh-CN" w:bidi="ar-SA"/>
        </w:rPr>
        <w:t xml:space="preserve">（二）供应商必须在合同签订前，按照本项目人员岗位配备要求将所有派入服务人员花名册及人员相应的资质条件提供给采购人，为保持工作的连续性，拟派人员轮换时间原则上不低于6个月，如遇特殊情况需轮换，应经过采购人的认可。</w:t>
      </w:r>
      <w:r>
        <w:rPr>
          <w:rFonts w:hint="eastAsia" w:ascii="宋体" w:hAnsi="宋体" w:eastAsia="宋体" w:cs="宋体"/>
          <w:b/>
          <w:bCs w:val="0"/>
          <w:i/>
          <w:iCs/>
          <w:color w:val="000000"/>
          <w:sz w:val="24"/>
          <w:szCs w:val="24"/>
          <w:highlight w:val="none"/>
          <w:u w:val="single"/>
          <w:lang w:val="en-US" w:eastAsia="zh-CN" w:bidi="ar-SA"/>
        </w:rPr>
        <w:t xml:space="preserve">（提供承诺函，格式自拟，系统上传，未按要求提供视为无效响应）</w:t>
      </w:r>
      <w:r>
        <w:rPr>
          <w:rFonts w:hint="eastAsia" w:ascii="宋体" w:hAnsi="宋体" w:eastAsia="宋体" w:cs="宋体"/>
          <w:sz w:val="24"/>
          <w:szCs w:val="24"/>
          <w:highlight w:val="none"/>
          <w:lang w:val="en-US" w:eastAsia="zh-CN"/>
        </w:rPr>
      </w:r>
      <w:r/>
    </w:p>
    <w:p>
      <w:pPr>
        <w:pStyle w:val="870"/>
        <w:rPr>
          <w:rFonts w:hint="eastAsia"/>
          <w:highlight w:val="none"/>
        </w:rPr>
      </w:pPr>
      <w:r>
        <w:rPr>
          <w:rFonts w:hint="eastAsia"/>
          <w:highlight w:val="none"/>
        </w:rPr>
      </w:r>
      <w:r/>
    </w:p>
    <w:p>
      <w:pPr>
        <w:pStyle w:val="87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eastAsia="zh-CN"/>
        </w:rPr>
        <w:t xml:space="preserve">、政府采购中实施本国产品标准及相关政策</w:t>
      </w:r>
      <w:r>
        <w:rPr>
          <w:rFonts w:hint="eastAsia" w:ascii="宋体" w:hAnsi="宋体" w:eastAsia="宋体" w:cs="宋体"/>
          <w:b/>
          <w:bCs/>
          <w:color w:val="000000"/>
          <w:sz w:val="24"/>
          <w:szCs w:val="24"/>
          <w:highlight w:val="none"/>
          <w:lang w:eastAsia="zh-CN"/>
        </w:rPr>
      </w:r>
      <w:r/>
    </w:p>
    <w:p>
      <w:pPr>
        <w:pStyle w:val="952"/>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1.本项目对采购本国产品给予政策支持，具体内容见招标文件“第五章 评审方法与评审标准”。</w:t>
      </w:r>
      <w:r>
        <w:rPr>
          <w:rFonts w:hint="eastAsia" w:hAnsi="宋体" w:eastAsia="宋体" w:cs="宋体"/>
          <w:color w:val="000000"/>
          <w:sz w:val="24"/>
          <w:szCs w:val="24"/>
          <w:highlight w:val="none"/>
        </w:rPr>
      </w:r>
      <w:r/>
    </w:p>
    <w:p>
      <w:pPr>
        <w:pStyle w:val="952"/>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eastAsia="宋体" w:cs="宋体"/>
          <w:color w:val="000000"/>
          <w:sz w:val="24"/>
          <w:szCs w:val="24"/>
          <w:highlight w:val="none"/>
        </w:rPr>
      </w:r>
      <w:r/>
    </w:p>
    <w:p>
      <w:pPr>
        <w:pStyle w:val="952"/>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eastAsia="宋体" w:cs="宋体"/>
          <w:color w:val="000000"/>
          <w:sz w:val="24"/>
          <w:szCs w:val="24"/>
          <w:highlight w:val="none"/>
        </w:rPr>
      </w:r>
      <w:r/>
    </w:p>
    <w:p>
      <w:pPr>
        <w:pStyle w:val="957"/>
        <w:rPr>
          <w:rFonts w:hint="eastAsia"/>
          <w:sz w:val="24"/>
          <w:szCs w:val="24"/>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highlight w:val="none"/>
        </w:rPr>
      </w:r>
      <w:r/>
    </w:p>
    <w:p>
      <w:pPr>
        <w:pStyle w:val="871"/>
        <w:jc w:val="center"/>
        <w:spacing w:line="360" w:lineRule="auto"/>
        <w:rPr>
          <w:rFonts w:hint="eastAsia" w:ascii="宋体" w:hAnsi="宋体"/>
          <w:color w:val="000000"/>
          <w:highlight w:val="none"/>
        </w:rPr>
      </w:pPr>
      <w:r>
        <w:rPr>
          <w:rFonts w:hint="eastAsia" w:ascii="宋体" w:hAnsi="宋体"/>
          <w:color w:val="000000"/>
          <w:highlight w:val="none"/>
        </w:rPr>
        <w:t xml:space="preserve">第五章 </w:t>
      </w:r>
      <w:bookmarkEnd w:id="1"/>
      <w:r/>
      <w:bookmarkEnd w:id="15"/>
      <w:r>
        <w:rPr>
          <w:rFonts w:hint="eastAsia"/>
          <w:highlight w:val="none"/>
        </w:rPr>
        <w:t xml:space="preserve">评标方法与评标标准</w:t>
      </w:r>
      <w:r>
        <w:rPr>
          <w:rFonts w:hint="eastAsia" w:ascii="宋体" w:hAnsi="宋体"/>
          <w:color w:val="000000"/>
          <w:highlight w:val="none"/>
        </w:rPr>
      </w:r>
      <w:r/>
    </w:p>
    <w:p>
      <w:pPr>
        <w:pStyle w:val="870"/>
        <w:ind w:firstLine="439"/>
        <w:jc w:val="left"/>
        <w:spacing w:before="120" w:after="120" w:line="360" w:lineRule="auto"/>
        <w:rPr>
          <w:rFonts w:ascii="宋体" w:hAnsi="宋体" w:eastAsia="宋体" w:cs="Times New Roman"/>
          <w:b/>
          <w:bCs/>
          <w:sz w:val="24"/>
          <w:szCs w:val="24"/>
          <w:highlight w:val="none"/>
          <w:lang w:val="en-US" w:eastAsia="zh-CN"/>
        </w:rPr>
      </w:pPr>
      <w:r/>
      <w:bookmarkStart w:id="16" w:name="_Toc449016388"/>
      <w:r/>
      <w:bookmarkStart w:id="17" w:name="_Toc449017024"/>
      <w:r>
        <w:rPr>
          <w:rFonts w:hint="eastAsia" w:ascii="宋体" w:hAnsi="宋体" w:eastAsia="宋体" w:cs="Times New Roman"/>
          <w:b/>
          <w:bCs/>
          <w:sz w:val="24"/>
          <w:szCs w:val="24"/>
          <w:highlight w:val="none"/>
          <w:lang w:val="en-US" w:eastAsia="zh-CN"/>
        </w:rPr>
        <w:t xml:space="preserve">一、评标方法</w:t>
      </w:r>
      <w:r>
        <w:rPr>
          <w:rFonts w:ascii="宋体" w:hAnsi="宋体" w:eastAsia="宋体" w:cs="Times New Roman"/>
          <w:b/>
          <w:bCs/>
          <w:sz w:val="24"/>
          <w:szCs w:val="24"/>
          <w:highlight w:val="none"/>
          <w:lang w:val="en-US" w:eastAsia="zh-CN"/>
        </w:rPr>
      </w:r>
      <w:r/>
    </w:p>
    <w:p>
      <w:pPr>
        <w:pStyle w:val="870"/>
        <w:ind w:firstLine="439"/>
        <w:jc w:val="left"/>
        <w:spacing w:before="120" w:after="120" w:line="360" w:lineRule="auto"/>
        <w:rPr>
          <w:rFonts w:ascii="宋体" w:hAnsi="宋体"/>
          <w:sz w:val="24"/>
          <w:szCs w:val="24"/>
          <w:highlight w:val="none"/>
        </w:rPr>
      </w:pPr>
      <w:r>
        <w:rPr>
          <w:rFonts w:hint="eastAsia" w:ascii="宋体" w:hAnsi="宋体"/>
          <w:sz w:val="24"/>
          <w:szCs w:val="24"/>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highlight w:val="none"/>
        </w:rPr>
        <w:t xml:space="preserve">本项</w:t>
      </w:r>
      <w:r>
        <w:rPr>
          <w:rFonts w:hint="eastAsia" w:ascii="宋体" w:hAnsi="宋体" w:eastAsia="宋体" w:cs="宋体"/>
          <w:color w:val="000000"/>
          <w:sz w:val="24"/>
          <w:szCs w:val="24"/>
          <w:highlight w:val="none"/>
        </w:rPr>
        <w:t xml:space="preserve">目选取3名中标</w:t>
      </w:r>
      <w:r>
        <w:rPr>
          <w:rFonts w:hint="eastAsia" w:ascii="Arial" w:hAnsi="Arial" w:cs="Arial"/>
          <w:color w:val="000000"/>
          <w:sz w:val="24"/>
          <w:szCs w:val="24"/>
          <w:highlight w:val="none"/>
        </w:rPr>
        <w:t xml:space="preserve">候选人。</w:t>
      </w:r>
      <w:r>
        <w:rPr>
          <w:rFonts w:ascii="宋体" w:hAnsi="宋体"/>
          <w:sz w:val="24"/>
          <w:szCs w:val="24"/>
          <w:highlight w:val="none"/>
        </w:rPr>
      </w:r>
      <w:r/>
    </w:p>
    <w:p>
      <w:pPr>
        <w:pStyle w:val="870"/>
        <w:ind w:firstLine="241"/>
        <w:jc w:val="left"/>
        <w:spacing w:before="120" w:after="120" w:line="360" w:lineRule="auto"/>
        <w:rPr>
          <w:rFonts w:hint="eastAsia" w:ascii="宋体" w:hAnsi="宋体" w:eastAsia="宋体" w:cs="Times New Roman"/>
          <w:b/>
          <w:bCs/>
          <w:sz w:val="24"/>
          <w:szCs w:val="24"/>
          <w:highlight w:val="none"/>
          <w:lang w:val="en-US" w:eastAsia="zh-CN"/>
        </w:rPr>
      </w:pPr>
      <w:r/>
      <w:bookmarkEnd w:id="16"/>
      <w:r/>
      <w:bookmarkEnd w:id="17"/>
      <w:r>
        <w:rPr>
          <w:rFonts w:hint="eastAsia" w:ascii="宋体" w:hAnsi="宋体" w:eastAsia="宋体" w:cs="Times New Roman"/>
          <w:b/>
          <w:bCs/>
          <w:sz w:val="24"/>
          <w:szCs w:val="24"/>
          <w:highlight w:val="none"/>
          <w:lang w:val="en-US" w:eastAsia="zh-CN"/>
        </w:rPr>
        <w:t xml:space="preserve">二、政府采购政策功能落实</w:t>
      </w:r>
      <w:r>
        <w:rPr>
          <w:rFonts w:hint="eastAsia" w:ascii="宋体" w:hAnsi="宋体" w:eastAsia="宋体" w:cs="Times New Roman"/>
          <w:b/>
          <w:bCs/>
          <w:sz w:val="24"/>
          <w:szCs w:val="24"/>
          <w:highlight w:val="none"/>
          <w:lang w:val="en-US" w:eastAsia="zh-CN"/>
        </w:rPr>
      </w:r>
      <w:r/>
    </w:p>
    <w:p>
      <w:pPr>
        <w:pStyle w:val="926"/>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本项目</w:t>
      </w:r>
      <w:r>
        <w:rPr>
          <w:rFonts w:hint="eastAsia" w:ascii="宋体" w:hAnsi="宋体" w:eastAsia="宋体" w:cs="宋体"/>
          <w:b/>
          <w:sz w:val="24"/>
          <w:szCs w:val="24"/>
          <w:highlight w:val="none"/>
          <w:lang w:val="en-US" w:eastAsia="zh-CN"/>
        </w:rPr>
        <w:t xml:space="preserve">不</w:t>
      </w:r>
      <w:r>
        <w:rPr>
          <w:rFonts w:hint="eastAsia" w:ascii="宋体" w:hAnsi="宋体" w:eastAsia="宋体" w:cs="宋体"/>
          <w:b/>
          <w:sz w:val="24"/>
          <w:szCs w:val="24"/>
          <w:highlight w:val="none"/>
        </w:rPr>
        <w:t xml:space="preserve">专门面向中小企业采购</w:t>
      </w:r>
      <w:r>
        <w:rPr>
          <w:rFonts w:hint="eastAsia" w:ascii="宋体" w:hAnsi="宋体" w:eastAsia="宋体" w:cs="宋体"/>
          <w:color w:val="000000"/>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（1）本项目对小型和微型企业提供的服务给予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的扣除价格，用扣除后的价格参与评审。</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（2）供应商需按照采购文件的要求提供相应的《小微企业声明函》。</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870"/>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价格扣除，用扣除后的价格参与评审。</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7、采购本国产品的支持政策</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92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rPr>
      </w:r>
      <w:r/>
    </w:p>
    <w:p>
      <w:pPr>
        <w:pStyle w:val="870"/>
        <w:ind w:firstLine="0"/>
        <w:jc w:val="left"/>
        <w:spacing w:line="24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三、评标标准</w:t>
      </w:r>
      <w:r>
        <w:rPr>
          <w:rFonts w:hint="eastAsia" w:ascii="宋体" w:hAnsi="宋体" w:eastAsia="宋体" w:cs="Times New Roman"/>
          <w:b/>
          <w:bCs/>
          <w:sz w:val="24"/>
          <w:szCs w:val="24"/>
          <w:highlight w:val="none"/>
          <w:lang w:val="en-US" w:eastAsia="zh-CN"/>
        </w:rPr>
      </w:r>
      <w:r/>
    </w:p>
    <w:p>
      <w:pPr>
        <w:pStyle w:val="870"/>
        <w:ind w:firstLine="0"/>
        <w:jc w:val="left"/>
        <w:spacing w:line="24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tbl>
      <w:tblPr>
        <w:tblW w:w="8625" w:type="dxa"/>
        <w:tblInd w:w="-1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30"/>
        <w:gridCol w:w="5655"/>
      </w:tblGrid>
      <w:tr>
        <w:trPr>
          <w:trHeight w:val="23"/>
        </w:trPr>
        <w:tc>
          <w:tcPr>
            <w:tcW w:w="735" w:type="dxa"/>
            <w:vAlign w:val="center"/>
            <w:textDirection w:val="lrTb"/>
            <w:noWrap w:val="false"/>
          </w:tcPr>
          <w:p>
            <w:pPr>
              <w:pStyle w:val="870"/>
              <w:jc w:val="center"/>
              <w:rPr>
                <w:rFonts w:hint="eastAsia" w:ascii="宋体" w:hAnsi="宋体" w:eastAsia="宋体" w:cs="宋体"/>
                <w:b/>
                <w:bCs/>
                <w:color w:val="000000"/>
                <w:sz w:val="24"/>
                <w:szCs w:val="24"/>
                <w:highlight w:val="none"/>
              </w:rPr>
            </w:pPr>
            <w:r/>
            <w:bookmarkStart w:id="18" w:name="_Toc109304976"/>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87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930" w:type="dxa"/>
            <w:vAlign w:val="center"/>
            <w:textDirection w:val="lrTb"/>
            <w:noWrap w:val="false"/>
          </w:tcPr>
          <w:p>
            <w:pPr>
              <w:pStyle w:val="87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87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23"/>
        </w:trPr>
        <w:tc>
          <w:tcPr>
            <w:tcW w:w="73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870"/>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投标报价</w:t>
            </w:r>
            <w:r>
              <w:rPr>
                <w:rFonts w:hint="eastAsia" w:ascii="宋体" w:hAnsi="宋体" w:eastAsia="宋体" w:cs="宋体"/>
                <w:color w:val="000000"/>
                <w:sz w:val="24"/>
                <w:szCs w:val="24"/>
                <w:highlight w:val="none"/>
                <w:lang w:eastAsia="en-US"/>
              </w:rPr>
            </w:r>
            <w:r/>
          </w:p>
        </w:tc>
        <w:tc>
          <w:tcPr>
            <w:tcW w:w="930" w:type="dxa"/>
            <w:vAlign w:val="center"/>
            <w:textDirection w:val="lrTb"/>
            <w:noWrap w:val="false"/>
          </w:tcPr>
          <w:p>
            <w:pPr>
              <w:pStyle w:val="870"/>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en-US"/>
              </w:rPr>
              <w:t xml:space="preserve">分</w:t>
            </w:r>
            <w:r>
              <w:rPr>
                <w:rFonts w:hint="eastAsia" w:ascii="宋体" w:hAnsi="宋体" w:eastAsia="宋体" w:cs="宋体"/>
                <w:color w:val="000000"/>
                <w:sz w:val="24"/>
                <w:szCs w:val="24"/>
                <w:highlight w:val="none"/>
                <w:lang w:eastAsia="en-US"/>
              </w:rPr>
            </w:r>
            <w:r/>
          </w:p>
        </w:tc>
        <w:tc>
          <w:tcPr>
            <w:tcMar>
              <w:left w:w="108" w:type="dxa"/>
              <w:top w:w="0" w:type="dxa"/>
              <w:right w:w="108" w:type="dxa"/>
              <w:bottom w:w="0" w:type="dxa"/>
            </w:tcMar>
            <w:tcW w:w="5655" w:type="dxa"/>
            <w:vAlign w:val="center"/>
            <w:textDirection w:val="lrTb"/>
            <w:noWrap w:val="false"/>
          </w:tcPr>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1.采用低价优先法，即满足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文件要求且价格最低的有效</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报价为评标基准价，其价格分为满分</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的价格分统一按下列公式计算：</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报价得分＝（评标基准价/</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×100%（四舍五入后保留小数点后两位）。</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人员资质</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870"/>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1.学历（满分5分）</w:t>
            </w:r>
            <w:r>
              <w:rPr>
                <w:rFonts w:hint="eastAsia" w:ascii="宋体" w:hAnsi="宋体" w:eastAsia="宋体" w:cs="宋体"/>
                <w:color w:val="000000"/>
                <w:spacing w:val="-3"/>
                <w:sz w:val="24"/>
                <w:szCs w:val="24"/>
                <w:highlight w:val="none"/>
              </w:rPr>
            </w:r>
            <w:r/>
          </w:p>
          <w:p>
            <w:pPr>
              <w:pStyle w:val="870"/>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拟派人员具有硕士及以上学历，每有一名得2分；具有本科学历，每有一名得1分，具有大专学历，每有一名得0.5分；具有大专以下学历不得分。</w:t>
            </w:r>
            <w:r>
              <w:rPr>
                <w:rFonts w:hint="eastAsia" w:ascii="宋体" w:hAnsi="宋体" w:eastAsia="宋体" w:cs="宋体"/>
                <w:color w:val="000000"/>
                <w:spacing w:val="-3"/>
                <w:sz w:val="24"/>
                <w:szCs w:val="24"/>
                <w:highlight w:val="none"/>
              </w:rPr>
            </w:r>
            <w:r/>
          </w:p>
          <w:p>
            <w:pPr>
              <w:pStyle w:val="870"/>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b/>
                <w:bCs/>
                <w:color w:val="000000"/>
                <w:spacing w:val="-3"/>
                <w:sz w:val="24"/>
                <w:szCs w:val="24"/>
                <w:highlight w:val="none"/>
              </w:rPr>
              <w:t xml:space="preserve">（提供拟派人员的毕业证书原件扫描上传，</w:t>
            </w:r>
            <w:r>
              <w:rPr>
                <w:rFonts w:hint="eastAsia" w:ascii="宋体" w:hAnsi="宋体" w:eastAsia="宋体" w:cs="宋体"/>
                <w:b/>
                <w:bCs/>
                <w:color w:val="000000"/>
                <w:sz w:val="24"/>
                <w:szCs w:val="24"/>
                <w:highlight w:val="none"/>
              </w:rPr>
              <w:t xml:space="preserve">一人记一次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以较高级计分，</w:t>
            </w:r>
            <w:r>
              <w:rPr>
                <w:rFonts w:hint="eastAsia" w:ascii="宋体" w:hAnsi="宋体" w:eastAsia="宋体" w:cs="宋体"/>
                <w:b/>
                <w:bCs/>
                <w:color w:val="000000"/>
                <w:spacing w:val="-3"/>
                <w:sz w:val="24"/>
                <w:szCs w:val="24"/>
                <w:highlight w:val="none"/>
              </w:rPr>
              <w:t xml:space="preserve">未按要求提供不得分）</w:t>
            </w:r>
            <w:r>
              <w:rPr>
                <w:rFonts w:hint="eastAsia" w:ascii="宋体" w:hAnsi="宋体" w:eastAsia="宋体" w:cs="宋体"/>
                <w:color w:val="000000"/>
                <w:spacing w:val="-3"/>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2.临床医师执业范围（满分10分）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（1）拟派人员中有全科、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急诊科、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重症医学科、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心内科</w:t>
            </w:r>
            <w:r>
              <w:rPr>
                <w:rFonts w:hint="eastAsia" w:ascii="宋体" w:hAnsi="宋体" w:eastAsia="宋体" w:cs="宋体"/>
                <w:color w:val="000000"/>
                <w:sz w:val="24"/>
                <w:szCs w:val="24"/>
                <w:highlight w:val="none"/>
                <w:lang w:eastAsia="zh-CN"/>
              </w:rPr>
              <w:t xml:space="preserve">、或神经内科</w:t>
            </w:r>
            <w:r>
              <w:rPr>
                <w:rFonts w:hint="eastAsia" w:ascii="宋体" w:hAnsi="宋体" w:eastAsia="宋体" w:cs="宋体"/>
                <w:color w:val="000000"/>
                <w:sz w:val="24"/>
                <w:szCs w:val="24"/>
                <w:highlight w:val="none"/>
              </w:rPr>
              <w:t xml:space="preserve">医师，每有1名得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分，满分5分；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（2）拟派人员中有其他内科、外科等医师，每有1名得1分，满分5分。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（本项一人记一次，提供有效的医师执业证，如证书不能反映执业范围，需要提供相关补充证明，原件扫描上传系统，不提供或提供不全不得分）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3.职称（满分10分）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拟派人员具有</w:t>
            </w:r>
            <w:r>
              <w:rPr>
                <w:rFonts w:hint="eastAsia" w:ascii="宋体" w:hAnsi="宋体" w:eastAsia="宋体" w:cs="宋体"/>
                <w:color w:val="000000"/>
                <w:sz w:val="24"/>
                <w:szCs w:val="24"/>
                <w:highlight w:val="none"/>
                <w:lang w:val="en-US" w:eastAsia="zh-CN"/>
              </w:rPr>
              <w:t xml:space="preserve">副主任医师</w:t>
            </w:r>
            <w:r>
              <w:rPr>
                <w:rFonts w:hint="eastAsia" w:ascii="宋体" w:hAnsi="宋体" w:eastAsia="宋体" w:cs="宋体"/>
                <w:color w:val="000000"/>
                <w:sz w:val="24"/>
                <w:szCs w:val="24"/>
                <w:highlight w:val="none"/>
              </w:rPr>
              <w:t xml:space="preserve">及以上职称，每有一名得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pacing w:val="-3"/>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主治医生</w:t>
            </w:r>
            <w:r>
              <w:rPr>
                <w:rFonts w:hint="eastAsia" w:ascii="宋体" w:hAnsi="宋体" w:eastAsia="宋体" w:cs="宋体"/>
                <w:color w:val="000000"/>
                <w:sz w:val="24"/>
                <w:szCs w:val="24"/>
                <w:highlight w:val="none"/>
              </w:rPr>
              <w:t xml:space="preserve">职称，每有一名得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pacing w:val="-3"/>
                <w:sz w:val="24"/>
                <w:szCs w:val="24"/>
                <w:highlight w:val="none"/>
              </w:rPr>
              <w:t xml:space="preserve">（提供拟派人员的职称证书，一人记一次，</w:t>
            </w:r>
            <w:r>
              <w:rPr>
                <w:rFonts w:hint="eastAsia" w:ascii="宋体" w:hAnsi="宋体" w:eastAsia="宋体" w:cs="宋体"/>
                <w:b/>
                <w:bCs/>
                <w:color w:val="000000"/>
                <w:sz w:val="24"/>
                <w:szCs w:val="24"/>
                <w:highlight w:val="none"/>
                <w:lang w:val="en-US" w:eastAsia="zh-CN"/>
              </w:rPr>
              <w:t xml:space="preserve">以较高级计分，</w:t>
            </w:r>
            <w:r>
              <w:rPr>
                <w:rFonts w:hint="eastAsia" w:ascii="宋体" w:hAnsi="宋体" w:eastAsia="宋体" w:cs="宋体"/>
                <w:b/>
                <w:bCs/>
                <w:color w:val="000000"/>
                <w:sz w:val="24"/>
                <w:szCs w:val="24"/>
                <w:highlight w:val="none"/>
              </w:rPr>
              <w:t xml:space="preserve">原件扫描上传系统，</w:t>
            </w:r>
            <w:r>
              <w:rPr>
                <w:rFonts w:hint="eastAsia" w:ascii="宋体" w:hAnsi="宋体" w:eastAsia="宋体" w:cs="宋体"/>
                <w:b/>
                <w:bCs/>
                <w:color w:val="000000"/>
                <w:spacing w:val="-3"/>
                <w:sz w:val="24"/>
                <w:szCs w:val="24"/>
                <w:highlight w:val="none"/>
              </w:rPr>
              <w:t xml:space="preserve">不提供不得分）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4.年龄（满分</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（1）临床医师（满分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拟派医师年龄在60周岁（含）以下，每有一人得1分；年龄在60周岁（不含）-65周岁（含），每有一人得0.5分；年龄在65周岁（不含）以上，不得分。</w:t>
            </w:r>
            <w:r>
              <w:rPr>
                <w:rFonts w:hint="eastAsia" w:ascii="宋体" w:hAnsi="宋体" w:eastAsia="宋体" w:cs="宋体"/>
                <w:b/>
                <w:bCs/>
                <w:color w:val="000000"/>
                <w:sz w:val="24"/>
                <w:szCs w:val="24"/>
                <w:highlight w:val="none"/>
              </w:rPr>
              <w:t xml:space="preserve">（提供拟派人员的身份证正反面，原件扫描上传系统，不提供或提供不全不得分）</w:t>
            </w:r>
            <w:r>
              <w:rPr>
                <w:rFonts w:hint="eastAsia" w:ascii="宋体" w:hAnsi="宋体" w:eastAsia="宋体" w:cs="宋体"/>
                <w:color w:val="000000"/>
                <w:sz w:val="24"/>
                <w:szCs w:val="24"/>
                <w:highlight w:val="none"/>
              </w:rPr>
            </w:r>
            <w:r/>
          </w:p>
          <w:p>
            <w:pPr>
              <w:pStyle w:val="870"/>
              <w:numPr>
                <w:ilvl w:val="0"/>
                <w:numId w:val="2"/>
              </w:num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其他医务人员（满分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w:t>
            </w:r>
            <w:r>
              <w:rPr>
                <w:rFonts w:hint="eastAsia" w:ascii="宋体" w:hAnsi="宋体" w:eastAsia="宋体" w:cs="宋体"/>
                <w:color w:val="000000"/>
                <w:sz w:val="24"/>
                <w:szCs w:val="24"/>
                <w:highlight w:val="none"/>
              </w:rPr>
              <w:t xml:space="preserve">其他医务人员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护士、超声医师及放射技师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年龄在60周岁（含）以下，每有一人得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（提供拟派人员的身份证正反面，原件扫描上传系统，不提供或提供不全不得分）</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医疗保障</w:t>
            </w:r>
            <w:r>
              <w:rPr>
                <w:rFonts w:hint="eastAsia" w:ascii="宋体" w:hAnsi="宋体" w:eastAsia="宋体" w:cs="宋体"/>
                <w:color w:val="000000"/>
                <w:sz w:val="24"/>
                <w:szCs w:val="24"/>
                <w:highlight w:val="none"/>
              </w:rPr>
            </w:r>
            <w:r/>
          </w:p>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w:t>
            </w:r>
            <w:r>
              <w:rPr>
                <w:rFonts w:hint="eastAsia" w:ascii="宋体" w:hAnsi="宋体" w:eastAsia="宋体" w:cs="宋体"/>
                <w:color w:val="000000"/>
                <w:spacing w:val="-3"/>
                <w:sz w:val="24"/>
                <w:szCs w:val="24"/>
                <w:highlight w:val="none"/>
              </w:rPr>
              <w:t xml:space="preserve">供应商</w:t>
            </w:r>
            <w:r>
              <w:rPr>
                <w:rFonts w:hint="eastAsia" w:ascii="宋体" w:hAnsi="宋体" w:eastAsia="宋体" w:cs="宋体"/>
                <w:color w:val="000000"/>
                <w:sz w:val="24"/>
                <w:szCs w:val="24"/>
                <w:highlight w:val="none"/>
              </w:rPr>
              <w:t xml:space="preserve">针对本项目提供的项目实施及运行方案进行评分。内容包括：①医疗保障方案科学性、合理性；②医疗事件应急处置流程；③医疗质量内控制度。</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1.供应商提供完整的、可行的医疗保障方案，满分10分。</w:t>
            </w:r>
            <w:r>
              <w:rPr>
                <w:rFonts w:hint="eastAsia" w:ascii="宋体" w:hAnsi="宋体" w:eastAsia="宋体" w:cs="宋体"/>
                <w:b/>
                <w:bCs/>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方案科学、严密、合理，描述详细且具有针对性的得10分；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方案合理性一般、描述一般、存在可操作性得4分；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2"/>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2.供应商提供乙方技术能力水平</w:t>
            </w:r>
            <w:r>
              <w:rPr>
                <w:rFonts w:hint="eastAsia" w:ascii="宋体" w:hAnsi="宋体" w:eastAsia="宋体" w:cs="宋体"/>
                <w:b/>
                <w:iCs/>
                <w:color w:val="000000"/>
                <w:sz w:val="24"/>
                <w:szCs w:val="24"/>
                <w:highlight w:val="none"/>
              </w:rPr>
              <w:t xml:space="preserve">承诺函</w:t>
            </w:r>
            <w:r>
              <w:rPr>
                <w:rFonts w:hint="eastAsia" w:ascii="宋体" w:hAnsi="宋体" w:eastAsia="宋体" w:cs="宋体"/>
                <w:b/>
                <w:iCs/>
                <w:color w:val="000000"/>
                <w:sz w:val="24"/>
                <w:szCs w:val="24"/>
                <w:highlight w:val="none"/>
                <w:lang w:val="en-US" w:eastAsia="zh-CN"/>
              </w:rPr>
              <w:t xml:space="preserve">和</w:t>
            </w:r>
            <w:r>
              <w:rPr>
                <w:rFonts w:hint="eastAsia" w:ascii="宋体" w:hAnsi="宋体" w:eastAsia="宋体" w:cs="宋体"/>
                <w:b/>
                <w:bCs w:val="0"/>
                <w:color w:val="000000"/>
                <w:sz w:val="24"/>
                <w:szCs w:val="24"/>
                <w:highlight w:val="none"/>
                <w:lang w:val="en-US" w:eastAsia="zh-CN"/>
              </w:rPr>
              <w:t xml:space="preserve">证明材料，</w:t>
            </w:r>
            <w:r>
              <w:rPr>
                <w:rFonts w:hint="eastAsia" w:ascii="宋体" w:hAnsi="宋体" w:eastAsia="宋体" w:cs="宋体"/>
                <w:b/>
                <w:bCs w:val="0"/>
                <w:color w:val="000000"/>
                <w:sz w:val="24"/>
                <w:szCs w:val="24"/>
                <w:highlight w:val="none"/>
              </w:rPr>
              <w:t xml:space="preserve">满分</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val="en-US" w:eastAsia="zh-CN"/>
              </w:rPr>
            </w:r>
            <w:r/>
          </w:p>
          <w:p>
            <w:pPr>
              <w:pStyle w:val="870"/>
              <w:jc w:val="left"/>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需具备高水平的危急重症患者救治技术能力，包括且不限于急诊情况下的心血管介入手术、冠脉搭桥手术、心脏大血管手术、神经介入手术、综合介入手术、ECMO治疗技术等。</w:t>
            </w:r>
            <w:r>
              <w:rPr>
                <w:rFonts w:hint="eastAsia" w:ascii="宋体" w:hAnsi="宋体" w:eastAsia="宋体" w:cs="宋体"/>
                <w:b/>
                <w:bCs/>
                <w:iCs/>
                <w:color w:val="000000"/>
                <w:sz w:val="24"/>
                <w:szCs w:val="24"/>
                <w:highlight w:val="none"/>
              </w:rPr>
              <w:t xml:space="preserve">（</w:t>
            </w:r>
            <w:r>
              <w:rPr>
                <w:rFonts w:hint="eastAsia" w:ascii="宋体" w:hAnsi="宋体" w:eastAsia="宋体" w:cs="宋体"/>
                <w:b/>
                <w:iCs/>
                <w:color w:val="000000"/>
                <w:sz w:val="24"/>
                <w:szCs w:val="24"/>
                <w:highlight w:val="none"/>
              </w:rPr>
              <w:t xml:space="preserve">提供承诺函</w:t>
            </w:r>
            <w:r>
              <w:rPr>
                <w:rFonts w:hint="eastAsia" w:ascii="宋体" w:hAnsi="宋体" w:eastAsia="宋体" w:cs="宋体"/>
                <w:b/>
                <w:iCs/>
                <w:color w:val="000000"/>
                <w:sz w:val="24"/>
                <w:szCs w:val="24"/>
                <w:highlight w:val="none"/>
                <w:lang w:val="en-US" w:eastAsia="zh-CN"/>
              </w:rPr>
              <w:t xml:space="preserve">和证明材料</w:t>
            </w:r>
            <w:r>
              <w:rPr>
                <w:rFonts w:hint="eastAsia" w:ascii="宋体" w:hAnsi="宋体" w:eastAsia="宋体" w:cs="宋体"/>
                <w:b/>
                <w:iCs/>
                <w:color w:val="000000"/>
                <w:sz w:val="24"/>
                <w:szCs w:val="24"/>
                <w:highlight w:val="none"/>
              </w:rPr>
              <w:t xml:space="preserve">，格式自拟，系统上传，未按要求提供不得分）</w:t>
            </w:r>
            <w:r>
              <w:rPr>
                <w:rFonts w:hint="eastAsia" w:ascii="宋体" w:hAnsi="宋体" w:eastAsia="宋体" w:cs="宋体"/>
                <w:b/>
                <w:bCs/>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.供应商提供完整的、可行的突发医疗事件应急预案，满分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2"/>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.供应商提供完整的、可行监区医疗质量内控制度，满分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2"/>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87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eastAsia="zh-CN"/>
              </w:rPr>
            </w:r>
            <w:r/>
          </w:p>
        </w:tc>
        <w:tc>
          <w:tcPr>
            <w:tcW w:w="930" w:type="dxa"/>
            <w:vAlign w:val="center"/>
            <w:textDirection w:val="lrTb"/>
            <w:noWrap w:val="false"/>
          </w:tcPr>
          <w:p>
            <w:pPr>
              <w:pStyle w:val="8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870"/>
              <w:spacing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val="en-US" w:eastAsia="zh-CN"/>
              </w:rPr>
              <w:t xml:space="preserve">以来，承担过类似业绩的，每有一个得5分，满分5分。（提供合同原件扫描上传，时间以合同签订日期为准）</w:t>
            </w:r>
            <w:r>
              <w:rPr>
                <w:rFonts w:ascii="宋体" w:hAnsi="宋体" w:eastAsia="宋体" w:cs="宋体"/>
                <w:color w:val="000000"/>
                <w:sz w:val="24"/>
                <w:szCs w:val="24"/>
                <w:highlight w:val="none"/>
                <w:lang w:val="en-US" w:eastAsia="zh-CN"/>
              </w:rPr>
            </w:r>
            <w:r/>
          </w:p>
        </w:tc>
      </w:tr>
    </w:tbl>
    <w:p>
      <w:pPr>
        <w:pStyle w:val="871"/>
        <w:jc w:val="center"/>
        <w:spacing w:line="360" w:lineRule="auto"/>
        <w:rPr>
          <w:rFonts w:hint="eastAsia" w:ascii="宋体" w:hAnsi="宋体"/>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871"/>
        <w:jc w:val="both"/>
        <w:spacing w:line="360" w:lineRule="auto"/>
        <w:rPr>
          <w:rFonts w:hint="eastAsia" w:ascii="宋体" w:hAnsi="宋体"/>
          <w:color w:val="000000"/>
          <w:highlight w:val="none"/>
        </w:rPr>
      </w:pPr>
      <w:r>
        <w:rPr>
          <w:rFonts w:hint="eastAsia" w:ascii="宋体" w:hAnsi="宋体"/>
          <w:color w:val="000000"/>
          <w:highlight w:val="none"/>
        </w:rPr>
      </w:r>
      <w:r/>
    </w:p>
    <w:p>
      <w:pPr>
        <w:pStyle w:val="871"/>
        <w:jc w:val="center"/>
        <w:spacing w:line="360" w:lineRule="auto"/>
        <w:rPr>
          <w:rFonts w:hint="eastAsia" w:ascii="宋体" w:hAnsi="宋体"/>
          <w:color w:val="000000"/>
          <w:sz w:val="52"/>
          <w:highlight w:val="none"/>
        </w:rPr>
      </w:pPr>
      <w:r>
        <w:rPr>
          <w:rFonts w:hint="eastAsia" w:ascii="宋体" w:hAnsi="宋体"/>
          <w:color w:val="000000"/>
          <w:highlight w:val="none"/>
        </w:rPr>
        <w:t xml:space="preserve">第六章 </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文件格式</w:t>
      </w:r>
      <w:bookmarkEnd w:id="2"/>
      <w:r/>
      <w:bookmarkEnd w:id="18"/>
      <w:r>
        <w:rPr>
          <w:rFonts w:hint="eastAsia" w:ascii="宋体" w:hAnsi="宋体"/>
          <w:color w:val="000000"/>
          <w:sz w:val="52"/>
          <w:highlight w:val="none"/>
        </w:rPr>
      </w:r>
      <w:r/>
    </w:p>
    <w:p>
      <w:pPr>
        <w:pStyle w:val="870"/>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870"/>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lang w:val="en-US" w:eastAsia="zh-CN"/>
        </w:rPr>
        <w:t xml:space="preserve">投</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lang w:val="en-US" w:eastAsia="zh-CN"/>
        </w:rPr>
        <w:t xml:space="preserve">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件</w:t>
      </w:r>
      <w:r>
        <w:rPr>
          <w:rFonts w:hint="eastAsia" w:ascii="宋体" w:hAnsi="宋体" w:cs="Arial"/>
          <w:b/>
          <w:bCs/>
          <w:color w:val="000000"/>
          <w:sz w:val="72"/>
          <w:szCs w:val="72"/>
          <w:highlight w:val="none"/>
        </w:rPr>
      </w:r>
      <w:r/>
    </w:p>
    <w:p>
      <w:pPr>
        <w:pStyle w:val="870"/>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0"/>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70"/>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70"/>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7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7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7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870"/>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lang w:val="en-US" w:eastAsia="zh-CN"/>
        </w:rPr>
        <w:t xml:space="preserve">投标</w:t>
      </w:r>
      <w:r>
        <w:rPr>
          <w:rFonts w:hint="eastAsia" w:ascii="宋体" w:hAnsi="宋体"/>
          <w:b/>
          <w:bCs/>
          <w:color w:val="000000"/>
          <w:sz w:val="32"/>
          <w:szCs w:val="32"/>
          <w:highlight w:val="none"/>
        </w:rPr>
        <w:t xml:space="preserve">文件目录</w:t>
      </w:r>
      <w:r>
        <w:rPr>
          <w:rFonts w:hint="eastAsia" w:ascii="宋体" w:hAnsi="宋体"/>
          <w:b/>
          <w:bCs/>
          <w:color w:val="000000"/>
          <w:sz w:val="32"/>
          <w:szCs w:val="32"/>
          <w:highlight w:val="none"/>
        </w:rPr>
      </w:r>
      <w:r/>
    </w:p>
    <w:p>
      <w:pPr>
        <w:pStyle w:val="870"/>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0"/>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一、法人或者其他组织的营业执照等证明文件，自然人的身份证明</w:t>
      </w:r>
      <w:r>
        <w:rPr>
          <w:rFonts w:hint="eastAsia" w:ascii="宋体" w:hAnsi="宋体"/>
          <w:i/>
          <w:color w:val="000000"/>
          <w:sz w:val="24"/>
          <w:highlight w:val="none"/>
          <w:u w:val="single"/>
        </w:rPr>
      </w:r>
      <w:r/>
    </w:p>
    <w:p>
      <w:pPr>
        <w:pStyle w:val="870"/>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二、</w:t>
      </w:r>
      <w:r>
        <w:rPr>
          <w:rFonts w:hint="eastAsia" w:ascii="宋体" w:hAnsi="宋体"/>
          <w:i/>
          <w:color w:val="000000"/>
          <w:sz w:val="24"/>
          <w:highlight w:val="none"/>
          <w:u w:val="single"/>
          <w:lang w:eastAsia="zh-CN"/>
        </w:rPr>
        <w:t xml:space="preserve">上一年度（2025年度）的财务状况报告</w:t>
      </w:r>
      <w:r>
        <w:rPr>
          <w:rFonts w:hint="eastAsia" w:ascii="宋体" w:hAnsi="宋体"/>
          <w:i/>
          <w:color w:val="000000"/>
          <w:sz w:val="24"/>
          <w:highlight w:val="none"/>
          <w:u w:val="single"/>
        </w:rPr>
        <w:t xml:space="preserve">（投标人成立不满一年无需提供）</w:t>
      </w:r>
      <w:r>
        <w:rPr>
          <w:rFonts w:hint="eastAsia" w:ascii="宋体" w:hAnsi="宋体"/>
          <w:i/>
          <w:color w:val="000000"/>
          <w:sz w:val="24"/>
          <w:highlight w:val="none"/>
          <w:u w:val="single"/>
        </w:rPr>
      </w:r>
      <w:r/>
    </w:p>
    <w:p>
      <w:pPr>
        <w:pStyle w:val="870"/>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三、依法缴纳税收和社会保障资金的相关材料（提供提交投标文件截止时间前一年内</w:t>
      </w:r>
      <w:r>
        <w:rPr>
          <w:rFonts w:hint="eastAsia" w:ascii="宋体" w:hAnsi="宋体"/>
          <w:i/>
          <w:color w:val="000000"/>
          <w:sz w:val="24"/>
          <w:highlight w:val="none"/>
          <w:u w:val="single"/>
          <w:lang w:eastAsia="zh-CN"/>
        </w:rPr>
        <w:t xml:space="preserve">任意</w:t>
      </w:r>
      <w:r>
        <w:rPr>
          <w:rFonts w:hint="eastAsia" w:ascii="宋体" w:hAnsi="宋体"/>
          <w:i/>
          <w:color w:val="000000"/>
          <w:sz w:val="24"/>
          <w:highlight w:val="none"/>
          <w:u w:val="single"/>
        </w:rPr>
        <w:t xml:space="preserve">一个月依法缴纳税收及缴纳社会保障资金的证明材料。投标人依法享受缓缴、免缴税收、社会保障资金的提供证明材料）</w:t>
      </w:r>
      <w:r>
        <w:rPr>
          <w:rFonts w:hint="eastAsia" w:ascii="宋体" w:hAnsi="宋体"/>
          <w:i/>
          <w:color w:val="000000"/>
          <w:sz w:val="24"/>
          <w:highlight w:val="none"/>
          <w:u w:val="single"/>
        </w:rPr>
      </w:r>
      <w:r/>
    </w:p>
    <w:p>
      <w:pPr>
        <w:pStyle w:val="870"/>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四、具备履行合同所必需的设备和专业技术能力的书面声明</w:t>
      </w:r>
      <w:r>
        <w:rPr>
          <w:rFonts w:hint="eastAsia" w:ascii="宋体" w:hAnsi="宋体"/>
          <w:i/>
          <w:color w:val="000000"/>
          <w:sz w:val="24"/>
          <w:highlight w:val="none"/>
          <w:u w:val="single"/>
        </w:rPr>
      </w:r>
      <w:r/>
    </w:p>
    <w:p>
      <w:pPr>
        <w:pStyle w:val="870"/>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五、参加政府采购活动前 3 年内在经营活动中没有重大违法记录的书面声明</w:t>
      </w:r>
      <w:r>
        <w:rPr>
          <w:rFonts w:hint="eastAsia" w:ascii="宋体" w:hAnsi="宋体"/>
          <w:i/>
          <w:color w:val="000000"/>
          <w:sz w:val="24"/>
          <w:highlight w:val="none"/>
          <w:u w:val="single"/>
        </w:rPr>
      </w:r>
      <w:r/>
    </w:p>
    <w:p>
      <w:pPr>
        <w:pStyle w:val="870"/>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六、</w:t>
      </w:r>
      <w:r>
        <w:rPr>
          <w:rFonts w:hint="eastAsia" w:ascii="宋体" w:hAnsi="宋体"/>
          <w:i/>
          <w:color w:val="000000"/>
          <w:sz w:val="24"/>
          <w:highlight w:val="none"/>
          <w:u w:val="single"/>
          <w:lang w:eastAsia="zh-CN"/>
        </w:rPr>
        <w:t xml:space="preserve">投标人</w:t>
      </w:r>
      <w:r>
        <w:rPr>
          <w:rFonts w:hint="eastAsia" w:ascii="宋体" w:hAnsi="宋体"/>
          <w:i/>
          <w:color w:val="000000"/>
          <w:sz w:val="24"/>
          <w:highlight w:val="none"/>
          <w:u w:val="single"/>
        </w:rPr>
        <w:t xml:space="preserve">信用承诺函</w:t>
      </w:r>
      <w:r>
        <w:rPr>
          <w:rFonts w:ascii="宋体" w:hAnsi="宋体"/>
          <w:i/>
          <w:color w:val="000000"/>
          <w:sz w:val="24"/>
          <w:highlight w:val="none"/>
          <w:u w:val="single"/>
        </w:rPr>
      </w:r>
      <w:r/>
    </w:p>
    <w:p>
      <w:pPr>
        <w:pStyle w:val="870"/>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七、特定资格要求的证明文件（如果本项目设置特定资格要求，则需要提供）</w:t>
      </w:r>
      <w:r>
        <w:rPr>
          <w:rFonts w:ascii="宋体" w:hAnsi="宋体"/>
          <w:i/>
          <w:sz w:val="24"/>
          <w:highlight w:val="none"/>
          <w:u w:val="single"/>
        </w:rPr>
      </w:r>
      <w:r/>
    </w:p>
    <w:p>
      <w:pPr>
        <w:pStyle w:val="870"/>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八、法人授权书</w:t>
      </w:r>
      <w:r>
        <w:rPr>
          <w:rFonts w:hint="eastAsia" w:ascii="宋体" w:hAnsi="宋体"/>
          <w:i/>
          <w:color w:val="000000"/>
          <w:sz w:val="24"/>
          <w:highlight w:val="none"/>
          <w:u w:val="single"/>
        </w:rPr>
      </w:r>
      <w:r/>
    </w:p>
    <w:p>
      <w:pPr>
        <w:pStyle w:val="870"/>
        <w:ind w:firstLine="480"/>
        <w:spacing w:line="440" w:lineRule="exact"/>
        <w:rPr>
          <w:rFonts w:ascii="宋体" w:hAnsi="宋体"/>
          <w:i/>
          <w:sz w:val="24"/>
          <w:highlight w:val="none"/>
          <w:u w:val="single"/>
        </w:rPr>
      </w:pPr>
      <w:r>
        <w:rPr>
          <w:rFonts w:hint="eastAsia" w:ascii="宋体" w:hAnsi="宋体"/>
          <w:i/>
          <w:sz w:val="24"/>
          <w:highlight w:val="none"/>
          <w:u w:val="single"/>
        </w:rPr>
        <w:t xml:space="preserve">九、投标函</w:t>
      </w:r>
      <w:r>
        <w:rPr>
          <w:rFonts w:ascii="宋体" w:hAnsi="宋体"/>
          <w:i/>
          <w:sz w:val="24"/>
          <w:highlight w:val="none"/>
          <w:u w:val="single"/>
        </w:rPr>
      </w:r>
      <w:r/>
    </w:p>
    <w:p>
      <w:pPr>
        <w:pStyle w:val="870"/>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十、企业报价折扣证明（中小企业声明函、残疾人福利性单位声明函）</w:t>
      </w:r>
      <w:r>
        <w:rPr>
          <w:rFonts w:hint="eastAsia" w:ascii="宋体" w:hAnsi="宋体"/>
          <w:color w:val="000000"/>
          <w:sz w:val="24"/>
          <w:highlight w:val="none"/>
        </w:rPr>
      </w:r>
      <w:r/>
    </w:p>
    <w:p>
      <w:pPr>
        <w:pStyle w:val="870"/>
        <w:ind w:firstLine="480"/>
        <w:spacing w:line="440" w:lineRule="exact"/>
        <w:rPr>
          <w:rFonts w:ascii="宋体" w:hAnsi="宋体"/>
          <w:sz w:val="24"/>
          <w:highlight w:val="none"/>
        </w:rPr>
      </w:pPr>
      <w:r>
        <w:rPr>
          <w:rFonts w:hint="eastAsia" w:ascii="宋体" w:hAnsi="宋体"/>
          <w:sz w:val="24"/>
          <w:highlight w:val="none"/>
        </w:rPr>
        <w:t xml:space="preserve">十一、联合体协议</w:t>
      </w:r>
      <w:r>
        <w:rPr>
          <w:rFonts w:ascii="宋体" w:hAnsi="宋体"/>
          <w:sz w:val="24"/>
          <w:highlight w:val="none"/>
        </w:rPr>
      </w:r>
      <w:r/>
    </w:p>
    <w:p>
      <w:pPr>
        <w:pStyle w:val="87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、投标分项报价表   </w:t>
      </w:r>
      <w:r>
        <w:rPr>
          <w:rFonts w:ascii="宋体" w:hAnsi="宋体"/>
          <w:color w:val="000000"/>
          <w:sz w:val="24"/>
          <w:highlight w:val="none"/>
        </w:rPr>
      </w:r>
      <w:r/>
    </w:p>
    <w:p>
      <w:pPr>
        <w:pStyle w:val="870"/>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、技术要求响应及偏离表</w:t>
      </w:r>
      <w:r>
        <w:rPr>
          <w:rFonts w:hint="eastAsia" w:ascii="宋体" w:hAnsi="宋体"/>
          <w:color w:val="000000"/>
          <w:sz w:val="24"/>
          <w:highlight w:val="none"/>
        </w:rPr>
      </w:r>
      <w:r/>
    </w:p>
    <w:p>
      <w:pPr>
        <w:pStyle w:val="870"/>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、商务要求响应及偏离表</w:t>
      </w:r>
      <w:r>
        <w:rPr>
          <w:rFonts w:hint="eastAsia" w:ascii="宋体" w:hAnsi="宋体"/>
          <w:color w:val="000000"/>
          <w:sz w:val="24"/>
          <w:highlight w:val="none"/>
        </w:rPr>
      </w:r>
      <w:r/>
    </w:p>
    <w:p>
      <w:pPr>
        <w:pStyle w:val="870"/>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十五、开标一览表</w:t>
      </w:r>
      <w:r>
        <w:rPr>
          <w:rFonts w:hint="eastAsia" w:ascii="宋体" w:hAnsi="宋体"/>
          <w:i/>
          <w:sz w:val="24"/>
          <w:highlight w:val="none"/>
          <w:u w:val="single"/>
        </w:rPr>
      </w:r>
      <w:r/>
    </w:p>
    <w:p>
      <w:pPr>
        <w:pStyle w:val="870"/>
        <w:ind w:firstLine="480"/>
        <w:spacing w:line="440" w:lineRule="exact"/>
        <w:rPr>
          <w:rFonts w:ascii="宋体" w:hAnsi="宋体"/>
          <w:iCs/>
          <w:sz w:val="24"/>
          <w:highlight w:val="none"/>
        </w:rPr>
      </w:pPr>
      <w:r>
        <w:rPr>
          <w:rFonts w:hint="eastAsia" w:ascii="宋体" w:hAnsi="宋体"/>
          <w:iCs/>
          <w:sz w:val="24"/>
          <w:highlight w:val="none"/>
        </w:rPr>
        <w:t xml:space="preserve">十六、主要标的信息</w:t>
      </w:r>
      <w:r>
        <w:rPr>
          <w:rFonts w:ascii="宋体" w:hAnsi="宋体"/>
          <w:iCs/>
          <w:sz w:val="24"/>
          <w:highlight w:val="none"/>
        </w:rPr>
      </w:r>
      <w:r/>
    </w:p>
    <w:p>
      <w:pPr>
        <w:pStyle w:val="870"/>
        <w:rPr>
          <w:rFonts w:hint="eastAsia" w:ascii="黑体" w:hAnsi="黑体" w:eastAsia="黑体"/>
          <w:i/>
          <w:color w:val="000000"/>
          <w:sz w:val="32"/>
          <w:szCs w:val="32"/>
          <w:highlight w:val="none"/>
          <w:u w:val="single"/>
        </w:rPr>
      </w:pPr>
      <w:r>
        <w:rPr>
          <w:rFonts w:ascii="宋体" w:hAnsi="宋体"/>
          <w:b/>
          <w:color w:val="000000"/>
          <w:sz w:val="32"/>
          <w:szCs w:val="32"/>
          <w:highlight w:val="none"/>
        </w:rPr>
        <w:br w:type="page" w:clear="all"/>
      </w:r>
      <w:r>
        <w:rPr>
          <w:rFonts w:hint="eastAsia" w:ascii="黑体" w:hAnsi="黑体" w:eastAsia="黑体"/>
          <w:i/>
          <w:color w:val="000000"/>
          <w:sz w:val="32"/>
          <w:szCs w:val="32"/>
          <w:highlight w:val="none"/>
          <w:u w:val="single"/>
        </w:rPr>
        <w:t xml:space="preserve">一、法人或者其他组织的营业执照等证明文件，自然人的身份证明</w:t>
      </w:r>
      <w:r>
        <w:rPr>
          <w:rFonts w:hint="eastAsia" w:ascii="黑体" w:hAnsi="黑体" w:eastAsia="黑体"/>
          <w:i/>
          <w:color w:val="000000"/>
          <w:sz w:val="32"/>
          <w:szCs w:val="32"/>
          <w:highlight w:val="none"/>
          <w:u w:val="single"/>
        </w:rPr>
      </w:r>
      <w:r/>
    </w:p>
    <w:p>
      <w:pPr>
        <w:pStyle w:val="870"/>
        <w:ind w:firstLine="480"/>
        <w:spacing w:line="440" w:lineRule="exact"/>
        <w:rPr>
          <w:rFonts w:ascii="宋体" w:hAnsi="宋体"/>
          <w:color w:val="000000"/>
          <w:sz w:val="24"/>
          <w:highlight w:val="none"/>
        </w:rPr>
      </w:pPr>
      <w:r>
        <w:rPr>
          <w:rFonts w:ascii="宋体" w:hAnsi="宋体"/>
          <w:color w:val="000000"/>
          <w:sz w:val="24"/>
          <w:highlight w:val="none"/>
        </w:rPr>
      </w:r>
      <w:r/>
    </w:p>
    <w:p>
      <w:pPr>
        <w:pStyle w:val="870"/>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rPr>
        <w:t xml:space="preserve">二、</w:t>
      </w:r>
      <w:r>
        <w:rPr>
          <w:rFonts w:hint="eastAsia" w:ascii="黑体" w:hAnsi="黑体" w:eastAsia="黑体"/>
          <w:i/>
          <w:color w:val="000000"/>
          <w:sz w:val="32"/>
          <w:szCs w:val="32"/>
          <w:highlight w:val="none"/>
          <w:u w:val="single"/>
          <w:lang w:eastAsia="zh-CN"/>
        </w:rPr>
        <w:t xml:space="preserve">上一年度（2025年度）的财务状况报告</w:t>
      </w:r>
      <w:r>
        <w:rPr>
          <w:rFonts w:hint="eastAsia" w:ascii="黑体" w:hAnsi="黑体" w:eastAsia="黑体"/>
          <w:i/>
          <w:color w:val="000000"/>
          <w:sz w:val="32"/>
          <w:szCs w:val="32"/>
          <w:highlight w:val="none"/>
          <w:u w:val="single"/>
          <w:lang w:eastAsia="zh-CN"/>
        </w:rPr>
      </w:r>
      <w:r/>
    </w:p>
    <w:p>
      <w:pPr>
        <w:pStyle w:val="870"/>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投标人成立不满一年不需提供</w:t>
      </w:r>
      <w:r>
        <w:rPr>
          <w:rFonts w:ascii="宋体" w:hAnsi="宋体"/>
          <w:bCs/>
          <w:color w:val="000000"/>
          <w:sz w:val="24"/>
          <w:highlight w:val="non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0"/>
        <w:ind w:firstLine="480"/>
        <w:rPr>
          <w:rFonts w:hint="eastAsia" w:ascii="宋体" w:hAnsi="宋体"/>
          <w:bCs/>
          <w:color w:val="000000"/>
          <w:sz w:val="24"/>
          <w:highlight w:val="none"/>
        </w:rPr>
      </w:pPr>
      <w:r>
        <w:rPr>
          <w:rFonts w:hint="eastAsia" w:ascii="宋体" w:hAnsi="宋体"/>
          <w:bCs/>
          <w:color w:val="000000"/>
          <w:sz w:val="24"/>
          <w:highlight w:val="none"/>
        </w:rPr>
        <w:t xml:space="preserve">提供提交投标文件截止时间前一年内</w:t>
      </w:r>
      <w:r>
        <w:rPr>
          <w:rFonts w:hint="eastAsia" w:ascii="宋体" w:hAnsi="宋体"/>
          <w:bCs/>
          <w:color w:val="000000"/>
          <w:sz w:val="24"/>
          <w:highlight w:val="none"/>
          <w:lang w:eastAsia="zh-CN"/>
        </w:rPr>
        <w:t xml:space="preserve">任意</w:t>
      </w:r>
      <w:r>
        <w:rPr>
          <w:rFonts w:hint="eastAsia" w:ascii="宋体" w:hAnsi="宋体"/>
          <w:bCs/>
          <w:color w:val="000000"/>
          <w:sz w:val="24"/>
          <w:highlight w:val="none"/>
        </w:rPr>
        <w:t xml:space="preserve">一个月依法缴纳税收及缴纳社会保障资金的证明材料。投标人依法享受缓缴、免缴税收、社会保障资金的提供证明材料。</w:t>
      </w:r>
      <w:r>
        <w:rPr>
          <w:rFonts w:hint="eastAsia" w:ascii="宋体" w:hAnsi="宋体"/>
          <w:bCs/>
          <w:color w:val="000000"/>
          <w:sz w:val="24"/>
          <w:highlight w:val="non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0"/>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870"/>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70"/>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7"/>
        <w:rPr>
          <w:rFonts w:hint="eastAsia"/>
          <w:color w:val="000000"/>
          <w:highlight w:val="none"/>
        </w:rPr>
      </w:pPr>
      <w:r>
        <w:rPr>
          <w:rFonts w:hint="eastAsia"/>
          <w:color w:val="000000"/>
          <w:highlight w:val="non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0"/>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0"/>
        <w:spacing w:line="460" w:lineRule="exact"/>
        <w:rPr>
          <w:rFonts w:hint="eastAsia" w:ascii="宋体" w:hAnsi="宋体"/>
          <w:bCs/>
          <w:color w:val="000000"/>
          <w:sz w:val="24"/>
          <w:highlight w:val="none"/>
        </w:rPr>
      </w:pPr>
      <w:r>
        <w:rPr>
          <w:rFonts w:hint="eastAsia" w:ascii="宋体" w:hAnsi="宋体"/>
          <w:b/>
          <w:bCs/>
          <w:color w:val="000000"/>
          <w:sz w:val="24"/>
          <w:highlight w:val="none"/>
        </w:rPr>
        <w:t xml:space="preserve">    </w:t>
      </w: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rPr>
      </w:r>
      <w:r/>
    </w:p>
    <w:p>
      <w:pPr>
        <w:pStyle w:val="870"/>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870"/>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870"/>
        <w:jc w:val="center"/>
        <w:spacing w:before="120" w:after="120" w:line="360" w:lineRule="auto"/>
        <w:rPr>
          <w:rFonts w:hint="eastAsia" w:ascii="宋体" w:hAnsi="宋体"/>
          <w:b/>
          <w:bCs/>
          <w:color w:val="000000"/>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70"/>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870"/>
        <w:numPr>
          <w:ilvl w:val="0"/>
          <w:numId w:val="3"/>
        </w:numPr>
        <w:rPr>
          <w:rFonts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lang w:eastAsia="zh-CN"/>
        </w:rPr>
        <w:t xml:space="preserve">投标人</w:t>
      </w:r>
      <w:r>
        <w:rPr>
          <w:rFonts w:hint="eastAsia" w:ascii="黑体" w:hAnsi="黑体" w:eastAsia="黑体"/>
          <w:i/>
          <w:color w:val="000000"/>
          <w:sz w:val="32"/>
          <w:szCs w:val="32"/>
          <w:highlight w:val="none"/>
          <w:u w:val="single"/>
        </w:rPr>
        <w:t xml:space="preserve">信用承诺函</w:t>
      </w:r>
      <w:r>
        <w:rPr>
          <w:rFonts w:ascii="黑体" w:hAnsi="黑体" w:eastAsia="黑体"/>
          <w:i/>
          <w:color w:val="000000"/>
          <w:sz w:val="32"/>
          <w:szCs w:val="32"/>
          <w:highlight w:val="none"/>
          <w:u w:val="single"/>
        </w:rPr>
      </w:r>
      <w:r/>
    </w:p>
    <w:p>
      <w:pPr>
        <w:pStyle w:val="870"/>
        <w:jc w:val="center"/>
        <w:spacing w:line="500" w:lineRule="exact"/>
        <w:rPr>
          <w:rFonts w:ascii="宋体" w:hAnsi="宋体" w:eastAsia="等线"/>
          <w:b/>
          <w:color w:val="000000"/>
          <w:sz w:val="24"/>
          <w:szCs w:val="24"/>
          <w:highlight w:val="none"/>
        </w:rPr>
      </w:pPr>
      <w:r>
        <w:rPr>
          <w:rFonts w:hint="eastAsia" w:ascii="宋体" w:hAnsi="宋体" w:eastAsia="等线"/>
          <w:b/>
          <w:color w:val="000000"/>
          <w:sz w:val="24"/>
          <w:szCs w:val="24"/>
          <w:highlight w:val="none"/>
          <w:lang w:eastAsia="zh-CN"/>
        </w:rPr>
        <w:t xml:space="preserve">投标人</w:t>
      </w:r>
      <w:r>
        <w:rPr>
          <w:rFonts w:hint="eastAsia" w:ascii="宋体" w:hAnsi="宋体" w:eastAsia="等线"/>
          <w:b/>
          <w:color w:val="000000"/>
          <w:sz w:val="24"/>
          <w:szCs w:val="24"/>
          <w:highlight w:val="none"/>
        </w:rPr>
        <w:t xml:space="preserve">信用承诺函</w:t>
      </w:r>
      <w:r>
        <w:rPr>
          <w:rFonts w:ascii="宋体" w:hAnsi="宋体" w:eastAsia="等线"/>
          <w:b/>
          <w:color w:val="000000"/>
          <w:sz w:val="24"/>
          <w:szCs w:val="24"/>
          <w:highlight w:val="none"/>
        </w:rPr>
      </w:r>
      <w:r/>
    </w:p>
    <w:p>
      <w:pPr>
        <w:pStyle w:val="87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承诺主体名称：</w:t>
      </w:r>
      <w:r>
        <w:rPr>
          <w:rFonts w:ascii="宋体" w:hAnsi="宋体" w:cs="宋体"/>
          <w:color w:val="000000"/>
          <w:sz w:val="22"/>
          <w:highlight w:val="none"/>
        </w:rPr>
      </w:r>
      <w:r/>
    </w:p>
    <w:p>
      <w:pPr>
        <w:pStyle w:val="87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统一社会信用代码：</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四、自觉接受行政管理部门、行业组织、社会公众、新闻舆论的监督；</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六、提出政府采购质疑和投诉坚持依法依规、诚实信用原则，在全国范围12个月内没有三次以上查无实据的政府采购投诉；</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七、严格遵守信用信息公示相关规定，向社会公示信用信息；</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八、在“信用中国”和“中国政府采购网”网站中无违法违规、较重或严重失信记录；</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十、本承诺书自签订之日起生效。</w:t>
      </w:r>
      <w:r>
        <w:rPr>
          <w:rFonts w:ascii="宋体" w:hAnsi="宋体" w:cs="宋体"/>
          <w:color w:val="000000"/>
          <w:sz w:val="22"/>
          <w:highlight w:val="none"/>
        </w:rPr>
      </w:r>
      <w:r/>
    </w:p>
    <w:p>
      <w:pPr>
        <w:pStyle w:val="870"/>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 （注：法定代表人或负责人、主体名称发生变更的应当重新做出承诺。）</w:t>
      </w:r>
      <w:r>
        <w:rPr>
          <w:rFonts w:ascii="宋体" w:hAnsi="宋体" w:cs="宋体"/>
          <w:color w:val="000000"/>
          <w:sz w:val="22"/>
          <w:highlight w:val="none"/>
        </w:rPr>
      </w:r>
      <w:r/>
    </w:p>
    <w:p>
      <w:pPr>
        <w:pStyle w:val="870"/>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70"/>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承诺单位（加盖CA电子公章）：           </w:t>
      </w:r>
      <w:r>
        <w:rPr>
          <w:rFonts w:ascii="宋体" w:hAnsi="宋体" w:cs="宋体"/>
          <w:color w:val="000000"/>
          <w:sz w:val="24"/>
          <w:szCs w:val="24"/>
          <w:highlight w:val="none"/>
        </w:rPr>
      </w:r>
      <w:r/>
    </w:p>
    <w:p>
      <w:pPr>
        <w:pStyle w:val="870"/>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ascii="宋体" w:hAnsi="宋体" w:cs="宋体"/>
          <w:color w:val="000000"/>
          <w:sz w:val="24"/>
          <w:szCs w:val="24"/>
          <w:highlight w:val="none"/>
        </w:rPr>
      </w:r>
      <w:r/>
    </w:p>
    <w:p>
      <w:pPr>
        <w:pStyle w:val="947"/>
        <w:rPr>
          <w:rFonts w:hint="eastAsia" w:ascii="宋体" w:hAnsi="宋体"/>
          <w:b/>
          <w:bCs/>
          <w:color w:val="000000"/>
          <w:highlight w:val="none"/>
        </w:rPr>
      </w:pPr>
      <w:r>
        <w:rPr>
          <w:rFonts w:hint="eastAsia" w:ascii="宋体" w:hAnsi="宋体"/>
          <w:b/>
          <w:bCs/>
          <w:color w:val="000000"/>
          <w:highlight w:val="none"/>
        </w:rPr>
      </w:r>
      <w:r/>
    </w:p>
    <w:p>
      <w:pPr>
        <w:pStyle w:val="947"/>
        <w:rPr>
          <w:rFonts w:hint="eastAsia" w:ascii="宋体" w:hAnsi="宋体"/>
          <w:b/>
          <w:bCs/>
          <w:color w:val="000000"/>
          <w:highlight w:val="none"/>
        </w:rPr>
      </w:pPr>
      <w:r>
        <w:rPr>
          <w:rFonts w:hint="eastAsia" w:ascii="宋体" w:hAnsi="宋体"/>
          <w:b/>
          <w:bCs/>
          <w:color w:val="000000"/>
          <w:highlight w:val="non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七、特定资格要求的证明文件</w:t>
      </w:r>
      <w:r>
        <w:rPr>
          <w:rFonts w:hint="eastAsia" w:ascii="黑体" w:hAnsi="黑体" w:eastAsia="黑体"/>
          <w:i/>
          <w:color w:val="000000"/>
          <w:sz w:val="32"/>
          <w:szCs w:val="32"/>
          <w:highlight w:val="none"/>
          <w:u w:val="single"/>
        </w:rPr>
      </w:r>
      <w:r/>
    </w:p>
    <w:p>
      <w:pPr>
        <w:pStyle w:val="87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rFonts w:hint="eastAsia" w:ascii="宋体" w:hAnsi="宋体"/>
          <w:bCs/>
          <w:color w:val="000000"/>
          <w:sz w:val="24"/>
          <w:highlight w:val="none"/>
        </w:rPr>
      </w:r>
      <w:r/>
    </w:p>
    <w:p>
      <w:pPr>
        <w:pStyle w:val="947"/>
        <w:rPr>
          <w:rFonts w:hint="eastAsia" w:ascii="宋体" w:hAnsi="宋体"/>
          <w:b/>
          <w:bCs/>
          <w:color w:val="000000"/>
          <w:highlight w:val="none"/>
        </w:rPr>
      </w:pPr>
      <w:r>
        <w:rPr>
          <w:rFonts w:hint="eastAsia" w:ascii="宋体" w:hAnsi="宋体"/>
          <w:b/>
          <w:bCs/>
          <w:color w:val="000000"/>
          <w:highlight w:val="none"/>
        </w:rPr>
      </w:r>
      <w:r/>
    </w:p>
    <w:p>
      <w:pPr>
        <w:pStyle w:val="947"/>
        <w:rPr>
          <w:rFonts w:hint="eastAsia" w:ascii="宋体" w:hAnsi="宋体"/>
          <w:b/>
          <w:bCs/>
          <w:color w:val="000000"/>
          <w:highlight w:val="none"/>
        </w:rPr>
      </w:pPr>
      <w:r>
        <w:rPr>
          <w:rFonts w:hint="eastAsia" w:ascii="宋体" w:hAnsi="宋体"/>
          <w:b/>
          <w:bCs/>
          <w:color w:val="000000"/>
          <w:highlight w:val="none"/>
        </w:rPr>
      </w:r>
      <w:r/>
    </w:p>
    <w:p>
      <w:pPr>
        <w:pStyle w:val="870"/>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0"/>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八、法人授权书</w:t>
      </w:r>
      <w:r>
        <w:rPr>
          <w:rFonts w:hint="eastAsia" w:ascii="黑体" w:hAnsi="黑体" w:eastAsia="黑体"/>
          <w:i/>
          <w:color w:val="000000"/>
          <w:sz w:val="32"/>
          <w:szCs w:val="32"/>
          <w:highlight w:val="none"/>
          <w:u w:val="single"/>
        </w:rPr>
      </w:r>
      <w:r/>
    </w:p>
    <w:p>
      <w:pPr>
        <w:pStyle w:val="93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93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w:t>
      </w:r>
      <w:r>
        <w:rPr>
          <w:rFonts w:hint="eastAsia"/>
          <w:color w:val="000000"/>
          <w:sz w:val="24"/>
          <w:szCs w:val="24"/>
          <w:highlight w:val="none"/>
          <w:u w:val="single"/>
        </w:rPr>
        <w:t xml:space="preserve"> </w:t>
      </w:r>
      <w:r>
        <w:rPr>
          <w:rFonts w:hint="eastAsia"/>
          <w:color w:val="000000"/>
          <w:sz w:val="24"/>
          <w:szCs w:val="24"/>
          <w:highlight w:val="none"/>
        </w:rPr>
        <w:t xml:space="preserve">_年____月____日起生效，特此声明。</w:t>
      </w:r>
      <w:r>
        <w:rPr>
          <w:rFonts w:hint="eastAsia"/>
          <w:color w:val="000000"/>
          <w:sz w:val="24"/>
          <w:szCs w:val="24"/>
          <w:highlight w:val="none"/>
        </w:rPr>
      </w:r>
      <w:r/>
    </w:p>
    <w:p>
      <w:pPr>
        <w:pStyle w:val="931"/>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31"/>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31"/>
        <w:ind w:firstLine="480"/>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                 </w:t>
      </w:r>
      <w:r>
        <w:rPr>
          <w:color w:val="000000"/>
          <w:sz w:val="24"/>
          <w:szCs w:val="24"/>
          <w:highlight w:val="none"/>
        </w:rPr>
      </w:r>
      <w:r/>
    </w:p>
    <w:p>
      <w:pPr>
        <w:pStyle w:val="931"/>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3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19" w:name="_Hlt26671380"/>
      <w:r/>
      <w:bookmarkEnd w:id="19"/>
      <w:r/>
      <w:bookmarkStart w:id="20" w:name="_Hlt26955070"/>
      <w:r/>
      <w:bookmarkEnd w:id="20"/>
      <w:r/>
      <w:bookmarkStart w:id="21" w:name="_格式3__银行出具的资信证明"/>
      <w:r/>
      <w:bookmarkEnd w:id="21"/>
      <w:r>
        <w:rPr>
          <w:rFonts w:hint="eastAsia"/>
          <w:color w:val="000000"/>
          <w:sz w:val="24"/>
          <w:szCs w:val="24"/>
          <w:highlight w:val="none"/>
          <w:u w:val="single"/>
        </w:rPr>
        <w:t xml:space="preserve">                                             </w:t>
      </w:r>
      <w:r>
        <w:rPr>
          <w:rFonts w:hint="eastAsia"/>
          <w:color w:val="000000"/>
          <w:sz w:val="24"/>
          <w:szCs w:val="24"/>
          <w:highlight w:val="none"/>
        </w:rPr>
      </w:r>
      <w:r/>
    </w:p>
    <w:p>
      <w:pPr>
        <w:pStyle w:val="947"/>
        <w:rPr>
          <w:rFonts w:hint="eastAsia" w:ascii="宋体" w:hAnsi="宋体"/>
          <w:b/>
          <w:bCs/>
          <w:color w:val="000000"/>
          <w:highlight w:val="none"/>
        </w:rPr>
      </w:pPr>
      <w:r>
        <w:rPr>
          <w:rFonts w:hint="eastAsia" w:ascii="宋体" w:hAnsi="宋体"/>
          <w:b/>
          <w:bCs/>
          <w:color w:val="000000"/>
          <w:highlight w:val="none"/>
        </w:rPr>
      </w:r>
      <w:r/>
    </w:p>
    <w:p>
      <w:pPr>
        <w:pStyle w:val="870"/>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87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7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7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7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70"/>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870"/>
        <w:jc w:val="center"/>
        <w:rPr>
          <w:rFonts w:hint="eastAsia" w:ascii="黑体" w:hAnsi="黑体" w:eastAsia="黑体"/>
          <w:i/>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i/>
          <w:color w:val="000000"/>
          <w:sz w:val="32"/>
          <w:szCs w:val="32"/>
          <w:highlight w:val="none"/>
          <w:u w:val="single"/>
        </w:rPr>
      </w:r>
      <w:r/>
    </w:p>
    <w:p>
      <w:pPr>
        <w:pStyle w:val="870"/>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九、</w:t>
      </w:r>
      <w:r>
        <w:rPr>
          <w:rFonts w:hint="eastAsia" w:ascii="黑体" w:hAnsi="黑体" w:eastAsia="黑体"/>
          <w:i/>
          <w:color w:val="000000"/>
          <w:sz w:val="32"/>
          <w:szCs w:val="32"/>
          <w:highlight w:val="none"/>
          <w:u w:val="single"/>
          <w:lang w:val="en-US" w:eastAsia="zh-CN"/>
        </w:rPr>
        <w:t xml:space="preserve">投标</w:t>
      </w:r>
      <w:r>
        <w:rPr>
          <w:rFonts w:hint="eastAsia" w:ascii="黑体" w:hAnsi="黑体" w:eastAsia="黑体"/>
          <w:i/>
          <w:color w:val="000000"/>
          <w:sz w:val="32"/>
          <w:szCs w:val="32"/>
          <w:highlight w:val="none"/>
          <w:u w:val="single"/>
        </w:rPr>
        <w:t xml:space="preserve">函</w:t>
      </w:r>
      <w:r>
        <w:rPr>
          <w:rFonts w:hint="eastAsia" w:ascii="黑体" w:hAnsi="黑体" w:eastAsia="黑体"/>
          <w:i/>
          <w:color w:val="000000"/>
          <w:sz w:val="32"/>
          <w:szCs w:val="32"/>
          <w:highlight w:val="none"/>
          <w:u w:val="single"/>
        </w:rPr>
      </w:r>
      <w:r/>
    </w:p>
    <w:p>
      <w:pPr>
        <w:pStyle w:val="931"/>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致：（扬州筑苑工程招标咨询有限公司）</w:t>
      </w:r>
      <w:r>
        <w:rPr>
          <w:rFonts w:hint="eastAsia" w:ascii="宋体" w:hAnsi="宋体" w:eastAsia="宋体" w:cs="宋体"/>
          <w:color w:val="000000"/>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号招标文件，正式授权下述签字人______(姓名)代表我方______________（投标人的名称），全权处理本次项目投标的有关事宜。</w:t>
      </w:r>
      <w:r>
        <w:rPr>
          <w:rFonts w:hint="eastAsia" w:ascii="宋体" w:hAnsi="宋体" w:eastAsia="宋体" w:cs="宋体"/>
          <w:sz w:val="24"/>
          <w:szCs w:val="24"/>
          <w:highlight w:val="none"/>
        </w:rPr>
      </w:r>
      <w:r/>
    </w:p>
    <w:p>
      <w:pPr>
        <w:pStyle w:val="931"/>
        <w:ind w:firstLine="42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1.按招标文件规定的各项要求，向买方提供所需服务（包含与服务相关的货物）。</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6.一旦我方中标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我方将根据招标文件的规定，严格履行合同的责任和义务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并保证在招标文件规定的时间完成项目，交付买方验收、使用。</w:t>
      </w:r>
      <w:r>
        <w:rPr>
          <w:rFonts w:hint="eastAsia" w:ascii="宋体" w:hAnsi="宋体" w:eastAsia="宋体" w:cs="宋体"/>
          <w:sz w:val="24"/>
          <w:szCs w:val="24"/>
          <w:highlight w:val="none"/>
        </w:rPr>
      </w:r>
      <w:r/>
    </w:p>
    <w:p>
      <w:pPr>
        <w:pStyle w:val="926"/>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7.与本投标有关的正式通讯地址为：</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rPr>
          <w:rFonts w:hint="eastAsia" w:ascii="宋体" w:hAnsi="宋体" w:eastAsia="宋体" w:cs="宋体"/>
          <w:sz w:val="24"/>
          <w:szCs w:val="24"/>
          <w:highlight w:val="none"/>
        </w:rPr>
      </w:r>
      <w:r/>
    </w:p>
    <w:p>
      <w:pPr>
        <w:pStyle w:val="926"/>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rPr>
          <w:rFonts w:hint="eastAsia" w:ascii="宋体" w:hAnsi="宋体" w:eastAsia="宋体" w:cs="宋体"/>
          <w:sz w:val="24"/>
          <w:szCs w:val="24"/>
          <w:highlight w:val="none"/>
        </w:rPr>
      </w:r>
      <w:r/>
    </w:p>
    <w:p>
      <w:pPr>
        <w:pStyle w:val="870"/>
        <w:jc w:val="center"/>
        <w:spacing w:before="312" w:after="312" w:line="360" w:lineRule="auto"/>
        <w:rPr>
          <w:rFonts w:hint="eastAsia" w:ascii="黑体" w:hAnsi="黑体" w:eastAsia="黑体" w:cs="Times New Roman"/>
          <w:i/>
          <w:color w:val="000000"/>
          <w:sz w:val="32"/>
          <w:szCs w:val="32"/>
          <w:highlight w:val="none"/>
          <w:u w:val="single"/>
        </w:rPr>
      </w:pPr>
      <w:r>
        <w:rPr>
          <w:rFonts w:ascii="宋体" w:hAnsi="宋体"/>
          <w:b/>
          <w:color w:val="000000"/>
          <w:szCs w:val="21"/>
          <w:highlight w:val="none"/>
        </w:rPr>
        <w:br w:type="page" w:clear="all"/>
      </w:r>
      <w:r>
        <w:rPr>
          <w:rFonts w:hint="eastAsia" w:ascii="黑体" w:hAnsi="黑体" w:eastAsia="黑体"/>
          <w:i/>
          <w:color w:val="000000"/>
          <w:sz w:val="32"/>
          <w:szCs w:val="32"/>
          <w:highlight w:val="none"/>
          <w:u w:val="single"/>
        </w:rPr>
        <w:t xml:space="preserve">十</w:t>
      </w:r>
      <w:r>
        <w:rPr>
          <w:rFonts w:hint="eastAsia" w:ascii="黑体" w:hAnsi="黑体" w:eastAsia="黑体" w:cs="Times New Roman"/>
          <w:i/>
          <w:color w:val="000000"/>
          <w:sz w:val="32"/>
          <w:szCs w:val="32"/>
          <w:highlight w:val="none"/>
          <w:u w:val="single"/>
        </w:rPr>
        <w:t xml:space="preserve">、中小微企业声明函（服务类项目）（采购包号：**）</w:t>
      </w:r>
      <w:r>
        <w:rPr>
          <w:rFonts w:hint="eastAsia" w:ascii="黑体" w:hAnsi="黑体" w:eastAsia="黑体" w:cs="Times New Roman"/>
          <w:i/>
          <w:color w:val="000000"/>
          <w:sz w:val="32"/>
          <w:szCs w:val="32"/>
          <w:highlight w:val="none"/>
          <w:u w:val="single"/>
        </w:rPr>
      </w:r>
      <w:r/>
    </w:p>
    <w:p>
      <w:pPr>
        <w:pStyle w:val="902"/>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sz w:val="24"/>
          <w:szCs w:val="24"/>
          <w:highlight w:val="none"/>
        </w:rPr>
        <w:t xml:space="preserve">   </w:t>
      </w: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02"/>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02"/>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02"/>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902"/>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02"/>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02"/>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02"/>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902"/>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02"/>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02"/>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02"/>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02"/>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0"/>
        <w:ind w:right="720" w:firstLine="480"/>
        <w:spacing w:line="560" w:lineRule="exact"/>
        <w:rPr>
          <w:rFonts w:ascii="宋体" w:hAnsi="宋体"/>
          <w:sz w:val="24"/>
          <w:szCs w:val="24"/>
          <w:highlight w:val="non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sz w:val="24"/>
          <w:szCs w:val="24"/>
          <w:highlight w:val="none"/>
        </w:rPr>
      </w:r>
      <w:r/>
    </w:p>
    <w:p>
      <w:pPr>
        <w:pStyle w:val="948"/>
        <w:jc w:val="both"/>
        <w:spacing w:before="300" w:after="300" w:line="360" w:lineRule="auto"/>
        <w:widowControl/>
        <w:rPr>
          <w:rFonts w:hint="eastAsia" w:ascii="宋体" w:hAnsi="宋体" w:cs="微软雅黑"/>
          <w:bCs w:val="0"/>
          <w:color w:val="000000"/>
          <w:sz w:val="21"/>
          <w:szCs w:val="21"/>
          <w:highlight w:val="none"/>
        </w:rPr>
      </w:pPr>
      <w:r>
        <w:rPr>
          <w:rFonts w:hint="eastAsia" w:ascii="宋体" w:hAnsi="宋体" w:cs="微软雅黑"/>
          <w:bCs w:val="0"/>
          <w:color w:val="000000"/>
          <w:sz w:val="21"/>
          <w:szCs w:val="21"/>
          <w:highlight w:val="none"/>
        </w:rPr>
      </w:r>
      <w:r/>
    </w:p>
    <w:p>
      <w:pPr>
        <w:pStyle w:val="937"/>
        <w:ind w:left="0" w:firstLine="0"/>
        <w:jc w:val="left"/>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872"/>
        <w:jc w:val="center"/>
        <w:spacing w:before="300" w:after="300" w:line="360" w:lineRule="auto"/>
        <w:widowControl/>
        <w:rPr>
          <w:rFonts w:ascii="宋体" w:hAnsi="宋体"/>
          <w:color w:val="000000"/>
          <w:sz w:val="21"/>
          <w:szCs w:val="21"/>
          <w:highlight w:val="none"/>
        </w:rPr>
      </w:pPr>
      <w:r/>
      <w:bookmarkStart w:id="22" w:name="_Toc109304977"/>
      <w:r>
        <w:rPr>
          <w:rFonts w:hint="eastAsia" w:ascii="宋体" w:hAnsi="宋体" w:cs="微软雅黑"/>
          <w:bCs w:val="0"/>
          <w:color w:val="000000"/>
          <w:sz w:val="21"/>
          <w:szCs w:val="21"/>
          <w:highlight w:val="none"/>
        </w:rPr>
        <w:t xml:space="preserve">中小微企业划型标准</w:t>
      </w:r>
      <w:bookmarkEnd w:id="22"/>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902"/>
        <w:spacing w:before="300" w:after="452" w:line="360" w:lineRule="auto"/>
        <w:widowControl/>
        <w:rPr>
          <w:rStyle w:val="905"/>
          <w:rFonts w:hint="eastAsia" w:ascii="宋体" w:hAnsi="宋体" w:cs="仿宋"/>
          <w:color w:val="000000"/>
          <w:sz w:val="21"/>
          <w:szCs w:val="21"/>
          <w:highlight w:val="none"/>
        </w:rPr>
      </w:pPr>
      <w:r>
        <w:rPr>
          <w:rStyle w:val="905"/>
          <w:rFonts w:hint="eastAsia" w:ascii="宋体" w:hAnsi="宋体" w:cs="仿宋"/>
          <w:color w:val="000000"/>
          <w:sz w:val="21"/>
          <w:szCs w:val="21"/>
          <w:highlight w:val="none"/>
        </w:rPr>
        <w:t xml:space="preserve">中小微企业划型标准如下：</w:t>
      </w:r>
      <w:r>
        <w:rPr>
          <w:rStyle w:val="905"/>
          <w:rFonts w:hint="eastAsia" w:ascii="宋体" w:hAnsi="宋体" w:cs="仿宋"/>
          <w:color w:val="000000"/>
          <w:sz w:val="21"/>
          <w:szCs w:val="21"/>
          <w:highlight w:val="none"/>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33"/>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行业名称</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指标名称</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计量单位</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中型</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小型</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微型</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农、林、牧、渔</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工业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建筑业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6000≤Y＜80000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300≤Y＜6000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5000≤Z＜80000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300≤Z＜5000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Z＜300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批发业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5≤X＜20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X＜5</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零售业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10≤X＜50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交通运输业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200≤Y＜3000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Y＜200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仓储业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邮政业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住宿业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ind w:firstLine="420"/>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餐饮业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信息传输业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100≤X＜2000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1000≤Y＜100000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软件和信息技术服务业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房地产开发经营</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1000≤Y＜200000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5000≤Z＜10000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2000≤Y＜5000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Y＜2000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物业管理</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500≤Y＜1000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Y＜500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租赁和商务服务业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70"/>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8000≤Z＜120000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100≤Z＜8000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其他未列明行业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33"/>
              <w:jc w:val="center"/>
              <w:spacing w:after="150" w:line="360" w:lineRule="auto"/>
              <w:widowControl/>
              <w:rPr>
                <w:rFonts w:ascii="Times New Roman" w:hAnsi="Times New Roman"/>
                <w:color w:val="000000"/>
                <w:sz w:val="21"/>
                <w:szCs w:val="21"/>
                <w:highlight w:val="none"/>
              </w:rPr>
            </w:pPr>
            <w:r>
              <w:rPr>
                <w:rStyle w:val="909"/>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bl>
    <w:p>
      <w:pPr>
        <w:pStyle w:val="902"/>
        <w:spacing w:before="300" w:after="452" w:line="360" w:lineRule="auto"/>
        <w:widowControl/>
        <w:rPr>
          <w:rStyle w:val="905"/>
          <w:rFonts w:ascii="宋体" w:hAnsi="宋体" w:cs="仿宋"/>
          <w:color w:val="000000"/>
          <w:sz w:val="21"/>
          <w:szCs w:val="21"/>
          <w:highlight w:val="none"/>
        </w:rPr>
      </w:pPr>
      <w:r>
        <w:rPr>
          <w:rStyle w:val="90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w:t>
      </w:r>
      <w:r>
        <w:rPr>
          <w:rStyle w:val="905"/>
          <w:rFonts w:hint="eastAsia" w:ascii="宋体" w:hAnsi="宋体" w:cs="仿宋"/>
          <w:color w:val="000000"/>
          <w:sz w:val="21"/>
          <w:szCs w:val="21"/>
          <w:highlight w:val="none"/>
          <w:lang w:eastAsia="zh-CN"/>
        </w:rPr>
        <w:t xml:space="preserve">只需</w:t>
      </w:r>
      <w:r>
        <w:rPr>
          <w:rStyle w:val="905"/>
          <w:rFonts w:hint="eastAsia" w:ascii="宋体" w:hAnsi="宋体" w:cs="仿宋"/>
          <w:color w:val="000000"/>
          <w:sz w:val="21"/>
          <w:szCs w:val="21"/>
          <w:highlight w:val="none"/>
        </w:rPr>
        <w:t xml:space="preserve">满足所列指标中的一项即可。</w:t>
      </w:r>
      <w:r>
        <w:rPr>
          <w:rStyle w:val="905"/>
          <w:rFonts w:ascii="宋体" w:hAnsi="宋体" w:cs="仿宋"/>
          <w:color w:val="000000"/>
          <w:sz w:val="21"/>
          <w:szCs w:val="21"/>
          <w:highlight w:val="none"/>
        </w:rPr>
      </w:r>
      <w:r/>
    </w:p>
    <w:p>
      <w:pPr>
        <w:pStyle w:val="870"/>
        <w:jc w:val="center"/>
        <w:spacing w:line="360" w:lineRule="auto"/>
        <w:rPr>
          <w:rFonts w:hint="eastAsia" w:ascii="黑体" w:hAnsi="黑体" w:eastAsia="黑体" w:cs="Times New Roman"/>
          <w:iCs/>
          <w:color w:val="000000"/>
          <w:sz w:val="32"/>
          <w:szCs w:val="32"/>
          <w:highlight w:val="none"/>
        </w:rPr>
      </w:pPr>
      <w:r>
        <w:rPr>
          <w:rStyle w:val="905"/>
          <w:rFonts w:ascii="宋体" w:hAnsi="宋体" w:cs="仿宋"/>
          <w:color w:val="000000"/>
          <w:szCs w:val="21"/>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s="Times New Roman"/>
          <w:iCs/>
          <w:color w:val="000000"/>
          <w:sz w:val="32"/>
          <w:szCs w:val="32"/>
          <w:highlight w:val="none"/>
        </w:rPr>
        <w:t xml:space="preserve">、残疾人福利性单位声明函（服务类项目）（采购包号：**）</w:t>
      </w:r>
      <w:r>
        <w:rPr>
          <w:rFonts w:hint="eastAsia" w:ascii="黑体" w:hAnsi="黑体" w:eastAsia="黑体" w:cs="Times New Roman"/>
          <w:iCs/>
          <w:color w:val="000000"/>
          <w:sz w:val="32"/>
          <w:szCs w:val="32"/>
          <w:highlight w:val="none"/>
        </w:rPr>
      </w:r>
      <w:r/>
    </w:p>
    <w:p>
      <w:pPr>
        <w:pStyle w:val="902"/>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02"/>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02"/>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02"/>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870"/>
        <w:jc w:val="center"/>
        <w:spacing w:line="360" w:lineRule="auto"/>
        <w:rPr>
          <w:rFonts w:hint="eastAsia"/>
          <w:color w:val="000000"/>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color w:val="000000"/>
          <w:highlight w:val="none"/>
        </w:rPr>
      </w:r>
      <w:r/>
    </w:p>
    <w:p>
      <w:pPr>
        <w:pStyle w:val="870"/>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870"/>
        <w:ind w:right="1560" w:firstLine="420"/>
        <w:jc w:val="center"/>
        <w:spacing w:line="360" w:lineRule="auto"/>
        <w:tabs>
          <w:tab w:val="left" w:pos="4860" w:leader="none"/>
        </w:tabs>
        <w:rPr>
          <w:rFonts w:ascii="宋体" w:hAnsi="宋体"/>
          <w:color w:val="000000"/>
          <w:szCs w:val="21"/>
          <w:highlight w:val="none"/>
        </w:rPr>
      </w:pPr>
      <w:r>
        <w:rPr>
          <w:rFonts w:ascii="宋体" w:hAnsi="宋体"/>
          <w:color w:val="000000"/>
          <w:szCs w:val="21"/>
          <w:highlight w:val="none"/>
        </w:rPr>
      </w:r>
      <w:r/>
    </w:p>
    <w:p>
      <w:pPr>
        <w:pStyle w:val="870"/>
        <w:jc w:val="center"/>
        <w:spacing w:line="560" w:lineRule="exact"/>
        <w:rPr>
          <w:rFonts w:ascii="黑体" w:hAnsi="黑体" w:eastAsia="黑体"/>
          <w:b/>
          <w:sz w:val="32"/>
          <w:szCs w:val="32"/>
          <w:highlight w:val="none"/>
        </w:rPr>
      </w:pPr>
      <w:r>
        <w:rPr>
          <w:rFonts w:ascii="宋体" w:hAnsi="宋体"/>
          <w:b/>
          <w:bCs/>
          <w:color w:val="000000"/>
          <w:highlight w:val="none"/>
        </w:rPr>
        <w:br w:type="page" w:clear="all"/>
      </w:r>
      <w:r>
        <w:rPr>
          <w:rFonts w:hint="eastAsia" w:ascii="黑体" w:hAnsi="黑体" w:eastAsia="黑体"/>
          <w:b/>
          <w:sz w:val="32"/>
          <w:szCs w:val="32"/>
          <w:highlight w:val="none"/>
        </w:rPr>
        <w:t xml:space="preserve">十一、联合体协议（参考格式）</w:t>
      </w:r>
      <w:r>
        <w:rPr>
          <w:rFonts w:ascii="黑体" w:hAnsi="黑体" w:eastAsia="黑体"/>
          <w:b/>
          <w:sz w:val="32"/>
          <w:szCs w:val="32"/>
          <w:highlight w:val="none"/>
        </w:rPr>
      </w:r>
      <w:r/>
    </w:p>
    <w:p>
      <w:pPr>
        <w:pStyle w:val="870"/>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自愿组成联合体，参加扬州市公共资源交易中心组织的采购编号为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w:t>
      </w:r>
      <w:r>
        <w:rPr>
          <w:rFonts w:hint="eastAsia" w:ascii="宋体" w:hAnsi="宋体"/>
          <w:sz w:val="24"/>
          <w:highlight w:val="none"/>
        </w:rPr>
        <w:t xml:space="preserve">为牵头单位（牵头单位必须为联合体成员）。</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w:t>
      </w:r>
      <w:r>
        <w:rPr>
          <w:rFonts w:hint="eastAsia" w:ascii="宋体" w:hAnsi="宋体"/>
          <w:sz w:val="24"/>
          <w:highlight w:val="none"/>
          <w:lang w:eastAsia="zh-CN"/>
        </w:rPr>
        <w:t xml:space="preserve">投标人</w:t>
      </w:r>
      <w:r>
        <w:rPr>
          <w:rFonts w:hint="eastAsia" w:ascii="宋体" w:hAnsi="宋体"/>
          <w:sz w:val="24"/>
          <w:highlight w:val="none"/>
        </w:rPr>
        <w:t xml:space="preserve">都应明示所承担的工作和相应的责任）。</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r>
      <w:r/>
    </w:p>
    <w:p>
      <w:pPr>
        <w:pStyle w:val="870"/>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r>
      <w:r/>
    </w:p>
    <w:p>
      <w:pPr>
        <w:pStyle w:val="870"/>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全称（公章）：</w:t>
      </w:r>
      <w:r>
        <w:rPr>
          <w:rFonts w:ascii="宋体" w:hAnsi="宋体"/>
          <w:sz w:val="24"/>
          <w:highlight w:val="none"/>
        </w:rPr>
        <w:t xml:space="preserve">     </w:t>
      </w:r>
      <w:r>
        <w:rPr>
          <w:rFonts w:ascii="宋体" w:hAnsi="宋体"/>
          <w:sz w:val="24"/>
          <w:highlight w:val="none"/>
        </w:rPr>
      </w:r>
      <w:r/>
    </w:p>
    <w:p>
      <w:pPr>
        <w:pStyle w:val="870"/>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w:t>
      </w:r>
      <w:r>
        <w:rPr>
          <w:rFonts w:hint="eastAsia" w:ascii="宋体" w:hAnsi="宋体"/>
          <w:sz w:val="24"/>
          <w:highlight w:val="none"/>
          <w:lang w:val="en-US" w:eastAsia="zh-CN"/>
        </w:rPr>
        <w:t xml:space="preserve">  </w:t>
      </w:r>
      <w:r>
        <w:rPr>
          <w:rFonts w:hint="eastAsia" w:ascii="宋体" w:hAnsi="宋体"/>
          <w:sz w:val="24"/>
          <w:highlight w:val="none"/>
        </w:rPr>
        <w:t xml:space="preserve">期：</w:t>
      </w:r>
      <w:r>
        <w:rPr>
          <w:rFonts w:ascii="宋体" w:hAnsi="宋体"/>
          <w:sz w:val="24"/>
          <w:highlight w:val="none"/>
        </w:rPr>
      </w:r>
      <w:r/>
    </w:p>
    <w:p>
      <w:pPr>
        <w:pStyle w:val="949"/>
        <w:jc w:val="center"/>
        <w:spacing w:line="360" w:lineRule="auto"/>
        <w:rPr>
          <w:rFonts w:ascii="宋体" w:hAnsi="宋体"/>
          <w:b w:val="0"/>
          <w:bCs w:val="0"/>
          <w:color w:val="000000"/>
          <w:highlight w:val="none"/>
        </w:rPr>
      </w:pPr>
      <w:r>
        <w:rPr>
          <w:rFonts w:ascii="宋体" w:hAnsi="宋体"/>
          <w:b w:val="0"/>
          <w:bCs w:val="0"/>
          <w:color w:val="000000"/>
          <w:highlight w:val="none"/>
        </w:rPr>
      </w:r>
      <w:r/>
    </w:p>
    <w:p>
      <w:pPr>
        <w:pStyle w:val="949"/>
        <w:jc w:val="center"/>
        <w:spacing w:line="360" w:lineRule="auto"/>
        <w:rPr>
          <w:rFonts w:hint="eastAsia" w:ascii="黑体" w:hAnsi="黑体" w:eastAsia="黑体"/>
          <w:b w:val="0"/>
          <w:bCs w:val="0"/>
          <w:i/>
          <w:color w:val="000000"/>
          <w:highlight w:val="none"/>
          <w:u w:val="singl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bCs w:val="0"/>
          <w:i/>
          <w:color w:val="000000"/>
          <w:highlight w:val="none"/>
          <w:u w:val="single"/>
        </w:rPr>
      </w:r>
      <w:r/>
    </w:p>
    <w:p>
      <w:pPr>
        <w:pStyle w:val="949"/>
        <w:jc w:val="center"/>
        <w:spacing w:line="360" w:lineRule="auto"/>
        <w:rPr>
          <w:rFonts w:hint="eastAsia" w:ascii="黑体" w:hAnsi="黑体" w:eastAsia="黑体"/>
          <w:b w:val="0"/>
          <w:bCs w:val="0"/>
          <w:i/>
          <w:color w:val="000000"/>
          <w:highlight w:val="none"/>
          <w:u w:val="single"/>
        </w:rPr>
      </w:pP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二</w:t>
      </w:r>
      <w:r>
        <w:rPr>
          <w:rFonts w:hint="eastAsia" w:ascii="黑体" w:hAnsi="黑体" w:eastAsia="黑体"/>
          <w:b w:val="0"/>
          <w:bCs w:val="0"/>
          <w:i/>
          <w:color w:val="000000"/>
          <w:highlight w:val="none"/>
          <w:u w:val="single"/>
        </w:rPr>
        <w:t xml:space="preserve">、投标分项报价表</w:t>
      </w:r>
      <w:r>
        <w:rPr>
          <w:rFonts w:hint="eastAsia" w:ascii="黑体" w:hAnsi="黑体" w:eastAsia="黑体"/>
          <w:b w:val="0"/>
          <w:bCs w:val="0"/>
          <w:i/>
          <w:color w:val="000000"/>
          <w:highlight w:val="none"/>
          <w:u w:val="singl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0"/>
              <w:jc w:val="center"/>
              <w:spacing w:line="0" w:lineRule="atLeast"/>
              <w:rPr>
                <w:rFonts w:ascii="宋体" w:hAnsi="宋体"/>
                <w:sz w:val="24"/>
                <w:szCs w:val="24"/>
                <w:highlight w:val="none"/>
              </w:rPr>
            </w:pPr>
            <w:r/>
            <w:bookmarkStart w:id="23" w:name="_Toc109304978"/>
            <w:r>
              <w:rPr>
                <w:rFonts w:hint="eastAsia" w:ascii="宋体" w:hAnsi="宋体"/>
                <w:sz w:val="24"/>
                <w:szCs w:val="24"/>
                <w:highlight w:val="none"/>
              </w:rPr>
              <w:t xml:space="preserve">序号</w:t>
            </w: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r>
            <w:r/>
          </w:p>
        </w:tc>
      </w:tr>
      <w:tr>
        <w:trPr>
          <w:cantSplit/>
          <w:trHeight w:val="294"/>
        </w:trPr>
        <w:tc>
          <w:tcPr>
            <w:tcW w:w="948" w:type="dxa"/>
            <w:vAlign w:val="center"/>
            <w:vMerge w:val="continue"/>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rPr>
                <w:rFonts w:ascii="宋体" w:hAnsi="宋体"/>
                <w:sz w:val="24"/>
                <w:szCs w:val="24"/>
                <w:highlight w:val="none"/>
              </w:rPr>
            </w:r>
            <w:r/>
          </w:p>
        </w:tc>
      </w:tr>
      <w:tr>
        <w:trPr>
          <w:cantSplit/>
          <w:trHeight w:val="654"/>
        </w:trPr>
        <w:tc>
          <w:tcPr>
            <w:tcW w:w="94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27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28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870"/>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6"/>
            <w:tcW w:w="7255" w:type="dxa"/>
            <w:vAlign w:val="center"/>
            <w:textDirection w:val="lrTb"/>
            <w:noWrap w:val="false"/>
          </w:tcPr>
          <w:p>
            <w:pPr>
              <w:pStyle w:val="870"/>
              <w:jc w:val="center"/>
              <w:spacing w:line="0" w:lineRule="atLeast"/>
              <w:rPr>
                <w:rFonts w:ascii="宋体" w:hAnsi="宋体"/>
                <w:sz w:val="24"/>
                <w:szCs w:val="24"/>
                <w:highlight w:val="none"/>
              </w:rPr>
            </w:pPr>
            <w:r>
              <w:rPr>
                <w:rFonts w:hint="eastAsia" w:ascii="宋体" w:hAnsi="宋体"/>
                <w:sz w:val="24"/>
                <w:szCs w:val="24"/>
                <w:highlight w:val="none"/>
              </w:rPr>
              <w:t xml:space="preserve">投标总报价（人民币：元）</w:t>
            </w:r>
            <w:r>
              <w:rPr>
                <w:rFonts w:ascii="宋体" w:hAnsi="宋体"/>
                <w:sz w:val="24"/>
                <w:szCs w:val="24"/>
                <w:highlight w:val="none"/>
              </w:rPr>
            </w:r>
            <w:r/>
          </w:p>
        </w:tc>
        <w:tc>
          <w:tcPr>
            <w:tcW w:w="1798" w:type="dxa"/>
            <w:vAlign w:val="top"/>
            <w:textDirection w:val="lrTb"/>
            <w:noWrap w:val="false"/>
          </w:tcPr>
          <w:p>
            <w:pPr>
              <w:pStyle w:val="870"/>
              <w:spacing w:line="0" w:lineRule="atLeast"/>
              <w:rPr>
                <w:rFonts w:ascii="宋体" w:hAnsi="宋体"/>
                <w:sz w:val="24"/>
                <w:szCs w:val="24"/>
                <w:highlight w:val="none"/>
              </w:rPr>
            </w:pPr>
            <w:r>
              <w:rPr>
                <w:rFonts w:ascii="宋体" w:hAnsi="宋体"/>
                <w:sz w:val="24"/>
                <w:szCs w:val="24"/>
                <w:highlight w:val="none"/>
              </w:rPr>
            </w:r>
            <w:r/>
          </w:p>
        </w:tc>
      </w:tr>
    </w:tbl>
    <w:p>
      <w:pPr>
        <w:pStyle w:val="870"/>
        <w:rPr>
          <w:rFonts w:hint="eastAsia" w:ascii="宋体" w:hAnsi="宋体"/>
          <w:sz w:val="24"/>
          <w:szCs w:val="24"/>
          <w:highlight w:val="none"/>
        </w:rPr>
      </w:pPr>
      <w:r>
        <w:rPr>
          <w:rFonts w:hint="eastAsia" w:ascii="宋体" w:hAnsi="宋体"/>
          <w:sz w:val="24"/>
          <w:szCs w:val="24"/>
          <w:highlight w:val="none"/>
        </w:rPr>
        <w:t xml:space="preserve">备注：1.投标报价应包括所有的费用：人员工资并充分考虑在服务期间国家对人员工资的调整因素和自然增长因素、法定的社会养老保险、住房公积金、节假日福利费、加班费、服装费、工具折旧费、日常耗材费、法定税费、管理费、办公费、培训费、宣传服务费、配件费和维修费等（含为完成采购文件规定的服务工作所涉及到的一切相关费用）。</w:t>
      </w:r>
      <w:r>
        <w:rPr>
          <w:rFonts w:hint="eastAsia" w:ascii="宋体" w:hAnsi="宋体"/>
          <w:sz w:val="24"/>
          <w:szCs w:val="24"/>
          <w:highlight w:val="none"/>
        </w:rPr>
      </w:r>
      <w:r/>
    </w:p>
    <w:p>
      <w:pPr>
        <w:pStyle w:val="870"/>
        <w:rPr>
          <w:rFonts w:hint="eastAsia" w:ascii="宋体" w:hAnsi="宋体"/>
          <w:sz w:val="24"/>
          <w:szCs w:val="24"/>
          <w:highlight w:val="none"/>
        </w:rPr>
      </w:pPr>
      <w:r>
        <w:rPr>
          <w:rFonts w:hint="eastAsia" w:ascii="宋体" w:hAnsi="宋体"/>
          <w:sz w:val="24"/>
          <w:szCs w:val="24"/>
          <w:highlight w:val="none"/>
        </w:rPr>
        <w:t xml:space="preserve">2. </w:t>
      </w: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sz w:val="24"/>
          <w:szCs w:val="24"/>
          <w:highlight w:val="none"/>
        </w:rPr>
      </w:r>
      <w:r/>
    </w:p>
    <w:p>
      <w:pPr>
        <w:pStyle w:val="870"/>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“投标分项报价表”中“投标总报价”数额应当与“开标一览表”中“投标总报价”数额一致。</w:t>
      </w:r>
      <w:r>
        <w:rPr>
          <w:rFonts w:hint="eastAsia" w:ascii="宋体" w:hAnsi="宋体"/>
          <w:sz w:val="24"/>
          <w:szCs w:val="24"/>
          <w:highlight w:val="none"/>
        </w:rPr>
      </w:r>
      <w:r/>
    </w:p>
    <w:p>
      <w:pPr>
        <w:pStyle w:val="870"/>
        <w:ind w:firstLine="420"/>
        <w:spacing w:line="360" w:lineRule="auto"/>
        <w:rPr>
          <w:rFonts w:hint="eastAsia" w:ascii="黑体" w:hAnsi="黑体" w:eastAsia="黑体"/>
          <w:b/>
          <w:bCs/>
          <w:i/>
          <w:color w:val="000000"/>
          <w:highlight w:val="none"/>
          <w:u w:val="single"/>
        </w:rPr>
      </w:pPr>
      <w:r>
        <w:rPr>
          <w:rFonts w:hint="eastAsia" w:ascii="宋体" w:hAnsi="宋体" w:eastAsia="宋体" w:cs="Times New Roman"/>
          <w:color w:val="000000"/>
          <w:szCs w:val="21"/>
          <w:highlight w:val="none"/>
        </w:rPr>
        <w:br w:type="page" w:clear="all"/>
      </w:r>
      <w:r>
        <w:rPr>
          <w:rFonts w:hint="eastAsia" w:ascii="黑体" w:hAnsi="黑体" w:eastAsia="黑体"/>
          <w:b/>
          <w:bCs/>
          <w:i/>
          <w:color w:val="000000"/>
          <w:highlight w:val="none"/>
          <w:u w:val="single"/>
        </w:rPr>
        <w:t xml:space="preserve">十</w:t>
      </w:r>
      <w:r>
        <w:rPr>
          <w:rFonts w:hint="eastAsia" w:ascii="黑体" w:hAnsi="黑体" w:eastAsia="黑体"/>
          <w:b/>
          <w:bCs/>
          <w:i/>
          <w:color w:val="000000"/>
          <w:highlight w:val="none"/>
          <w:u w:val="single"/>
          <w:lang w:val="en-US" w:eastAsia="zh-CN"/>
        </w:rPr>
        <w:t xml:space="preserve">三</w:t>
      </w:r>
      <w:r>
        <w:rPr>
          <w:rFonts w:hint="eastAsia" w:ascii="黑体" w:hAnsi="黑体" w:eastAsia="黑体"/>
          <w:b/>
          <w:bCs/>
          <w:i/>
          <w:color w:val="000000"/>
          <w:highlight w:val="none"/>
          <w:u w:val="single"/>
        </w:rPr>
        <w:t xml:space="preserve">、技术要求响应及偏离表</w:t>
      </w:r>
      <w:r>
        <w:rPr>
          <w:rFonts w:hint="eastAsia" w:ascii="黑体" w:hAnsi="黑体" w:eastAsia="黑体"/>
          <w:b/>
          <w:bCs/>
          <w:i/>
          <w:color w:val="000000"/>
          <w:highlight w:val="none"/>
          <w:u w:val="single"/>
        </w:rPr>
      </w:r>
      <w:r/>
    </w:p>
    <w:p>
      <w:pPr>
        <w:pStyle w:val="872"/>
        <w:jc w:val="center"/>
        <w:spacing w:line="360" w:lineRule="auto"/>
        <w:rPr>
          <w:rFonts w:hint="eastAsia" w:ascii="宋体" w:hAnsi="宋体"/>
          <w:bCs w:val="0"/>
          <w:color w:val="000000"/>
          <w:highlight w:val="none"/>
        </w:rPr>
      </w:pPr>
      <w:r/>
      <w:bookmarkEnd w:id="23"/>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870"/>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87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87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48"/>
        <w:jc w:val="center"/>
        <w:spacing w:line="360" w:lineRule="auto"/>
        <w:rPr>
          <w:rFonts w:hint="eastAsia" w:ascii="黑体" w:hAnsi="黑体" w:eastAsia="黑体"/>
          <w:b w:val="0"/>
          <w:bCs w:val="0"/>
          <w:i/>
          <w:color w:val="000000"/>
          <w:highlight w:val="none"/>
          <w:u w:val="single"/>
        </w:rPr>
      </w:pPr>
      <w:r/>
      <w:bookmarkStart w:id="24" w:name="_Hlt26955054"/>
      <w:r/>
      <w:bookmarkEnd w:id="24"/>
      <w:r/>
      <w:bookmarkStart w:id="25" w:name="_Toc109304979"/>
      <w:r>
        <w:rPr>
          <w:rFonts w:ascii="宋体" w:hAnsi="宋体"/>
          <w:bCs w:val="0"/>
          <w:color w:val="000000"/>
          <w:highlight w:val="none"/>
        </w:rPr>
        <w:br w:type="page" w:clear="all"/>
      </w: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四</w:t>
      </w:r>
      <w:r>
        <w:rPr>
          <w:rFonts w:hint="eastAsia" w:ascii="黑体" w:hAnsi="黑体" w:eastAsia="黑体"/>
          <w:b w:val="0"/>
          <w:bCs w:val="0"/>
          <w:i/>
          <w:color w:val="000000"/>
          <w:highlight w:val="none"/>
          <w:u w:val="single"/>
        </w:rPr>
        <w:t xml:space="preserve">、商务要求响应及偏离表</w:t>
      </w:r>
      <w:r>
        <w:rPr>
          <w:rFonts w:hint="eastAsia" w:ascii="黑体" w:hAnsi="黑体" w:eastAsia="黑体"/>
          <w:b w:val="0"/>
          <w:bCs w:val="0"/>
          <w:i/>
          <w:color w:val="000000"/>
          <w:highlight w:val="none"/>
          <w:u w:val="single"/>
        </w:rPr>
      </w:r>
      <w:r/>
    </w:p>
    <w:p>
      <w:pPr>
        <w:pStyle w:val="872"/>
        <w:jc w:val="center"/>
        <w:spacing w:line="360" w:lineRule="auto"/>
        <w:rPr>
          <w:rFonts w:hint="eastAsia" w:ascii="宋体" w:hAnsi="宋体"/>
          <w:bCs w:val="0"/>
          <w:color w:val="000000"/>
          <w:highlight w:val="none"/>
        </w:rPr>
      </w:pPr>
      <w:r/>
      <w:bookmarkEnd w:id="25"/>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lang w:eastAsia="zh-CN"/>
              </w:rPr>
              <w:t xml:space="preserve">投标人</w:t>
            </w:r>
            <w:r>
              <w:rPr>
                <w:rFonts w:hint="eastAsia" w:ascii="仿宋_GB2312" w:hAnsi="宋体"/>
                <w:color w:val="000000"/>
                <w:szCs w:val="21"/>
                <w:highlight w:val="none"/>
              </w:rPr>
              <w:t xml:space="preserve">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70"/>
              <w:jc w:val="center"/>
              <w:spacing w:before="156" w:line="360" w:lineRule="auto"/>
              <w:rPr>
                <w:rFonts w:hint="eastAsia" w:ascii="仿宋_GB2312"/>
                <w:color w:val="000000"/>
                <w:szCs w:val="21"/>
                <w:highlight w:val="none"/>
              </w:rPr>
            </w:pPr>
            <w:r>
              <w:rPr>
                <w:rFonts w:hint="eastAsia"/>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7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70"/>
              <w:jc w:val="center"/>
              <w:spacing w:before="156" w:line="360" w:lineRule="auto"/>
              <w:rPr>
                <w:rFonts w:hint="eastAsia" w:ascii="仿宋_GB2312"/>
                <w:color w:val="000000"/>
                <w:szCs w:val="21"/>
                <w:highlight w:val="none"/>
              </w:rPr>
            </w:pPr>
            <w:r>
              <w:rPr>
                <w:rFonts w:hint="eastAsia"/>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7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7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70"/>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7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70"/>
        <w:jc w:val="center"/>
        <w:rPr>
          <w:rFonts w:ascii="黑体" w:hAnsi="黑体" w:eastAsia="黑体"/>
          <w:b/>
          <w:i/>
          <w:sz w:val="32"/>
          <w:szCs w:val="32"/>
          <w:highlight w:val="none"/>
          <w:u w:val="single"/>
        </w:rPr>
      </w:pPr>
      <w:r/>
      <w:bookmarkStart w:id="26" w:name="_Hlt24879081"/>
      <w:r/>
      <w:bookmarkEnd w:id="26"/>
      <w:r/>
      <w:bookmarkStart w:id="27" w:name="_Hlt26580838"/>
      <w:r/>
      <w:bookmarkEnd w:id="27"/>
      <w:r/>
      <w:bookmarkStart w:id="28" w:name="_Hlt26955056"/>
      <w:r/>
      <w:bookmarkEnd w:id="28"/>
      <w:r/>
      <w:bookmarkStart w:id="29" w:name="_Hlt26955064"/>
      <w:r/>
      <w:bookmarkEnd w:id="29"/>
      <w:r/>
      <w:bookmarkStart w:id="30" w:name="_Hlt26671372"/>
      <w:r/>
      <w:bookmarkEnd w:id="30"/>
      <w:r/>
      <w:bookmarkStart w:id="31" w:name="_Hlt26609391"/>
      <w:r/>
      <w:bookmarkEnd w:id="31"/>
      <w:r/>
      <w:bookmarkStart w:id="32" w:name="_Hlt26671343"/>
      <w:r/>
      <w:bookmarkEnd w:id="32"/>
      <w:r/>
      <w:bookmarkStart w:id="33" w:name="_Hlt26782999"/>
      <w:r/>
      <w:bookmarkEnd w:id="33"/>
      <w:r>
        <w:rPr>
          <w:rFonts w:ascii="宋体" w:hAnsi="宋体"/>
          <w:b/>
          <w:color w:val="000000"/>
          <w:highlight w:val="none"/>
        </w:rPr>
        <w:br w:type="page" w:clear="all"/>
      </w:r>
      <w:r>
        <w:rPr>
          <w:rFonts w:hint="eastAsia" w:ascii="黑体" w:hAnsi="黑体" w:eastAsia="黑体"/>
          <w:b/>
          <w:i/>
          <w:sz w:val="32"/>
          <w:szCs w:val="32"/>
          <w:highlight w:val="none"/>
          <w:u w:val="single"/>
        </w:rPr>
        <w:t xml:space="preserve">十五、开标一览表</w:t>
      </w:r>
      <w:r>
        <w:rPr>
          <w:rFonts w:ascii="黑体" w:hAnsi="黑体" w:eastAsia="黑体"/>
          <w:b/>
          <w:i/>
          <w:sz w:val="32"/>
          <w:szCs w:val="32"/>
          <w:highlight w:val="none"/>
          <w:u w:val="single"/>
        </w:rPr>
      </w:r>
      <w:r/>
    </w:p>
    <w:p>
      <w:pPr>
        <w:pStyle w:val="870"/>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0"/>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70"/>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0"/>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r>
        <w:rPr>
          <w:rFonts w:ascii="宋体" w:hAnsi="宋体"/>
          <w:color w:val="000000"/>
          <w:sz w:val="24"/>
          <w:szCs w:val="24"/>
          <w:highlight w:val="none"/>
        </w:rPr>
      </w:r>
      <w:r/>
    </w:p>
    <w:p>
      <w:pPr>
        <w:pStyle w:val="870"/>
        <w:spacing w:line="360" w:lineRule="auto"/>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tbl>
      <w:tblPr>
        <w:tblW w:w="7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0"/>
      </w:tblGrid>
      <w:tr>
        <w:trPr>
          <w:cantSplit/>
          <w:trHeight w:val="724"/>
        </w:trPr>
        <w:tc>
          <w:tcPr>
            <w:tcW w:w="7740" w:type="dxa"/>
            <w:vAlign w:val="center"/>
            <w:textDirection w:val="lrTb"/>
            <w:noWrap w:val="false"/>
          </w:tcPr>
          <w:p>
            <w:pPr>
              <w:pStyle w:val="870"/>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ascii="宋体" w:hAnsi="宋体"/>
                <w:sz w:val="24"/>
                <w:szCs w:val="24"/>
                <w:highlight w:val="none"/>
              </w:rPr>
            </w:r>
            <w:r/>
          </w:p>
        </w:tc>
      </w:tr>
      <w:tr>
        <w:trPr>
          <w:trHeight w:val="613"/>
        </w:trPr>
        <w:tc>
          <w:tcPr>
            <w:tcW w:w="7740" w:type="dxa"/>
            <w:vAlign w:val="center"/>
            <w:vMerge w:val="restart"/>
            <w:textDirection w:val="lrTb"/>
            <w:noWrap w:val="false"/>
          </w:tcPr>
          <w:p>
            <w:pPr>
              <w:pStyle w:val="926"/>
              <w:ind w:firstLine="0"/>
              <w:spacing w:before="0" w:after="0" w:line="500" w:lineRule="exact"/>
              <w:rPr>
                <w:rFonts w:ascii="宋体" w:hAnsi="宋体" w:cs="宋体"/>
                <w:highlight w:val="none"/>
              </w:rPr>
            </w:pPr>
            <w:r>
              <w:rPr>
                <w:rFonts w:hint="eastAsia" w:ascii="宋体" w:hAnsi="宋体" w:cs="宋体"/>
                <w:highlight w:val="none"/>
              </w:rPr>
              <w:t xml:space="preserve">大写：                            </w:t>
            </w:r>
            <w:r>
              <w:rPr>
                <w:rFonts w:hint="eastAsia" w:ascii="宋体" w:hAnsi="宋体" w:cs="宋体"/>
                <w:highlight w:val="none"/>
              </w:rPr>
              <w:t xml:space="preserve">（人民币：元）</w:t>
            </w:r>
            <w:r>
              <w:rPr>
                <w:rFonts w:ascii="宋体" w:hAnsi="宋体" w:cs="宋体"/>
                <w:highlight w:val="none"/>
              </w:rPr>
            </w:r>
            <w:r/>
          </w:p>
        </w:tc>
      </w:tr>
      <w:tr>
        <w:trPr>
          <w:cantSplit/>
          <w:trHeight w:val="623"/>
        </w:trPr>
        <w:tc>
          <w:tcPr>
            <w:tcW w:w="7740" w:type="dxa"/>
            <w:vAlign w:val="center"/>
            <w:textDirection w:val="lrTb"/>
            <w:noWrap w:val="false"/>
          </w:tcPr>
          <w:p>
            <w:pPr>
              <w:pStyle w:val="926"/>
              <w:ind w:firstLine="0"/>
              <w:spacing w:before="0" w:after="0" w:line="500" w:lineRule="exact"/>
              <w:rPr>
                <w:rFonts w:ascii="宋体" w:hAnsi="宋体"/>
                <w:szCs w:val="21"/>
                <w:highlight w:val="none"/>
              </w:rPr>
            </w:pPr>
            <w:r>
              <w:rPr>
                <w:rFonts w:hint="eastAsia" w:ascii="宋体" w:hAnsi="宋体" w:cs="宋体"/>
                <w:highlight w:val="none"/>
              </w:rPr>
              <w:t xml:space="preserve">小写：                             </w:t>
            </w:r>
            <w:r>
              <w:rPr>
                <w:rFonts w:hint="eastAsia" w:ascii="宋体" w:hAnsi="宋体" w:cs="宋体"/>
                <w:highlight w:val="none"/>
              </w:rPr>
              <w:t xml:space="preserve"> （人民币：圆）</w:t>
            </w:r>
            <w:r>
              <w:rPr>
                <w:rFonts w:ascii="宋体" w:hAnsi="宋体"/>
                <w:szCs w:val="21"/>
                <w:highlight w:val="none"/>
              </w:rPr>
            </w:r>
            <w:r/>
          </w:p>
        </w:tc>
      </w:tr>
    </w:tbl>
    <w:p>
      <w:pPr>
        <w:pStyle w:val="87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870"/>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870"/>
        <w:jc w:val="left"/>
        <w:spacing w:line="360" w:lineRule="auto"/>
        <w:widowControl/>
        <w:rPr>
          <w:rFonts w:ascii="宋体" w:hAnsi="宋体"/>
          <w:b/>
          <w:color w:val="000000"/>
          <w:highlight w:val="none"/>
        </w:rPr>
      </w:pPr>
      <w:r>
        <w:rPr>
          <w:rFonts w:ascii="宋体" w:hAnsi="宋体"/>
          <w:b/>
          <w:color w:val="000000"/>
          <w:highlight w:val="none"/>
        </w:rPr>
      </w:r>
      <w:r/>
    </w:p>
    <w:p>
      <w:pPr>
        <w:pStyle w:val="870"/>
        <w:jc w:val="center"/>
        <w:spacing w:before="312" w:line="360" w:lineRule="auto"/>
        <w:rPr>
          <w:rFonts w:hint="eastAsia" w:ascii="宋体" w:hAnsi="宋体"/>
          <w:b/>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highlight w:val="none"/>
        </w:rPr>
      </w:r>
      <w:r/>
    </w:p>
    <w:p>
      <w:pPr>
        <w:pStyle w:val="870"/>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十</w:t>
      </w:r>
      <w:r>
        <w:rPr>
          <w:rFonts w:hint="eastAsia" w:ascii="黑体" w:hAnsi="黑体" w:eastAsia="黑体"/>
          <w:i/>
          <w:color w:val="000000"/>
          <w:sz w:val="32"/>
          <w:szCs w:val="32"/>
          <w:highlight w:val="none"/>
          <w:u w:val="single"/>
          <w:lang w:val="en-US" w:eastAsia="zh-CN"/>
        </w:rPr>
        <w:t xml:space="preserve">六</w:t>
      </w:r>
      <w:r>
        <w:rPr>
          <w:rFonts w:hint="eastAsia" w:ascii="黑体" w:hAnsi="黑体" w:eastAsia="黑体"/>
          <w:i/>
          <w:color w:val="000000"/>
          <w:sz w:val="32"/>
          <w:szCs w:val="32"/>
          <w:highlight w:val="none"/>
          <w:u w:val="single"/>
        </w:rPr>
        <w:t xml:space="preserve">、主要标的信息</w:t>
      </w:r>
      <w:r>
        <w:rPr>
          <w:rFonts w:hint="eastAsia" w:ascii="黑体" w:hAnsi="黑体" w:eastAsia="黑体"/>
          <w:i/>
          <w:color w:val="000000"/>
          <w:sz w:val="32"/>
          <w:szCs w:val="32"/>
          <w:highlight w:val="none"/>
          <w:u w:val="single"/>
        </w:rPr>
      </w:r>
      <w:r/>
    </w:p>
    <w:p>
      <w:pPr>
        <w:pStyle w:val="870"/>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rPr>
          <w:rFonts w:ascii="宋体" w:hAnsi="宋体"/>
          <w:b/>
          <w:highlight w:val="none"/>
        </w:rPr>
      </w:r>
      <w:r/>
    </w:p>
    <w:p>
      <w:pPr>
        <w:pStyle w:val="870"/>
        <w:spacing w:after="312" w:line="360" w:lineRule="auto"/>
        <w:rPr>
          <w:rFonts w:hint="eastAsia" w:ascii="宋体" w:hAnsi="宋体"/>
          <w:b/>
          <w:color w:val="000000"/>
          <w:highlight w:val="none"/>
        </w:rPr>
      </w:pP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0"/>
      </w:tblGrid>
      <w:tr>
        <w:trPr>
          <w:trHeight w:val="503"/>
        </w:trPr>
        <w:tc>
          <w:tcPr>
            <w:tcW w:w="7820" w:type="dxa"/>
            <w:vAlign w:val="top"/>
            <w:textDirection w:val="lrTb"/>
            <w:noWrap w:val="false"/>
          </w:tcPr>
          <w:p>
            <w:pPr>
              <w:pStyle w:val="870"/>
              <w:jc w:val="center"/>
              <w:spacing w:line="360" w:lineRule="auto"/>
              <w:rPr>
                <w:rFonts w:ascii="宋体" w:hAnsi="宋体" w:cs="宋体"/>
                <w:color w:val="000000"/>
                <w:highlight w:val="none"/>
              </w:rPr>
            </w:pPr>
            <w:r>
              <w:rPr>
                <w:rFonts w:hint="eastAsia" w:ascii="宋体" w:hAnsi="宋体" w:cs="宋体"/>
                <w:b/>
                <w:bCs/>
                <w:color w:val="000000"/>
                <w:highlight w:val="none"/>
              </w:rPr>
              <w:t xml:space="preserve">服务类</w:t>
            </w:r>
            <w:r>
              <w:rPr>
                <w:rFonts w:ascii="宋体" w:hAnsi="宋体" w:cs="宋体"/>
                <w:color w:val="000000"/>
                <w:highlight w:val="none"/>
              </w:rPr>
            </w:r>
            <w:r/>
          </w:p>
        </w:tc>
      </w:tr>
      <w:tr>
        <w:trPr>
          <w:trHeight w:val="4032"/>
        </w:trPr>
        <w:tc>
          <w:tcPr>
            <w:tcW w:w="7820" w:type="dxa"/>
            <w:vAlign w:val="top"/>
            <w:textDirection w:val="lrTb"/>
            <w:noWrap w:val="false"/>
          </w:tcPr>
          <w:p>
            <w:pPr>
              <w:pStyle w:val="87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7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7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7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7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70"/>
        <w:spacing w:line="400" w:lineRule="atLeast"/>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br w:type="page" w:clear="all"/>
      </w:r>
      <w:r>
        <w:rPr>
          <w:rFonts w:ascii="宋体" w:hAnsi="宋体" w:cs="宋体"/>
          <w:b/>
          <w:bCs/>
          <w:color w:val="000000"/>
          <w:sz w:val="24"/>
          <w:szCs w:val="24"/>
          <w:highlight w:val="none"/>
        </w:rPr>
        <w:t xml:space="preserve">关于符合本国产品标准的声明函（采购包号：**）</w:t>
      </w:r>
      <w:r>
        <w:rPr>
          <w:rFonts w:hint="eastAsia" w:ascii="宋体" w:hAnsi="宋体" w:cs="宋体"/>
          <w:b/>
          <w:bCs/>
          <w:color w:val="000000"/>
          <w:sz w:val="24"/>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4"/>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24288"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flip:y;visibility:visible;" from="183.8pt,42.4pt" to="260.3pt,60.4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1"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y;visibility:visible;" from="102.0pt,43.2pt" to="178.6pt,61.2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flip:y;visibility:visible;" from="360.8pt,24.4pt" to="437.3pt,42.4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3"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8" o:spid="_x0000_s8" style="position:absolute;left:0;text-align:left;z-index:251658243;mso-wrap-distance-left:9.0pt;mso-wrap-distance-top:0.0pt;mso-wrap-distance-right:9.0pt;mso-wrap-distance-bottom:0.0pt;flip:y;visibility:visible;" from="267.8pt,24.4pt" to="344.3pt,42.4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4"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flip:y;visibility:visible;" from="183.8pt,24.4pt" to="260.3pt,42.4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5" behindDoc="0" locked="0" layoutInCell="1" allowOverlap="1">
                <wp:simplePos x="0" y="0"/>
                <wp:positionH relativeFrom="column">
                  <wp:posOffset>4658360</wp:posOffset>
                </wp:positionH>
                <wp:positionV relativeFrom="paragraph">
                  <wp:posOffset>-19684</wp:posOffset>
                </wp:positionV>
                <wp:extent cx="971550" cy="2286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flip:y;visibility:visible;" from="366.8pt,-1.5pt" to="443.3pt,16.5pt" filled="f" strokecolor="#365D8C"/>
            </w:pict>
          </mc:Fallback>
        </mc:AlternateContent>
      </w:r>
      <w:r>
        <w:rPr>
          <w:rFonts w:ascii="宋体" w:hAnsi="宋体" w:cs="宋体"/>
          <w:color w:val="000000"/>
          <w:sz w:val="24"/>
          <w:szCs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6"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flip:y;visibility:visible;" from="152.9pt,47.0pt" to="229.4pt,65.0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7"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2" o:spid="_x0000_s12" style="position:absolute;left:0;text-align:left;z-index:251658247;mso-wrap-distance-left:9.0pt;mso-wrap-distance-top:0.0pt;mso-wrap-distance-right:9.0pt;mso-wrap-distance-bottom:0.0pt;flip:y;visibility:visible;" from="68.3pt,47.0pt" to="144.8pt,65.0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8"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3" o:spid="_x0000_s13" style="position:absolute;left:0;text-align:left;z-index:251658248;mso-wrap-distance-left:9.0pt;mso-wrap-distance-top:0.0pt;mso-wrap-distance-right:9.0pt;mso-wrap-distance-bottom:0.0pt;flip:y;visibility:visible;" from="351.1pt,19.2pt" to="427.6pt,37.2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49"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4" o:spid="_x0000_s14" style="position:absolute;left:0;text-align:left;z-index:251658249;mso-wrap-distance-left:9.0pt;mso-wrap-distance-top:0.0pt;mso-wrap-distance-right:9.0pt;mso-wrap-distance-bottom:0.0pt;flip:y;visibility:visible;" from="260.3pt,23.8pt" to="336.8pt,41.8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50"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5" o:spid="_x0000_s15" style="position:absolute;left:0;text-align:left;z-index:251658250;mso-wrap-distance-left:9.0pt;mso-wrap-distance-top:0.0pt;mso-wrap-distance-right:9.0pt;mso-wrap-distance-bottom:0.0pt;flip:y;visibility:visible;" from="168.8pt,23.8pt" to="245.3pt,41.8pt" filled="f" strokecolor="#365D8C"/>
            </w:pict>
          </mc:Fallback>
        </mc:AlternateContent>
      </w:r>
      <w:r>
        <w:rPr>
          <w:rFonts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8251"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a:solidFill>
                            <a:srgbClr val="365D8C"/>
                          </a:solidFill>
                        </a:ln>
                      </wps:spPr>
                      <wps:bodyPr rot="0">
                        <a:prstTxWarp prst="textNoShape">
                          <a:avLst/>
                        </a:prstTxWarp>
                        <a:noAutofit/>
                      </wps:bodyPr>
                    </wps:wsp>
                  </a:graphicData>
                </a:graphic>
              </wp:anchor>
            </w:drawing>
          </mc:Choice>
          <mc:Fallback>
            <w:pict>
              <v:line id="shape 16" o:spid="_x0000_s16" style="position:absolute;left:0;text-align:left;z-index:251658251;mso-wrap-distance-left:9.0pt;mso-wrap-distance-top:0.0pt;mso-wrap-distance-right:9.0pt;mso-wrap-distance-bottom:0.0pt;flip:y;visibility:visible;" from="357.0pt,1.2pt" to="433.5pt,19.2pt" filled="f" strokecolor="#365D8C"/>
            </w:pict>
          </mc:Fallback>
        </mc:AlternateContent>
      </w:r>
      <w:r>
        <w:rPr>
          <w:rFonts w:ascii="宋体" w:hAnsi="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w:t>
      </w:r>
      <w:r>
        <w:rPr>
          <w:rFonts w:hint="eastAsia" w:ascii="宋体" w:hAnsi="宋体" w:cs="宋体"/>
          <w:color w:val="000000"/>
          <w:szCs w:val="24"/>
          <w:highlight w:val="none"/>
        </w:rPr>
      </w:r>
      <w:r/>
    </w:p>
    <w:p>
      <w:pPr>
        <w:pStyle w:val="870"/>
        <w:rPr>
          <w:highlight w:val="none"/>
        </w:rPr>
      </w:pPr>
      <w:r>
        <w:rPr>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本公司（单位）对上述声明内容的真实性负责。如有虚假，愿承担相应法律责任。</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公司（单位）名称（盖章）：　     </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日期：　   年　  月　  日         </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1.产品如有型号，请在“产品名称”栏一并填写。</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2.生产厂名与厂址应与生产厂营业执照载明的相关信息保持一致。</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3.该产品的中国境内生产的组件成本占比相关要求实施前，“规定比例”栏可不填，下同。</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4.该产品的关键组件要求实施前，“关键组件”栏可不填，下同。</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5.该产品的关键工序要求实施前，“关键工序”栏可不填，下同。</w:t>
      </w:r>
      <w:r>
        <w:rPr>
          <w:rFonts w:hint="eastAsia" w:ascii="宋体" w:hAnsi="宋体" w:cs="宋体"/>
          <w:color w:val="000000"/>
          <w:szCs w:val="24"/>
          <w:highlight w:val="none"/>
        </w:rPr>
      </w:r>
      <w:r/>
    </w:p>
    <w:p>
      <w:pPr>
        <w:pStyle w:val="870"/>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6.用斜线划除的地方无需填写。</w:t>
      </w:r>
      <w:r>
        <w:rPr>
          <w:rFonts w:hint="eastAsia" w:ascii="宋体" w:hAnsi="宋体" w:cs="宋体"/>
          <w:color w:val="000000"/>
          <w:szCs w:val="24"/>
          <w:highlight w:val="none"/>
        </w:rPr>
      </w:r>
      <w:r/>
    </w:p>
    <w:p>
      <w:pPr>
        <w:pStyle w:val="870"/>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70"/>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87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0"/>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0"/>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0"/>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0"/>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0"/>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881"/>
        <w:ind w:firstLine="480"/>
        <w:rPr>
          <w:color w:val="000000"/>
          <w:sz w:val="24"/>
          <w:szCs w:val="24"/>
          <w:highlight w:val="none"/>
        </w:rPr>
      </w:pPr>
      <w:r>
        <w:rPr>
          <w:color w:val="000000"/>
          <w:sz w:val="24"/>
          <w:szCs w:val="24"/>
          <w:highlight w:val="none"/>
        </w:rPr>
      </w:r>
      <w:r/>
    </w:p>
    <w:p>
      <w:pPr>
        <w:pStyle w:val="881"/>
        <w:ind w:firstLine="480"/>
        <w:rPr>
          <w:color w:val="000000"/>
          <w:sz w:val="24"/>
          <w:szCs w:val="24"/>
          <w:highlight w:val="none"/>
        </w:rPr>
      </w:pPr>
      <w:r>
        <w:rPr>
          <w:color w:val="000000"/>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w:r/>
  </w:p>
  <w:p>
    <w:pPr>
      <w:pStyle w:val="8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v:textbox>
            </v:shape>
          </w:pict>
        </mc:Fallback>
      </mc:AlternateContent>
    </w:r>
    <w:r/>
  </w:p>
  <w:p>
    <w:pPr>
      <w:pStyle w:val="8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v:textbox>
            </v:shape>
          </w:pict>
        </mc:Fallback>
      </mc:AlternateContent>
    </w:r>
    <w:r/>
  </w:p>
  <w:p>
    <w:pPr>
      <w:pStyle w:val="89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0"/>
                    </w:pPr>
                    <w:r/>
                    <w:r/>
                  </w:p>
                </w:txbxContent>
              </v:textbox>
            </v:shape>
          </w:pict>
        </mc:Fallback>
      </mc:AlternateContent>
    </w:r>
    <w:r/>
  </w:p>
  <w:p>
    <w:pPr>
      <w:pStyle w:val="89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70"/>
                          </w:pPr>
                          <w:r/>
                          <w:r/>
                        </w:p>
                        <w:p>
                          <w:pPr>
                            <w:pStyle w:val="87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870"/>
                    </w:pPr>
                    <w:r/>
                    <w:r/>
                  </w:p>
                  <w:p>
                    <w:pPr>
                      <w:pStyle w:val="87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7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70"/>
                    </w:pPr>
                    <w:r/>
                    <w:r/>
                  </w:p>
                </w:txbxContent>
              </v:textbox>
            </v:shape>
          </w:pict>
        </mc:Fallback>
      </mc:AlternateContent>
    </w:r>
    <w:r/>
  </w:p>
  <w:p>
    <w:pPr>
      <w:pStyle w:val="8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szCs w:val="22"/>
      </w:rPr>
      <w:pBdr>
        <w:bottom w:val="none" w:color="000000" w:sz="0" w:space="1"/>
      </w:pBdr>
    </w:pPr>
    <w:r/>
    <w:bookmarkStart w:id="34" w:name="_Hlk69393955"/>
    <w:r/>
    <w:bookmarkStart w:id="35" w:name="_Hlk69393956"/>
    <w:r>
      <w:t xml:space="preserve">      </w:t>
    </w:r>
    <w:bookmarkEnd w:id="34"/>
    <w:r/>
    <w:bookmarkEnd w:id="35"/>
    <w:r>
      <w:rPr>
        <w:rFonts w:hint="eastAsia"/>
      </w:rPr>
      <w:t xml:space="preserve">        </w:t>
    </w:r>
    <w:r>
      <w:rPr>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8"/>
      <w:isLgl w:val="false"/>
      <w:suff w:val="tab"/>
      <w:lvlText w:val=""/>
      <w:lvlJc w:val="left"/>
      <w:pPr>
        <w:pStyle w:val="870"/>
        <w:ind w:left="780" w:hanging="360"/>
        <w:tabs>
          <w:tab w:val="num" w:pos="780" w:leader="none"/>
        </w:tabs>
      </w:pPr>
      <w:rPr>
        <w:rFonts w:ascii="Wingdings" w:hAnsi="Wingdings"/>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70"/>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0"/>
    <w:next w:val="8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0"/>
    <w:next w:val="8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0"/>
    <w:next w:val="8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957"/>
    <w:uiPriority w:val="9"/>
    <w:rPr>
      <w:rFonts w:ascii="Arial" w:hAnsi="Arial" w:eastAsia="Arial" w:cs="Arial"/>
      <w:b/>
      <w:bCs/>
      <w:sz w:val="26"/>
      <w:szCs w:val="26"/>
    </w:rPr>
  </w:style>
  <w:style w:type="paragraph" w:styleId="20">
    <w:name w:val="Heading 5"/>
    <w:basedOn w:val="870"/>
    <w:next w:val="8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0"/>
    <w:next w:val="8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0"/>
    <w:next w:val="8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0"/>
    <w:next w:val="8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0"/>
    <w:next w:val="8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0"/>
    <w:next w:val="8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0"/>
    <w:next w:val="8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0"/>
    <w:next w:val="870"/>
    <w:link w:val="38"/>
    <w:uiPriority w:val="29"/>
    <w:qFormat/>
    <w:pPr>
      <w:ind w:left="720" w:right="720"/>
    </w:pPr>
    <w:rPr>
      <w:i/>
    </w:rPr>
  </w:style>
  <w:style w:type="character" w:styleId="38">
    <w:name w:val="Quote Char"/>
    <w:link w:val="37"/>
    <w:uiPriority w:val="29"/>
    <w:rPr>
      <w:i/>
    </w:rPr>
  </w:style>
  <w:style w:type="paragraph" w:styleId="39">
    <w:name w:val="Intense Quote"/>
    <w:basedOn w:val="870"/>
    <w:next w:val="8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0"/>
    <w:next w:val="8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0"/>
    <w:next w:val="870"/>
    <w:uiPriority w:val="39"/>
    <w:unhideWhenUsed/>
    <w:pPr>
      <w:ind w:left="0" w:right="0" w:firstLine="0"/>
      <w:spacing w:after="57"/>
    </w:pPr>
  </w:style>
  <w:style w:type="paragraph" w:styleId="181">
    <w:name w:val="toc 2"/>
    <w:basedOn w:val="870"/>
    <w:next w:val="870"/>
    <w:uiPriority w:val="39"/>
    <w:unhideWhenUsed/>
    <w:pPr>
      <w:ind w:left="283" w:right="0" w:firstLine="0"/>
      <w:spacing w:after="57"/>
    </w:pPr>
  </w:style>
  <w:style w:type="paragraph" w:styleId="182">
    <w:name w:val="toc 3"/>
    <w:basedOn w:val="870"/>
    <w:next w:val="870"/>
    <w:uiPriority w:val="39"/>
    <w:unhideWhenUsed/>
    <w:pPr>
      <w:ind w:left="567" w:right="0" w:firstLine="0"/>
      <w:spacing w:after="57"/>
    </w:pPr>
  </w:style>
  <w:style w:type="paragraph" w:styleId="183">
    <w:name w:val="toc 4"/>
    <w:basedOn w:val="870"/>
    <w:next w:val="870"/>
    <w:uiPriority w:val="39"/>
    <w:unhideWhenUsed/>
    <w:pPr>
      <w:ind w:left="850" w:right="0" w:firstLine="0"/>
      <w:spacing w:after="57"/>
    </w:pPr>
  </w:style>
  <w:style w:type="paragraph" w:styleId="184">
    <w:name w:val="toc 5"/>
    <w:basedOn w:val="870"/>
    <w:next w:val="870"/>
    <w:uiPriority w:val="39"/>
    <w:unhideWhenUsed/>
    <w:pPr>
      <w:ind w:left="1134" w:right="0" w:firstLine="0"/>
      <w:spacing w:after="57"/>
    </w:pPr>
  </w:style>
  <w:style w:type="paragraph" w:styleId="185">
    <w:name w:val="toc 6"/>
    <w:basedOn w:val="870"/>
    <w:next w:val="870"/>
    <w:uiPriority w:val="39"/>
    <w:unhideWhenUsed/>
    <w:pPr>
      <w:ind w:left="1417" w:right="0" w:firstLine="0"/>
      <w:spacing w:after="57"/>
    </w:pPr>
  </w:style>
  <w:style w:type="paragraph" w:styleId="186">
    <w:name w:val="toc 7"/>
    <w:basedOn w:val="870"/>
    <w:next w:val="870"/>
    <w:uiPriority w:val="39"/>
    <w:unhideWhenUsed/>
    <w:pPr>
      <w:ind w:left="1701" w:right="0" w:firstLine="0"/>
      <w:spacing w:after="57"/>
    </w:pPr>
  </w:style>
  <w:style w:type="paragraph" w:styleId="187">
    <w:name w:val="toc 8"/>
    <w:basedOn w:val="870"/>
    <w:next w:val="870"/>
    <w:uiPriority w:val="39"/>
    <w:unhideWhenUsed/>
    <w:pPr>
      <w:ind w:left="1984" w:right="0" w:firstLine="0"/>
      <w:spacing w:after="57"/>
    </w:pPr>
  </w:style>
  <w:style w:type="paragraph" w:styleId="188">
    <w:name w:val="toc 9"/>
    <w:basedOn w:val="870"/>
    <w:next w:val="8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2"/>
      <w:lang w:val="en-US" w:eastAsia="zh-CN" w:bidi="ar-SA"/>
    </w:rPr>
  </w:style>
  <w:style w:type="paragraph" w:styleId="871">
    <w:name w:val="标题 1"/>
    <w:basedOn w:val="870"/>
    <w:next w:val="870"/>
    <w:link w:val="877"/>
    <w:uiPriority w:val="9"/>
    <w:qFormat/>
    <w:pPr>
      <w:keepLines/>
      <w:keepNext/>
      <w:spacing w:before="340" w:after="330" w:line="578" w:lineRule="auto"/>
      <w:outlineLvl w:val="0"/>
    </w:pPr>
    <w:rPr>
      <w:rFonts w:ascii="Calibri" w:hAnsi="Calibri"/>
      <w:b/>
      <w:bCs/>
      <w:sz w:val="44"/>
      <w:szCs w:val="44"/>
    </w:rPr>
  </w:style>
  <w:style w:type="paragraph" w:styleId="872">
    <w:name w:val="标题 2"/>
    <w:basedOn w:val="870"/>
    <w:next w:val="870"/>
    <w:link w:val="878"/>
    <w:uiPriority w:val="9"/>
    <w:qFormat/>
    <w:pPr>
      <w:keepLines/>
      <w:keepNext/>
      <w:spacing w:before="260" w:after="260" w:line="416" w:lineRule="auto"/>
      <w:outlineLvl w:val="1"/>
    </w:pPr>
    <w:rPr>
      <w:rFonts w:ascii="Cambria" w:hAnsi="Cambria"/>
      <w:b/>
      <w:bCs/>
      <w:sz w:val="32"/>
      <w:szCs w:val="32"/>
    </w:rPr>
  </w:style>
  <w:style w:type="paragraph" w:styleId="873">
    <w:name w:val="标题 3"/>
    <w:basedOn w:val="870"/>
    <w:next w:val="870"/>
    <w:link w:val="879"/>
    <w:qFormat/>
    <w:pPr>
      <w:keepLines/>
      <w:keepNext/>
      <w:spacing w:before="260" w:after="260" w:line="416" w:lineRule="auto"/>
      <w:outlineLvl w:val="2"/>
    </w:pPr>
    <w:rPr>
      <w:rFonts w:ascii="Calibri" w:hAnsi="Calibri"/>
      <w:b/>
      <w:bCs/>
      <w:sz w:val="32"/>
      <w:szCs w:val="32"/>
    </w:rPr>
  </w:style>
  <w:style w:type="paragraph" w:styleId="874">
    <w:name w:val="标题 4"/>
    <w:basedOn w:val="870"/>
    <w:next w:val="881"/>
    <w:link w:val="880"/>
    <w:qFormat/>
    <w:pPr>
      <w:spacing w:before="280" w:after="290" w:line="377" w:lineRule="auto"/>
      <w:outlineLvl w:val="3"/>
    </w:pPr>
    <w:rPr>
      <w:rFonts w:ascii="Arial" w:hAnsi="Arial" w:eastAsia="黑体"/>
      <w:b/>
      <w:bCs/>
      <w:sz w:val="28"/>
      <w:szCs w:val="28"/>
    </w:rPr>
  </w:style>
  <w:style w:type="character" w:styleId="875">
    <w:name w:val="默认段落字体"/>
    <w:next w:val="875"/>
    <w:link w:val="870"/>
    <w:uiPriority w:val="1"/>
    <w:unhideWhenUsed/>
  </w:style>
  <w:style w:type="table" w:styleId="876">
    <w:name w:val="普通表格"/>
    <w:next w:val="876"/>
    <w:link w:val="870"/>
    <w:uiPriority w:val="99"/>
    <w:unhideWhenUsed/>
    <w:tblPr/>
  </w:style>
  <w:style w:type="character" w:styleId="877">
    <w:name w:val="标题 1 Char"/>
    <w:next w:val="877"/>
    <w:link w:val="871"/>
    <w:uiPriority w:val="9"/>
    <w:rPr>
      <w:rFonts w:ascii="Calibri" w:hAnsi="Calibri" w:eastAsia="宋体" w:cs="Times New Roman"/>
      <w:b/>
      <w:bCs/>
      <w:sz w:val="44"/>
      <w:szCs w:val="44"/>
    </w:rPr>
  </w:style>
  <w:style w:type="character" w:styleId="878">
    <w:name w:val="标题 2 Char"/>
    <w:next w:val="878"/>
    <w:link w:val="872"/>
    <w:uiPriority w:val="9"/>
    <w:rPr>
      <w:rFonts w:ascii="Cambria" w:hAnsi="Cambria" w:eastAsia="宋体" w:cs="Times New Roman"/>
      <w:b/>
      <w:bCs/>
      <w:sz w:val="32"/>
      <w:szCs w:val="32"/>
    </w:rPr>
  </w:style>
  <w:style w:type="character" w:styleId="879">
    <w:name w:val="标题 3 Char"/>
    <w:next w:val="879"/>
    <w:link w:val="873"/>
    <w:rPr>
      <w:rFonts w:ascii="Calibri" w:hAnsi="Calibri" w:eastAsia="宋体" w:cs="Times New Roman"/>
      <w:b/>
      <w:bCs/>
      <w:sz w:val="32"/>
      <w:szCs w:val="32"/>
    </w:rPr>
  </w:style>
  <w:style w:type="character" w:styleId="880">
    <w:name w:val="标题 4 Char"/>
    <w:next w:val="880"/>
    <w:link w:val="874"/>
    <w:rPr>
      <w:rFonts w:ascii="Arial" w:hAnsi="Arial" w:eastAsia="黑体" w:cs="Times New Roman"/>
      <w:b/>
      <w:bCs/>
      <w:sz w:val="28"/>
      <w:szCs w:val="28"/>
    </w:rPr>
  </w:style>
  <w:style w:type="paragraph" w:styleId="881">
    <w:name w:val="正文缩进"/>
    <w:basedOn w:val="870"/>
    <w:next w:val="881"/>
    <w:link w:val="870"/>
    <w:unhideWhenUsed/>
    <w:pPr>
      <w:ind w:firstLine="420"/>
    </w:pPr>
    <w:rPr>
      <w:rFonts w:ascii="Calibri" w:hAnsi="Calibri" w:eastAsia="宋体" w:cs="Times New Roman"/>
    </w:rPr>
  </w:style>
  <w:style w:type="paragraph" w:styleId="882">
    <w:name w:val="引文目录"/>
    <w:basedOn w:val="870"/>
    <w:next w:val="870"/>
    <w:link w:val="870"/>
    <w:qFormat/>
    <w:pPr>
      <w:ind w:left="420"/>
    </w:pPr>
  </w:style>
  <w:style w:type="paragraph" w:styleId="883">
    <w:name w:val="文档结构图"/>
    <w:basedOn w:val="870"/>
    <w:next w:val="883"/>
    <w:link w:val="884"/>
    <w:uiPriority w:val="99"/>
    <w:unhideWhenUsed/>
    <w:rPr>
      <w:rFonts w:ascii="宋体"/>
      <w:sz w:val="18"/>
      <w:szCs w:val="18"/>
    </w:rPr>
  </w:style>
  <w:style w:type="character" w:styleId="884">
    <w:name w:val="文档结构图 Char"/>
    <w:next w:val="884"/>
    <w:link w:val="883"/>
    <w:uiPriority w:val="99"/>
    <w:semiHidden/>
    <w:rPr>
      <w:rFonts w:ascii="宋体"/>
      <w:sz w:val="18"/>
      <w:szCs w:val="18"/>
    </w:rPr>
  </w:style>
  <w:style w:type="paragraph" w:styleId="885">
    <w:name w:val="批注文字"/>
    <w:basedOn w:val="870"/>
    <w:next w:val="885"/>
    <w:link w:val="870"/>
    <w:uiPriority w:val="99"/>
    <w:unhideWhenUsed/>
    <w:pPr>
      <w:jc w:val="left"/>
    </w:pPr>
  </w:style>
  <w:style w:type="paragraph" w:styleId="886">
    <w:name w:val="正文文本"/>
    <w:basedOn w:val="870"/>
    <w:next w:val="881"/>
    <w:link w:val="870"/>
    <w:rPr>
      <w:rFonts w:ascii="楷体_GB2312" w:hAnsi="Arial" w:eastAsia="楷体_GB2312"/>
      <w:sz w:val="28"/>
      <w:szCs w:val="20"/>
    </w:rPr>
  </w:style>
  <w:style w:type="paragraph" w:styleId="887">
    <w:name w:val="正文文本缩进"/>
    <w:basedOn w:val="870"/>
    <w:next w:val="870"/>
    <w:link w:val="870"/>
    <w:pPr>
      <w:ind w:firstLine="630"/>
    </w:pPr>
    <w:rPr>
      <w:rFonts w:ascii="楷体_GB2312" w:eastAsia="楷体_GB2312"/>
      <w:sz w:val="32"/>
      <w:szCs w:val="20"/>
    </w:rPr>
  </w:style>
  <w:style w:type="paragraph" w:styleId="888">
    <w:name w:val="纯文本"/>
    <w:basedOn w:val="870"/>
    <w:next w:val="888"/>
    <w:link w:val="889"/>
    <w:uiPriority w:val="99"/>
    <w:unhideWhenUsed/>
    <w:qFormat/>
    <w:rPr>
      <w:rFonts w:ascii="宋体" w:hAnsi="Courier New"/>
      <w:sz w:val="20"/>
      <w:szCs w:val="20"/>
    </w:rPr>
  </w:style>
  <w:style w:type="character" w:styleId="889">
    <w:name w:val="纯文本 Char"/>
    <w:next w:val="889"/>
    <w:link w:val="888"/>
    <w:uiPriority w:val="99"/>
    <w:rPr>
      <w:rFonts w:ascii="宋体" w:hAnsi="Courier New"/>
    </w:rPr>
  </w:style>
  <w:style w:type="paragraph" w:styleId="890">
    <w:name w:val="日期"/>
    <w:basedOn w:val="870"/>
    <w:next w:val="870"/>
    <w:link w:val="891"/>
    <w:qFormat/>
    <w:rPr>
      <w:sz w:val="24"/>
      <w:szCs w:val="20"/>
    </w:rPr>
  </w:style>
  <w:style w:type="character" w:styleId="891">
    <w:name w:val="日期 Char"/>
    <w:next w:val="891"/>
    <w:link w:val="890"/>
    <w:rPr>
      <w:rFonts w:ascii="Times New Roman" w:hAnsi="Times New Roman"/>
      <w:sz w:val="24"/>
    </w:rPr>
  </w:style>
  <w:style w:type="paragraph" w:styleId="892">
    <w:name w:val="批注框文本"/>
    <w:basedOn w:val="870"/>
    <w:next w:val="892"/>
    <w:link w:val="893"/>
    <w:uiPriority w:val="99"/>
    <w:unhideWhenUsed/>
    <w:rPr>
      <w:sz w:val="18"/>
      <w:szCs w:val="18"/>
    </w:rPr>
  </w:style>
  <w:style w:type="character" w:styleId="893">
    <w:name w:val="批注框文本 Char"/>
    <w:next w:val="893"/>
    <w:link w:val="892"/>
    <w:uiPriority w:val="99"/>
    <w:semiHidden/>
    <w:rPr>
      <w:sz w:val="18"/>
      <w:szCs w:val="18"/>
    </w:rPr>
  </w:style>
  <w:style w:type="paragraph" w:styleId="894">
    <w:name w:val="页脚"/>
    <w:basedOn w:val="870"/>
    <w:next w:val="894"/>
    <w:link w:val="895"/>
    <w:uiPriority w:val="99"/>
    <w:unhideWhenUsed/>
    <w:pPr>
      <w:jc w:val="left"/>
      <w:tabs>
        <w:tab w:val="center" w:pos="4153" w:leader="none"/>
        <w:tab w:val="right" w:pos="8306" w:leader="none"/>
      </w:tabs>
    </w:pPr>
    <w:rPr>
      <w:sz w:val="18"/>
      <w:szCs w:val="18"/>
    </w:rPr>
  </w:style>
  <w:style w:type="character" w:styleId="895">
    <w:name w:val="页脚 Char"/>
    <w:next w:val="895"/>
    <w:link w:val="894"/>
    <w:uiPriority w:val="99"/>
    <w:rPr>
      <w:sz w:val="18"/>
      <w:szCs w:val="18"/>
    </w:rPr>
  </w:style>
  <w:style w:type="paragraph" w:styleId="896">
    <w:name w:val="页眉"/>
    <w:basedOn w:val="870"/>
    <w:next w:val="896"/>
    <w:link w:val="897"/>
    <w:uiPriority w:val="99"/>
    <w:unhideWhenUsed/>
    <w:pPr>
      <w:jc w:val="center"/>
      <w:tabs>
        <w:tab w:val="center" w:pos="4153" w:leader="none"/>
        <w:tab w:val="right" w:pos="8306" w:leader="none"/>
      </w:tabs>
      <w:pBdr>
        <w:bottom w:val="single" w:color="000000" w:sz="6" w:space="1"/>
      </w:pBdr>
    </w:pPr>
    <w:rPr>
      <w:sz w:val="18"/>
      <w:szCs w:val="18"/>
    </w:rPr>
  </w:style>
  <w:style w:type="character" w:styleId="897">
    <w:name w:val="页眉 Char"/>
    <w:next w:val="897"/>
    <w:link w:val="896"/>
    <w:uiPriority w:val="99"/>
    <w:rPr>
      <w:sz w:val="18"/>
      <w:szCs w:val="18"/>
    </w:rPr>
  </w:style>
  <w:style w:type="paragraph" w:styleId="898">
    <w:name w:val="目录 1"/>
    <w:basedOn w:val="870"/>
    <w:next w:val="870"/>
    <w:link w:val="870"/>
    <w:uiPriority w:val="39"/>
    <w:unhideWhenUsed/>
    <w:rPr>
      <w:rFonts w:ascii="Calibri" w:hAnsi="Calibri" w:eastAsia="宋体" w:cs="Times New Roman"/>
    </w:rPr>
  </w:style>
  <w:style w:type="paragraph" w:styleId="899">
    <w:name w:val="目录 2"/>
    <w:basedOn w:val="870"/>
    <w:next w:val="870"/>
    <w:link w:val="870"/>
    <w:uiPriority w:val="39"/>
    <w:unhideWhenUsed/>
    <w:pPr>
      <w:ind w:left="420"/>
    </w:pPr>
  </w:style>
  <w:style w:type="paragraph" w:styleId="900">
    <w:name w:val="目录 9"/>
    <w:basedOn w:val="870"/>
    <w:next w:val="870"/>
    <w:link w:val="870"/>
    <w:semiHidden/>
    <w:pPr>
      <w:ind w:left="3360"/>
    </w:pPr>
  </w:style>
  <w:style w:type="paragraph" w:styleId="901">
    <w:name w:val="正文文本 2"/>
    <w:basedOn w:val="870"/>
    <w:next w:val="901"/>
    <w:link w:val="870"/>
    <w:qFormat/>
    <w:pPr>
      <w:jc w:val="center"/>
    </w:pPr>
    <w:rPr>
      <w:rFonts w:ascii="仿宋_GB2312" w:eastAsia="仿宋_GB2312"/>
      <w:sz w:val="44"/>
    </w:rPr>
  </w:style>
  <w:style w:type="paragraph" w:styleId="902">
    <w:name w:val="普通(网站)"/>
    <w:basedOn w:val="870"/>
    <w:next w:val="902"/>
    <w:link w:val="870"/>
    <w:unhideWhenUsed/>
    <w:pPr>
      <w:jc w:val="left"/>
    </w:pPr>
    <w:rPr>
      <w:rFonts w:ascii="Calibri" w:hAnsi="Calibri" w:eastAsia="宋体" w:cs="Times New Roman"/>
      <w:sz w:val="24"/>
      <w:szCs w:val="24"/>
    </w:rPr>
  </w:style>
  <w:style w:type="paragraph" w:styleId="903">
    <w:name w:val="正文首行缩进 2"/>
    <w:basedOn w:val="887"/>
    <w:next w:val="870"/>
    <w:link w:val="870"/>
    <w:pPr>
      <w:ind w:left="420" w:firstLine="420"/>
      <w:spacing w:after="120"/>
      <w:widowControl/>
    </w:pPr>
    <w:rPr>
      <w:rFonts w:ascii="仿宋_GB2312" w:eastAsia="仿宋_GB2312"/>
      <w:color w:val="ff6600"/>
      <w:sz w:val="21"/>
    </w:rPr>
  </w:style>
  <w:style w:type="table" w:styleId="904">
    <w:name w:val="网格型"/>
    <w:basedOn w:val="876"/>
    <w:next w:val="904"/>
    <w:link w:val="870"/>
    <w:pPr>
      <w:jc w:val="both"/>
      <w:widowControl w:val="off"/>
    </w:pPr>
    <w:tblPr/>
  </w:style>
  <w:style w:type="character" w:styleId="905">
    <w:name w:val="要点"/>
    <w:next w:val="905"/>
    <w:link w:val="870"/>
    <w:qFormat/>
    <w:rPr>
      <w:b/>
    </w:rPr>
  </w:style>
  <w:style w:type="character" w:styleId="906">
    <w:name w:val="页码"/>
    <w:next w:val="906"/>
    <w:link w:val="870"/>
    <w:qFormat/>
  </w:style>
  <w:style w:type="paragraph" w:styleId="907">
    <w:name w:val="Default"/>
    <w:next w:val="870"/>
    <w:link w:val="870"/>
    <w:qFormat/>
    <w:pPr>
      <w:widowControl w:val="off"/>
    </w:pPr>
    <w:rPr>
      <w:rFonts w:ascii="宋体" w:cs="宋体"/>
      <w:color w:val="000000"/>
      <w:sz w:val="24"/>
      <w:szCs w:val="24"/>
      <w:lang w:val="en-US" w:eastAsia="zh-CN" w:bidi="ar-SA"/>
    </w:rPr>
  </w:style>
  <w:style w:type="paragraph" w:styleId="908">
    <w:name w:val="列表项目符号 21"/>
    <w:basedOn w:val="870"/>
    <w:next w:val="908"/>
    <w:link w:val="870"/>
    <w:uiPriority w:val="99"/>
    <w:unhideWhenUsed/>
    <w:qFormat/>
    <w:pPr>
      <w:numPr>
        <w:ilvl w:val="0"/>
        <w:numId w:val="1"/>
      </w:numPr>
      <w:tabs>
        <w:tab w:val="left" w:pos="780" w:leader="none"/>
      </w:tabs>
    </w:pPr>
  </w:style>
  <w:style w:type="character" w:styleId="909">
    <w:name w:val="要点1"/>
    <w:next w:val="909"/>
    <w:link w:val="870"/>
    <w:qFormat/>
    <w:rPr>
      <w:sz w:val="21"/>
      <w:szCs w:val="22"/>
      <w:lang w:val="en-US" w:eastAsia="zh-CN" w:bidi="ar-SA"/>
    </w:rPr>
  </w:style>
  <w:style w:type="paragraph" w:styleId="910">
    <w:name w:val="正文（缩进）"/>
    <w:basedOn w:val="870"/>
    <w:next w:val="911"/>
    <w:link w:val="870"/>
    <w:qFormat/>
    <w:pPr>
      <w:ind w:firstLine="480"/>
      <w:spacing w:line="360" w:lineRule="auto"/>
    </w:pPr>
    <w:rPr>
      <w:sz w:val="24"/>
      <w:szCs w:val="24"/>
    </w:rPr>
  </w:style>
  <w:style w:type="paragraph" w:styleId="911">
    <w:name w:val="Char Char Char Char Char Char Char Char Char"/>
    <w:basedOn w:val="870"/>
    <w:next w:val="912"/>
    <w:link w:val="870"/>
    <w:uiPriority w:val="99"/>
    <w:qFormat/>
    <w:pPr>
      <w:ind w:left="360" w:firstLine="5784"/>
    </w:pPr>
  </w:style>
  <w:style w:type="paragraph" w:styleId="912">
    <w:name w:val="正文文本 21"/>
    <w:basedOn w:val="870"/>
    <w:next w:val="913"/>
    <w:link w:val="870"/>
    <w:uiPriority w:val="99"/>
    <w:qFormat/>
    <w:pPr>
      <w:ind w:left="720" w:firstLine="5680"/>
      <w:widowControl/>
    </w:pPr>
  </w:style>
  <w:style w:type="paragraph" w:styleId="913">
    <w:name w:val="默认段落字体 Para Char Char Char Char Char Char Char"/>
    <w:basedOn w:val="870"/>
    <w:next w:val="914"/>
    <w:link w:val="870"/>
    <w:uiPriority w:val="99"/>
    <w:qFormat/>
    <w:pPr>
      <w:ind w:firstLine="200"/>
    </w:pPr>
    <w:rPr>
      <w:rFonts w:cs="Arial"/>
    </w:rPr>
  </w:style>
  <w:style w:type="paragraph" w:styleId="914">
    <w:name w:val="样式 首行缩进:  2 字符"/>
    <w:basedOn w:val="870"/>
    <w:next w:val="915"/>
    <w:link w:val="870"/>
    <w:uiPriority w:val="99"/>
    <w:qFormat/>
    <w:pPr>
      <w:ind w:left="480" w:firstLine="5856"/>
      <w:spacing w:line="360" w:lineRule="auto"/>
    </w:pPr>
  </w:style>
  <w:style w:type="paragraph" w:styleId="915">
    <w:name w:val="样式 段后: 0.25 行"/>
    <w:basedOn w:val="870"/>
    <w:next w:val="916"/>
    <w:link w:val="870"/>
    <w:uiPriority w:val="99"/>
    <w:qFormat/>
    <w:pPr>
      <w:ind w:left="420" w:firstLine="5796"/>
      <w:spacing w:line="300" w:lineRule="auto"/>
      <w:widowControl/>
    </w:pPr>
  </w:style>
  <w:style w:type="paragraph" w:styleId="916">
    <w:name w:val="正文 New New New New New New New New New New New New New New"/>
    <w:next w:val="900"/>
    <w:link w:val="870"/>
    <w:uiPriority w:val="99"/>
    <w:qFormat/>
    <w:pPr>
      <w:ind w:firstLine="2048"/>
      <w:jc w:val="both"/>
      <w:widowControl w:val="off"/>
    </w:pPr>
    <w:rPr>
      <w:rFonts w:ascii="Calibri" w:hAnsi="Calibri"/>
      <w:lang w:val="en-US" w:eastAsia="zh-CN" w:bidi="ar-SA"/>
    </w:rPr>
  </w:style>
  <w:style w:type="paragraph" w:styleId="917">
    <w:name w:val="正文1"/>
    <w:basedOn w:val="870"/>
    <w:next w:val="918"/>
    <w:link w:val="870"/>
    <w:qFormat/>
    <w:pPr>
      <w:jc w:val="left"/>
      <w:spacing w:line="360" w:lineRule="atLeast"/>
    </w:pPr>
    <w:rPr>
      <w:rFonts w:ascii="宋体" w:hAnsi="Calibri" w:eastAsia="宋体" w:cs="Times New Roman"/>
      <w:sz w:val="24"/>
      <w:szCs w:val="20"/>
    </w:rPr>
  </w:style>
  <w:style w:type="paragraph" w:styleId="918">
    <w:name w:val="正文文本1"/>
    <w:basedOn w:val="917"/>
    <w:next w:val="919"/>
    <w:link w:val="870"/>
    <w:qFormat/>
    <w:pPr>
      <w:spacing w:after="120"/>
    </w:pPr>
    <w:rPr>
      <w:lang w:val="en-US" w:eastAsia="en-US"/>
    </w:rPr>
  </w:style>
  <w:style w:type="paragraph" w:styleId="919">
    <w:name w:val="一级条标题"/>
    <w:basedOn w:val="920"/>
    <w:next w:val="921"/>
    <w:link w:val="87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name w:val="章标题"/>
    <w:next w:val="870"/>
    <w:link w:val="87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1">
    <w:name w:val="段"/>
    <w:basedOn w:val="917"/>
    <w:next w:val="870"/>
    <w:link w:val="870"/>
    <w:qFormat/>
    <w:pPr>
      <w:ind w:firstLine="200"/>
      <w:widowControl/>
    </w:pPr>
    <w:rPr>
      <w:rFonts w:ascii="宋体"/>
      <w:sz w:val="20"/>
      <w:szCs w:val="20"/>
    </w:rPr>
  </w:style>
  <w:style w:type="character" w:styleId="922">
    <w:name w:val="页脚 Char1"/>
    <w:next w:val="922"/>
    <w:link w:val="870"/>
    <w:uiPriority w:val="99"/>
    <w:semiHidden/>
    <w:rPr>
      <w:sz w:val="18"/>
      <w:szCs w:val="18"/>
    </w:rPr>
  </w:style>
  <w:style w:type="character" w:styleId="923">
    <w:name w:val="日期 Char1"/>
    <w:next w:val="923"/>
    <w:link w:val="870"/>
    <w:uiPriority w:val="99"/>
    <w:semiHidden/>
  </w:style>
  <w:style w:type="character" w:styleId="924">
    <w:name w:val="纯文本 Char1"/>
    <w:next w:val="924"/>
    <w:link w:val="870"/>
    <w:uiPriority w:val="99"/>
    <w:semiHidden/>
    <w:rPr>
      <w:rFonts w:ascii="宋体" w:hAnsi="Courier New" w:eastAsia="宋体" w:cs="Courier New"/>
      <w:szCs w:val="21"/>
    </w:rPr>
  </w:style>
  <w:style w:type="character" w:styleId="925">
    <w:name w:val="页眉 Char1"/>
    <w:next w:val="925"/>
    <w:link w:val="870"/>
    <w:uiPriority w:val="99"/>
    <w:semiHidden/>
    <w:rPr>
      <w:sz w:val="18"/>
      <w:szCs w:val="18"/>
    </w:rPr>
  </w:style>
  <w:style w:type="paragraph" w:styleId="926">
    <w:name w:val="普通正文"/>
    <w:basedOn w:val="927"/>
    <w:next w:val="926"/>
    <w:link w:val="870"/>
    <w:pPr>
      <w:ind w:firstLine="480"/>
      <w:jc w:val="left"/>
      <w:spacing w:before="120" w:after="120" w:line="360" w:lineRule="auto"/>
    </w:pPr>
    <w:rPr>
      <w:rFonts w:ascii="Arial" w:hAnsi="Arial" w:eastAsia="宋体" w:cs="Times New Roman"/>
      <w:sz w:val="24"/>
      <w:szCs w:val="24"/>
    </w:rPr>
  </w:style>
  <w:style w:type="paragraph" w:styleId="927">
    <w:name w:val="正文11"/>
    <w:next w:val="928"/>
    <w:link w:val="870"/>
    <w:qFormat/>
    <w:pPr>
      <w:jc w:val="both"/>
      <w:widowControl w:val="off"/>
    </w:pPr>
    <w:rPr>
      <w:rFonts w:ascii="Calibri" w:hAnsi="Calibri" w:eastAsia="宋体" w:cs="Times New Roman"/>
      <w:sz w:val="21"/>
      <w:szCs w:val="21"/>
      <w:lang w:val="en-US" w:eastAsia="zh-CN" w:bidi="ar-SA"/>
    </w:rPr>
  </w:style>
  <w:style w:type="paragraph" w:styleId="928">
    <w:name w:val="正文首行缩进 21"/>
    <w:basedOn w:val="929"/>
    <w:next w:val="928"/>
    <w:link w:val="870"/>
    <w:uiPriority w:val="99"/>
    <w:unhideWhenUsed/>
    <w:qFormat/>
    <w:pPr>
      <w:ind w:left="420" w:firstLine="420"/>
      <w:jc w:val="left"/>
      <w:widowControl/>
      <w:tabs>
        <w:tab w:val="left" w:pos="0" w:leader="none"/>
        <w:tab w:val="left" w:pos="993" w:leader="none"/>
        <w:tab w:val="left" w:pos="1134" w:leader="none"/>
      </w:tabs>
    </w:pPr>
    <w:rPr>
      <w:sz w:val="24"/>
    </w:rPr>
  </w:style>
  <w:style w:type="paragraph" w:styleId="929">
    <w:name w:val="正文文本缩进1"/>
    <w:basedOn w:val="870"/>
    <w:next w:val="930"/>
    <w:link w:val="870"/>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30">
    <w:name w:val="寄信人地址1"/>
    <w:basedOn w:val="870"/>
    <w:next w:val="930"/>
    <w:link w:val="870"/>
    <w:qFormat/>
    <w:rPr>
      <w:rFonts w:ascii="Arial" w:hAnsi="Arial"/>
    </w:rPr>
  </w:style>
  <w:style w:type="paragraph" w:styleId="931">
    <w:name w:val="Char"/>
    <w:basedOn w:val="870"/>
    <w:next w:val="931"/>
    <w:link w:val="870"/>
    <w:qFormat/>
    <w:pPr>
      <w:ind w:firstLine="200"/>
      <w:tabs>
        <w:tab w:val="left" w:pos="360" w:leader="none"/>
      </w:tabs>
    </w:pPr>
    <w:rPr>
      <w:rFonts w:ascii="Times New Roman" w:hAnsi="Times New Roman" w:eastAsia="宋体" w:cs="Times New Roman"/>
      <w:sz w:val="28"/>
      <w:szCs w:val="30"/>
    </w:rPr>
  </w:style>
  <w:style w:type="paragraph" w:styleId="932">
    <w:name w:val="无间隔"/>
    <w:next w:val="932"/>
    <w:link w:val="870"/>
    <w:uiPriority w:val="99"/>
    <w:qFormat/>
    <w:pPr>
      <w:jc w:val="both"/>
      <w:widowControl w:val="off"/>
    </w:pPr>
    <w:rPr>
      <w:sz w:val="21"/>
      <w:szCs w:val="21"/>
      <w:lang w:val="en-US" w:eastAsia="zh-CN" w:bidi="ar-SA"/>
    </w:rPr>
  </w:style>
  <w:style w:type="paragraph" w:styleId="933">
    <w:name w:val="普通(网站)1"/>
    <w:basedOn w:val="870"/>
    <w:next w:val="933"/>
    <w:link w:val="870"/>
    <w:unhideWhenUsed/>
    <w:qFormat/>
    <w:pPr>
      <w:jc w:val="left"/>
    </w:pPr>
    <w:rPr>
      <w:rFonts w:ascii="Calibri" w:hAnsi="Calibri" w:eastAsia="宋体" w:cs="Times New Roman"/>
      <w:sz w:val="24"/>
      <w:szCs w:val="24"/>
    </w:rPr>
  </w:style>
  <w:style w:type="paragraph" w:styleId="934">
    <w:name w:val="日期1"/>
    <w:basedOn w:val="870"/>
    <w:next w:val="870"/>
    <w:link w:val="870"/>
    <w:qFormat/>
    <w:rPr>
      <w:sz w:val="24"/>
      <w:szCs w:val="20"/>
    </w:rPr>
  </w:style>
  <w:style w:type="paragraph" w:styleId="935">
    <w:name w:val="Table Paragraph"/>
    <w:basedOn w:val="870"/>
    <w:next w:val="935"/>
    <w:link w:val="870"/>
    <w:uiPriority w:val="1"/>
    <w:qFormat/>
  </w:style>
  <w:style w:type="paragraph" w:styleId="936">
    <w:name w:val="列出段落1"/>
    <w:basedOn w:val="870"/>
    <w:next w:val="936"/>
    <w:link w:val="870"/>
    <w:qFormat/>
    <w:pPr>
      <w:contextualSpacing/>
      <w:ind w:left="720"/>
      <w:jc w:val="left"/>
      <w:widowControl/>
    </w:pPr>
    <w:rPr>
      <w:rFonts w:ascii="Calibri" w:hAnsi="Calibri"/>
      <w:sz w:val="24"/>
      <w:lang w:eastAsia="en-US" w:bidi="en-US"/>
    </w:rPr>
  </w:style>
  <w:style w:type="paragraph" w:styleId="937">
    <w:name w:val="正文缩进1"/>
    <w:basedOn w:val="870"/>
    <w:next w:val="937"/>
    <w:link w:val="870"/>
    <w:uiPriority w:val="99"/>
    <w:qFormat/>
    <w:pPr>
      <w:ind w:firstLine="420"/>
    </w:pPr>
  </w:style>
  <w:style w:type="table" w:styleId="938">
    <w:name w:val="Table Normal"/>
    <w:next w:val="938"/>
    <w:link w:val="870"/>
    <w:unhideWhenUsed/>
    <w:qFormat/>
    <w:rPr>
      <w:lang w:val="en-US" w:eastAsia="zh-CN" w:bidi="ar-SA"/>
    </w:rPr>
    <w:tblPr/>
  </w:style>
  <w:style w:type="paragraph" w:styleId="939">
    <w:name w:val="正文_（居中）"/>
    <w:next w:val="939"/>
    <w:link w:val="870"/>
    <w:qFormat/>
    <w:pPr>
      <w:jc w:val="center"/>
      <w:widowControl w:val="off"/>
    </w:pPr>
    <w:rPr>
      <w:sz w:val="21"/>
      <w:szCs w:val="24"/>
      <w:lang w:val="en-US" w:eastAsia="zh-CN" w:bidi="ar-SA"/>
    </w:rPr>
  </w:style>
  <w:style w:type="paragraph" w:styleId="940">
    <w:name w:val="正文_1_1"/>
    <w:next w:val="940"/>
    <w:link w:val="870"/>
    <w:qFormat/>
    <w:pPr>
      <w:jc w:val="both"/>
      <w:widowControl w:val="off"/>
    </w:pPr>
    <w:rPr>
      <w:sz w:val="21"/>
      <w:szCs w:val="24"/>
      <w:lang w:val="en-US" w:eastAsia="zh-CN" w:bidi="ar-SA"/>
    </w:rPr>
  </w:style>
  <w:style w:type="paragraph" w:styleId="941">
    <w:name w:val="列出段落"/>
    <w:basedOn w:val="870"/>
    <w:next w:val="941"/>
    <w:link w:val="870"/>
    <w:uiPriority w:val="99"/>
    <w:qFormat/>
    <w:pPr>
      <w:ind w:firstLine="420"/>
    </w:pPr>
  </w:style>
  <w:style w:type="paragraph" w:styleId="942">
    <w:name w:val="纯文本11"/>
    <w:basedOn w:val="870"/>
    <w:next w:val="942"/>
    <w:link w:val="870"/>
    <w:unhideWhenUsed/>
    <w:qFormat/>
    <w:rPr>
      <w:rFonts w:ascii="宋体" w:hAnsi="Courier New"/>
      <w:sz w:val="20"/>
      <w:szCs w:val="20"/>
    </w:rPr>
  </w:style>
  <w:style w:type="paragraph" w:styleId="943">
    <w:name w:val="标题 11"/>
    <w:basedOn w:val="870"/>
    <w:next w:val="870"/>
    <w:link w:val="870"/>
    <w:uiPriority w:val="99"/>
    <w:qFormat/>
    <w:pPr>
      <w:keepLines/>
      <w:keepNext/>
      <w:spacing w:before="340" w:after="330" w:line="578" w:lineRule="auto"/>
      <w:outlineLvl w:val="0"/>
    </w:pPr>
    <w:rPr>
      <w:rFonts w:ascii="Calibri" w:hAnsi="Calibri"/>
      <w:b/>
      <w:bCs/>
      <w:sz w:val="44"/>
      <w:szCs w:val="44"/>
    </w:rPr>
  </w:style>
  <w:style w:type="paragraph" w:styleId="944">
    <w:name w:val="页眉11"/>
    <w:basedOn w:val="870"/>
    <w:next w:val="944"/>
    <w:link w:val="87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5">
    <w:name w:val="页脚11"/>
    <w:basedOn w:val="870"/>
    <w:next w:val="945"/>
    <w:link w:val="870"/>
    <w:uiPriority w:val="99"/>
    <w:unhideWhenUsed/>
    <w:qFormat/>
    <w:pPr>
      <w:jc w:val="left"/>
      <w:tabs>
        <w:tab w:val="center" w:pos="4153" w:leader="none"/>
        <w:tab w:val="right" w:pos="8306" w:leader="none"/>
      </w:tabs>
    </w:pPr>
    <w:rPr>
      <w:sz w:val="18"/>
      <w:szCs w:val="18"/>
    </w:rPr>
  </w:style>
  <w:style w:type="paragraph" w:styleId="946">
    <w:name w:val="纯文本111"/>
    <w:basedOn w:val="870"/>
    <w:next w:val="946"/>
    <w:link w:val="870"/>
    <w:uiPriority w:val="99"/>
    <w:unhideWhenUsed/>
    <w:qFormat/>
    <w:rPr>
      <w:rFonts w:ascii="宋体" w:hAnsi="Courier New"/>
      <w:sz w:val="20"/>
      <w:szCs w:val="20"/>
    </w:rPr>
  </w:style>
  <w:style w:type="paragraph" w:styleId="947">
    <w:name w:val="BodyText1"/>
    <w:basedOn w:val="870"/>
    <w:next w:val="947"/>
    <w:link w:val="870"/>
    <w:qFormat/>
    <w:rPr>
      <w:rFonts w:ascii="楷体_GB2312" w:hAnsi="Arial" w:eastAsia="楷体_GB2312"/>
      <w:sz w:val="28"/>
      <w:szCs w:val="28"/>
    </w:rPr>
  </w:style>
  <w:style w:type="paragraph" w:styleId="948">
    <w:name w:val="标题 21"/>
    <w:basedOn w:val="870"/>
    <w:next w:val="937"/>
    <w:link w:val="870"/>
    <w:uiPriority w:val="9"/>
    <w:qFormat/>
    <w:pPr>
      <w:keepLines/>
      <w:keepNext/>
      <w:spacing w:before="260" w:after="260" w:line="416" w:lineRule="auto"/>
      <w:outlineLvl w:val="1"/>
    </w:pPr>
    <w:rPr>
      <w:rFonts w:ascii="Cambria" w:hAnsi="Cambria"/>
      <w:b/>
      <w:bCs/>
      <w:sz w:val="32"/>
      <w:szCs w:val="32"/>
    </w:rPr>
  </w:style>
  <w:style w:type="paragraph" w:styleId="949">
    <w:name w:val="标题 311"/>
    <w:basedOn w:val="870"/>
    <w:next w:val="870"/>
    <w:link w:val="870"/>
    <w:qFormat/>
    <w:pPr>
      <w:keepLines/>
      <w:keepNext/>
      <w:spacing w:before="260" w:after="260" w:line="416" w:lineRule="auto"/>
      <w:outlineLvl w:val="2"/>
    </w:pPr>
    <w:rPr>
      <w:rFonts w:ascii="Calibri" w:hAnsi="Calibri"/>
      <w:b/>
      <w:bCs/>
      <w:sz w:val="32"/>
      <w:szCs w:val="32"/>
    </w:rPr>
  </w:style>
  <w:style w:type="paragraph" w:styleId="950">
    <w:name w:val="正文文本111"/>
    <w:basedOn w:val="870"/>
    <w:next w:val="870"/>
    <w:link w:val="870"/>
    <w:qFormat/>
    <w:rPr>
      <w:rFonts w:ascii="楷体_GB2312" w:hAnsi="Arial" w:eastAsia="楷体_GB2312"/>
      <w:sz w:val="28"/>
      <w:szCs w:val="28"/>
    </w:rPr>
  </w:style>
  <w:style w:type="paragraph" w:styleId="951">
    <w:name w:val="标题 41"/>
    <w:basedOn w:val="870"/>
    <w:next w:val="937"/>
    <w:link w:val="870"/>
    <w:qFormat/>
    <w:pPr>
      <w:keepLines/>
      <w:keepNext/>
      <w:spacing w:before="280" w:after="290" w:line="376" w:lineRule="auto"/>
      <w:outlineLvl w:val="3"/>
    </w:pPr>
    <w:rPr>
      <w:rFonts w:ascii="Arial" w:hAnsi="Arial" w:eastAsia="黑体" w:cs="Arial"/>
      <w:b/>
      <w:bCs/>
      <w:sz w:val="28"/>
      <w:szCs w:val="28"/>
    </w:rPr>
  </w:style>
  <w:style w:type="paragraph" w:styleId="952">
    <w:name w:val="纯文本1"/>
    <w:basedOn w:val="953"/>
    <w:next w:val="952"/>
    <w:link w:val="870"/>
    <w:qFormat/>
    <w:rPr>
      <w:rFonts w:ascii="宋体" w:hAnsi="Courier New" w:cs="Courier New"/>
    </w:rPr>
  </w:style>
  <w:style w:type="paragraph" w:styleId="953">
    <w:name w:val="正文111"/>
    <w:next w:val="954"/>
    <w:link w:val="870"/>
    <w:qFormat/>
    <w:pPr>
      <w:jc w:val="both"/>
      <w:widowControl w:val="off"/>
    </w:pPr>
    <w:rPr>
      <w:rFonts w:ascii="Calibri" w:hAnsi="Calibri" w:eastAsia="宋体" w:cs="Times New Roman"/>
      <w:sz w:val="21"/>
      <w:szCs w:val="24"/>
      <w:lang w:val="en-US" w:eastAsia="zh-CN" w:bidi="ar-SA"/>
    </w:rPr>
  </w:style>
  <w:style w:type="paragraph" w:styleId="954">
    <w:name w:val="文本块1"/>
    <w:basedOn w:val="953"/>
    <w:next w:val="954"/>
    <w:link w:val="870"/>
    <w:qFormat/>
    <w:pPr>
      <w:ind w:left="567" w:right="454" w:firstLine="498"/>
      <w:jc w:val="left"/>
      <w:widowControl/>
    </w:pPr>
    <w:rPr>
      <w:rFonts w:ascii="仿宋_GB2312" w:eastAsia="仿宋_GB2312"/>
      <w:sz w:val="30"/>
      <w:szCs w:val="20"/>
    </w:rPr>
  </w:style>
  <w:style w:type="paragraph" w:styleId="955">
    <w:name w:val="标题 31"/>
    <w:basedOn w:val="870"/>
    <w:next w:val="870"/>
    <w:link w:val="870"/>
    <w:qFormat/>
    <w:pPr>
      <w:keepLines/>
      <w:keepNext/>
      <w:spacing w:before="260" w:after="260" w:line="416" w:lineRule="auto"/>
      <w:outlineLvl w:val="2"/>
    </w:pPr>
    <w:rPr>
      <w:b/>
      <w:bCs/>
      <w:sz w:val="32"/>
      <w:szCs w:val="32"/>
    </w:rPr>
  </w:style>
  <w:style w:type="paragraph" w:styleId="956">
    <w:name w:val="无间隔1"/>
    <w:next w:val="956"/>
    <w:link w:val="870"/>
    <w:uiPriority w:val="99"/>
    <w:qFormat/>
    <w:pPr>
      <w:jc w:val="both"/>
      <w:widowControl w:val="off"/>
    </w:pPr>
    <w:rPr>
      <w:rFonts w:ascii="Times New Roman" w:hAnsi="Times New Roman" w:eastAsia="宋体" w:cs="Times New Roman"/>
      <w:sz w:val="21"/>
      <w:szCs w:val="21"/>
    </w:rPr>
  </w:style>
  <w:style w:type="paragraph" w:styleId="957">
    <w:name w:val="Heading 4"/>
    <w:basedOn w:val="870"/>
    <w:next w:val="870"/>
    <w:link w:val="870"/>
    <w:uiPriority w:val="9"/>
    <w:unhideWhenUsed/>
    <w:qFormat/>
    <w:pPr>
      <w:keepLines/>
      <w:keepNext/>
      <w:spacing w:before="320" w:after="200"/>
      <w:outlineLvl w:val="3"/>
    </w:pPr>
    <w:rPr>
      <w:rFonts w:ascii="Arial" w:hAnsi="Arial" w:eastAsia="Arial" w:cs="Arial"/>
      <w:b/>
      <w:bCs/>
      <w:sz w:val="26"/>
      <w:szCs w:val="26"/>
    </w:rPr>
  </w:style>
  <w:style w:type="paragraph" w:styleId="958">
    <w:name w:val="1"/>
    <w:basedOn w:val="870"/>
    <w:next w:val="888"/>
    <w:link w:val="870"/>
    <w:rPr>
      <w:rFonts w:ascii="宋体" w:hAnsi="Courier New"/>
      <w:sz w:val="21"/>
    </w:rPr>
  </w:style>
  <w:style w:type="character" w:styleId="9457" w:default="1">
    <w:name w:val="Default Paragraph Font"/>
    <w:uiPriority w:val="1"/>
    <w:semiHidden/>
    <w:unhideWhenUsed/>
  </w:style>
  <w:style w:type="numbering" w:styleId="9458" w:default="1">
    <w:name w:val="No List"/>
    <w:uiPriority w:val="99"/>
    <w:semiHidden/>
    <w:unhideWhenUsed/>
  </w:style>
  <w:style w:type="table" w:styleId="9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dc:creator>
  <cp:lastModifiedBy>薛梦宇</cp:lastModifiedBy>
  <cp:revision>4</cp:revision>
  <dcterms:created xsi:type="dcterms:W3CDTF">2024-07-17T08:29:00Z</dcterms:created>
  <dcterms:modified xsi:type="dcterms:W3CDTF">2026-05-09T10:04:57Z</dcterms:modified>
</cp:coreProperties>
</file>