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项目名称：江苏省苏北人民医院体外冲击波碎石机采购项目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项目编号：JSZC-321000-SHGK-G2026-0048</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代理机构编号：1214-264105247WDX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0411" w:history="1">
        <w:r>
          <w:rPr>
            <w:rStyle w:val="777"/>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4738" w:history="1">
        <w:r>
          <w:rPr>
            <w:rStyle w:val="777"/>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7820" w:history="1">
        <w:r>
          <w:rPr>
            <w:rStyle w:val="777"/>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6669" w:history="1">
        <w:r>
          <w:rPr>
            <w:rStyle w:val="777"/>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514" w:history="1">
        <w:r>
          <w:rPr>
            <w:rStyle w:val="777"/>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470" w:history="1">
        <w:r>
          <w:rPr>
            <w:rStyle w:val="777"/>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8055" w:history="1">
        <w:r>
          <w:rPr>
            <w:rStyle w:val="777"/>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受[江苏省苏北人民医院]的委托，江苏苏豪创新科技集团高科有限公司就[体外冲击波碎石机]([项目编号：JSZC-321000-SHGK-G2026-0048]）采购项目进行公开招标采购，欢迎符合条件的供应商投标。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（江苏省苏北人民医院体外冲击波碎石机采购）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2026年06月17日15点00分（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1.项目编号：JSZC-321000-SHGK-G2026-0048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江苏省苏北人民医院体外冲击波碎石机采购项目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3.预算金额：365.4万元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365.4万元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体外冲击波碎石机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 、“江苏政府采购网”自行免费下载招标文件。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2026年06月17日15点00分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人：丁一、李沁原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联系电话：025-52875927、025-52875941</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电话：025-52874082、025-52875975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核心产品：体外冲击波碎石机</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体外冲击波碎石机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4"/>
        <w:gridCol w:w="735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碎石系统主机：1台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高清X光定位系统：1套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彩色多普勒超声主机：1台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内置式超声定位系统：1套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碎石机操作控制台：1套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三维电动治疗床：1台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主机及冲击波源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▲冲击波源应为长寿命双层压电陶瓷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冲击波能量场为自聚焦球形杯聚焦，多入路发射和聚焦。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波源孔径≥200mm，冲击波入射角度≥65度</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冲击波焦距（治疗深度）≥160mm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▲聚焦点冲击波膨胀声压峰值≥-20~-40Mpa（提供检测报告）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▲聚焦点冲击波压缩声压峰值≥100Mpa（提供检测报告）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脉冲能量最大值＞100mJ</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冲击波压力最大值≥100MPa（提供证明文件）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具有低能区：1.65mJ-15mJ，可用于治疗小儿结石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▲三焦点调节：每个能级具有大、中、小三个焦斑尺寸选择（提供证明文件）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▲冲击波频率≥0-300bpm，可调（提供证明文件）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冲击波能级≥18能级或无级可调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水囊耦合压力：无级连续可调；水囊耦合方式：自动适应，自动跟踪耦合</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能量耦合方式：干式水囊、封闭式水循环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具有独立的波源电动同轴小C臂，震波源可沿小C臂滑动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震波源滑动角度＞200°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▲冲击波治疗头运动主轴与X光C型臂运动主轴为一体化同轴设计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治疗头既可置于治疗床上方，亦可置于治疗床下方，便于术中采用多入路多体位治疗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水囊可自动恒温，36</w:t>
            </w:r>
            <w:r>
              <w:rPr>
                <w:rFonts w:ascii="SimSun" w:hAnsi="SimSun" w:eastAsia="SimSun" w:cs="SimSun"/>
                <w:color w:val="000000"/>
                <w:sz w:val="24"/>
                <w:vertAlign w:val="superscript"/>
              </w:rPr>
              <w:t xml:space="preserve">o</w:t>
            </w:r>
            <w:r>
              <w:rPr>
                <w:rFonts w:ascii="SimSun" w:hAnsi="SimSun" w:eastAsia="SimSun" w:cs="SimSun"/>
                <w:color w:val="000000"/>
                <w:sz w:val="24"/>
              </w:rPr>
              <w:t xml:space="preserve">C+/-1</w:t>
            </w:r>
            <w:r>
              <w:rPr>
                <w:rFonts w:ascii="SimSun" w:hAnsi="SimSun" w:eastAsia="SimSun" w:cs="SimSun"/>
                <w:color w:val="000000"/>
                <w:sz w:val="24"/>
                <w:vertAlign w:val="superscript"/>
              </w:rPr>
              <w:t xml:space="preserve">o</w:t>
            </w:r>
            <w:r>
              <w:rPr>
                <w:rFonts w:ascii="SimSun" w:hAnsi="SimSun" w:eastAsia="SimSun" w:cs="SimSun"/>
                <w:color w:val="000000"/>
                <w:sz w:val="24"/>
              </w:rPr>
              <w:t xml:space="preserve">C。水中溶解氧通过加温后排出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水循环系统具备自动除气功能，避免水囊内生成气泡</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治疗头上具有集成控制面板，便于医生在床边调节水囊耦合压力、超声探头的运动以及C臂滑动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X光定位系统及控制台和监视系统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X光发生器，全自动控制，具有管电压自适应功能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最大透视电压≥110kV；最大透视电流≥16mA；电流时间积≥100mAs；最高脉冲频率≥25p/s；直接摄片管电流：≥20mA</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频率≥40kHz，高频/多脉冲，微处理器控制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全自动ABS曝光，手动曝光控制，预设曝光模式，脉冲透视模式，高清透视模式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阳极热容量≥85KHU；阳极散热率≥50KHU/min；球管热容量≥1.1MHU；焦点尺寸≤0.6mm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球管冷却方式：机油对流式循环冷却技术，机头内部具有循环泵确保散热效率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具备智能主动式热容量管理技术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C-臂机架垂直升降≥420mm；C-臂机架水平移动：≥220mm，C-臂机架绕弧形臂旋转≥-90°～+45°(135°)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同轴运动（CC）±30°，电动隔室遥控</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轴向旋转：≥±225°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SID：≥970 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C臂弧深≥680mm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准直器，虹膜光圈，多翼可调；束光器对称可调，≥±90°旋转；具备无射线虚拟调节束光器，全触摸操作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数字化影像增强器，≥9英寸；具备9”、6”、4”三视野可变功能；最大中心分辨率≥6.8Lp/mm；反差比≥30:1，栅格比≥ 8:1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CCD数字视频摄像机：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有效采集像素≥100万，采集矩阵≥1024×1024，采集比特率≥12Bit，采用F.F.T全帧扫描技术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扫描频率≥75Hz，逐行全帧扫描技术确保图像更高品质，信噪比≥60dB</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自动探测及剂量控制技术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高精度自动探测，采用先进的256个网格分割视野进行精确探测，消除位置依赖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全自动金属补偿技术，全自动软组织补偿技术，全自动运动探测技术，“小儿”超低剂量曝光模式，透视时间及累积剂量报告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病案管理及数字化影像处理工作站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影像处理深度≥32Bit</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个性化操作模式：具备剂量三级可调，个性化操作模式，具备角度、距离测量功能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临床多种APR器官程序：直观图形界面，人体器官程序可编制与存储。实现“一指曝光”功能。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具备腹部、泌尿、软组织、肥胖患者等器官专用程序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图象处理功能：图象左右翻转、上下翻转、旋转、黑白翻转（负片）、实时边缘增强、实时窗位调整、动态降噪、图像放大、最后影像锁存、病人导向、数字滤波器、一键还原等功能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通过数字接口记录和存档系统图片：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病人数据管理和信息检索与管理功能、图像数据库、病人档案、X线参数存储、硬盘快速存储、自动数字亮度和对比度调节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马赛克图像显示和搜索≥16幅，硬盘实时储存容量≥100,000幅，影像处理储存矩阵≥1024×1024</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2套TFT高分辨率医用监视器，尺寸≥19”，最大分辨率≥1900×1200，最大亮度≥400cd/m2，对比度≥600:1，可视角度≥170°，具备对环境光亮度自动补偿</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超声主机：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全数字化彩色多普勒超声，LCD液晶显示器≥15”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彩色多普勒、能量多普勒、脉冲多普勒、连续波多普勒</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组织谐波、脉冲反相谐波成像技术</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图标指示功能，可任意选择剪贴板中存储的影像，进行回放、调节、测量、分析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一般测量：距离、周长、面积、体积、角度、百分比、曲线长度及不规则面积等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腹部测量与分析、泌尿科测量与分析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探头接口≥3个</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腹部及碎石定位探头：凸阵</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最大显示深度≥30cm，最小显示深度≤2cm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内置式超声定位系统：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▲超声探头置于波源之中，探头可沿波源中心轴线前后移动，顺时针或逆时针旋转</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探头前后移动距离≥120mm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▲探头旋转角度：≥±90°</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▲X线结石自动定位功能，X线图像导航功能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超声结石自动定位功能，超声图像导航功能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电动诊断治疗床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床面长度：≥2200mm，床面宽度：≥600mm，最大承重量≥180Kg，床面横向运动范围≥120mm，床面纵向运动范围≥100mm，床面垂直运动范围≥250mm，床面移动速度：≥9mm/s</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电动床床垫为碳纤维材质，配有可手持的控制器，便于床旁控制，床体可拆卸，运输时可至少拆卸至2个部分，电动床头足方向可倾斜，倾斜角度最大可达30°，床面一键自动复位功能</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操作控制台：可自如操控碎石系统各部分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冲击波各项参数设定，X线参数设定、释放/中止控制，X线和超声图像存储，控制治疗床三维定位运动，X线和超声自动定位控制</w:t>
            </w:r>
            <w:r/>
          </w:p>
        </w:tc>
      </w:tr>
    </w:tbl>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3.5.5上述货物免费保修期≥4年（自交货验收合格之日起计），因人为因素出现的故障不在免费保修范围内。超过保修期的机器设备，终身维修，维修时只收部件成本费。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4.3所有技术指标均需提供佐证材料</w:t>
      </w:r>
      <w:r>
        <w:rPr>
          <w:rFonts w:ascii="SimSun" w:hAnsi="SimSun" w:eastAsia="SimSun" w:cs="SimSun"/>
          <w:color w:val="000000"/>
          <w:sz w:val="21"/>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49分；“★”号指标不允许负偏离，否则投标无效；加注“▲”符号的重要指标有一项负偏离或不满足扣3分（9个“▲”，共计27分）；一般指标有一项负偏离或不满足扣0.4分（55个一般，共计22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000000"/>
          <w:sz w:val="24"/>
        </w:rPr>
        <w:t xml:space="preserve">逐项响应，按照投标情况填写超出、符合或偏离。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52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34803" name=""/>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72029"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232528"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58335"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94698"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52322"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77442" name=""/>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00890"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85782"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20338"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52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95263" name=""/>
                        <pic:cNvPicPr>
                          <a:picLocks noChangeAspect="1"/>
                        </pic:cNvPicPr>
                        <pic:nvPr/>
                      </pic:nvPicPr>
                      <pic:blipFill>
                        <a:blip/>
                        <a:stretch/>
                      </pic:blipFill>
                      <pic:spPr bwMode="auto">
                        <a:xfrm>
                          <a:off x="0" y="0"/>
                          <a:ext cx="4762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7238"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536845"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70911"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rpoS">
    <w:panose1 w:val="020B0503020202020204"/>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32"/>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732"/>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一级条标题"/>
    <w:basedOn w:val="733"/>
    <w:next w:val="734"/>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33">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34">
    <w:name w:val="段"/>
    <w:basedOn w:val="699"/>
    <w:next w:val="699"/>
    <w:link w:val="699"/>
    <w:qFormat/>
    <w:pPr>
      <w:ind w:firstLine="200"/>
      <w:widowControl/>
    </w:pPr>
    <w:rPr>
      <w:rFonts w:hint="eastAsia" w:ascii="宋体"/>
      <w:szCs w:val="20"/>
    </w:rPr>
  </w:style>
  <w:style w:type="paragraph" w:styleId="735">
    <w:name w:val="正文文本缩进"/>
    <w:basedOn w:val="699"/>
    <w:next w:val="735"/>
    <w:link w:val="736"/>
    <w:unhideWhenUsed/>
    <w:pPr>
      <w:ind w:left="420"/>
      <w:spacing w:after="120"/>
    </w:pPr>
  </w:style>
  <w:style w:type="character" w:styleId="736">
    <w:name w:val="正文文本缩进 字符"/>
    <w:next w:val="736"/>
    <w:link w:val="735"/>
    <w:uiPriority w:val="99"/>
    <w:semiHidden/>
  </w:style>
  <w:style w:type="paragraph" w:styleId="737">
    <w:name w:val="列表 2"/>
    <w:basedOn w:val="699"/>
    <w:next w:val="737"/>
    <w:link w:val="699"/>
    <w:pPr>
      <w:ind w:left="100" w:hanging="200"/>
    </w:pPr>
    <w:rPr>
      <w:rFonts w:ascii="Times New Roman" w:hAnsi="Times New Roman" w:eastAsia="宋体" w:cs="Times New Roman"/>
      <w:szCs w:val="21"/>
    </w:rPr>
  </w:style>
  <w:style w:type="paragraph" w:styleId="738">
    <w:name w:val="目录 5"/>
    <w:basedOn w:val="699"/>
    <w:next w:val="699"/>
    <w:link w:val="699"/>
    <w:semiHidden/>
    <w:pPr>
      <w:ind w:left="840"/>
      <w:jc w:val="left"/>
    </w:pPr>
    <w:rPr>
      <w:rFonts w:ascii="Times New Roman" w:hAnsi="Times New Roman" w:eastAsia="宋体" w:cs="Times New Roman"/>
      <w:szCs w:val="21"/>
    </w:rPr>
  </w:style>
  <w:style w:type="paragraph" w:styleId="739">
    <w:name w:val="目录 3"/>
    <w:basedOn w:val="699"/>
    <w:next w:val="699"/>
    <w:link w:val="699"/>
    <w:semiHidden/>
    <w:pPr>
      <w:ind w:left="420"/>
      <w:jc w:val="left"/>
    </w:pPr>
    <w:rPr>
      <w:rFonts w:ascii="Times New Roman" w:hAnsi="Times New Roman" w:eastAsia="宋体" w:cs="Times New Roman"/>
      <w:i/>
      <w:iCs/>
      <w:szCs w:val="24"/>
    </w:rPr>
  </w:style>
  <w:style w:type="paragraph" w:styleId="740">
    <w:name w:val="纯文本"/>
    <w:basedOn w:val="699"/>
    <w:next w:val="740"/>
    <w:link w:val="741"/>
    <w:rPr>
      <w:rFonts w:ascii="宋体" w:hAnsi="Courier New" w:eastAsia="宋体" w:cs="Courier New"/>
      <w:szCs w:val="21"/>
    </w:rPr>
  </w:style>
  <w:style w:type="character" w:styleId="741">
    <w:name w:val="纯文本 字符"/>
    <w:next w:val="741"/>
    <w:link w:val="740"/>
    <w:rPr>
      <w:rFonts w:ascii="宋体" w:hAnsi="Courier New" w:eastAsia="宋体" w:cs="Courier New"/>
      <w:szCs w:val="21"/>
    </w:rPr>
  </w:style>
  <w:style w:type="paragraph" w:styleId="742">
    <w:name w:val="目录 8"/>
    <w:basedOn w:val="699"/>
    <w:next w:val="699"/>
    <w:link w:val="699"/>
    <w:semiHidden/>
    <w:pPr>
      <w:ind w:left="1470"/>
      <w:jc w:val="left"/>
    </w:pPr>
    <w:rPr>
      <w:rFonts w:ascii="Times New Roman" w:hAnsi="Times New Roman" w:eastAsia="宋体" w:cs="Times New Roman"/>
      <w:szCs w:val="21"/>
    </w:rPr>
  </w:style>
  <w:style w:type="paragraph" w:styleId="743">
    <w:name w:val="日期"/>
    <w:basedOn w:val="699"/>
    <w:next w:val="699"/>
    <w:link w:val="744"/>
    <w:rPr>
      <w:rFonts w:ascii="Times New Roman" w:hAnsi="Times New Roman" w:eastAsia="宋体" w:cs="Times New Roman"/>
      <w:sz w:val="24"/>
      <w:szCs w:val="24"/>
    </w:rPr>
  </w:style>
  <w:style w:type="character" w:styleId="744">
    <w:name w:val="日期 字符"/>
    <w:next w:val="744"/>
    <w:link w:val="743"/>
    <w:rPr>
      <w:rFonts w:ascii="Times New Roman" w:hAnsi="Times New Roman" w:eastAsia="宋体" w:cs="Times New Roman"/>
      <w:sz w:val="24"/>
      <w:szCs w:val="24"/>
    </w:rPr>
  </w:style>
  <w:style w:type="paragraph" w:styleId="745">
    <w:name w:val="正文文本缩进 2"/>
    <w:basedOn w:val="699"/>
    <w:next w:val="745"/>
    <w:link w:val="746"/>
    <w:pPr>
      <w:ind w:left="630" w:firstLine="645"/>
    </w:pPr>
    <w:rPr>
      <w:rFonts w:ascii="Arial" w:hAnsi="Arial" w:eastAsia="仿宋_GB2312" w:cs="Arial"/>
      <w:sz w:val="32"/>
      <w:szCs w:val="32"/>
    </w:rPr>
  </w:style>
  <w:style w:type="character" w:styleId="746">
    <w:name w:val="正文文本缩进 2 字符"/>
    <w:next w:val="746"/>
    <w:link w:val="745"/>
    <w:rPr>
      <w:rFonts w:ascii="Arial" w:hAnsi="Arial" w:eastAsia="仿宋_GB2312" w:cs="Arial"/>
      <w:sz w:val="32"/>
      <w:szCs w:val="32"/>
    </w:rPr>
  </w:style>
  <w:style w:type="paragraph" w:styleId="747">
    <w:name w:val="批注框文本"/>
    <w:basedOn w:val="699"/>
    <w:next w:val="747"/>
    <w:link w:val="748"/>
    <w:semiHidden/>
    <w:rPr>
      <w:rFonts w:ascii="Times New Roman" w:hAnsi="Times New Roman" w:eastAsia="宋体" w:cs="Times New Roman"/>
      <w:sz w:val="18"/>
      <w:szCs w:val="18"/>
    </w:rPr>
  </w:style>
  <w:style w:type="character" w:styleId="748">
    <w:name w:val="批注框文本 字符"/>
    <w:next w:val="748"/>
    <w:link w:val="747"/>
    <w:semiHidden/>
    <w:rPr>
      <w:rFonts w:ascii="Times New Roman" w:hAnsi="Times New Roman" w:eastAsia="宋体" w:cs="Times New Roman"/>
      <w:sz w:val="18"/>
      <w:szCs w:val="18"/>
    </w:rPr>
  </w:style>
  <w:style w:type="paragraph" w:styleId="749">
    <w:name w:val="页脚"/>
    <w:basedOn w:val="699"/>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字符"/>
    <w:next w:val="750"/>
    <w:link w:val="749"/>
    <w:rPr>
      <w:rFonts w:ascii="Times New Roman" w:hAnsi="Times New Roman" w:eastAsia="宋体" w:cs="Times New Roman"/>
      <w:sz w:val="18"/>
      <w:szCs w:val="18"/>
    </w:rPr>
  </w:style>
  <w:style w:type="paragraph" w:styleId="751">
    <w:name w:val="页眉"/>
    <w:basedOn w:val="699"/>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字符"/>
    <w:next w:val="752"/>
    <w:link w:val="751"/>
    <w:rPr>
      <w:rFonts w:ascii="Times New Roman" w:hAnsi="Times New Roman" w:eastAsia="宋体" w:cs="Times New Roman"/>
      <w:sz w:val="18"/>
      <w:szCs w:val="18"/>
    </w:rPr>
  </w:style>
  <w:style w:type="paragraph" w:styleId="753">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699"/>
    <w:next w:val="699"/>
    <w:link w:val="699"/>
    <w:semiHidden/>
    <w:pPr>
      <w:ind w:left="630"/>
      <w:jc w:val="left"/>
    </w:pPr>
    <w:rPr>
      <w:rFonts w:ascii="Times New Roman" w:hAnsi="Times New Roman" w:eastAsia="宋体" w:cs="Times New Roman"/>
      <w:szCs w:val="21"/>
    </w:rPr>
  </w:style>
  <w:style w:type="paragraph" w:styleId="755">
    <w:name w:val="列表"/>
    <w:basedOn w:val="699"/>
    <w:next w:val="755"/>
    <w:link w:val="699"/>
    <w:pPr>
      <w:ind w:left="200" w:hanging="200"/>
    </w:pPr>
    <w:rPr>
      <w:rFonts w:ascii="Times New Roman" w:hAnsi="Times New Roman" w:eastAsia="宋体" w:cs="Times New Roman"/>
      <w:szCs w:val="21"/>
    </w:rPr>
  </w:style>
  <w:style w:type="paragraph" w:styleId="756">
    <w:name w:val="目录 6"/>
    <w:basedOn w:val="699"/>
    <w:next w:val="699"/>
    <w:link w:val="699"/>
    <w:semiHidden/>
    <w:pPr>
      <w:ind w:left="1050"/>
      <w:jc w:val="left"/>
    </w:pPr>
    <w:rPr>
      <w:rFonts w:ascii="Times New Roman" w:hAnsi="Times New Roman" w:eastAsia="宋体" w:cs="Times New Roman"/>
      <w:szCs w:val="21"/>
    </w:rPr>
  </w:style>
  <w:style w:type="paragraph" w:styleId="757">
    <w:name w:val="正文文本缩进 3"/>
    <w:basedOn w:val="699"/>
    <w:next w:val="757"/>
    <w:link w:val="758"/>
    <w:pPr>
      <w:ind w:left="645" w:firstLine="645"/>
    </w:pPr>
    <w:rPr>
      <w:rFonts w:ascii="Arial" w:hAnsi="Arial" w:eastAsia="仿宋_GB2312" w:cs="Arial"/>
      <w:color w:val="ffff00"/>
      <w:sz w:val="32"/>
      <w:szCs w:val="32"/>
    </w:rPr>
  </w:style>
  <w:style w:type="character" w:styleId="758">
    <w:name w:val="正文文本缩进 3 字符"/>
    <w:next w:val="758"/>
    <w:link w:val="757"/>
    <w:rPr>
      <w:rFonts w:ascii="Arial" w:hAnsi="Arial" w:eastAsia="仿宋_GB2312" w:cs="Arial"/>
      <w:color w:val="ffff00"/>
      <w:sz w:val="32"/>
      <w:szCs w:val="32"/>
    </w:rPr>
  </w:style>
  <w:style w:type="paragraph" w:styleId="759">
    <w:name w:val="图表目录"/>
    <w:basedOn w:val="699"/>
    <w:next w:val="699"/>
    <w:link w:val="699"/>
    <w:semiHidden/>
    <w:pPr>
      <w:ind w:left="840" w:hanging="420"/>
    </w:pPr>
    <w:rPr>
      <w:rFonts w:ascii="Times New Roman" w:hAnsi="Times New Roman" w:eastAsia="宋体" w:cs="Times New Roman"/>
      <w:szCs w:val="21"/>
    </w:rPr>
  </w:style>
  <w:style w:type="paragraph" w:styleId="760">
    <w:name w:val="目录 2"/>
    <w:basedOn w:val="699"/>
    <w:next w:val="699"/>
    <w:link w:val="699"/>
    <w:semiHidden/>
    <w:pPr>
      <w:ind w:left="210"/>
      <w:jc w:val="left"/>
    </w:pPr>
    <w:rPr>
      <w:rFonts w:ascii="Times New Roman" w:hAnsi="Times New Roman" w:eastAsia="宋体" w:cs="Times New Roman"/>
      <w:smallCaps/>
      <w:szCs w:val="24"/>
    </w:rPr>
  </w:style>
  <w:style w:type="paragraph" w:styleId="761">
    <w:name w:val="目录 9"/>
    <w:basedOn w:val="699"/>
    <w:next w:val="699"/>
    <w:link w:val="699"/>
    <w:semiHidden/>
    <w:pPr>
      <w:ind w:left="1680"/>
      <w:jc w:val="left"/>
    </w:pPr>
    <w:rPr>
      <w:rFonts w:ascii="Times New Roman" w:hAnsi="Times New Roman" w:eastAsia="宋体" w:cs="Times New Roman"/>
      <w:szCs w:val="21"/>
    </w:rPr>
  </w:style>
  <w:style w:type="paragraph" w:styleId="762">
    <w:name w:val="正文文本 2"/>
    <w:basedOn w:val="699"/>
    <w:next w:val="762"/>
    <w:link w:val="763"/>
    <w:pPr>
      <w:jc w:val="center"/>
      <w:widowControl/>
    </w:pPr>
    <w:rPr>
      <w:rFonts w:ascii="楷体_GB2312" w:hAnsi="Times New Roman" w:eastAsia="楷体_GB2312" w:cs="Times New Roman"/>
      <w:sz w:val="28"/>
      <w:szCs w:val="28"/>
    </w:rPr>
  </w:style>
  <w:style w:type="character" w:styleId="763">
    <w:name w:val="正文文本 2 字符"/>
    <w:next w:val="763"/>
    <w:link w:val="762"/>
    <w:rPr>
      <w:rFonts w:ascii="楷体_GB2312" w:hAnsi="Times New Roman" w:eastAsia="楷体_GB2312" w:cs="Times New Roman"/>
      <w:sz w:val="28"/>
      <w:szCs w:val="28"/>
    </w:rPr>
  </w:style>
  <w:style w:type="paragraph" w:styleId="764">
    <w:name w:val="普通(网站)"/>
    <w:basedOn w:val="699"/>
    <w:next w:val="764"/>
    <w:link w:val="699"/>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699"/>
    <w:next w:val="699"/>
    <w:link w:val="699"/>
    <w:semiHidden/>
    <w:pPr>
      <w:spacing w:line="240" w:lineRule="atLeast"/>
    </w:pPr>
    <w:rPr>
      <w:rFonts w:ascii="Times New Roman" w:hAnsi="Times New Roman" w:eastAsia="宋体" w:cs="Times New Roman"/>
      <w:b/>
      <w:bCs/>
      <w:szCs w:val="21"/>
    </w:rPr>
  </w:style>
  <w:style w:type="paragraph" w:styleId="766">
    <w:name w:val="批注主题"/>
    <w:basedOn w:val="726"/>
    <w:next w:val="726"/>
    <w:link w:val="767"/>
    <w:semiHidden/>
    <w:rPr>
      <w:rFonts w:ascii="Times New Roman" w:hAnsi="Times New Roman" w:eastAsia="宋体" w:cs="Times New Roman"/>
      <w:b/>
      <w:bCs/>
      <w:szCs w:val="21"/>
    </w:rPr>
  </w:style>
  <w:style w:type="character" w:styleId="767">
    <w:name w:val="批注主题 字符"/>
    <w:next w:val="767"/>
    <w:link w:val="766"/>
    <w:semiHidden/>
    <w:rPr>
      <w:rFonts w:ascii="Times New Roman" w:hAnsi="Times New Roman" w:eastAsia="宋体" w:cs="Times New Roman"/>
      <w:b/>
      <w:bCs/>
      <w:szCs w:val="21"/>
    </w:rPr>
  </w:style>
  <w:style w:type="paragraph" w:styleId="768">
    <w:name w:val="正文首行缩进"/>
    <w:basedOn w:val="699"/>
    <w:next w:val="768"/>
    <w:link w:val="769"/>
    <w:pPr>
      <w:ind w:firstLine="200"/>
      <w:spacing w:line="360" w:lineRule="auto"/>
    </w:pPr>
    <w:rPr>
      <w:rFonts w:ascii="仿宋_GB2312" w:hAnsi="Times New Roman" w:eastAsia="仿宋_GB2312" w:cs="Times New Roman"/>
      <w:sz w:val="30"/>
      <w:szCs w:val="30"/>
    </w:rPr>
  </w:style>
  <w:style w:type="character" w:styleId="769">
    <w:name w:val="正文文本首行缩进 字符"/>
    <w:next w:val="769"/>
    <w:link w:val="768"/>
    <w:rPr>
      <w:rFonts w:ascii="仿宋_GB2312" w:hAnsi="Times New Roman" w:eastAsia="仿宋_GB2312" w:cs="Times New Roman"/>
      <w:sz w:val="30"/>
      <w:szCs w:val="30"/>
    </w:rPr>
  </w:style>
  <w:style w:type="paragraph" w:styleId="770">
    <w:name w:val="正文首行缩进 2"/>
    <w:basedOn w:val="735"/>
    <w:next w:val="770"/>
    <w:link w:val="771"/>
    <w:pPr>
      <w:ind w:left="0" w:firstLine="420"/>
      <w:spacing w:after="0" w:line="360" w:lineRule="auto"/>
    </w:pPr>
    <w:rPr>
      <w:rFonts w:ascii="宋体" w:hAnsi="宋体" w:eastAsia="宋体" w:cs="Times New Roman"/>
      <w:szCs w:val="20"/>
    </w:rPr>
  </w:style>
  <w:style w:type="character" w:styleId="771">
    <w:name w:val="正文文本首行缩进 2 字符"/>
    <w:next w:val="771"/>
    <w:link w:val="770"/>
    <w:rPr>
      <w:rFonts w:ascii="宋体" w:hAnsi="宋体" w:eastAsia="宋体" w:cs="Times New Roman"/>
      <w:szCs w:val="20"/>
    </w:rPr>
  </w:style>
  <w:style w:type="table" w:styleId="772">
    <w:name w:val="网格型"/>
    <w:basedOn w:val="710"/>
    <w:next w:val="772"/>
    <w:link w:val="699"/>
    <w:uiPriority w:val="59"/>
    <w:pPr>
      <w:jc w:val="both"/>
      <w:widowControl w:val="off"/>
    </w:pPr>
    <w:rPr>
      <w:rFonts w:ascii="Times New Roman" w:hAnsi="Times New Roman" w:eastAsia="宋体" w:cs="Times New Roman"/>
      <w:sz w:val="20"/>
      <w:szCs w:val="20"/>
    </w:rPr>
    <w:tblPr/>
  </w:style>
  <w:style w:type="character" w:styleId="773">
    <w:name w:val="要点"/>
    <w:next w:val="773"/>
    <w:link w:val="699"/>
    <w:qFormat/>
    <w:rPr>
      <w:b/>
      <w:bCs/>
    </w:rPr>
  </w:style>
  <w:style w:type="character" w:styleId="774">
    <w:name w:val="页码"/>
    <w:next w:val="774"/>
    <w:link w:val="699"/>
  </w:style>
  <w:style w:type="character" w:styleId="775">
    <w:name w:val="已访问的超链接"/>
    <w:next w:val="775"/>
    <w:link w:val="699"/>
    <w:rPr>
      <w:color w:val="800080"/>
      <w:u w:val="single"/>
    </w:rPr>
  </w:style>
  <w:style w:type="character" w:styleId="776">
    <w:name w:val="强调"/>
    <w:next w:val="776"/>
    <w:link w:val="699"/>
    <w:qFormat/>
    <w:rPr>
      <w:i/>
    </w:rPr>
  </w:style>
  <w:style w:type="character" w:styleId="777">
    <w:name w:val="超链接"/>
    <w:next w:val="777"/>
    <w:link w:val="699"/>
    <w:rPr>
      <w:color w:val="0000ff"/>
      <w:u w:val="single"/>
    </w:rPr>
  </w:style>
  <w:style w:type="character" w:styleId="778">
    <w:name w:val="批注引用"/>
    <w:next w:val="778"/>
    <w:link w:val="699"/>
    <w:semiHidden/>
    <w:rPr>
      <w:sz w:val="21"/>
      <w:szCs w:val="21"/>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7"/>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character" w:styleId="826">
    <w:name w:val="font71"/>
    <w:basedOn w:val="709"/>
    <w:next w:val="826"/>
    <w:link w:val="699"/>
    <w:rPr>
      <w:rFonts w:ascii="Times New Roman" w:hAnsi="Times New Roman" w:cs="Times New Roman"/>
      <w:color w:val="000000"/>
      <w:sz w:val="24"/>
      <w:szCs w:val="24"/>
      <w:u w:val="none"/>
    </w:rPr>
  </w:style>
  <w:style w:type="character" w:styleId="827">
    <w:name w:val="font81"/>
    <w:basedOn w:val="709"/>
    <w:next w:val="827"/>
    <w:link w:val="699"/>
    <w:qFormat/>
    <w:rPr>
      <w:rFonts w:ascii="Times New Roman" w:hAnsi="Times New Roman" w:cs="Times New Roman"/>
      <w:color w:val="000000"/>
      <w:sz w:val="24"/>
      <w:szCs w:val="24"/>
      <w:u w:val="none"/>
      <w:vertAlign w:val="superscript"/>
    </w:rPr>
  </w:style>
  <w:style w:type="character" w:styleId="828">
    <w:name w:val="font91"/>
    <w:basedOn w:val="709"/>
    <w:next w:val="828"/>
    <w:link w:val="699"/>
    <w:qFormat/>
    <w:rPr>
      <w:rFonts w:ascii="Courier New" w:hAnsi="Courier New" w:cs="Courier New"/>
      <w:color w:val="000000"/>
      <w:sz w:val="24"/>
      <w:szCs w:val="24"/>
      <w:u w:val="none"/>
    </w:rPr>
  </w:style>
  <w:style w:type="character" w:styleId="829">
    <w:name w:val="font61"/>
    <w:basedOn w:val="709"/>
    <w:next w:val="829"/>
    <w:link w:val="699"/>
    <w:qFormat/>
    <w:rPr>
      <w:rFonts w:ascii="Times New Roman" w:hAnsi="Times New Roman" w:cs="Times New Roman"/>
      <w:color w:val="ff0000"/>
      <w:sz w:val="24"/>
      <w:szCs w:val="24"/>
      <w:u w:val="none"/>
    </w:rPr>
  </w:style>
  <w:style w:type="character" w:styleId="830">
    <w:name w:val="font101"/>
    <w:basedOn w:val="709"/>
    <w:next w:val="830"/>
    <w:link w:val="699"/>
    <w:qFormat/>
    <w:rPr>
      <w:rFonts w:ascii="Arial" w:hAnsi="Arial" w:cs="Arial"/>
      <w:color w:val="000000"/>
      <w:sz w:val="24"/>
      <w:szCs w:val="24"/>
      <w:u w:val="none"/>
    </w:rPr>
  </w:style>
  <w:style w:type="character" w:styleId="831">
    <w:name w:val="font112"/>
    <w:basedOn w:val="709"/>
    <w:next w:val="831"/>
    <w:link w:val="699"/>
    <w:rPr>
      <w:rFonts w:ascii="CorpoS" w:hAnsi="CorpoS" w:eastAsia="CorpoS" w:cs="CorpoS"/>
      <w:color w:val="000000"/>
      <w:sz w:val="24"/>
      <w:szCs w:val="24"/>
      <w:u w:val="none"/>
    </w:rPr>
  </w:style>
  <w:style w:type="character" w:styleId="11520" w:default="1">
    <w:name w:val="Default Paragraph Font"/>
    <w:uiPriority w:val="1"/>
    <w:semiHidden/>
    <w:unhideWhenUsed/>
  </w:style>
  <w:style w:type="numbering" w:styleId="11521" w:default="1">
    <w:name w:val="No List"/>
    <w:uiPriority w:val="99"/>
    <w:semiHidden/>
    <w:unhideWhenUsed/>
  </w:style>
  <w:style w:type="table" w:styleId="115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9</cp:revision>
  <dcterms:created xsi:type="dcterms:W3CDTF">2023-12-18T06:54:00Z</dcterms:created>
  <dcterms:modified xsi:type="dcterms:W3CDTF">2026-05-22T03:10:18Z</dcterms:modified>
</cp:coreProperties>
</file>