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1285"/>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r>
        <w:rPr>
          <w:rFonts w:hint="eastAsia" w:ascii="宋体" w:hAnsi="宋体" w:cs="宋体"/>
          <w:b/>
          <w:color w:val="000000"/>
          <w:sz w:val="32"/>
        </w:rPr>
        <w:t xml:space="preserve">扬州市公路事业发展中心2026年扬州公路专网通讯线路服务项目</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hint="eastAsia" w:ascii="宋体" w:hAnsi="宋体" w:cs="宋体"/>
          <w:b/>
          <w:color w:val="000000"/>
          <w:sz w:val="32"/>
        </w:rPr>
        <w:t xml:space="preserve">JSZC-321000-JZCG-G2026-0045</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b/>
          <w:color w:val="000000"/>
          <w:sz w:val="30"/>
        </w:rPr>
        <w:t xml:space="preserve">   </w:t>
      </w:r>
      <w:r>
        <w:rPr>
          <w:rFonts w:eastAsia="Times New Roman"/>
          <w:color w:val="000000"/>
        </w:rPr>
        <w:t xml:space="preserve">  </w:t>
      </w:r>
      <w:r>
        <w:rPr>
          <w:rFonts w:eastAsia="Times New Roman"/>
          <w:b/>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tabs>
          <w:tab w:val="left" w:pos="5803"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tab/>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u w:val="single"/>
        </w:rPr>
        <w:t xml:space="preserve">2026</w:t>
      </w:r>
      <w:r>
        <w:rPr>
          <w:rFonts w:ascii="宋体" w:hAnsi="宋体" w:cs="宋体"/>
          <w:b/>
          <w:color w:val="000000"/>
          <w:sz w:val="32"/>
        </w:rPr>
        <w:t xml:space="preserve">年</w:t>
      </w:r>
      <w:r>
        <w:rPr>
          <w:rFonts w:hint="eastAsia" w:ascii="宋体" w:hAnsi="宋体" w:cs="宋体"/>
          <w:b/>
          <w:color w:val="000000"/>
          <w:sz w:val="32"/>
          <w:u w:val="single"/>
        </w:rPr>
        <w:t xml:space="preserve">4</w:t>
      </w:r>
      <w:r>
        <w:rPr>
          <w:rFonts w:ascii="宋体" w:hAnsi="宋体" w:cs="宋体"/>
          <w:b/>
          <w:color w:val="000000"/>
          <w:sz w:val="32"/>
        </w:rPr>
        <w:t xml:space="preserve">月</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hint="eastAsia"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cs="黑体"/>
          <w:b/>
          <w:color w:val="000000"/>
          <w:sz w:val="44"/>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rPr>
        <w:t xml:space="preserve">2</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w:t>
      </w:r>
      <w:r>
        <w:rPr>
          <w:rFonts w:hint="eastAsia" w:ascii="黑体" w:hAnsi="黑体" w:eastAsia="黑体" w:cs="黑体"/>
          <w:color w:val="000000"/>
          <w:sz w:val="36"/>
          <w:highlight w:val="none"/>
          <w:lang w:val="en-US" w:eastAsia="zh-CN"/>
        </w:rPr>
        <w:t xml:space="preserve">5</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w:t>
      </w:r>
      <w:r>
        <w:rPr>
          <w:rFonts w:hint="eastAsia" w:ascii="黑体" w:hAnsi="黑体" w:eastAsia="黑体" w:cs="黑体"/>
          <w:color w:val="000000"/>
          <w:sz w:val="36"/>
          <w:highlight w:val="none"/>
          <w:lang w:val="en-US" w:eastAsia="zh-CN"/>
        </w:rPr>
        <w:t xml:space="preserve">14</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w:t>
      </w:r>
      <w:r>
        <w:rPr>
          <w:rFonts w:hint="eastAsia" w:ascii="黑体" w:hAnsi="黑体" w:eastAsia="黑体" w:cs="黑体"/>
          <w:color w:val="000000"/>
          <w:sz w:val="36"/>
          <w:highlight w:val="none"/>
        </w:rPr>
        <w:t xml:space="preserve">17</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w:t>
      </w:r>
      <w:r>
        <w:rPr>
          <w:rFonts w:hint="eastAsia" w:ascii="黑体" w:hAnsi="黑体" w:eastAsia="黑体" w:cs="黑体"/>
          <w:color w:val="000000"/>
          <w:sz w:val="36"/>
          <w:highlight w:val="none"/>
        </w:rPr>
        <w:t xml:space="preserve">4</w:t>
      </w:r>
      <w:r>
        <w:rPr>
          <w:rFonts w:hint="eastAsia" w:ascii="黑体" w:hAnsi="黑体" w:eastAsia="黑体" w:cs="黑体"/>
          <w:color w:val="000000"/>
          <w:sz w:val="36"/>
          <w:highlight w:val="none"/>
          <w:lang w:val="en-US" w:eastAsia="zh-CN"/>
        </w:rPr>
        <w:t xml:space="preserve">3</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w:t>
      </w:r>
      <w:r>
        <w:rPr>
          <w:rFonts w:hint="eastAsia" w:ascii="黑体" w:hAnsi="黑体" w:eastAsia="黑体" w:cs="黑体"/>
          <w:color w:val="000000"/>
          <w:sz w:val="36"/>
          <w:highlight w:val="none"/>
          <w:lang w:val="en-US" w:eastAsia="zh-CN"/>
        </w:rPr>
        <w:t xml:space="preserve">45</w:t>
      </w:r>
      <w:r/>
    </w:p>
    <w:p>
      <w:pPr>
        <w:spacing w:before="210" w:after="57"/>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eastAsia="Times New Roman"/>
          <w:color w:val="000000"/>
        </w:rPr>
        <w:t xml:space="preserve"> </w:t>
      </w:r>
      <w:r>
        <w:tab/>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887"/>
        <w:rPr>
          <w:rFonts w:hint="eastAsia"/>
        </w:rPr>
      </w:pPr>
      <w:r>
        <w:rPr>
          <w:rStyle w:val="922"/>
          <w:rFonts w:ascii="黑体" w:hAnsi="黑体" w:cs="黑体"/>
        </w:rPr>
        <w:t xml:space="preserve">第一章 投标邀请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r>
        <w:rPr>
          <w:rFonts w:hint="eastAsia" w:ascii="宋体" w:hAnsi="宋体" w:cs="宋体"/>
          <w:color w:val="000000"/>
          <w:sz w:val="24"/>
        </w:rPr>
        <w:t xml:space="preserve">扬州市公路事业发展中心</w:t>
      </w:r>
      <w:r>
        <w:rPr>
          <w:rFonts w:ascii="宋体" w:hAnsi="宋体" w:cs="宋体"/>
          <w:color w:val="000000"/>
          <w:sz w:val="24"/>
        </w:rPr>
        <w:t xml:space="preserve">]的委托，扬州市公共资源交易中心就[</w:t>
      </w:r>
      <w:r>
        <w:rPr>
          <w:rFonts w:hint="eastAsia" w:ascii="宋体" w:hAnsi="宋体" w:cs="宋体"/>
          <w:color w:val="000000"/>
          <w:sz w:val="24"/>
        </w:rPr>
        <w:t xml:space="preserve">扬州市公路事业发展中心2026年扬州公路专网通讯线路服务项目</w:t>
      </w:r>
      <w:r>
        <w:rPr>
          <w:rFonts w:ascii="宋体" w:hAnsi="宋体" w:cs="宋体"/>
          <w:color w:val="000000"/>
          <w:sz w:val="24"/>
        </w:rPr>
        <w:t xml:space="preserve">](项目编号</w:t>
      </w:r>
      <w:r>
        <w:rPr>
          <w:rFonts w:hint="eastAsia" w:ascii="宋体" w:hAnsi="宋体" w:cs="宋体"/>
          <w:color w:val="000000"/>
          <w:sz w:val="24"/>
        </w:rPr>
        <w:t xml:space="preserve">JSZC-321000-JZCG-G2026-0045</w:t>
      </w:r>
      <w:r>
        <w:rPr>
          <w:rFonts w:ascii="宋体" w:hAnsi="宋体" w:cs="宋体"/>
          <w:color w:val="000000"/>
          <w:sz w:val="24"/>
        </w:rPr>
        <w:t xml:space="preserve">)项目进行公开招标采购，欢迎符合条件的供应商投标。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w:t>
      </w:r>
      <w:r>
        <w:rPr>
          <w:rFonts w:hint="eastAsia" w:ascii="宋体" w:hAnsi="宋体" w:cs="宋体"/>
          <w:color w:val="000000"/>
          <w:sz w:val="24"/>
          <w:u w:val="single"/>
        </w:rPr>
        <w:t xml:space="preserve">扬州市公路事业发展中心2026年扬州公路专网通讯线路服务项目</w:t>
      </w:r>
      <w:r>
        <w:rPr>
          <w:rFonts w:ascii="宋体" w:hAnsi="宋体" w:cs="宋体"/>
          <w:color w:val="000000"/>
          <w:sz w:val="24"/>
          <w:u w:val="single"/>
        </w:rPr>
        <w:t xml:space="preserve">）</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w:t>
      </w:r>
      <w:r>
        <w:rPr>
          <w:rFonts w:ascii="宋体" w:hAnsi="宋体" w:cs="宋体"/>
          <w:color w:val="000000"/>
          <w:sz w:val="24"/>
        </w:rPr>
        <w:t xml:space="preserve">自行免费下载招标文件，并于</w:t>
      </w:r>
      <w:r>
        <w:rPr>
          <w:rFonts w:hint="eastAsia" w:ascii="宋体" w:hAnsi="宋体" w:cs="宋体"/>
          <w:color w:val="ff0000"/>
          <w:sz w:val="24"/>
          <w:highlight w:val="none"/>
          <w:u w:val="single"/>
        </w:rPr>
        <w:t xml:space="preserve">2026</w:t>
      </w:r>
      <w:r>
        <w:rPr>
          <w:rFonts w:ascii="宋体" w:hAnsi="宋体" w:cs="宋体"/>
          <w:color w:val="ff0000"/>
          <w:sz w:val="24"/>
          <w:highlight w:val="none"/>
          <w:u w:val="single"/>
        </w:rPr>
        <w:t xml:space="preserve">年</w:t>
      </w:r>
      <w:r>
        <w:rPr>
          <w:rFonts w:hint="eastAsia" w:ascii="宋体" w:hAnsi="宋体" w:cs="宋体"/>
          <w:color w:val="ff0000"/>
          <w:sz w:val="24"/>
          <w:highlight w:val="none"/>
          <w:u w:val="single"/>
        </w:rPr>
        <w:t xml:space="preserve">5</w:t>
      </w:r>
      <w:r>
        <w:rPr>
          <w:rFonts w:ascii="宋体" w:hAnsi="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14</w:t>
      </w:r>
      <w:r>
        <w:rPr>
          <w:rFonts w:ascii="宋体" w:hAnsi="宋体" w:cs="宋体"/>
          <w:color w:val="ff0000"/>
          <w:sz w:val="24"/>
          <w:highlight w:val="none"/>
          <w:u w:val="single"/>
        </w:rPr>
        <w:t xml:space="preserve">日9点30分</w:t>
      </w:r>
      <w:r>
        <w:rPr>
          <w:rFonts w:ascii="宋体" w:hAnsi="宋体" w:cs="宋体"/>
          <w:color w:val="000000"/>
          <w:sz w:val="24"/>
          <w:u w:val="single"/>
        </w:rPr>
        <w:t xml:space="preserve">（</w:t>
      </w:r>
      <w:r>
        <w:rPr>
          <w:rFonts w:ascii="宋体" w:hAnsi="宋体" w:cs="宋体"/>
          <w:color w:val="000000"/>
          <w:sz w:val="24"/>
        </w:rPr>
        <w:t xml:space="preserve">北京时间）前递交投标文件。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1.项目编号：</w:t>
      </w:r>
      <w:r>
        <w:rPr>
          <w:rFonts w:hint="eastAsia" w:ascii="宋体" w:hAnsi="宋体" w:cs="宋体"/>
          <w:color w:val="000000"/>
          <w:sz w:val="24"/>
        </w:rPr>
        <w:t xml:space="preserve">JSZC-321000-JZCG-G2026-0045</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2.项目名称：</w:t>
      </w:r>
      <w:r>
        <w:rPr>
          <w:rFonts w:hint="eastAsia" w:ascii="宋体" w:hAnsi="宋体" w:cs="宋体"/>
          <w:color w:val="000000"/>
          <w:sz w:val="24"/>
        </w:rPr>
        <w:t xml:space="preserve">扬州市公路事业发展中心2026年扬州公路专网通讯线路服务项目</w:t>
      </w:r>
      <w:r/>
    </w:p>
    <w:p>
      <w:pPr>
        <w:ind w:firstLine="480"/>
        <w:spacing w:line="400" w:lineRule="atLeast"/>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3.预算金额：</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8"/>
        <w:gridCol w:w="60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2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0" w:type="dxa"/>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109.08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0" w:type="dxa"/>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86.64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0" w:type="dxa"/>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52 万元 </w:t>
            </w:r>
            <w:r/>
          </w:p>
        </w:tc>
      </w:tr>
    </w:tbl>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4.最高限价：</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1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109.08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86.64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52 万元</w:t>
            </w:r>
            <w:r/>
          </w:p>
        </w:tc>
      </w:tr>
    </w:tbl>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5.采购需求（简介）：</w:t>
      </w:r>
      <w:r>
        <w:rPr>
          <w:rFonts w:hint="eastAsia" w:ascii="宋体" w:hAnsi="宋体" w:cs="宋体"/>
          <w:color w:val="000000"/>
          <w:sz w:val="24"/>
        </w:rPr>
        <w:t xml:space="preserve">租赁服务线路包括国省干道外场监控、交调等设备组网线路、上云线路、内网传输及工区线路。本项目分为3个包，包1：高邮、宝应、江都分中心路网监测线路及上云线路289条租用服务；包2：市中心、邗江、广陵、仪征分中心路网监测线路及上云线路214条租用服务；包3：通讯线路39条租用服务。</w:t>
      </w:r>
      <w:r>
        <w:rPr>
          <w:rFonts w:hint="eastAsia" w:ascii="宋体" w:hAnsi="宋体" w:cs="宋体"/>
          <w:b/>
          <w:bCs/>
          <w:color w:val="ff0000"/>
          <w:sz w:val="24"/>
        </w:rPr>
        <w:t xml:space="preserve">可兼投不可兼中，开标、评标顺序：包1至包3。</w:t>
      </w:r>
      <w:r>
        <w:rPr>
          <w:rFonts w:hint="eastAsia" w:ascii="宋体" w:hAnsi="宋体" w:cs="宋体"/>
          <w:color w:val="000000"/>
          <w:sz w:val="24"/>
        </w:rPr>
        <w:t xml:space="preserve">详细内容见本招标文件第四章。</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6.合同履行期限：</w:t>
      </w:r>
      <w:r>
        <w:rPr>
          <w:rFonts w:hint="eastAsia" w:ascii="宋体" w:hAnsi="宋体" w:cs="宋体"/>
          <w:color w:val="000000"/>
          <w:sz w:val="24"/>
        </w:rPr>
        <w:t xml:space="preserve">包1：服务期：2026年4月底到期的264条路网监测线路及3条上云线路服务期十二个月（自合同签订之日起计），2026年8月底到期的22条路网监测线路服务期八个月（自合同签订之日起计）。</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包2：服务期：2026年4月底到期的190条路网监测线路及3条上云线路服务期十二个月（自合同签订之日起计），2026年8月底到期的21条路网监测线路服务期八个月（自合同签订之日起计）。</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包3：服务期：2026年4月底到期的39条通讯线路服务期十二个月（自合同签订之日起计）。</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w:t>
      </w:r>
      <w:r>
        <w:rPr>
          <w:rFonts w:hint="eastAsia" w:ascii="宋体" w:hAnsi="宋体" w:cs="宋体"/>
          <w:color w:val="000000"/>
          <w:sz w:val="24"/>
        </w:rPr>
        <w:t xml:space="preserve"> 2024年或2025年度</w:t>
      </w:r>
      <w:r>
        <w:rPr>
          <w:rFonts w:ascii="宋体" w:hAnsi="宋体" w:cs="宋体"/>
          <w:color w:val="000000"/>
          <w:sz w:val="24"/>
        </w:rPr>
        <w:t xml:space="preserve">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供应商信用承诺函。</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735"/>
        <w:tblW w:w="9169"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1"/>
        <w:gridCol w:w="2986"/>
        <w:gridCol w:w="4782"/>
      </w:tblGrid>
      <w:tr>
        <w:trPr>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jc w:val="center"/>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是否接受联合体投标</w:t>
            </w:r>
            <w:r/>
          </w:p>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81" w:type="dxa"/>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81"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81"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  </w:t>
            </w:r>
            <w:r>
              <w:rPr>
                <w:rFonts w:ascii="宋体" w:hAnsi="宋体" w:cs="宋体"/>
                <w:b/>
                <w:color w:val="000000"/>
                <w:sz w:val="24"/>
              </w:rPr>
              <w:t xml:space="preserve">否</w:t>
            </w: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8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735"/>
        <w:tblW w:w="916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9"/>
        <w:gridCol w:w="6956"/>
      </w:tblGrid>
      <w:tr>
        <w:trPr>
          <w:jc w:val="center"/>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56" w:type="dxa"/>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是否接受进口产品投标（是/否）</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6"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6"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6"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ascii="宋体" w:hAnsi="宋体" w:cs="宋体"/>
                <w:color w:val="000000"/>
                <w:sz w:val="24"/>
              </w:rPr>
              <w:t xml:space="preserve">否 </w:t>
            </w:r>
            <w:r/>
          </w:p>
        </w:tc>
      </w:tr>
    </w:tbl>
    <w:p>
      <w:pPr>
        <w:ind w:firstLine="2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p>
    <w:tbl>
      <w:tblPr>
        <w:tblStyle w:val="735"/>
        <w:tblW w:w="916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06"/>
        <w:gridCol w:w="5359"/>
      </w:tblGrid>
      <w:tr>
        <w:trPr>
          <w:jc w:val="center"/>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59" w:type="dxa"/>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特定资格要求</w:t>
            </w:r>
            <w:r/>
          </w:p>
        </w:tc>
      </w:tr>
      <w:tr>
        <w:trPr>
          <w:jc w:val="center"/>
          <w:trHeight w:val="3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rPr>
                <w:sz w:val="24"/>
              </w:rPr>
              <w:pBdr>
                <w:top w:val="none" w:color="000000" w:sz="0" w:space="0"/>
                <w:left w:val="none" w:color="000000" w:sz="0" w:space="0"/>
                <w:bottom w:val="none" w:color="000000" w:sz="0" w:space="0"/>
                <w:right w:val="none" w:color="000000" w:sz="0" w:space="0"/>
              </w:pBdr>
            </w:pPr>
            <w:r>
              <w:rPr>
                <w:rFonts w:hint="eastAsia" w:hAnsi="宋体" w:cs="宋体"/>
                <w:color w:val="000000"/>
                <w:sz w:val="24"/>
              </w:rPr>
              <w:t xml:space="preserve">包</w:t>
            </w:r>
            <w:r>
              <w:rPr>
                <w:rFonts w:hAnsi="宋体" w:cs="宋体"/>
                <w:color w:val="000000"/>
                <w:sz w:val="24"/>
              </w:rPr>
              <w:t xml:space="preserve">1</w:t>
            </w:r>
            <w:r/>
          </w:p>
        </w:tc>
        <w:tc>
          <w:tcPr>
            <w:tcBorders>
              <w:top w:val="none" w:color="000000" w:sz="4" w:space="0"/>
              <w:left w:val="none" w:color="000000" w:sz="4" w:space="0"/>
              <w:right w:val="single" w:color="000000" w:sz="8" w:space="0"/>
            </w:tcBorders>
            <w:tcMar>
              <w:left w:w="108" w:type="dxa"/>
              <w:top w:w="0" w:type="dxa"/>
              <w:right w:w="108" w:type="dxa"/>
              <w:bottom w:w="0" w:type="dxa"/>
            </w:tcMar>
            <w:tcW w:w="5359" w:type="dxa"/>
            <w:vAlign w:val="center"/>
            <w:vMerge w:val="restart"/>
            <w:textDirection w:val="lrTb"/>
            <w:noWrap w:val="false"/>
          </w:tcPr>
          <w:p>
            <w:pPr>
              <w:jc w:val="left"/>
              <w:rPr>
                <w:sz w:val="24"/>
              </w:rPr>
              <w:pBdr>
                <w:top w:val="none" w:color="000000" w:sz="0" w:space="0"/>
                <w:left w:val="none" w:color="000000" w:sz="0" w:space="0"/>
                <w:bottom w:val="none" w:color="000000" w:sz="0" w:space="0"/>
                <w:right w:val="none" w:color="000000" w:sz="0" w:space="0"/>
              </w:pBdr>
            </w:pPr>
            <w:r>
              <w:rPr>
                <w:rFonts w:hint="eastAsia" w:ascii="宋体" w:hAnsi="宋体"/>
                <w:b/>
                <w:bCs/>
                <w:iCs/>
                <w:color w:val="ff0000"/>
                <w:sz w:val="24"/>
                <w:szCs w:val="24"/>
              </w:rPr>
              <w:t xml:space="preserve">投标人或其总公司（法人）具有《基础电信业务经营许可证》</w:t>
            </w:r>
            <w:r>
              <w:rPr>
                <w:rFonts w:ascii="宋体" w:hAnsi="宋体"/>
                <w:b/>
                <w:bCs/>
                <w:iCs/>
                <w:color w:val="ff0000"/>
                <w:sz w:val="24"/>
                <w:szCs w:val="24"/>
              </w:rPr>
              <w:t xml:space="preserve">。本项目接受分公司投标，总公司</w:t>
            </w:r>
            <w:r>
              <w:rPr>
                <w:rFonts w:hint="eastAsia" w:ascii="宋体" w:hAnsi="宋体"/>
                <w:b/>
                <w:bCs/>
                <w:iCs/>
                <w:color w:val="ff0000"/>
                <w:sz w:val="24"/>
                <w:szCs w:val="24"/>
              </w:rPr>
              <w:t xml:space="preserve">（法人）</w:t>
            </w:r>
            <w:r>
              <w:rPr>
                <w:rFonts w:ascii="宋体" w:hAnsi="宋体"/>
                <w:b/>
                <w:bCs/>
                <w:iCs/>
                <w:color w:val="ff0000"/>
                <w:sz w:val="24"/>
                <w:szCs w:val="24"/>
              </w:rPr>
              <w:t xml:space="preserve">和分公司不得同时参与本项目投标，同一法人的不同分支机构不得同时参与本项目。</w:t>
            </w:r>
            <w:r/>
          </w:p>
        </w:tc>
      </w:tr>
      <w:tr>
        <w:trPr>
          <w:jc w:val="cente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包2</w:t>
            </w:r>
            <w:r/>
          </w:p>
        </w:tc>
        <w:tc>
          <w:tcPr>
            <w:tcBorders>
              <w:left w:val="none" w:color="000000" w:sz="4" w:space="0"/>
              <w:right w:val="single" w:color="000000" w:sz="8" w:space="0"/>
            </w:tcBorders>
            <w:tcMar>
              <w:left w:w="108" w:type="dxa"/>
              <w:top w:w="0" w:type="dxa"/>
              <w:right w:w="108" w:type="dxa"/>
              <w:bottom w:w="0" w:type="dxa"/>
            </w:tcMar>
            <w:tcW w:w="5359" w:type="dxa"/>
            <w:vAlign w:val="center"/>
            <w:vMerge w:val="continue"/>
            <w:textDirection w:val="lrTb"/>
            <w:noWrap w:val="false"/>
          </w:tcPr>
          <w:p>
            <w:pPr>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r>
        <w:trPr>
          <w:jc w:val="cente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06" w:type="dxa"/>
            <w:vAlign w:val="center"/>
            <w:textDirection w:val="lrTb"/>
            <w:noWrap w:val="false"/>
          </w:tcPr>
          <w:p>
            <w:pPr>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包3</w:t>
            </w:r>
            <w:r/>
          </w:p>
        </w:tc>
        <w:tc>
          <w:tcPr>
            <w:tcBorders>
              <w:left w:val="none" w:color="000000" w:sz="4" w:space="0"/>
              <w:bottom w:val="single" w:color="000000" w:sz="8" w:space="0"/>
              <w:right w:val="single" w:color="000000" w:sz="8" w:space="0"/>
            </w:tcBorders>
            <w:tcMar>
              <w:left w:w="108" w:type="dxa"/>
              <w:top w:w="0" w:type="dxa"/>
              <w:right w:w="108" w:type="dxa"/>
              <w:bottom w:w="0" w:type="dxa"/>
            </w:tcMar>
            <w:tcW w:w="5359" w:type="dxa"/>
            <w:vAlign w:val="center"/>
            <w:vMerge w:val="continue"/>
            <w:textDirection w:val="lrTb"/>
            <w:noWrap w:val="false"/>
          </w:tcPr>
          <w:p>
            <w:pPr>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r>
    </w:tbl>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2.方式：在“江苏政府采购网、扬州市政府采购网”自行免费下载招标文件。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highlight w:val="none"/>
          <w:u w:val="single"/>
        </w:rPr>
        <w:t xml:space="preserve"> </w:t>
      </w:r>
      <w:r>
        <w:rPr>
          <w:rFonts w:ascii="宋体" w:hAnsi="宋体" w:cs="宋体"/>
          <w:color w:val="ff0000"/>
          <w:sz w:val="24"/>
          <w:highlight w:val="none"/>
          <w:u w:val="single"/>
        </w:rPr>
        <w:t xml:space="preserve">202</w:t>
      </w:r>
      <w:r>
        <w:rPr>
          <w:rFonts w:hint="eastAsia" w:ascii="宋体" w:hAnsi="宋体" w:cs="宋体"/>
          <w:color w:val="ff0000"/>
          <w:sz w:val="24"/>
          <w:highlight w:val="none"/>
          <w:u w:val="single"/>
        </w:rPr>
        <w:t xml:space="preserve">6</w:t>
      </w:r>
      <w:r>
        <w:rPr>
          <w:rFonts w:ascii="宋体" w:hAnsi="宋体" w:cs="宋体"/>
          <w:color w:val="ff0000"/>
          <w:sz w:val="24"/>
          <w:highlight w:val="none"/>
          <w:u w:val="single"/>
        </w:rPr>
        <w:t xml:space="preserve">年</w:t>
      </w:r>
      <w:r>
        <w:rPr>
          <w:rFonts w:hint="eastAsia" w:ascii="宋体" w:hAnsi="宋体" w:cs="宋体"/>
          <w:color w:val="ff0000"/>
          <w:sz w:val="24"/>
          <w:highlight w:val="none"/>
          <w:u w:val="single"/>
        </w:rPr>
        <w:t xml:space="preserve">5</w:t>
      </w:r>
      <w:r>
        <w:rPr>
          <w:rFonts w:ascii="宋体" w:hAnsi="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14</w:t>
      </w:r>
      <w:bookmarkStart w:id="6" w:name="_GoBack"/>
      <w:r/>
      <w:bookmarkEnd w:id="6"/>
      <w:r>
        <w:rPr>
          <w:rFonts w:ascii="宋体" w:hAnsi="宋体" w:cs="宋体"/>
          <w:color w:val="ff0000"/>
          <w:sz w:val="24"/>
          <w:highlight w:val="none"/>
          <w:u w:val="single"/>
        </w:rPr>
        <w:t xml:space="preserve">日 </w:t>
      </w:r>
      <w:r>
        <w:rPr>
          <w:rFonts w:hint="eastAsia" w:ascii="宋体" w:hAnsi="宋体" w:cs="宋体"/>
          <w:color w:val="ff0000"/>
          <w:sz w:val="24"/>
          <w:highlight w:val="none"/>
          <w:u w:val="single"/>
          <w:lang w:val="en-US" w:eastAsia="zh-CN"/>
        </w:rPr>
        <w:t xml:space="preserve">09</w:t>
      </w:r>
      <w:r>
        <w:rPr>
          <w:rFonts w:ascii="宋体" w:hAnsi="宋体" w:cs="宋体"/>
          <w:color w:val="ff0000"/>
          <w:sz w:val="24"/>
          <w:highlight w:val="none"/>
          <w:u w:val="single"/>
        </w:rPr>
        <w:t xml:space="preserve">点 </w:t>
      </w:r>
      <w:r>
        <w:rPr>
          <w:rFonts w:hint="eastAsia" w:ascii="宋体" w:hAnsi="宋体" w:cs="宋体"/>
          <w:color w:val="ff0000"/>
          <w:sz w:val="24"/>
          <w:highlight w:val="none"/>
          <w:u w:val="single"/>
          <w:lang w:val="en-US" w:eastAsia="zh-CN"/>
        </w:rPr>
        <w:t xml:space="preserve">30</w:t>
      </w:r>
      <w:r>
        <w:rPr>
          <w:rFonts w:ascii="宋体" w:hAnsi="宋体" w:cs="宋体"/>
          <w:color w:val="ff0000"/>
          <w:sz w:val="24"/>
          <w:highlight w:val="none"/>
          <w:u w:val="single"/>
        </w:rPr>
        <w:t xml:space="preserve">分</w:t>
      </w:r>
      <w:r>
        <w:rPr>
          <w:rFonts w:ascii="宋体" w:hAnsi="宋体" w:cs="宋体"/>
          <w:color w:val="000000"/>
          <w:sz w:val="24"/>
        </w:rPr>
        <w:t xml:space="preserve">（北京时间）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w:t>
      </w:r>
      <w:r/>
    </w:p>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ind w:firstLine="480"/>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1.名称：扬州市公路事业发展中心</w:t>
      </w:r>
      <w:r/>
    </w:p>
    <w:p>
      <w:pPr>
        <w:ind w:firstLine="480"/>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 址：</w:t>
      </w:r>
      <w:r>
        <w:rPr>
          <w:rFonts w:hint="eastAsia" w:ascii="宋体" w:hAnsi="宋体"/>
          <w:color w:val="000000" w:themeColor="text1"/>
          <w:sz w:val="24"/>
          <w:szCs w:val="24"/>
          <w14:textFill>
            <w14:solidFill>
              <w14:schemeClr w14:val="tx1"/>
            </w14:solidFill>
          </w14:textFill>
        </w:rPr>
        <w:t xml:space="preserve">扬州市史可法路50号</w:t>
      </w:r>
      <w:r/>
    </w:p>
    <w:p>
      <w:pPr>
        <w:ind w:firstLine="480"/>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联系人：胡昕瞳</w:t>
      </w:r>
      <w:r/>
    </w:p>
    <w:p>
      <w:pPr>
        <w:ind w:firstLine="480"/>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联系方式：13365100893</w:t>
      </w:r>
      <w:r/>
    </w:p>
    <w:p>
      <w:pPr>
        <w:ind w:firstLine="480"/>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2.扬州市公共资源交易中心信息</w:t>
      </w:r>
      <w:r/>
    </w:p>
    <w:p>
      <w:pPr>
        <w:ind w:firstLine="480"/>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　址：扬州市文昌东路9号广陵新城市民中心1号楼5楼1529室</w:t>
      </w:r>
      <w:r/>
    </w:p>
    <w:p>
      <w:pPr>
        <w:ind w:firstLine="480"/>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联系人：舒畅            </w:t>
      </w:r>
      <w:r/>
    </w:p>
    <w:p>
      <w:pPr>
        <w:ind w:firstLine="480"/>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联系方式：</w:t>
      </w:r>
      <w:bookmarkStart w:id="0" w:name="_Toc28359010"/>
      <w:r/>
      <w:bookmarkStart w:id="1" w:name="_Toc28359087"/>
      <w:r>
        <w:rPr>
          <w:rFonts w:hint="eastAsia" w:ascii="宋体" w:hAnsi="宋体" w:cs="宋体"/>
          <w:sz w:val="24"/>
        </w:rPr>
        <w:t xml:space="preserve">0514-82087195　</w:t>
      </w:r>
      <w:bookmarkEnd w:id="0"/>
      <w:r/>
      <w:bookmarkEnd w:id="1"/>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有关本次招标的事项若存在变动或修改，敬请及时关注扬州市公共资源交易中心在“江苏政府采购网”、“扬州市政府采购网”发布的更正公告。</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r>
        <w:br w:type="page" w:clear="all"/>
      </w:r>
      <w:r/>
      <w:r/>
    </w:p>
    <w:p>
      <w:pPr>
        <w:pStyle w:val="707"/>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602"/>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投标人一旦参加本项目采购活动，即被认为接受了本招标文件的规定和约束。</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在投标截止时间前，交易中心可以对招标文件进行修改。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 交易中心有权按照法定的要求推迟投标截止日期和开标日期。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 招标文件的修改将在江苏政府采购网、扬州市政府采购网公布，补充文件将作为招标文件的组成部分，并对投标人具有约束力。</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除技术性能另有规定外，投标文件所使用的度量衡单位，均须采用国家法定计量单位。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投标人编写的投标文件应包括基本目录、资格审查内容、符合性审查内容、价格扣除证明文件等部分。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10.1 投标人应按照招标文件要求提交证明文件，证明其投标标的符合招标文件规定。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 投标人按照招标文件规定格式填报投标分项报价表。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投标人需对招标文件中的技术要求与商务要求逐项作出响应或偏离，并说明原因。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 投标人需按照招标文件要求，在投标文件中提供与技术要求和商务要求相关的证明材料。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投标人应按照招标文件中提供的格式完整、正确填写投标函、开标一览表。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投标人应当按照《操作手册》规定，在投标截止时间前制作并上传电子投标文件。</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 投标人上传电子投标文件的时间不得迟于招标公告中规定的投标截止时间。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18.1交易中心拒绝接收在其规定的投标截止时间后上传的任何投标文件。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 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 电子投标文件的撤回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 投标人撤回电子投标文件，则认为其不再参与本项目投标活动。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投标文件的修改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19.2.1投标人可在投标截止时间前，对其电子投标文件进行修改，具体操作方法见《操作手册》。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 在投标截止时间之后，投标人不得对其电子投标文件作任何修改。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 在投标截止时间至招标文件中规定的投标有效期满之间的这段时间内，投标人不得撤回其投标。</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20.2开标仪式由交易中心组织。苏采云系统将自动对项目进行开标，并展示各投标人名称和投标价格。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20.3投标人在开标过程中涉及到的投标文件解密、开标结果确认等工作，应按照《操作手册》规定执行。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21.1开标后，交易中心将立即组织评标委员会（以下简称评委会）进行评标。</w:t>
      </w:r>
      <w:r/>
    </w:p>
    <w:p>
      <w:pPr>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21.2评委会由采购人代表和有关技术、经济等方面的专家组成，且人员构成符合政府采购有关规定。</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21.3评委会独立工作，负责评审所有投标文件并确定中标候选人。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22.2在评标过程中，投标人不得以任何行为影响评标过程，否则其投标文件将被作为无效投标文件。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 交易中心和评委会不向未中标的投标人解释未中标原因，也不公布评标过程中的相关细节。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 采用综合评分法的项目，未中标的投标人可于中标结果公告期限届满之日起通过苏采云系统查看自己的评审得分及排序情况。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投标人的澄清、说明或者补正不得超出投标文件的范围或者改变投标文件的实质性内容。</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评委会并非对每个投标人都做澄清要求。</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23.3接到评委会澄清、说明和补正要求的投标人如未按规定做出澄清、说明和补正，其风险由投标人自行承担。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24.1投标文件初审分为资格审查和符合性审查。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24.6投标人在开、评标全过程中应保持通讯畅通，及时登录苏采云系统查阅、答复相关信息，并安排专人与交易中心及评委会联系。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25.1无效投标条款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投标人在苏采云系统规定的时间内未成功解密电子投标文件的。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投标人未按照招标文件要求上传电子投标文件的。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投标人同一采购包提交两个（含两个）以上不同的投标报价的。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25.1.4投标人不具备招标文件中规定资格要求的。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25.1.5投标人的报价超过了采购预算或最高限价的。</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25.1.6未通过符合性审查的。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25.1.7不符合招标文件中规定的实质性要求的（本招标文件中斜体且有下划线部分为实质性要求）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 投标文件含有采购人不能接受的附加条件的。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 异常低价投标（响应）</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25.1.10.1</w:t>
      </w:r>
      <w:r>
        <w:rPr>
          <w:rFonts w:ascii="宋体" w:hAnsi="宋体" w:cs="宋体"/>
          <w:color w:val="383838"/>
          <w:sz w:val="24"/>
        </w:rPr>
        <w:t xml:space="preserve">投标（响应）报价低于全部通过符合性审查供应商投标（响应）报价平均值50%的，即投标（响应）报价&lt;全部通过符合性审查供应商投标（响应）报价平均值×50%；</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25.1.10.2</w:t>
      </w:r>
      <w:r>
        <w:rPr>
          <w:rFonts w:ascii="宋体" w:hAnsi="宋体" w:cs="宋体"/>
          <w:color w:val="383838"/>
          <w:sz w:val="24"/>
        </w:rPr>
        <w:t xml:space="preserve">投标（响应）报价低于通过符合性审查的次低报价供应商投标（响应）报价50%的，即投标（响应）报价&lt;通过符合性审查的次低报价供应商投标（响应）报价×50%；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25.1.10.3投标（响应）报价低于采购项目最高限价 45% 的，即投标（响应）报价&lt;采购项目最高限价×45%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25.1.10.4评审委员会认定的供应商报价过低、有可能影响产品质量或者不能诚信履约的其他情形。</w:t>
      </w:r>
      <w:r/>
    </w:p>
    <w:p>
      <w:pPr>
        <w:ind w:firstLine="480"/>
        <w:spacing w:line="400" w:lineRule="atLeast"/>
        <w:rPr>
          <w:rFonts w:hint="eastAsia" w:ascii="宋体" w:hAnsi="宋体" w:cs="宋体"/>
          <w:color w:val="383838"/>
          <w:sz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25.1.10.5</w:t>
      </w:r>
      <w:r>
        <w:rPr>
          <w:rFonts w:ascii="宋体" w:hAnsi="宋体" w:cs="宋体"/>
          <w:color w:val="383838"/>
          <w:sz w:val="24"/>
        </w:rPr>
        <w:t xml:space="preserve">评审</w:t>
      </w:r>
      <w:r>
        <w:rPr>
          <w:rFonts w:ascii="宋体" w:hAnsi="宋体" w:cs="宋体"/>
          <w:color w:val="383838"/>
          <w:sz w:val="24"/>
          <w:highlight w:val="white"/>
        </w:rPr>
        <w:t xml:space="preserve">委员会启动异常低价投标（响应）审查后，属于前述第1项至第4项情形的，</w:t>
      </w:r>
      <w:r/>
      <w:r>
        <w:rPr>
          <w:rFonts w:hint="eastAsia" w:ascii="宋体" w:hAnsi="宋体" w:cs="宋体"/>
          <w:color w:val="383838"/>
          <w:sz w:val="24"/>
          <w:highlight w:val="white"/>
        </w:rPr>
      </w:r>
      <w:r/>
      <w:r>
        <w:rPr>
          <w:rFonts w:hint="eastAsia" w:ascii="宋体" w:hAnsi="宋体" w:cs="宋体"/>
          <w:color w:val="383838"/>
          <w:sz w:val="24"/>
          <w:highlight w:val="white"/>
        </w:rP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383838"/>
          <w:sz w:val="24"/>
          <w:highlight w:val="white"/>
        </w:rPr>
        <w:t xml:space="preserve">应当要求相关供应商在评审现场合理的时间内</w:t>
      </w:r>
      <w:r>
        <w:rPr>
          <w:rFonts w:ascii="宋体" w:hAnsi="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cs="宋体"/>
          <w:color w:val="383838"/>
          <w:sz w:val="24"/>
          <w:highlight w:val="white"/>
        </w:rPr>
        <w:t xml:space="preserve">给予相关供应商的合理时间一般</w:t>
      </w:r>
      <w:r>
        <w:rPr>
          <w:rFonts w:ascii="宋体" w:hAnsi="宋体" w:cs="宋体"/>
          <w:color w:val="ff0000"/>
          <w:sz w:val="24"/>
          <w:highlight w:val="white"/>
        </w:rPr>
        <w:t xml:space="preserve">不少于30分钟</w:t>
      </w:r>
      <w:r>
        <w:rPr>
          <w:rFonts w:ascii="宋体" w:hAnsi="宋体" w:cs="宋体"/>
          <w:color w:val="383838"/>
          <w:sz w:val="24"/>
          <w:highlight w:val="white"/>
        </w:rPr>
        <w:t xml:space="preserve">。其中，属于第3项情形，供应商已随投标（响应）文件一并提交相关书面说明及必要的证明材料的，在评审现场可不再重复提交。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 投标文件未按照招标文件要求加盖CA电子公章的。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25.1.12其他法律、法规及本招标文件规定的属无效投标的情形。</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25.2.1符合专业条件的供应商或者对招标文件作实质响应的供应商不足三家的。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25.2.2出现影响采购公正的违法、违规行为的。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25.2.3因重大变故，采购任务取消的。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25.2.4评委会认定招标文件存在歧义、重大缺陷导致评审工作无法进行。</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 因苏采云系统系统故障原因造成开标不成功的。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投标截止时间结束后参加投标的供应商不足三家的处理：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26.1中标候选人的选取原则和数量见招标文件第五章规定。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 采购人应根据评委会推荐的中标候选人确定中标供应商。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 交易中心将在“江苏政府采购网、扬州市政府采购网”发布中标公告，公告期限为1个工作日。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  若有充分证据证明，中标供应商出现下列情况之一的，一经查实，将被取消中标资格：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26.4.1提供虚假材料谋取中标的。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26.4.2向采购人、交易中心行贿或者提供其他不正当利益的。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26.4.3属于本文件规定的无效条件，但在评标过程中又未被评委会发现的。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26.4.4与采购人或者其他供应商恶意串通的。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26.4.5采取不正当手段诋毁、排挤其他供应商的。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 有下列情形之一的，视为投标人串通投标，投标无效：</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 不同投标人的投标文件载明的项目管理成员或者联系人员为同一人。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 提出质疑的供应商应当是参与所质疑项目采购活动的供应商。潜在供应商依法获取其可质疑的采购文件的，可以对采购文件提出质疑。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27.2.1对可以质疑的采购文件提出质疑的，为收到采购文件之日或者采购文件公告期限届满之日；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27.2.2对采购过程提出质疑的，为各采购程序环节结束之日；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27.2.3对中标或者成交结果提出质疑的，为中标或者成交结果公告期限届满之日。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以下情形的质疑不予受理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 内容不符合《政府采购质疑和投诉办法》第十二条规定的质疑。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 超出政府采购法定期限的质疑。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以传真、电子邮件等方式递交的非原件形式的质疑。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27.5.4未参加投标活动的供应商或在投标活动中自身权益未受到损害的供应商所提出的质疑。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27.5.5供应商组成联合体参加投标，联合体中任何一方或多方未按要求签字、盖章、加盖公章的质疑。</w:t>
      </w:r>
      <w:r/>
    </w:p>
    <w:p>
      <w:pPr>
        <w:ind w:firstLine="4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29.2招标文件、中标供应商的投标文件及招标过程中有关澄清、承诺文件均应作为合同附件。</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rPr>
          <w:rFonts w:hint="eastAsia"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pBdr>
          <w:top w:val="none" w:color="000000" w:sz="0" w:space="0"/>
          <w:left w:val="none" w:color="000000" w:sz="0" w:space="0"/>
          <w:bottom w:val="none" w:color="000000" w:sz="0" w:space="0"/>
          <w:right w:val="none" w:color="000000" w:sz="0" w:space="0"/>
        </w:pBdr>
      </w:pPr>
      <w:r>
        <w:rPr>
          <w:rFonts w:ascii="宋体" w:hAnsi="宋体" w:cs="宋体"/>
          <w:color w:val="000000"/>
        </w:rPr>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hint="eastAsia" w:ascii="宋体" w:hAnsi="宋体" w:cs="宋体"/>
          <w:color w:val="000000"/>
        </w:rPr>
        <w:t xml:space="preserve">                      </w:t>
      </w:r>
      <w:r>
        <w:rPr>
          <w:rFonts w:ascii="黑体" w:hAnsi="黑体" w:eastAsia="黑体" w:cs="黑体"/>
          <w:b/>
          <w:color w:val="000000"/>
          <w:sz w:val="44"/>
        </w:rPr>
        <w:t xml:space="preserve">第三章 合同文本</w:t>
      </w:r>
      <w:r/>
    </w:p>
    <w:p>
      <w:pPr>
        <w:jc w:val="left"/>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江苏省政府采购合同（服务）（合同编号）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甲方：（买方/采购人）_________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乙方：（卖方/中标供应商）_________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甲、乙双方根据扬州市公共资源交易中心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本合同金额为（大写）：________圆（________元）人民币或其他币种。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6.1乙方交纳人民币___</w:t>
      </w:r>
      <w:r>
        <w:rPr>
          <w:rFonts w:ascii="宋体" w:hAnsi="宋体" w:cs="宋体"/>
          <w:color w:val="0000ff"/>
          <w:sz w:val="24"/>
          <w:u w:val="single"/>
        </w:rPr>
        <w:t xml:space="preserve">零</w:t>
      </w:r>
      <w:r>
        <w:rPr>
          <w:rFonts w:ascii="宋体" w:hAnsi="宋体" w:cs="宋体"/>
          <w:color w:val="000000"/>
          <w:sz w:val="24"/>
        </w:rPr>
        <w:t xml:space="preserve">___元作为本合同的履约保证金。（不得超过合同金额的10%）</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6.2合同履行结束后，甲方应及时退还交纳的履约保证金。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6.2.1履约保证金退还方式：</w:t>
      </w:r>
      <w:r>
        <w:rPr>
          <w:rFonts w:ascii="宋体" w:hAnsi="宋体" w:cs="宋体"/>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6.2.2履约保证金退还时间：</w:t>
      </w:r>
      <w:r>
        <w:rPr>
          <w:rFonts w:ascii="宋体" w:hAnsi="宋体" w:cs="宋体"/>
          <w:color w:val="0000ff"/>
          <w:sz w:val="24"/>
        </w:rPr>
        <w:t xml:space="preserve">无</w:t>
      </w:r>
      <w:r/>
    </w:p>
    <w:p>
      <w:pPr>
        <w:ind w:left="408" w:hanging="408"/>
        <w:spacing w:before="120" w:after="120"/>
        <w:rPr>
          <w:rFonts w:hint="eastAsia" w:ascii="宋体" w:hAnsi="宋体" w:cs="宋体"/>
          <w:color w:val="0000ff"/>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6.2.3履约保证金退还条件：</w:t>
      </w:r>
      <w:r>
        <w:rPr>
          <w:rFonts w:ascii="宋体" w:hAnsi="宋体" w:cs="宋体"/>
          <w:color w:val="0000ff"/>
          <w:sz w:val="24"/>
        </w:rPr>
        <w:t xml:space="preserve">无</w:t>
      </w:r>
      <w:r/>
    </w:p>
    <w:p>
      <w:pPr>
        <w:ind w:left="408" w:hanging="408"/>
        <w:spacing w:before="120" w:after="120"/>
        <w:rPr>
          <w:rFonts w:hint="eastAsia" w:ascii="宋体" w:hAnsi="宋体" w:cs="宋体"/>
          <w:color w:val="0000ff"/>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6.2.4履约保证金不予退还的情形：</w:t>
      </w:r>
      <w:r>
        <w:rPr>
          <w:rFonts w:ascii="宋体" w:hAnsi="宋体" w:cs="宋体"/>
          <w:color w:val="0000ff"/>
          <w:sz w:val="24"/>
        </w:rPr>
        <w:t xml:space="preserve">无</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6.2.5履约保证金逾期退还的违约责任：</w:t>
      </w:r>
      <w:r>
        <w:rPr>
          <w:rFonts w:ascii="宋体" w:hAnsi="宋体" w:cs="宋体"/>
          <w:color w:val="0000ff"/>
          <w:sz w:val="24"/>
        </w:rPr>
        <w:t xml:space="preserve">无</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ind w:firstLine="240"/>
        <w:spacing w:before="145" w:after="145"/>
        <w:rPr>
          <w:rFonts w:hint="eastAsia" w:ascii="宋体" w:hAnsi="宋体" w:cs="宋体"/>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合同签订，甲方自收到发票之日起10个工作日内，支付合同总价30%的预付款；7月底前甲方自收到发票之日起10个工作日内，支付合同总价的20%；合同期满验收合格，当月甲方自收到发票之日起10个工作日内，付清合同尾款。</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 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12.1在合同有效期内，任何一方因不可抗力事件导致不能履行合同，则合同履行期可延长，其延长期与不可抗力影响期相同。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14.2本合同未尽事宜，遵照中华人民共和国现行法律法规有关条文执行。</w:t>
      </w:r>
      <w:r/>
    </w:p>
    <w:p>
      <w:pPr>
        <w:ind w:left="480" w:hanging="480"/>
        <w:spacing w:before="120" w:after="120"/>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14.3本合同正本一式两份，具有同等法律效力，甲方、乙方各执一份。</w:t>
      </w:r>
      <w:r/>
      <w:r/>
      <w:r/>
      <w:r>
        <w:rPr>
          <w:rFonts w:hint="eastAsia" w:ascii="宋体" w:hAnsi="宋体" w:cs="宋体"/>
          <w:color w:val="000000"/>
          <w:sz w:val="24"/>
          <w:szCs w:val="24"/>
        </w:rP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w:t>
            </w:r>
            <w:r/>
          </w:p>
        </w:tc>
      </w:tr>
    </w:tbl>
    <w:p>
      <w:pPr>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hint="eastAsia" w:ascii="宋体" w:hAnsi="宋体" w:cs="宋体"/>
          <w:color w:val="000000"/>
          <w:sz w:val="24"/>
        </w:rPr>
        <w:t xml:space="preserve">           </w:t>
      </w:r>
      <w:r>
        <w:rPr>
          <w:rFonts w:ascii="宋体" w:hAnsi="宋体" w:cs="宋体"/>
          <w:color w:val="000000"/>
          <w:sz w:val="24"/>
        </w:rPr>
        <w:t xml:space="preserve">签订日期：年  月 日</w:t>
      </w:r>
      <w:r>
        <w:rPr>
          <w:rFonts w:ascii="宋体" w:hAnsi="宋体" w:cs="宋体"/>
          <w:color w:val="000000"/>
          <w:sz w:val="24"/>
        </w:rPr>
        <w:br w:type="page" w:clear="all"/>
      </w:r>
      <w:r/>
      <w:r/>
    </w:p>
    <w:p>
      <w:pPr>
        <w:pStyle w:val="707"/>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hanging="49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一、项目属性:服务类项目</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eastAsia="Times New Roman"/>
          <w:color w:val="000000"/>
          <w:sz w:val="24"/>
        </w:rPr>
        <w:t xml:space="preserve">.</w:t>
      </w:r>
      <w:r>
        <w:rPr>
          <w:rFonts w:ascii="宋体" w:hAnsi="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color w:val="000000"/>
          <w:sz w:val="24"/>
          <w:u w:val="single"/>
        </w:rPr>
        <w:t xml:space="preserve">无</w:t>
      </w:r>
      <w:r>
        <w:rPr>
          <w:rFonts w:ascii="宋体" w:hAnsi="宋体" w:cs="宋体"/>
          <w:color w:val="000000"/>
          <w:sz w:val="24"/>
        </w:rPr>
        <w:t xml:space="preserve">。</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供应商对于投标产品的包装应按照“财办库〔</w:t>
      </w:r>
      <w:r>
        <w:rPr>
          <w:rFonts w:eastAsia="Times New Roman"/>
          <w:color w:val="000000"/>
          <w:sz w:val="24"/>
        </w:rPr>
        <w:t xml:space="preserve">2020</w:t>
      </w:r>
      <w:r>
        <w:rPr>
          <w:rFonts w:ascii="宋体" w:hAnsi="宋体" w:cs="宋体"/>
          <w:color w:val="000000"/>
          <w:sz w:val="24"/>
        </w:rPr>
        <w:t xml:space="preserve">〕</w:t>
      </w:r>
      <w:r>
        <w:rPr>
          <w:rFonts w:eastAsia="Times New Roman"/>
          <w:color w:val="000000"/>
          <w:sz w:val="24"/>
        </w:rPr>
        <w:t xml:space="preserve">123</w:t>
      </w:r>
      <w:r>
        <w:rPr>
          <w:rFonts w:ascii="宋体" w:hAnsi="宋体" w:cs="宋体"/>
          <w:color w:val="000000"/>
          <w:sz w:val="24"/>
        </w:rPr>
        <w:t xml:space="preserve">号《关于印发《商品包装政府采购需求标准（试行）》、《快递包装政府采购需求标准（试行）》的通知》”执行。</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3.采购标的清单</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bl>
      <w:tblPr>
        <w:tblStyle w:val="717"/>
        <w:tblW w:w="8707" w:type="dxa"/>
        <w:tblInd w:w="4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4961"/>
        <w:gridCol w:w="2852"/>
      </w:tblGrid>
      <w:tr>
        <w:trPr>
          <w:cantSplit/>
        </w:trPr>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采购标的</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对应中小企业划分标准所属行业</w:t>
            </w:r>
            <w:r/>
          </w:p>
        </w:tc>
      </w:tr>
      <w:tr>
        <w:trPr>
          <w:cantSplit/>
          <w:trHeight w:val="633"/>
        </w:trPr>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olor w:val="000000" w:themeColor="text1"/>
                <w:sz w:val="24"/>
                <w:szCs w:val="24"/>
                <w14:textFill>
                  <w14:solidFill>
                    <w14:schemeClr w14:val="tx1"/>
                  </w14:solidFill>
                </w14:textFill>
              </w:rPr>
              <w:t xml:space="preserve">扬州市公路事业发展中心2026年扬州公路专网通讯线路服务（</w:t>
            </w:r>
            <w:bookmarkStart w:id="2" w:name="OLE_LINK8"/>
            <w:r>
              <w:rPr>
                <w:rFonts w:hint="eastAsia" w:ascii="宋体" w:hAnsi="宋体"/>
                <w:color w:val="000000" w:themeColor="text1"/>
                <w:sz w:val="24"/>
                <w:szCs w:val="24"/>
                <w14:textFill>
                  <w14:solidFill>
                    <w14:schemeClr w14:val="tx1"/>
                  </w14:solidFill>
                </w14:textFill>
              </w:rPr>
              <w:t xml:space="preserve">包</w:t>
            </w:r>
            <w:bookmarkEnd w:id="2"/>
            <w:r>
              <w:rPr>
                <w:rFonts w:hint="eastAsia" w:ascii="宋体" w:hAnsi="宋体"/>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olor w:val="ff0000"/>
                <w:sz w:val="24"/>
                <w:szCs w:val="24"/>
              </w:rPr>
              <w:t xml:space="preserve">信息传输业</w:t>
            </w:r>
            <w:r/>
          </w:p>
        </w:tc>
      </w:tr>
      <w:tr>
        <w:trPr>
          <w:cantSplit/>
          <w:trHeight w:val="633"/>
        </w:trPr>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spacing w:line="0" w:lineRule="atLeast"/>
              <w:rPr>
                <w:rFonts w:hint="eastAsia" w:ascii="宋体" w:hAnsi="宋体" w:cs="宋体"/>
                <w:color w:val="000000"/>
                <w:sz w:val="24"/>
                <w:szCs w:val="24"/>
              </w:rPr>
            </w:pPr>
            <w:r>
              <w:rPr>
                <w:rFonts w:hint="eastAsia" w:ascii="宋体" w:hAnsi="宋体"/>
                <w:color w:val="000000" w:themeColor="text1"/>
                <w:sz w:val="24"/>
                <w:szCs w:val="24"/>
                <w14:textFill>
                  <w14:solidFill>
                    <w14:schemeClr w14:val="tx1"/>
                  </w14:solidFill>
                </w14:textFill>
              </w:rPr>
              <w:t xml:space="preserve">扬州市公路事业发展中心2026年扬州公路专网通讯线路服务（包2）</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0" w:lineRule="atLeast"/>
              <w:rPr>
                <w:rFonts w:hint="eastAsia" w:ascii="宋体" w:hAnsi="宋体" w:cs="宋体"/>
                <w:color w:val="000000"/>
                <w:sz w:val="24"/>
                <w:szCs w:val="24"/>
              </w:rPr>
            </w:pPr>
            <w:r/>
            <w:bookmarkStart w:id="3" w:name="OLE_LINK7"/>
            <w:r>
              <w:rPr>
                <w:rFonts w:hint="eastAsia" w:ascii="宋体" w:hAnsi="宋体"/>
                <w:color w:val="ff0000"/>
                <w:sz w:val="24"/>
                <w:szCs w:val="24"/>
              </w:rPr>
              <w:t xml:space="preserve">信息传输业</w:t>
            </w:r>
            <w:bookmarkEnd w:id="3"/>
            <w:r/>
            <w:r/>
          </w:p>
        </w:tc>
      </w:tr>
      <w:tr>
        <w:trPr>
          <w:cantSplit/>
          <w:trHeight w:val="633"/>
        </w:trPr>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扬州市公路事业发展中心2026年扬州公路专网通讯线路服务（包3）</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0" w:lineRule="atLeast"/>
              <w:rPr>
                <w:rFonts w:hint="eastAsia" w:ascii="宋体" w:hAnsi="宋体"/>
                <w:color w:val="ff0000"/>
                <w:sz w:val="24"/>
                <w:szCs w:val="24"/>
              </w:rPr>
            </w:pPr>
            <w:r>
              <w:rPr>
                <w:rFonts w:hint="eastAsia" w:ascii="宋体" w:hAnsi="宋体"/>
                <w:color w:val="ff0000"/>
                <w:sz w:val="24"/>
                <w:szCs w:val="24"/>
              </w:rPr>
              <w:t xml:space="preserve">信息传输业</w:t>
            </w:r>
            <w:r/>
          </w:p>
        </w:tc>
      </w:tr>
    </w:tbl>
    <w:p>
      <w:pPr>
        <w:pBdr>
          <w:top w:val="none" w:color="000000" w:sz="0" w:space="0"/>
          <w:left w:val="none" w:color="000000" w:sz="0" w:space="0"/>
          <w:bottom w:val="none" w:color="000000" w:sz="0" w:space="0"/>
          <w:right w:val="none" w:color="000000" w:sz="0" w:space="0"/>
        </w:pBdr>
      </w:pPr>
      <w:r>
        <w:rPr>
          <w:rFonts w:hint="eastAsia"/>
        </w:rPr>
        <w:br w:type="page" w:clear="all"/>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二、技术要求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技术要求是指对采购标的功能和质量要求，包括性能、材料、结构、外观、安全，或者服务内容和标准等。其中</w:t>
      </w:r>
      <w:r>
        <w:rPr>
          <w:rFonts w:ascii="宋体" w:hAnsi="宋体" w:cs="宋体"/>
          <w:b/>
          <w:i/>
          <w:color w:val="ff0000"/>
          <w:sz w:val="24"/>
          <w:u w:val="single"/>
        </w:rPr>
        <w:t xml:space="preserve">斜体且有下划线部分</w:t>
      </w:r>
      <w:r>
        <w:rPr>
          <w:rFonts w:ascii="宋体" w:hAnsi="宋体" w:cs="宋体"/>
          <w:b/>
          <w:color w:val="ff0000"/>
          <w:sz w:val="24"/>
        </w:rPr>
        <w:t xml:space="preserve">为实质性要求。</w:t>
      </w:r>
      <w:r/>
    </w:p>
    <w:p>
      <w:pPr>
        <w:ind w:left="450" w:right="225" w:firstLine="482"/>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一、项目总体需求</w:t>
      </w:r>
      <w:r/>
    </w:p>
    <w:p>
      <w:pPr>
        <w:ind w:left="450"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（一）项目总体需求</w:t>
      </w:r>
      <w:r/>
    </w:p>
    <w:p>
      <w:pPr>
        <w:ind w:left="450"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1、系统对接需求：</w:t>
      </w:r>
      <w:r/>
    </w:p>
    <w:p>
      <w:pPr>
        <w:ind w:left="450"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（1）服务响应时间：自接到采购人通知后不超过1小时，故障修复时间不超过4小时。</w:t>
      </w:r>
      <w:r/>
    </w:p>
    <w:p>
      <w:pPr>
        <w:ind w:left="450" w:right="225" w:firstLine="480"/>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为保障业务稳定，所有通讯线路均需在中标合同签订后5个自然日内完成传输和网络平台建设，联网率达到100%。如需线路割接，要做到无缝对接，实施期间需确保现有信息系统平台平稳运行（主要包含智慧路网云控平台、路网监测视频云平台、公路视频机器视觉智能感知平台等），保证网络不能中断。</w:t>
      </w:r>
      <w:r/>
    </w:p>
    <w:p>
      <w:pPr>
        <w:ind w:left="450"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2、项目管理需求：</w:t>
      </w:r>
      <w:r/>
    </w:p>
    <w:p>
      <w:pPr>
        <w:ind w:left="450"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（1）对于采购人要求的线路开通端地址，中标人须完全满足，相关进场协调工作及费用由中标人自行承担。</w:t>
      </w:r>
      <w:r/>
    </w:p>
    <w:p>
      <w:pPr>
        <w:ind w:left="450"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2）每月向采购人提供通信线路运行质量报告，（报告内容包括但不限于通信线路的基础信息、各线路的光衰、网络时延、丢包率等状态信息、新增拆机移机等租赁服务信息等），确保通信线路各项运行指标正常。通信线路出现重大故障时，通信备用线路以及端点直连网络设备的备品备件能随时应急启用。</w:t>
      </w:r>
      <w:r/>
    </w:p>
    <w:p>
      <w:pPr>
        <w:ind w:left="450"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3、运维服务需求：</w:t>
      </w:r>
      <w:r/>
    </w:p>
    <w:p>
      <w:pPr>
        <w:ind w:left="450"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1）提供每月常态化全部通信线路的巡检、维护服务，每月巡检次数不少于1次，并提供全面巡检报告，巡检内容包括但不限于通信线路物理状态、行业通用技术指标、客户方定制的相关通信线路配置管理规定的合规性检查、通信线路台账、新增拆机移机情况、租费核准等，提供24小时统一故障申告服务电话，提供故障响应流程和服务承诺。</w:t>
      </w:r>
      <w:r/>
    </w:p>
    <w:p>
      <w:pPr>
        <w:ind w:left="450"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2）除人为破坏和不可抗力影响外，如通信线路发生大面积中断故障（故障比例达到线路总数3%及以上），时间连续超过4小时，中标人扣除1个月的全部通信线路租用费用；达12小时，中标人扣除2个月的全部通信线路租用费用；一年内发生大面积中断超过2次，采购人有权终止合同，中标人须承担相关法律责任。中断故障时间的计算，以中标人接到采购人通知或中标人查出中断的时间起至恢复通信服务时止。</w:t>
      </w:r>
      <w:r/>
    </w:p>
    <w:p>
      <w:pPr>
        <w:ind w:left="450"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3）除人为破坏和不可抗力影响外，如通信线路发生一般中断故障（单条线路中断时间达10分钟计为1次）每达3次，根据中标人的投标价格，扣除该条线路当月线路租赁费。若因市政等原因导致的长时间断网（超过1个月）中标人需提前报备并提供解决方案，如无解决方案将作为停机处理并扣除相应的租赁费用。</w:t>
      </w:r>
      <w:r/>
    </w:p>
    <w:p>
      <w:pPr>
        <w:ind w:left="450"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4、应急保障需求：</w:t>
      </w:r>
      <w:r/>
    </w:p>
    <w:p>
      <w:pPr>
        <w:ind w:left="450"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中标人需根据采购人的要求，及时派出技术维护人员到现场提供服务保障，遇有重要任务（重大活动、会议等），需提前检查线路及设备，并配备现场值守人员，遇到网络故障立即处置； </w:t>
      </w:r>
      <w:r/>
    </w:p>
    <w:p>
      <w:pPr>
        <w:ind w:left="450"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5、综合网管系统需求：</w:t>
      </w:r>
      <w:r/>
    </w:p>
    <w:p>
      <w:pPr>
        <w:ind w:left="450"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中标人需根据本次项目中所涉及到的线路提供对应的综合网管系统用于线路管理。应包含下面内容：</w:t>
      </w:r>
      <w:r/>
    </w:p>
    <w:p>
      <w:pPr>
        <w:ind w:left="450"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（1）包含当前告警或历史告警查看，可指定客户、时间、电路类型、告警级别查看当前告警或历史告警。</w:t>
      </w:r>
      <w:r/>
    </w:p>
    <w:p>
      <w:pPr>
        <w:ind w:left="450"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（2）包含大客户差异化服务SLA保障管理，可根据不同的客户设计不同故障响应时间及标准、割接提醒时限及通知方式、网络巡检周期等。</w:t>
      </w:r>
      <w:r/>
    </w:p>
    <w:p>
      <w:pPr>
        <w:ind w:left="450"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6、售后服务要求:</w:t>
      </w:r>
      <w:r/>
    </w:p>
    <w:p>
      <w:pPr>
        <w:ind w:left="450"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（1）售后服务方案中需包含服务机构、服务内容、响应时间、故障处理、恢复时效、支撑保障六项内容。</w:t>
      </w:r>
      <w:r/>
    </w:p>
    <w:p>
      <w:pPr>
        <w:numPr>
          <w:ilvl w:val="0"/>
          <w:numId w:val="5"/>
        </w:numPr>
        <w:ind w:right="-187"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投标人需设有7*24小时故障报修受理服务机构，有故障30分钟到达现场，一般故障4小时内解决排除，重大故障12小时内解决排除。</w:t>
      </w:r>
      <w:r/>
    </w:p>
    <w:p>
      <w:pPr>
        <w:numPr>
          <w:ilvl w:val="0"/>
          <w:numId w:val="5"/>
        </w:numPr>
        <w:ind w:right="-187"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提供每年4次以上巡检、维护服务，提供24小时统一故障申告服务电话，提供故障响应流程和服务承诺。</w:t>
      </w:r>
      <w:r/>
    </w:p>
    <w:p>
      <w:pPr>
        <w:numPr>
          <w:ilvl w:val="0"/>
          <w:numId w:val="5"/>
        </w:numPr>
        <w:ind w:right="-187"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中标人提供需具有经验丰富的专业技术人员负责维护管理，维护人员24小时实时响应网络障碍或用户报障，保证网络障碍或用户报障得到快速、有效的处理，确保专网用户业务数据安全通畅。</w:t>
      </w:r>
      <w:r/>
    </w:p>
    <w:p>
      <w:pPr>
        <w:numPr>
          <w:ilvl w:val="0"/>
          <w:numId w:val="5"/>
        </w:numPr>
        <w:ind w:right="-187"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提供网络故障的主动识别恢复报警功能，保证网络障碍或用户报障得到快速、有效的处理，确保专网用户业务数据安全通畅。</w:t>
      </w:r>
      <w:r/>
    </w:p>
    <w:p>
      <w:pPr>
        <w:ind w:left="420" w:right="-187"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7、人员配备要求：</w:t>
      </w:r>
      <w:r/>
    </w:p>
    <w:p>
      <w:pPr>
        <w:ind w:right="-187"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（1）项目技术总负责人（1人），具备通信类高级工程师认证证书；</w:t>
      </w:r>
      <w:r/>
    </w:p>
    <w:p>
      <w:pPr>
        <w:ind w:right="-187"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（2）项目安全技术负责人（1人），具备注册信息安全专业人员证书；</w:t>
      </w:r>
      <w:r/>
    </w:p>
    <w:p>
      <w:pPr>
        <w:ind w:right="-187"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（3）项目网络技术负责人（1人），网络工程师证书（中级资格）；</w:t>
      </w:r>
      <w:r/>
    </w:p>
    <w:p>
      <w:pPr>
        <w:ind w:right="-187"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（4）项目网络团队（除项目技术总负责人、项目安全技术负责人和项目网络技术负责人外）（3人），具备通信专业技术人员职业资格中级或以上证书。</w:t>
      </w:r>
      <w:r/>
    </w:p>
    <w:p>
      <w:pPr>
        <w:ind w:right="225" w:firstLine="482"/>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二、线路预算及清单</w:t>
      </w:r>
      <w:r/>
    </w:p>
    <w:p>
      <w:pPr>
        <w:ind w:right="225" w:firstLine="482"/>
        <w:spacing w:line="360" w:lineRule="auto"/>
        <w:rPr>
          <w:rFonts w:hint="eastAsia" w:ascii="宋体" w:hAnsi="宋体" w:cs="等线"/>
          <w:b/>
          <w:bCs/>
          <w:sz w:val="24"/>
          <w:szCs w:val="24"/>
          <w:lang w:bidi="ar"/>
        </w:rPr>
      </w:pPr>
      <w:r>
        <w:rPr>
          <w:rFonts w:hint="eastAsia" w:ascii="宋体" w:hAnsi="宋体" w:cs="等线"/>
          <w:b/>
          <w:bCs/>
          <w:sz w:val="24"/>
          <w:szCs w:val="24"/>
          <w:lang w:bidi="ar"/>
        </w:rPr>
        <w:t xml:space="preserve">包1：高邮、宝应、江都分中心路网监测线路及上云线路289条租用服务</w:t>
      </w:r>
      <w:r/>
    </w:p>
    <w:p>
      <w:pPr>
        <w:ind w:right="225" w:firstLine="482"/>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1、项目需求：路网监测线路286条，上云线路3条</w:t>
      </w:r>
      <w:r>
        <w:rPr>
          <w:rFonts w:hint="eastAsia" w:ascii="宋体" w:hAnsi="宋体"/>
          <w:b/>
          <w:bCs/>
          <w:sz w:val="24"/>
          <w:szCs w:val="24"/>
        </w:rPr>
        <w:t xml:space="preserve">，</w:t>
      </w:r>
      <w:r>
        <w:rPr>
          <w:rFonts w:hint="eastAsia" w:ascii="宋体" w:hAnsi="宋体" w:cs="宋体"/>
          <w:b/>
          <w:bCs/>
          <w:sz w:val="24"/>
          <w:szCs w:val="24"/>
          <w:lang w:bidi="ar"/>
        </w:rPr>
        <w:t xml:space="preserve">其中：</w:t>
      </w:r>
      <w:r/>
    </w:p>
    <w:p>
      <w:pPr>
        <w:ind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1）高邮分中心线路104条（100条20M带宽，4条100M带宽）；</w:t>
      </w:r>
      <w:r/>
    </w:p>
    <w:p>
      <w:pPr>
        <w:ind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2）宝应分中心线路81条（75条20M带宽，4条50M带宽，2条100M带宽）；</w:t>
      </w:r>
      <w:r/>
    </w:p>
    <w:p>
      <w:pPr>
        <w:ind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3）江都分中心线路104条（94条20M带宽，8条50M带宽，2条100M带宽）。</w:t>
      </w:r>
      <w:r/>
    </w:p>
    <w:p>
      <w:pPr>
        <w:ind w:right="225" w:firstLine="482"/>
        <w:spacing w:line="360" w:lineRule="auto"/>
        <w:rPr>
          <w:rFonts w:hint="eastAsia" w:ascii="宋体" w:hAnsi="宋体"/>
          <w:sz w:val="24"/>
          <w:szCs w:val="24"/>
        </w:rPr>
      </w:pPr>
      <w:r>
        <w:rPr>
          <w:rFonts w:hint="eastAsia" w:ascii="宋体" w:hAnsi="宋体" w:cs="宋体"/>
          <w:b/>
          <w:bCs/>
          <w:sz w:val="24"/>
          <w:szCs w:val="24"/>
          <w:lang w:bidi="ar"/>
        </w:rPr>
        <w:t xml:space="preserve">2、服务期：</w:t>
      </w:r>
      <w:r>
        <w:rPr>
          <w:rFonts w:hint="eastAsia" w:ascii="宋体" w:hAnsi="宋体" w:cs="宋体"/>
          <w:sz w:val="24"/>
          <w:szCs w:val="24"/>
          <w:lang w:bidi="ar"/>
        </w:rPr>
        <w:t xml:space="preserve">2026年4月底到期的264条路网监测线路及3条上云线路</w:t>
      </w:r>
      <w:r>
        <w:rPr>
          <w:rFonts w:hint="eastAsia" w:ascii="宋体" w:hAnsi="宋体"/>
          <w:sz w:val="24"/>
          <w:szCs w:val="24"/>
        </w:rPr>
        <w:t xml:space="preserve">服务期十二个月（自合同签订之日起计），2026年8月底到期的22条</w:t>
      </w:r>
      <w:r>
        <w:rPr>
          <w:rFonts w:hint="eastAsia" w:ascii="宋体" w:hAnsi="宋体" w:cs="宋体"/>
          <w:sz w:val="24"/>
          <w:szCs w:val="24"/>
          <w:lang w:bidi="ar"/>
        </w:rPr>
        <w:t xml:space="preserve">路网监测线路</w:t>
      </w:r>
      <w:r>
        <w:rPr>
          <w:rFonts w:hint="eastAsia" w:ascii="宋体" w:hAnsi="宋体"/>
          <w:sz w:val="24"/>
          <w:szCs w:val="24"/>
        </w:rPr>
        <w:t xml:space="preserve">服务期八个月（自合同签订之日起计）。</w:t>
      </w:r>
      <w:r/>
    </w:p>
    <w:p>
      <w:pPr>
        <w:ind w:right="225" w:firstLine="482"/>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3、服务要求</w:t>
      </w:r>
      <w:r/>
    </w:p>
    <w:p>
      <w:pPr>
        <w:ind w:right="225" w:firstLine="480"/>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3.1服务期内，中标人承诺免费提供线路迁移服务，迁移服务包含：</w:t>
      </w:r>
      <w:r/>
    </w:p>
    <w:p>
      <w:pPr>
        <w:ind w:right="225" w:firstLine="480"/>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3.1.1采购人办公地点整体迁移。要求投标人先开通新办公地点的线路，采购人迁移工作完毕后，再拆除原办公地点线路。新老线路在迁移期间不再额外收取任何费用。新旧光传输设备型号、容量不降低。制定整体迁移方案。</w:t>
      </w:r>
      <w:r/>
    </w:p>
    <w:p>
      <w:pPr>
        <w:ind w:right="225" w:firstLine="480"/>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3.1.2采购人办公地点不变，机房位置根据工作需要改变位置。要求投标人根据采购人需求，免费提供接入光缆或光传输设备的移位服务。迁移前应制定详细的线路迁移方案，迁移中线路中断时间应在招标人的要求范围内，迁移后保证线路的可用性，确保系统如期正常运行。</w:t>
      </w:r>
      <w:r/>
    </w:p>
    <w:p>
      <w:pPr>
        <w:ind w:right="225" w:firstLine="480"/>
        <w:spacing w:line="360" w:lineRule="auto"/>
        <w:rPr>
          <w:rFonts w:hint="eastAsia" w:ascii="宋体" w:hAnsi="宋体" w:cs="等线"/>
          <w:b/>
          <w:bCs/>
          <w:sz w:val="24"/>
          <w:szCs w:val="24"/>
          <w:highlight w:val="none"/>
          <w:lang w:bidi="ar"/>
        </w:rPr>
      </w:pPr>
      <w:r>
        <w:rPr>
          <w:rFonts w:hint="eastAsia" w:ascii="宋体" w:hAnsi="宋体" w:cs="宋体"/>
          <w:sz w:val="24"/>
          <w:szCs w:val="24"/>
          <w:highlight w:val="none"/>
          <w:lang w:bidi="ar"/>
        </w:rPr>
        <w:t xml:space="preserve">3.1.3通讯线路需符合：误码率</w:t>
      </w:r>
      <w:r>
        <w:rPr>
          <w:rFonts w:ascii="宋体" w:hAnsi="宋体" w:cs="宋体"/>
          <w:sz w:val="24"/>
          <w:szCs w:val="24"/>
          <w:highlight w:val="none"/>
          <w:lang w:bidi="ar"/>
        </w:rPr>
        <w:t xml:space="preserve">≤</w:t>
      </w:r>
      <w:r>
        <w:rPr>
          <w:rFonts w:hint="eastAsia" w:ascii="宋体" w:hAnsi="宋体" w:cs="宋体"/>
          <w:sz w:val="24"/>
          <w:szCs w:val="24"/>
          <w:highlight w:val="none"/>
          <w:lang w:bidi="ar"/>
        </w:rPr>
        <w:t xml:space="preserve">1</w:t>
      </w:r>
      <w:r>
        <w:rPr>
          <w:rFonts w:ascii="宋体" w:hAnsi="宋体" w:cs="宋体"/>
          <w:sz w:val="24"/>
          <w:szCs w:val="24"/>
          <w:highlight w:val="none"/>
          <w:lang w:bidi="ar"/>
        </w:rPr>
        <w:t xml:space="preserve">×</w:t>
      </w:r>
      <w:r>
        <w:rPr>
          <w:rFonts w:hint="eastAsia" w:ascii="宋体" w:hAnsi="宋体" w:cs="宋体"/>
          <w:sz w:val="24"/>
          <w:szCs w:val="24"/>
          <w:highlight w:val="none"/>
          <w:lang w:bidi="ar"/>
        </w:rPr>
        <w:t xml:space="preserve">10</w:t>
      </w:r>
      <w:r>
        <w:rPr>
          <w:rFonts w:hint="eastAsia" w:ascii="宋体" w:hAnsi="宋体" w:cs="宋体"/>
          <w:sz w:val="24"/>
          <w:szCs w:val="24"/>
          <w:highlight w:val="none"/>
          <w:vertAlign w:val="superscript"/>
          <w:lang w:bidi="ar"/>
        </w:rPr>
        <w:t xml:space="preserve">-7</w:t>
      </w:r>
      <w:r>
        <w:rPr>
          <w:rFonts w:hint="eastAsia" w:ascii="宋体" w:hAnsi="宋体" w:cs="宋体"/>
          <w:sz w:val="24"/>
          <w:szCs w:val="24"/>
          <w:highlight w:val="none"/>
          <w:lang w:bidi="ar"/>
        </w:rPr>
        <w:t xml:space="preserve">，空闲时最高时延</w:t>
      </w:r>
      <w:r>
        <w:rPr>
          <w:rFonts w:ascii="宋体" w:hAnsi="宋体" w:cs="宋体"/>
          <w:sz w:val="24"/>
          <w:szCs w:val="24"/>
          <w:highlight w:val="none"/>
          <w:lang w:bidi="ar"/>
        </w:rPr>
        <w:t xml:space="preserve">≤</w:t>
      </w:r>
      <w:r>
        <w:rPr>
          <w:rFonts w:hint="eastAsia" w:ascii="宋体" w:hAnsi="宋体" w:cs="宋体"/>
          <w:sz w:val="24"/>
          <w:szCs w:val="24"/>
          <w:highlight w:val="none"/>
          <w:lang w:bidi="ar"/>
        </w:rPr>
        <w:t xml:space="preserve">50ms，倒换时间</w:t>
      </w:r>
      <w:r>
        <w:rPr>
          <w:rFonts w:ascii="宋体" w:hAnsi="宋体" w:cs="宋体"/>
          <w:sz w:val="24"/>
          <w:szCs w:val="24"/>
          <w:highlight w:val="none"/>
          <w:lang w:bidi="ar"/>
        </w:rPr>
        <w:t xml:space="preserve">≤</w:t>
      </w:r>
      <w:r>
        <w:rPr>
          <w:rFonts w:hint="eastAsia" w:ascii="宋体" w:hAnsi="宋体" w:cs="宋体"/>
          <w:sz w:val="24"/>
          <w:szCs w:val="24"/>
          <w:highlight w:val="none"/>
          <w:lang w:bidi="ar"/>
        </w:rPr>
        <w:t xml:space="preserve">50ms。</w:t>
      </w:r>
      <w:r/>
    </w:p>
    <w:p>
      <w:pPr>
        <w:pStyle w:val="708"/>
        <w:jc w:val="center"/>
        <w:rPr>
          <w:rFonts w:hint="eastAsia" w:ascii="宋体" w:hAnsi="宋体" w:eastAsia="宋体" w:cs="等线"/>
          <w:b/>
          <w:bCs/>
          <w:sz w:val="24"/>
          <w:szCs w:val="24"/>
          <w:highlight w:val="none"/>
          <w:lang w:bidi="ar"/>
        </w:rPr>
      </w:pPr>
      <w:r>
        <w:rPr>
          <w:rFonts w:hint="eastAsia" w:ascii="宋体" w:hAnsi="宋体" w:eastAsia="宋体" w:cs="等线"/>
          <w:b/>
          <w:bCs/>
          <w:sz w:val="24"/>
          <w:szCs w:val="24"/>
          <w:highlight w:val="none"/>
          <w:lang w:bidi="ar"/>
        </w:rPr>
        <w:t xml:space="preserve">2026年4月底到期路网监测线路</w:t>
      </w:r>
      <w:r/>
    </w:p>
    <w:tbl>
      <w:tblPr>
        <w:tblStyle w:val="717"/>
        <w:tblW w:w="9761" w:type="dxa"/>
        <w:tblInd w:w="93" w:type="dxa"/>
        <w:tblLayout w:type="fixed"/>
        <w:tblCellMar>
          <w:left w:w="108" w:type="dxa"/>
          <w:top w:w="0" w:type="dxa"/>
          <w:right w:w="108" w:type="dxa"/>
          <w:bottom w:w="0" w:type="dxa"/>
        </w:tblCellMar>
        <w:tblLook w:val="04A0" w:firstRow="1" w:lastRow="0" w:firstColumn="1" w:lastColumn="0" w:noHBand="0" w:noVBand="1"/>
      </w:tblPr>
      <w:tblGrid>
        <w:gridCol w:w="753"/>
        <w:gridCol w:w="1134"/>
        <w:gridCol w:w="1276"/>
        <w:gridCol w:w="1275"/>
        <w:gridCol w:w="709"/>
        <w:gridCol w:w="851"/>
        <w:gridCol w:w="1134"/>
        <w:gridCol w:w="1195"/>
        <w:gridCol w:w="1434"/>
      </w:tblGrid>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道路编号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桩号</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布点位置</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方向</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接入点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带宽</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备注</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lang w:bidi="ar"/>
              </w:rPr>
              <w:t xml:space="preserve">电路接入号</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K1597+940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四号河桥南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non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non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151289159</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K1603+700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盐邵河大桥南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151289160</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K1613+750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G233物流园</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I类交调+视频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151289161</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K1618+050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刘桥岗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151289162</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G345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K274+150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与武嘶线交叉口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151289280</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K201+450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樊川交调站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I类交调+视频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151289281</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K206+220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纪安线路口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151289398</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K209+150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空港路口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151289399</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K218+000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宜陵停车区南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151289481</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K219+980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吴桥交调站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中分带</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I类交调+视频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151289482</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K224+600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吴桥三防篷布厂</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151289560</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K237+270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江都港</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151289561</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S352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K106+080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扬泰交界交调站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交调</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151289636</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K288+200/K288+450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夹江大桥桥下</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桥下</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151289637</w:t>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K1604+700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邵伯交调站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K1599+980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邵伯原种厂</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K1622+790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长红交调站（易积水）</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G328</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K274+900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扬州泰州市界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中分带</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G328</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K277+050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郭村胡庄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G328</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K278+900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郭村四庄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G328</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K281+000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广福桥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G328</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K284+040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宜陵小湖庄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G328</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K290+900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焦庄加油站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G328</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K294+000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阿波罗花木市场</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G328</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K295+300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砖桥集镇段</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G328</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K299+700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新都路交叉口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K271+540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扬州与泰州交界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K281+430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大江线交叉口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K297+400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沪陕高速江都南出入口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K230+300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童兴交调站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交调</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K1613+900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宁启铁路桥北（易积水）</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K1619+700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跨宁通公路桥北（易积水）</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K1619+800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跨宁通公路桥南（易积水）</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K1619+800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宁通公路南（标尺）</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S352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K108+762</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野田河大桥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S352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K116+955</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盐邵河大桥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S416</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K0+000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启扬高速江都北出入口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K278+000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嘶马闸桥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K197+100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樊川大桥南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K196+600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樊川大桥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中分带</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K212+550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启扬高速扬泰机场出入口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K215+650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新通扬运河桥北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K227+600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白塔河大桥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K288+100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夹江大桥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K289+100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夹江大桥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S352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K102+468</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塘头河中桥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S352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K113+910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缪家厦</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S352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K122+130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钱家厦交调站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S416</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K7+410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盐邵闸桥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X202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K4+000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沪陕高速浦头出入口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K1616+450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跨328国道大桥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K273+000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杨桥集镇段</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江都区新都北路</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100M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K1591+050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绿洋湖公路交叉口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K1595+400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与樊昭线交叉口北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K1602+200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绍关干渠桥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K1606+850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星荡河桥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K1608+790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扬州菩提寺</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59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K1610+285</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跨启扬高速大桥北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K1612+790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延马路</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K1615+000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与华山路交叉口以南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K1617+350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跨328国道大桥南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K1619+200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与友善路交叉口北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K1626+600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江宜高速东入口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S416</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K009+420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昭关闸东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K1622+350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下穿沪陕高速公路通道（积水点）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G328</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K286+300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与264省道交叉口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G328</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K288+500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宜陵交调站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69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G328</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K297+000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五金城</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G328</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K302+000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张岗大转盘</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K192+870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江都高邮交界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K1625+670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江宜高速出入口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G328</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K279+650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郭村交调站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K1610+900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跨启扬高速大桥南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感知公路</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150866612</w:t>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K1614+350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宁启铁路桥南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150866614</w:t>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K1616+200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新老通扬运河大桥西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150987838</w:t>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K1624+600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与G345交叉口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150866616</w:t>
            </w:r>
            <w:r/>
          </w:p>
        </w:tc>
      </w:tr>
      <w:tr>
        <w:trPr>
          <w:trHeight w:val="30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K1621+450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大江线交叉口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150866617</w:t>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79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K1610+900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跨启扬高速大桥南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HLWZX51420201204900</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K192+870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高邮江都界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HLWZX51420201101381</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K1509+000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二排河桥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151337619</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K1536+800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与通湖路交叉口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151339667</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K1547+140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高邮市界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151339661</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K168+680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扬州G344汜西交调站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全幅</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I类交调+视频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HLWZX51420201101786</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K132+400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与新S331交叉口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151339659</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K139+200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柳堡电工电气产业园</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151339666</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K140+680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X304交叉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151339662</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K147+100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与X352交叉口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151339669</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89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S331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K119+100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与S264匝道交叉口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151339668</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S519</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K7+852</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S519 K7+852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151337618</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S519</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K16+016</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扬州S519泾河交调</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全幅</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151337626</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S519</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K22+024</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与G233交叉口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HLWZX51420201101787</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S519</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K25+122</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与X252交叉口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151337622</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扬州市宝应县安宜镇S331与S350交叉口监控</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K1512+320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扬州市宝应县泾河镇集镇G233泾龙公路站监控</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扬州市宝应县运河二桥西侧与S331监控</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K1522+850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宝射河大桥北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K1524+070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宝射河大桥南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99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K1527+590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与新S331交叉口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K1528+700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潘桥交调站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101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K1531+300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X303交叉口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102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K1540+200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与宋埠村村道交叉口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103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K1543+750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新民交调站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104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K1544+100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潼河大桥北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105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K153+470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王营集镇段绕行弯道</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106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K1516+050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八浅大沟桥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107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K1523+500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宝射河大桥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108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K1523+500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宝射河大桥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情报板</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109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K1531+300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与X303交叉口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K1537+805</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与X304交叉口北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111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K159+163</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王乔交调站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全幅</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K163+750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G344宝应运河三桥（桥中缝）</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中分带</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113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K164+380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G344宝应运河三桥（桥中缝）</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中分带</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114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K164+800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G344宝应运河三桥（桥中缝）</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中分带</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115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K165+600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G344宝应运河三桥（桥中缝）</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50M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116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K169+000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宝应湖退水闸大桥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117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K121+750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S264刁夷（k112-k134）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118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K112+200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绿草荡大桥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K113+800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与S519交叉口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K126+900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宝射河大桥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121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K120+950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大溪河大桥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122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K118+700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大官河大桥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123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K142+600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三横河大桥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124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K150+750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大三王河桥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S519</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K20+140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G2高速出入口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126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K1518+190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宝曹河中桥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127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K1532+650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一横河中桥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K133+890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S264鲁垛服务区</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129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宝应县叶挺路185号</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100M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K1508+000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周圩加油站南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131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K1510+150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施小庄北侧</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132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K1515+600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小刘庄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133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K1519+800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与东阳北路交叉口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134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K1521+300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北河东路丁字路口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135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K1525+750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与宝楠路交叉口南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136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K1535+150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与成龙路交叉南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137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K1538+850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与宋埠路交叉口南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138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K1541+450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与汜夏路交叉口南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139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K151+500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夏集子婴河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K161+800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 G233 交叉路口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 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141</w:t>
            </w:r>
            <w:r/>
          </w:p>
        </w:tc>
        <w:tc>
          <w:tcPr>
            <w:tcBorders>
              <w:top w:val="single" w:color="000000" w:sz="4" w:space="0"/>
              <w:left w:val="single" w:color="000000" w:sz="4" w:space="0"/>
              <w:bottom w:val="non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G344</w:t>
            </w:r>
            <w:r/>
          </w:p>
        </w:tc>
        <w:tc>
          <w:tcPr>
            <w:tcBorders>
              <w:top w:val="single" w:color="000000" w:sz="4" w:space="0"/>
              <w:left w:val="single" w:color="000000" w:sz="4" w:space="0"/>
              <w:bottom w:val="non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K160+500</w:t>
            </w:r>
            <w:r/>
          </w:p>
        </w:tc>
        <w:tc>
          <w:tcPr>
            <w:tcBorders>
              <w:top w:val="single" w:color="000000" w:sz="4" w:space="0"/>
              <w:left w:val="single" w:color="000000" w:sz="4" w:space="0"/>
              <w:bottom w:val="non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G2界首出入口</w:t>
            </w:r>
            <w:r/>
          </w:p>
        </w:tc>
        <w:tc>
          <w:tcPr>
            <w:tcBorders>
              <w:top w:val="single" w:color="000000" w:sz="4" w:space="0"/>
              <w:left w:val="single" w:color="000000" w:sz="4" w:space="0"/>
              <w:bottom w:val="non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 上行</w:t>
            </w:r>
            <w:r/>
          </w:p>
        </w:tc>
        <w:tc>
          <w:tcPr>
            <w:tcBorders>
              <w:top w:val="single" w:color="000000" w:sz="4" w:space="0"/>
              <w:left w:val="single" w:color="000000" w:sz="4" w:space="0"/>
              <w:bottom w:val="non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non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non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non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K1549+700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与国庆路交叉口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151335898</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K1553+600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与新X302交叉口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151336005</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K1557+000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与旧X302交叉口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151336006</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K1563+600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龙虬</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151355801</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K1570+200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与横立路交叉口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151375997</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K1582+050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与X307交叉口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151338552</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K1590+000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城南新区</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151338556</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149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K139+200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临泽东交调站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I类交调+视频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151379312</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K168+820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与X303交叉口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151336007</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S351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K116+859</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扬州泰州市界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151336008</w:t>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S351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K146+626</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京沪高速高邮出入口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bottom"/>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151374076</w:t>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K1567+100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与甘马线交叉口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K135+750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扬州与兴化交界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K136+910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与甘临线交叉口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K141+100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蒋颜湾</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K144+720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与振兴路交叉口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K145+790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临泽公路桥，与S264交叉口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159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S125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K63+380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高邮湖特大桥西桥头桥下</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160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S125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K71+680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高邮湖特大桥东桥头桥下</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161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K180+100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北澄子河大桥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162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K185+850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与S333交叉口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163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K159+480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荡区一号大桥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164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K160+750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荡区二号大桥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165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K161+450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荡区三号大桥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166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K163+080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荡区四号大桥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167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K188+300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曾钰河大桥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168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S611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K5+500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盘塘村交调站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169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S333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K27+010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S333卸甲交调站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S351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K133+809</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三垛交调站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171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K1555+570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新六安河中桥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172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K1562+410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清水潭度假区</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173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K1574+000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与通湖路交叉口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174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K1575+100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与海潮东路交叉口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175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S125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K44+320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高邮仪征界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176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S125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K51+890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与送桥大道交叉口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177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S125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K57+650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向阳河中桥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178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S125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K59+670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与金柳大道交叉口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179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K156+870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 X301交叉口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K176+070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洛阳河桥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181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K178+060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顾家庄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182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K183+900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北澄子河交调站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183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K1573+300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北澄子河桥下监控</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184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K1572+300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G233与秦邮路交叉口北侧可变情报板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185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S611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K7+570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向阳河大桥北桥头西侧</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100M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186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K1584+020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车逻交调站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187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数据专线</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公安专线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100M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188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数据专线</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公路站主线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189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K1572+750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G233北澄子河桥北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190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X308</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K7+470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G2八桥出入口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191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高邮市文游中路164号</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100M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192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K1561+100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老横泾河路北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193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K1561+600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与X303交叉口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194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K1566+000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凌家庄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195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K1569+450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波司登大道丁字路口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196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K1571+100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凌波路南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197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K1579+000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与中心大道交叉口南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198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K1579+950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与S125交叉口南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199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K1581+000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勤王北路</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K1584+400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与S352交叉口北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K1587+100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藏量河中桥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K1588+500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城南新区大龙庄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K1547+550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高邮宝应交界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K145+200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临泽镇临西村</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G344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K146+900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高邮与宝应界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K187+180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与迎宾大道交叉口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K189+650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 与汉中路口交叉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K191+800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高邮江都界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S351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K125+409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X202 临汤线西交叉口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S351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K130+729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三阳河大桥西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211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S351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K138+359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人字河大桥西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S611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K0+185</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与S125交叉口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213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S611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K1+255</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漫水公路交叉口南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214</w:t>
            </w:r>
            <w:r/>
          </w:p>
        </w:tc>
        <w:tc>
          <w:tcPr>
            <w:tcBorders>
              <w:top w:val="non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G233</w:t>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K1515+000</w:t>
            </w:r>
            <w:r/>
          </w:p>
        </w:tc>
        <w:tc>
          <w:tcPr>
            <w:tcBorders>
              <w:top w:val="non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安宜镇江跳村</w:t>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shd w:val="clear" w:color="auto" w:fill="ffffff"/>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宝应</w:t>
            </w:r>
            <w:r/>
          </w:p>
        </w:tc>
        <w:tc>
          <w:tcPr>
            <w:tcBorders>
              <w:top w:val="non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215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G344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K155+100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王桥集镇段</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216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G344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K157+100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卫星村</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217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K116+500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西安丰镇黄荡村</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218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K144+200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夏集镇赵雍村</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219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K145+100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大伟生态农业开发</w:t>
            </w:r>
            <w:r>
              <w:rPr>
                <w:rFonts w:ascii="宋体" w:hAnsi="宋体" w:cs="宋体"/>
                <w:sz w:val="20"/>
                <w:szCs w:val="20"/>
                <w:lang w:bidi="ar"/>
              </w:rPr>
              <w:br/>
            </w:r>
            <w:r>
              <w:rPr>
                <w:rFonts w:ascii="宋体" w:hAnsi="宋体" w:cs="宋体"/>
                <w:sz w:val="20"/>
                <w:szCs w:val="20"/>
                <w:lang w:bidi="ar"/>
              </w:rPr>
              <w:t xml:space="preserve">有限公司</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S519</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K10+192</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S519与曹安线交叉口东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221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S519</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K11+822</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黄家村</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222</w:t>
            </w:r>
            <w:r/>
          </w:p>
        </w:tc>
        <w:tc>
          <w:tcPr>
            <w:tcBorders>
              <w:top w:val="single" w:color="000000" w:sz="4" w:space="0"/>
              <w:left w:val="single" w:color="000000" w:sz="4" w:space="0"/>
              <w:bottom w:val="non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S519</w:t>
            </w:r>
            <w:r/>
          </w:p>
        </w:tc>
        <w:tc>
          <w:tcPr>
            <w:tcBorders>
              <w:top w:val="single" w:color="000000" w:sz="4" w:space="0"/>
              <w:left w:val="single" w:color="000000" w:sz="4" w:space="0"/>
              <w:bottom w:val="non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K12+872</w:t>
            </w:r>
            <w:r/>
          </w:p>
        </w:tc>
        <w:tc>
          <w:tcPr>
            <w:tcBorders>
              <w:top w:val="single" w:color="000000" w:sz="4" w:space="0"/>
              <w:left w:val="single" w:color="000000" w:sz="4" w:space="0"/>
              <w:bottom w:val="non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古塔村</w:t>
            </w:r>
            <w:r/>
          </w:p>
        </w:tc>
        <w:tc>
          <w:tcPr>
            <w:tcBorders>
              <w:top w:val="single" w:color="000000" w:sz="4" w:space="0"/>
              <w:left w:val="single" w:color="000000" w:sz="4" w:space="0"/>
              <w:bottom w:val="non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上行</w:t>
            </w:r>
            <w:r/>
          </w:p>
        </w:tc>
        <w:tc>
          <w:tcPr>
            <w:shd w:val="clear" w:color="auto" w:fill="ffffff"/>
            <w:tcBorders>
              <w:top w:val="single" w:color="000000" w:sz="4" w:space="0"/>
              <w:left w:val="single" w:color="000000" w:sz="4" w:space="0"/>
              <w:bottom w:val="non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宝应</w:t>
            </w:r>
            <w:r/>
          </w:p>
        </w:tc>
        <w:tc>
          <w:tcPr>
            <w:tcBorders>
              <w:top w:val="single" w:color="000000" w:sz="4" w:space="0"/>
              <w:left w:val="single" w:color="000000" w:sz="4" w:space="0"/>
              <w:bottom w:val="non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223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G344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K141+600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蒋颜村口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224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G344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K143+200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S344 与临川路交叉</w:t>
            </w:r>
            <w:r>
              <w:rPr>
                <w:rFonts w:ascii="宋体" w:hAnsi="宋体" w:cs="宋体"/>
                <w:sz w:val="20"/>
                <w:szCs w:val="20"/>
                <w:lang w:bidi="ar"/>
              </w:rPr>
              <w:br/>
            </w:r>
            <w:r>
              <w:rPr>
                <w:rFonts w:ascii="宋体" w:hAnsi="宋体" w:cs="宋体"/>
                <w:sz w:val="20"/>
                <w:szCs w:val="20"/>
                <w:lang w:bidi="ar"/>
              </w:rPr>
              <w:t xml:space="preserve">口西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225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G344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K144+100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临泽客运站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226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G344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K146+200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临泽公路桥西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227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K152+300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高邮与宝应交界处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K153+300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临川生产河中桥北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229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K158+620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二里大沟桥南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230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K164+300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大葛桥南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231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S351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K137+649</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 与 X204 周八线交叉口西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232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S351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K144+989</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 与 X205 周龙线交叉口东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233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S351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K146+159</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陈庄灌溉渠桥西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234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S611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K6+000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车头沟中桥南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235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G328</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K292+910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宜陵镇西湖村</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上行</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236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K194+250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S264 与凤阳公路交叉口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237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K195+430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S264 与 S352 交叉口南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上行</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238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K202+250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与三阳河桥交叉口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上行</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239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K204+200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陈家庄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上行</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240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K214+100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七里集镇段</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上行</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241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S125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K64+780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高邮湖大桥</w:t>
            </w:r>
            <w:r>
              <w:rPr>
                <w:rFonts w:ascii="宋体" w:hAnsi="宋体" w:cs="宋体"/>
                <w:sz w:val="20"/>
                <w:szCs w:val="20"/>
                <w:lang w:bidi="ar"/>
              </w:rPr>
              <w:br/>
            </w:r>
            <w:r>
              <w:rPr>
                <w:rFonts w:ascii="宋体" w:hAnsi="宋体" w:cs="宋体"/>
                <w:sz w:val="20"/>
                <w:szCs w:val="20"/>
                <w:lang w:bidi="ar"/>
              </w:rPr>
              <w:t xml:space="preserve">K64+780 下行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242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S125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K66+780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高邮湖大桥</w:t>
            </w:r>
            <w:r>
              <w:rPr>
                <w:rFonts w:ascii="宋体" w:hAnsi="宋体" w:cs="宋体"/>
                <w:sz w:val="20"/>
                <w:szCs w:val="20"/>
                <w:lang w:bidi="ar"/>
              </w:rPr>
              <w:br/>
            </w:r>
            <w:r>
              <w:rPr>
                <w:rFonts w:ascii="宋体" w:hAnsi="宋体" w:cs="宋体"/>
                <w:sz w:val="20"/>
                <w:szCs w:val="20"/>
                <w:lang w:bidi="ar"/>
              </w:rPr>
              <w:t xml:space="preserve">K66+780 下行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243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S125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K68+780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高邮湖大桥</w:t>
            </w:r>
            <w:r>
              <w:rPr>
                <w:rFonts w:ascii="宋体" w:hAnsi="宋体" w:cs="宋体"/>
                <w:sz w:val="20"/>
                <w:szCs w:val="20"/>
                <w:lang w:bidi="ar"/>
              </w:rPr>
              <w:br/>
            </w:r>
            <w:r>
              <w:rPr>
                <w:rFonts w:ascii="宋体" w:hAnsi="宋体" w:cs="宋体"/>
                <w:sz w:val="20"/>
                <w:szCs w:val="20"/>
                <w:lang w:bidi="ar"/>
              </w:rPr>
              <w:t xml:space="preserve">K68+780 下行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244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S125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K70+780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高邮湖大桥</w:t>
            </w:r>
            <w:r>
              <w:rPr>
                <w:rFonts w:ascii="宋体" w:hAnsi="宋体" w:cs="宋体"/>
                <w:sz w:val="20"/>
                <w:szCs w:val="20"/>
                <w:lang w:bidi="ar"/>
              </w:rPr>
              <w:br/>
            </w:r>
            <w:r>
              <w:rPr>
                <w:rFonts w:ascii="宋体" w:hAnsi="宋体" w:cs="宋体"/>
                <w:sz w:val="20"/>
                <w:szCs w:val="20"/>
                <w:lang w:bidi="ar"/>
              </w:rPr>
              <w:t xml:space="preserve">K70+780 下行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S351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K118+829</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 与 X201 甘武线交叉口西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上行</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246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S351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K121+159</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 与 S333 交叉口东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上行</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247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S351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K124+059</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lang w:bidi="ar"/>
              </w:rPr>
              <w:t xml:space="preserve"> 与 X202 临甘线交叉口西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上行</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248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K228+200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沪陕高速大桥出入口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感知公路监控点光纤费</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249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K210+521</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野元交调站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全断面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S416</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K2+980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邵伯交调站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全断面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251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G345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K281+020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大桥交调站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断面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252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K133+180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 鲁垛交调站标配视频</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全幅</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2022年路网建设</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31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253</w:t>
            </w:r>
            <w:r/>
          </w:p>
        </w:tc>
        <w:tc>
          <w:tcPr>
            <w:tcBorders>
              <w:top w:val="single" w:color="000000" w:sz="4" w:space="0"/>
              <w:left w:val="single" w:color="000000" w:sz="4" w:space="0"/>
              <w:bottom w:val="non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S331</w:t>
            </w:r>
            <w:r/>
          </w:p>
        </w:tc>
        <w:tc>
          <w:tcPr>
            <w:tcBorders>
              <w:top w:val="single" w:color="000000" w:sz="4" w:space="0"/>
              <w:left w:val="single" w:color="000000" w:sz="4" w:space="0"/>
              <w:bottom w:val="none" w:color="000000" w:sz="4" w:space="0"/>
              <w:right w:val="single" w:color="000000"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K156</w:t>
            </w:r>
            <w:r/>
          </w:p>
        </w:tc>
        <w:tc>
          <w:tcPr>
            <w:tcBorders>
              <w:top w:val="single" w:color="000000" w:sz="4" w:space="0"/>
              <w:left w:val="single" w:color="000000" w:sz="4" w:space="0"/>
              <w:bottom w:val="non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扬州S331山阳</w:t>
            </w:r>
            <w:r/>
          </w:p>
        </w:tc>
        <w:tc>
          <w:tcPr>
            <w:tcBorders>
              <w:top w:val="single" w:color="000000" w:sz="4" w:space="0"/>
              <w:left w:val="single" w:color="000000" w:sz="4" w:space="0"/>
              <w:bottom w:val="none" w:color="000000" w:sz="4" w:space="0"/>
              <w:right w:val="single" w:color="000000" w:sz="4" w:space="0"/>
            </w:tcBorders>
            <w:tcW w:w="709"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non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宝应</w:t>
            </w:r>
            <w:r/>
          </w:p>
        </w:tc>
        <w:tc>
          <w:tcPr>
            <w:tcBorders>
              <w:top w:val="single" w:color="000000" w:sz="4" w:space="0"/>
              <w:left w:val="single" w:color="000000" w:sz="4" w:space="0"/>
              <w:bottom w:val="non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none" w:color="000000" w:sz="4" w:space="0"/>
              <w:right w:val="single" w:color="000000" w:sz="4" w:space="0"/>
            </w:tcBorders>
            <w:tcW w:w="11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视频</w:t>
            </w:r>
            <w:r/>
          </w:p>
        </w:tc>
        <w:tc>
          <w:tcPr>
            <w:tcBorders>
              <w:top w:val="single" w:color="000000" w:sz="4" w:space="0"/>
              <w:left w:val="single" w:color="000000" w:sz="4" w:space="0"/>
              <w:bottom w:val="non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254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K1558+700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马棚交调站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高邮分中心到马棚镇阳沟村G233立新河中桥</w:t>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255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S125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K71+800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湖西交调站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256</w:t>
            </w:r>
            <w:r/>
          </w:p>
        </w:tc>
        <w:tc>
          <w:tcPr>
            <w:shd w:val="clear" w:color="auto" w:fill="ffffff"/>
            <w:tcBorders>
              <w:top w:val="non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S331</w:t>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K144+600</w:t>
            </w:r>
            <w:r/>
          </w:p>
        </w:tc>
        <w:tc>
          <w:tcPr>
            <w:shd w:val="clear" w:color="auto" w:fill="ffffff"/>
            <w:tcBorders>
              <w:top w:val="none" w:color="000000" w:sz="4" w:space="0"/>
              <w:left w:val="single" w:color="000000" w:sz="4" w:space="0"/>
              <w:bottom w:val="single" w:color="000000" w:sz="4" w:space="0"/>
              <w:right w:val="single" w:color="000000" w:sz="4" w:space="0"/>
            </w:tcBorders>
            <w:tcW w:w="1275"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S331宝应湖大桥交调站</w:t>
            </w:r>
            <w:r/>
          </w:p>
        </w:tc>
        <w:tc>
          <w:tcPr>
            <w:shd w:val="clear" w:color="auto"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一类交调站</w:t>
            </w:r>
            <w:r/>
          </w:p>
        </w:tc>
        <w:tc>
          <w:tcPr>
            <w:shd w:val="clear" w:color="auto" w:fill="ffffff"/>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宝应</w:t>
            </w:r>
            <w:r/>
          </w:p>
        </w:tc>
        <w:tc>
          <w:tcPr>
            <w:tcBorders>
              <w:top w:val="non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none" w:color="000000" w:sz="4" w:space="0"/>
              <w:left w:val="single" w:color="000000" w:sz="4" w:space="0"/>
              <w:bottom w:val="single" w:color="000000" w:sz="4" w:space="0"/>
              <w:right w:val="single" w:color="000000" w:sz="4" w:space="0"/>
            </w:tcBorders>
            <w:tcW w:w="1195"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257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K155+550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临泽镇谢家庄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高邮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none" w:color="000000" w:sz="4" w:space="0"/>
              <w:left w:val="single" w:color="000000" w:sz="4" w:space="0"/>
              <w:bottom w:val="single" w:color="000000" w:sz="4" w:space="0"/>
              <w:right w:val="single" w:color="000000" w:sz="4" w:space="0"/>
            </w:tcBorders>
            <w:tcW w:w="1195"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258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K1605+500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与罡邵线交叉口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259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K1613+900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宁启铁路桥北（易积水）</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shd w:val="clear" w:color="auto" w:fill="ffffff"/>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cente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260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G233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K1611+800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锦西路口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261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G345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K286+890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中海船厂</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262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K211+400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机场路交叉口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263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S264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K233+600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S264与345国道交叉口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264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S352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K120+364</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三阳河大桥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下行</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江都</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20M</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r>
      <w:tr>
        <w:trPr>
          <w:trHeight w:val="270"/>
        </w:trPr>
        <w:tc>
          <w:tcPr>
            <w:shd w:val="clear" w:color="auto" w:fill="d0cece"/>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shd w:val="clear" w:color="auto" w:fill="d0cece"/>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shd w:val="clear" w:color="auto" w:fill="d0cece"/>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shd w:val="clear" w:color="auto" w:fill="d0cece"/>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shd w:val="clear" w:color="auto" w:fill="d0cece"/>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shd w:val="clear" w:color="auto" w:fill="d0cece"/>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shd w:val="clear" w:color="auto" w:fill="d0cece"/>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rPr>
                <w:rFonts w:hint="eastAsia" w:ascii="宋体" w:hAnsi="宋体" w:cs="宋体"/>
                <w:sz w:val="20"/>
                <w:szCs w:val="20"/>
              </w:rPr>
            </w:pPr>
            <w:r>
              <w:rPr>
                <w:rFonts w:hint="eastAsia" w:ascii="宋体" w:hAnsi="宋体" w:cs="宋体"/>
                <w:sz w:val="20"/>
                <w:szCs w:val="20"/>
              </w:rPr>
            </w:r>
            <w:r/>
          </w:p>
        </w:tc>
        <w:tc>
          <w:tcPr>
            <w:shd w:val="clear" w:color="auto" w:fill="d0cece"/>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小计</w:t>
            </w:r>
            <w:r/>
          </w:p>
        </w:tc>
        <w:tc>
          <w:tcPr>
            <w:shd w:val="clear" w:color="auto" w:fill="d0cece"/>
            <w:tcBorders>
              <w:top w:val="single" w:color="000000" w:sz="4" w:space="0"/>
              <w:left w:val="single" w:color="000000" w:sz="4" w:space="0"/>
              <w:bottom w:val="single" w:color="000000" w:sz="4" w:space="0"/>
              <w:right w:val="single" w:color="000000" w:sz="4" w:space="0"/>
            </w:tcBorders>
            <w:tcW w:w="1434" w:type="dxa"/>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lang w:bidi="ar"/>
              </w:rPr>
              <w:t xml:space="preserve">264条</w:t>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8"/>
        <w:jc w:val="center"/>
        <w:rPr>
          <w:rFonts w:hint="eastAsia" w:ascii="宋体" w:hAnsi="宋体" w:eastAsia="宋体" w:cs="等线"/>
          <w:b/>
          <w:bCs/>
          <w:sz w:val="24"/>
          <w:szCs w:val="24"/>
          <w:lang w:bidi="ar"/>
        </w:rPr>
      </w:pPr>
      <w:r>
        <w:rPr>
          <w:rFonts w:hint="eastAsia" w:ascii="宋体" w:hAnsi="宋体" w:eastAsia="宋体" w:cs="等线"/>
          <w:b/>
          <w:bCs/>
          <w:sz w:val="24"/>
          <w:szCs w:val="24"/>
          <w:lang w:bidi="ar"/>
        </w:rPr>
        <w:t xml:space="preserve">路网上云项目各公路站互联网专线</w:t>
      </w:r>
      <w:r/>
    </w:p>
    <w:tbl>
      <w:tblPr>
        <w:tblStyle w:val="717"/>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095"/>
        <w:gridCol w:w="3433"/>
        <w:gridCol w:w="3544"/>
      </w:tblGrid>
      <w:tr>
        <w:trPr>
          <w:trHeight w:val="702"/>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hint="eastAsia" w:ascii="宋体" w:hAnsi="宋体" w:cs="宋体"/>
                <w:b/>
                <w:bCs/>
              </w:rPr>
            </w:pPr>
            <w:r>
              <w:rPr>
                <w:rFonts w:hint="eastAsia" w:ascii="宋体" w:hAnsi="宋体" w:cs="宋体"/>
                <w:b/>
                <w:bCs/>
                <w:lang w:bidi="ar"/>
              </w:rPr>
              <w:t xml:space="preserve">序号</w:t>
            </w:r>
            <w:r/>
          </w:p>
        </w:tc>
        <w:tc>
          <w:tcPr>
            <w:tcBorders>
              <w:top w:val="single" w:color="auto" w:sz="4" w:space="0"/>
              <w:left w:val="single" w:color="auto" w:sz="4" w:space="0"/>
              <w:bottom w:val="single" w:color="auto" w:sz="4" w:space="0"/>
              <w:right w:val="single" w:color="auto" w:sz="4" w:space="0"/>
            </w:tcBorders>
            <w:tcW w:w="2095" w:type="dxa"/>
            <w:vAlign w:val="center"/>
            <w:textDirection w:val="lrTb"/>
            <w:noWrap/>
          </w:tcPr>
          <w:p>
            <w:pPr>
              <w:jc w:val="center"/>
              <w:widowControl/>
              <w:rPr>
                <w:rFonts w:hint="eastAsia" w:ascii="宋体" w:hAnsi="宋体" w:cs="宋体"/>
                <w:b/>
                <w:bCs/>
              </w:rPr>
            </w:pPr>
            <w:r>
              <w:rPr>
                <w:rFonts w:hint="eastAsia" w:ascii="宋体" w:hAnsi="宋体" w:cs="宋体"/>
                <w:b/>
                <w:bCs/>
                <w:lang w:bidi="ar"/>
              </w:rPr>
              <w:t xml:space="preserve">地址</w:t>
            </w:r>
            <w:r/>
          </w:p>
        </w:tc>
        <w:tc>
          <w:tcPr>
            <w:tcBorders>
              <w:top w:val="single" w:color="auto" w:sz="4" w:space="0"/>
              <w:left w:val="single" w:color="auto" w:sz="4" w:space="0"/>
              <w:bottom w:val="single" w:color="auto" w:sz="4" w:space="0"/>
              <w:right w:val="single" w:color="auto" w:sz="4" w:space="0"/>
            </w:tcBorders>
            <w:tcW w:w="3433" w:type="dxa"/>
            <w:vAlign w:val="center"/>
            <w:textDirection w:val="lrTb"/>
            <w:noWrap/>
          </w:tcPr>
          <w:p>
            <w:pPr>
              <w:jc w:val="center"/>
              <w:widowControl/>
              <w:rPr>
                <w:rFonts w:hint="eastAsia" w:ascii="宋体" w:hAnsi="宋体" w:cs="宋体"/>
                <w:b/>
                <w:bCs/>
              </w:rPr>
            </w:pPr>
            <w:r>
              <w:rPr>
                <w:rFonts w:hint="eastAsia" w:ascii="宋体" w:hAnsi="宋体" w:cs="宋体"/>
                <w:b/>
                <w:bCs/>
                <w:lang w:bidi="ar"/>
              </w:rPr>
              <w:t xml:space="preserve">带宽</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接入号</w:t>
            </w:r>
            <w:r/>
          </w:p>
        </w:tc>
      </w:tr>
      <w:tr>
        <w:trPr>
          <w:trHeight w:val="6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1</w:t>
            </w:r>
            <w:r/>
          </w:p>
        </w:tc>
        <w:tc>
          <w:tcPr>
            <w:tcBorders>
              <w:top w:val="single" w:color="auto" w:sz="4" w:space="0"/>
              <w:left w:val="single" w:color="auto" w:sz="4" w:space="0"/>
              <w:bottom w:val="single" w:color="auto" w:sz="4" w:space="0"/>
              <w:right w:val="single" w:color="auto" w:sz="4" w:space="0"/>
            </w:tcBorders>
            <w:tcW w:w="2095"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江都分中心</w:t>
            </w:r>
            <w:r/>
          </w:p>
        </w:tc>
        <w:tc>
          <w:tcPr>
            <w:tcBorders>
              <w:top w:val="single" w:color="auto" w:sz="4" w:space="0"/>
              <w:left w:val="single" w:color="auto" w:sz="4" w:space="0"/>
              <w:bottom w:val="single" w:color="auto" w:sz="4" w:space="0"/>
              <w:right w:val="single" w:color="auto" w:sz="4" w:space="0"/>
            </w:tcBorders>
            <w:tcW w:w="3433"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100M</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150401078</w:t>
            </w:r>
            <w:r/>
          </w:p>
        </w:tc>
      </w:tr>
      <w:tr>
        <w:trPr>
          <w:trHeight w:val="6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w:t>
            </w:r>
            <w:r/>
          </w:p>
        </w:tc>
        <w:tc>
          <w:tcPr>
            <w:tcBorders>
              <w:top w:val="single" w:color="auto" w:sz="4" w:space="0"/>
              <w:left w:val="single" w:color="auto" w:sz="4" w:space="0"/>
              <w:bottom w:val="single" w:color="auto" w:sz="4" w:space="0"/>
              <w:right w:val="single" w:color="auto" w:sz="4" w:space="0"/>
            </w:tcBorders>
            <w:tcW w:w="2095"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高邮分中心</w:t>
            </w:r>
            <w:r/>
          </w:p>
        </w:tc>
        <w:tc>
          <w:tcPr>
            <w:tcBorders>
              <w:top w:val="single" w:color="auto" w:sz="4" w:space="0"/>
              <w:left w:val="single" w:color="auto" w:sz="4" w:space="0"/>
              <w:bottom w:val="single" w:color="auto" w:sz="4" w:space="0"/>
              <w:right w:val="single" w:color="auto" w:sz="4" w:space="0"/>
            </w:tcBorders>
            <w:tcW w:w="3433"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100M</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150401083</w:t>
            </w:r>
            <w:r/>
          </w:p>
        </w:tc>
      </w:tr>
      <w:tr>
        <w:trPr>
          <w:trHeight w:val="68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3</w:t>
            </w:r>
            <w:r/>
          </w:p>
        </w:tc>
        <w:tc>
          <w:tcPr>
            <w:tcBorders>
              <w:top w:val="single" w:color="auto" w:sz="4" w:space="0"/>
              <w:left w:val="single" w:color="auto" w:sz="4" w:space="0"/>
              <w:bottom w:val="single" w:color="auto" w:sz="4" w:space="0"/>
              <w:right w:val="single" w:color="auto" w:sz="4" w:space="0"/>
            </w:tcBorders>
            <w:tcW w:w="2095"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宝应分中心</w:t>
            </w:r>
            <w:r/>
          </w:p>
        </w:tc>
        <w:tc>
          <w:tcPr>
            <w:tcBorders>
              <w:top w:val="single" w:color="auto" w:sz="4" w:space="0"/>
              <w:left w:val="single" w:color="auto" w:sz="4" w:space="0"/>
              <w:bottom w:val="single" w:color="auto" w:sz="4" w:space="0"/>
              <w:right w:val="single" w:color="auto" w:sz="4" w:space="0"/>
            </w:tcBorders>
            <w:tcW w:w="3433"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100M</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150401089</w:t>
            </w:r>
            <w:r/>
          </w:p>
        </w:tc>
      </w:tr>
    </w:tbl>
    <w:p>
      <w:pPr>
        <w:rPr>
          <w:rFonts w:hint="eastAsia" w:ascii="宋体" w:hAnsi="宋体" w:cs="等线"/>
          <w:b/>
          <w:bCs/>
          <w:sz w:val="24"/>
          <w:szCs w:val="24"/>
          <w:lang w:bidi="ar"/>
        </w:rPr>
      </w:pPr>
      <w:r>
        <w:rPr>
          <w:rFonts w:hint="eastAsia" w:ascii="宋体" w:hAnsi="宋体" w:cs="等线"/>
          <w:b/>
          <w:bCs/>
          <w:sz w:val="24"/>
          <w:szCs w:val="24"/>
          <w:lang w:bidi="ar"/>
        </w:rPr>
      </w:r>
      <w:r/>
    </w:p>
    <w:p>
      <w:pPr>
        <w:pStyle w:val="708"/>
        <w:jc w:val="center"/>
        <w:rPr>
          <w:rFonts w:hint="eastAsia" w:ascii="宋体" w:hAnsi="宋体" w:eastAsia="宋体" w:cs="等线"/>
          <w:b/>
          <w:bCs/>
          <w:sz w:val="24"/>
          <w:szCs w:val="24"/>
          <w:lang w:bidi="ar"/>
        </w:rPr>
      </w:pPr>
      <w:r>
        <w:rPr>
          <w:rFonts w:hint="eastAsia" w:ascii="宋体" w:hAnsi="宋体" w:eastAsia="宋体" w:cs="等线"/>
          <w:b/>
          <w:bCs/>
          <w:sz w:val="24"/>
          <w:szCs w:val="24"/>
          <w:lang w:bidi="ar"/>
        </w:rPr>
        <w:t xml:space="preserve">2026年8月底到期路网监测线路</w:t>
      </w:r>
      <w:r/>
    </w:p>
    <w:tbl>
      <w:tblPr>
        <w:tblStyle w:val="717"/>
        <w:tblW w:w="9450" w:type="dxa"/>
        <w:tblInd w:w="93" w:type="dxa"/>
        <w:tblLayout w:type="autofit"/>
        <w:tblCellMar>
          <w:left w:w="108" w:type="dxa"/>
          <w:top w:w="0" w:type="dxa"/>
          <w:right w:w="108" w:type="dxa"/>
          <w:bottom w:w="0" w:type="dxa"/>
        </w:tblCellMar>
        <w:tblLook w:val="04A0" w:firstRow="1" w:lastRow="0" w:firstColumn="1" w:lastColumn="0" w:noHBand="0" w:noVBand="1"/>
      </w:tblPr>
      <w:tblGrid>
        <w:gridCol w:w="753"/>
        <w:gridCol w:w="657"/>
        <w:gridCol w:w="1320"/>
        <w:gridCol w:w="2520"/>
        <w:gridCol w:w="915"/>
        <w:gridCol w:w="870"/>
        <w:gridCol w:w="825"/>
        <w:gridCol w:w="705"/>
        <w:gridCol w:w="885"/>
      </w:tblGrid>
      <w:tr>
        <w:trPr>
          <w:trHeight w:val="51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序号</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道路编号</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桩号</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布点位置</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方向</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接入点</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带宽</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备注</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电路接入号</w:t>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G345</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K278+780</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G345 嘶马集镇段</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上行</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江都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G345</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K282+800</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G345 白沙路交叉口（东）</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下行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G233</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K1630+650</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白沙路交叉口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下行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G233</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K1629+740</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G233-佘板村</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下行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G328</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K300+600</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G328 浦江路交叉口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上行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S264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K222+470</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S264 谢桥红绿灯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下行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G344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K160+800</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G344 高邮界首收费站出入口南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高邮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S125</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K44+740</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S125 南茶路交叉口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下行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S125</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K46+370</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S125 红石路交叉口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上行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S125</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K48+280</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S125 顾集路交叉口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下行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S125</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K50+915</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S125 状元湖路交叉口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下行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S125</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K53+200</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S125 新区大道交叉口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上行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S125</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K55+170</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S125 常黄路交叉口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上行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S125</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K62+090</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S125S611 交叉口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上行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S333</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K32+700</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S333 高邮南收费站出入口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G233</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K1514+540</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G233 开发区江跳村</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下行</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宝应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G233</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K1516+800</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G233 安宜镇小吴三庄</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上行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G233</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K1529+915</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G233 南陈路交叉口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下行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S264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K115+440</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S264 小新河中桥桥北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上行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S264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K135+245</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S264 柳堡王家舍</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上行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S264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K137+130</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S264 一日河桥北</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下行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S264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K145+925</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S264 夏集塘北村</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下行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bl>
    <w:p>
      <w:pPr>
        <w:rPr>
          <w:rFonts w:hint="eastAsia" w:ascii="宋体" w:hAnsi="宋体" w:cs="等线"/>
          <w:b/>
          <w:bCs/>
          <w:sz w:val="24"/>
          <w:szCs w:val="24"/>
          <w:lang w:bidi="ar"/>
        </w:rPr>
      </w:pPr>
      <w:r>
        <w:rPr>
          <w:rFonts w:hint="eastAsia" w:ascii="宋体" w:hAnsi="宋体" w:cs="等线"/>
          <w:b/>
          <w:bCs/>
          <w:sz w:val="24"/>
          <w:szCs w:val="24"/>
          <w:lang w:bidi="ar"/>
        </w:rPr>
      </w:r>
      <w:r/>
    </w:p>
    <w:p>
      <w:pPr>
        <w:ind w:right="225" w:firstLine="482"/>
        <w:spacing w:line="360" w:lineRule="auto"/>
        <w:rPr>
          <w:rFonts w:hint="eastAsia" w:ascii="宋体" w:hAnsi="宋体"/>
          <w:sz w:val="24"/>
          <w:szCs w:val="24"/>
        </w:rPr>
      </w:pPr>
      <w:r>
        <w:rPr>
          <w:rFonts w:hint="eastAsia" w:ascii="宋体" w:hAnsi="宋体"/>
          <w:sz w:val="24"/>
          <w:szCs w:val="24"/>
        </w:rPr>
      </w:r>
      <w:r/>
    </w:p>
    <w:p>
      <w:pPr>
        <w:pStyle w:val="708"/>
        <w:ind w:firstLine="426"/>
        <w:jc w:val="left"/>
        <w:spacing w:before="0" w:after="0" w:line="360" w:lineRule="auto"/>
        <w:rPr>
          <w:rFonts w:hint="eastAsia" w:ascii="宋体" w:hAnsi="宋体" w:eastAsia="宋体" w:cs="等线"/>
          <w:b/>
          <w:bCs/>
          <w:sz w:val="24"/>
          <w:szCs w:val="24"/>
          <w:lang w:bidi="ar"/>
        </w:rPr>
      </w:pPr>
      <w:r>
        <w:rPr>
          <w:rFonts w:hint="eastAsia" w:ascii="宋体" w:hAnsi="宋体" w:eastAsia="宋体" w:cs="等线"/>
          <w:b/>
          <w:bCs/>
          <w:sz w:val="24"/>
          <w:szCs w:val="24"/>
          <w:lang w:bidi="ar"/>
        </w:rPr>
        <w:t xml:space="preserve">包2：市中心、邗江、广陵、仪征分中心路网监测线路及上云线路214条租用服务</w:t>
      </w:r>
      <w:r/>
    </w:p>
    <w:p>
      <w:pPr>
        <w:ind w:right="225" w:firstLine="482"/>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1、项目需求：路网监测线路211条，上云线路3条</w:t>
      </w:r>
      <w:r>
        <w:rPr>
          <w:rFonts w:hint="eastAsia" w:ascii="宋体" w:hAnsi="宋体"/>
          <w:b/>
          <w:bCs/>
          <w:sz w:val="24"/>
          <w:szCs w:val="24"/>
        </w:rPr>
        <w:t xml:space="preserve">，</w:t>
      </w:r>
      <w:r>
        <w:rPr>
          <w:rFonts w:hint="eastAsia" w:ascii="宋体" w:hAnsi="宋体" w:cs="宋体"/>
          <w:b/>
          <w:bCs/>
          <w:sz w:val="24"/>
          <w:szCs w:val="24"/>
          <w:lang w:bidi="ar"/>
        </w:rPr>
        <w:t xml:space="preserve">其中：</w:t>
      </w:r>
      <w:r/>
    </w:p>
    <w:p>
      <w:pPr>
        <w:ind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1）市中心线路1条(100M带宽)；</w:t>
      </w:r>
      <w:r/>
    </w:p>
    <w:p>
      <w:pPr>
        <w:ind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2）邗江分中心线路76条（52条20M带宽，23条50M带宽，1条100M带宽）；</w:t>
      </w:r>
      <w:r/>
    </w:p>
    <w:p>
      <w:pPr>
        <w:ind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3）广陵分中心线路24条（22条20M带宽，1条50M带宽，1条100M带宽）；</w:t>
      </w:r>
      <w:r/>
    </w:p>
    <w:p>
      <w:pPr>
        <w:ind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4）仪征分中心线路</w:t>
      </w:r>
      <w:r>
        <w:rPr>
          <w:rFonts w:hint="eastAsia" w:ascii="宋体" w:hAnsi="宋体" w:cs="宋体"/>
          <w:b/>
          <w:bCs/>
          <w:sz w:val="24"/>
          <w:szCs w:val="24"/>
          <w:lang w:bidi="ar"/>
        </w:rPr>
        <w:t xml:space="preserve">113条（97条20M带宽，14条50M带宽，2条100M带宽）</w:t>
      </w:r>
      <w:r>
        <w:rPr>
          <w:rFonts w:hint="eastAsia" w:ascii="宋体" w:hAnsi="宋体" w:cs="宋体"/>
          <w:sz w:val="24"/>
          <w:szCs w:val="24"/>
          <w:lang w:bidi="ar"/>
        </w:rPr>
        <w:t xml:space="preserve">。</w:t>
      </w:r>
      <w:r/>
    </w:p>
    <w:p>
      <w:pPr>
        <w:ind w:right="225" w:firstLine="482"/>
        <w:spacing w:line="360" w:lineRule="auto"/>
        <w:rPr>
          <w:rFonts w:hint="eastAsia" w:ascii="宋体" w:hAnsi="宋体"/>
          <w:sz w:val="24"/>
          <w:szCs w:val="24"/>
        </w:rPr>
      </w:pPr>
      <w:r>
        <w:rPr>
          <w:rFonts w:hint="eastAsia" w:ascii="宋体" w:hAnsi="宋体" w:cs="宋体"/>
          <w:b/>
          <w:bCs/>
          <w:sz w:val="24"/>
          <w:szCs w:val="24"/>
          <w:lang w:bidi="ar"/>
        </w:rPr>
        <w:t xml:space="preserve">2、服务期：</w:t>
      </w:r>
      <w:r>
        <w:rPr>
          <w:rFonts w:hint="eastAsia" w:ascii="宋体" w:hAnsi="宋体" w:cs="宋体"/>
          <w:sz w:val="24"/>
          <w:szCs w:val="24"/>
          <w:lang w:bidi="ar"/>
        </w:rPr>
        <w:t xml:space="preserve">2026年4月底到期的190条路网监测线路及3条上云线路</w:t>
      </w:r>
      <w:r>
        <w:rPr>
          <w:rFonts w:hint="eastAsia" w:ascii="宋体" w:hAnsi="宋体"/>
          <w:sz w:val="24"/>
          <w:szCs w:val="24"/>
        </w:rPr>
        <w:t xml:space="preserve">服务期十二个月（自合同签订之日起计），2026年8月底到期的21条</w:t>
      </w:r>
      <w:r>
        <w:rPr>
          <w:rFonts w:hint="eastAsia" w:ascii="宋体" w:hAnsi="宋体" w:cs="宋体"/>
          <w:sz w:val="24"/>
          <w:szCs w:val="24"/>
          <w:lang w:bidi="ar"/>
        </w:rPr>
        <w:t xml:space="preserve">路网监测线路</w:t>
      </w:r>
      <w:r>
        <w:rPr>
          <w:rFonts w:hint="eastAsia" w:ascii="宋体" w:hAnsi="宋体"/>
          <w:sz w:val="24"/>
          <w:szCs w:val="24"/>
        </w:rPr>
        <w:t xml:space="preserve">服务期八个月（自合同签订之日起计）。</w:t>
      </w:r>
      <w:r/>
    </w:p>
    <w:p>
      <w:pPr>
        <w:ind w:right="225" w:firstLine="482"/>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3、服务要求</w:t>
      </w:r>
      <w:r/>
    </w:p>
    <w:p>
      <w:pPr>
        <w:ind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3.1服务期内，中标人承诺免费提供线路迁移服务，迁移服务包含：</w:t>
      </w:r>
      <w:r/>
    </w:p>
    <w:p>
      <w:pPr>
        <w:ind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3.1.1采购人办公地点整体迁移。要求投标人先开通新办公地点的线路，采购人迁移工作完毕后，再拆除原办公地点线路。新老线路在迁移期间不再额外收取任何费用。新旧光传输设备型号、容量不降低。制定整体迁移方案。</w:t>
      </w:r>
      <w:r/>
    </w:p>
    <w:p>
      <w:pPr>
        <w:ind w:right="225" w:firstLine="480"/>
        <w:spacing w:line="360" w:lineRule="auto"/>
        <w:rPr>
          <w:rFonts w:hint="eastAsia" w:ascii="宋体" w:hAnsi="宋体" w:cs="宋体"/>
          <w:sz w:val="24"/>
          <w:szCs w:val="24"/>
          <w:highlight w:val="none"/>
          <w:lang w:bidi="ar"/>
        </w:rPr>
      </w:pPr>
      <w:r>
        <w:rPr>
          <w:rFonts w:hint="eastAsia" w:ascii="宋体" w:hAnsi="宋体" w:cs="宋体"/>
          <w:sz w:val="24"/>
          <w:szCs w:val="24"/>
          <w:lang w:bidi="ar"/>
        </w:rPr>
        <w:t xml:space="preserve">3.1.2采购人办公地点不变，机房位置根据工作需要改变位置。要求投标人根据采购人需求，免费提供接入光缆或光传输设备的移位服务。迁移前应制定详细的线路迁移方案，迁</w:t>
      </w:r>
      <w:r>
        <w:rPr>
          <w:rFonts w:hint="eastAsia" w:ascii="宋体" w:hAnsi="宋体" w:cs="宋体"/>
          <w:sz w:val="24"/>
          <w:szCs w:val="24"/>
          <w:highlight w:val="none"/>
          <w:lang w:bidi="ar"/>
        </w:rPr>
        <w:t xml:space="preserve">移中线路中断时间应在招标人的要求范围内，迁移后保证线路的可用性，确保系统如期正常运行。</w:t>
      </w:r>
      <w:r/>
    </w:p>
    <w:p>
      <w:pPr>
        <w:ind w:right="225" w:firstLine="480"/>
        <w:spacing w:line="360" w:lineRule="auto"/>
        <w:rPr>
          <w:rFonts w:hint="eastAsia" w:ascii="宋体" w:hAnsi="宋体" w:cs="宋体"/>
          <w:sz w:val="24"/>
          <w:szCs w:val="24"/>
          <w:highlight w:val="none"/>
          <w:lang w:bidi="ar"/>
        </w:rPr>
      </w:pPr>
      <w:r/>
      <w:bookmarkStart w:id="4" w:name="_Hlk157084515"/>
      <w:r>
        <w:rPr>
          <w:rFonts w:hint="eastAsia" w:ascii="宋体" w:hAnsi="宋体" w:cs="宋体"/>
          <w:sz w:val="24"/>
          <w:szCs w:val="24"/>
          <w:highlight w:val="none"/>
          <w:lang w:bidi="ar"/>
        </w:rPr>
        <w:t xml:space="preserve">3.1.3通讯线路需符合：误码率≤1×10</w:t>
      </w:r>
      <w:r>
        <w:rPr>
          <w:rFonts w:hint="eastAsia" w:ascii="宋体" w:hAnsi="宋体" w:cs="宋体"/>
          <w:sz w:val="24"/>
          <w:szCs w:val="24"/>
          <w:highlight w:val="none"/>
          <w:vertAlign w:val="superscript"/>
          <w:lang w:bidi="ar"/>
        </w:rPr>
        <w:t xml:space="preserve">-7</w:t>
      </w:r>
      <w:r>
        <w:rPr>
          <w:rFonts w:hint="eastAsia" w:ascii="宋体" w:hAnsi="宋体" w:cs="宋体"/>
          <w:sz w:val="24"/>
          <w:szCs w:val="24"/>
          <w:highlight w:val="none"/>
          <w:lang w:bidi="ar"/>
        </w:rPr>
        <w:t xml:space="preserve">，空闲时最高时延≤50ms，倒换时间≤50ms。</w:t>
      </w:r>
      <w:bookmarkEnd w:id="4"/>
      <w:r/>
      <w:r/>
    </w:p>
    <w:p>
      <w:pPr>
        <w:pStyle w:val="708"/>
        <w:jc w:val="center"/>
        <w:rPr>
          <w:rFonts w:hint="eastAsia" w:ascii="宋体" w:hAnsi="宋体" w:eastAsia="宋体" w:cs="等线"/>
          <w:b/>
          <w:bCs/>
          <w:sz w:val="24"/>
          <w:szCs w:val="24"/>
          <w:highlight w:val="none"/>
          <w:lang w:bidi="ar"/>
        </w:rPr>
      </w:pPr>
      <w:r>
        <w:rPr>
          <w:rFonts w:hint="eastAsia" w:ascii="宋体" w:hAnsi="宋体" w:eastAsia="宋体" w:cs="等线"/>
          <w:b/>
          <w:bCs/>
          <w:sz w:val="24"/>
          <w:szCs w:val="24"/>
          <w:highlight w:val="none"/>
          <w:lang w:bidi="ar"/>
        </w:rPr>
        <w:t xml:space="preserve">2026年4月底到期路网监测线路</w:t>
      </w:r>
      <w:r/>
    </w:p>
    <w:tbl>
      <w:tblPr>
        <w:tblStyle w:val="717"/>
        <w:tblW w:w="10034" w:type="dxa"/>
        <w:tblInd w:w="93" w:type="dxa"/>
        <w:tblLayout w:type="fixed"/>
        <w:tblCellMar>
          <w:left w:w="108" w:type="dxa"/>
          <w:top w:w="0" w:type="dxa"/>
          <w:right w:w="108" w:type="dxa"/>
          <w:bottom w:w="0" w:type="dxa"/>
        </w:tblCellMar>
        <w:tblLook w:val="04A0" w:firstRow="1" w:lastRow="0" w:firstColumn="1" w:lastColumn="0" w:noHBand="0" w:noVBand="1"/>
      </w:tblPr>
      <w:tblGrid>
        <w:gridCol w:w="753"/>
        <w:gridCol w:w="1134"/>
        <w:gridCol w:w="1134"/>
        <w:gridCol w:w="1559"/>
        <w:gridCol w:w="709"/>
        <w:gridCol w:w="850"/>
        <w:gridCol w:w="1134"/>
        <w:gridCol w:w="1069"/>
        <w:gridCol w:w="1692"/>
      </w:tblGrid>
      <w:tr>
        <w:trPr>
          <w:trHeight w:val="51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序号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道路编号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桩号</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布点位置</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方向</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接入点</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带宽</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备注</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电路接入号</w:t>
            </w:r>
            <w:r/>
          </w:p>
        </w:tc>
      </w:tr>
      <w:tr>
        <w:trPr>
          <w:trHeight w:val="74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K353+020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 K353+970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bottom"/>
            <w:textDirection w:val="lrTb"/>
            <w:noWrap w:val="false"/>
          </w:tcPr>
          <w:p>
            <w:pPr>
              <w:jc w:val="center"/>
              <w:widowControl/>
              <w:rPr>
                <w:rFonts w:hint="eastAsia" w:ascii="宋体" w:hAnsi="宋体" w:cs="宋体"/>
              </w:rPr>
            </w:pPr>
            <w:r>
              <w:rPr>
                <w:rFonts w:hint="eastAsia" w:ascii="宋体" w:hAnsi="宋体" w:cs="宋体"/>
                <w:lang w:bidi="ar"/>
              </w:rPr>
              <w:t xml:space="preserve">HLWZX51420201102245</w:t>
            </w:r>
            <w:r/>
          </w:p>
        </w:tc>
      </w:tr>
      <w:tr>
        <w:trPr>
          <w:trHeight w:val="51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K308+600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扬仪界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bottom"/>
            <w:textDirection w:val="lrTb"/>
            <w:noWrap w:val="false"/>
          </w:tcPr>
          <w:p>
            <w:pPr>
              <w:jc w:val="center"/>
              <w:widowControl/>
              <w:rPr>
                <w:rFonts w:hint="eastAsia" w:ascii="宋体" w:hAnsi="宋体" w:cs="宋体"/>
              </w:rPr>
            </w:pPr>
            <w:r>
              <w:rPr>
                <w:rFonts w:hint="eastAsia" w:ascii="宋体" w:hAnsi="宋体" w:cs="宋体"/>
                <w:lang w:bidi="ar"/>
              </w:rPr>
              <w:t xml:space="preserve">HLWZX51420201101865</w:t>
            </w:r>
            <w:r/>
          </w:p>
        </w:tc>
      </w:tr>
      <w:tr>
        <w:trPr>
          <w:trHeight w:val="51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K356+910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 K357+130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bottom"/>
            <w:textDirection w:val="lrTb"/>
            <w:noWrap w:val="false"/>
          </w:tcPr>
          <w:p>
            <w:pPr>
              <w:jc w:val="center"/>
              <w:widowControl/>
              <w:rPr>
                <w:rFonts w:hint="eastAsia" w:ascii="宋体" w:hAnsi="宋体" w:cs="宋体"/>
              </w:rPr>
            </w:pPr>
            <w:r>
              <w:rPr>
                <w:rFonts w:hint="eastAsia" w:ascii="宋体" w:hAnsi="宋体" w:cs="宋体"/>
                <w:lang w:bidi="ar"/>
              </w:rPr>
              <w:t xml:space="preserve">151372269</w:t>
            </w:r>
            <w:r/>
          </w:p>
        </w:tc>
      </w:tr>
      <w:tr>
        <w:trPr>
          <w:trHeight w:val="51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K357+982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 K359+050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bottom"/>
            <w:textDirection w:val="lrTb"/>
            <w:noWrap w:val="false"/>
          </w:tcPr>
          <w:p>
            <w:pPr>
              <w:jc w:val="center"/>
              <w:widowControl/>
              <w:rPr>
                <w:rFonts w:hint="eastAsia" w:ascii="宋体" w:hAnsi="宋体" w:cs="宋体"/>
              </w:rPr>
            </w:pPr>
            <w:r>
              <w:rPr>
                <w:rFonts w:hint="eastAsia" w:ascii="宋体" w:hAnsi="宋体" w:cs="宋体"/>
                <w:lang w:bidi="ar"/>
              </w:rPr>
              <w:t xml:space="preserve">151363456</w:t>
            </w:r>
            <w:r/>
          </w:p>
        </w:tc>
      </w:tr>
      <w:tr>
        <w:trPr>
          <w:trHeight w:val="51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K363+382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 K364+450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bottom"/>
            <w:textDirection w:val="lrTb"/>
            <w:noWrap w:val="false"/>
          </w:tcPr>
          <w:p>
            <w:pPr>
              <w:jc w:val="center"/>
              <w:widowControl/>
              <w:rPr>
                <w:rFonts w:hint="eastAsia" w:ascii="宋体" w:hAnsi="宋体" w:cs="宋体"/>
              </w:rPr>
            </w:pPr>
            <w:r>
              <w:rPr>
                <w:rFonts w:hint="eastAsia" w:ascii="宋体" w:hAnsi="宋体" w:cs="宋体"/>
                <w:lang w:bidi="ar"/>
              </w:rPr>
              <w:t xml:space="preserve">151372270</w:t>
            </w:r>
            <w:r/>
          </w:p>
        </w:tc>
      </w:tr>
      <w:tr>
        <w:trPr>
          <w:trHeight w:val="51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K367+432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 K367+720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bottom"/>
            <w:textDirection w:val="lrTb"/>
            <w:noWrap w:val="false"/>
          </w:tcPr>
          <w:p>
            <w:pPr>
              <w:jc w:val="center"/>
              <w:widowControl/>
              <w:rPr>
                <w:rFonts w:hint="eastAsia" w:ascii="宋体" w:hAnsi="宋体" w:cs="宋体"/>
              </w:rPr>
            </w:pPr>
            <w:r>
              <w:rPr>
                <w:rFonts w:hint="eastAsia" w:ascii="宋体" w:hAnsi="宋体" w:cs="宋体"/>
                <w:lang w:bidi="ar"/>
              </w:rPr>
              <w:t xml:space="preserve">151345653</w:t>
            </w:r>
            <w:r/>
          </w:p>
        </w:tc>
      </w:tr>
      <w:tr>
        <w:trPr>
          <w:trHeight w:val="51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K368+632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苏皖省界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bottom"/>
            <w:textDirection w:val="lrTb"/>
            <w:noWrap w:val="false"/>
          </w:tcPr>
          <w:p>
            <w:pPr>
              <w:jc w:val="center"/>
              <w:widowControl/>
              <w:rPr>
                <w:rFonts w:hint="eastAsia" w:ascii="宋体" w:hAnsi="宋体" w:cs="宋体"/>
              </w:rPr>
            </w:pPr>
            <w:r>
              <w:rPr>
                <w:rFonts w:hint="eastAsia" w:ascii="宋体" w:hAnsi="宋体" w:cs="宋体"/>
                <w:lang w:bidi="ar"/>
              </w:rPr>
              <w:t xml:space="preserve">151363457</w:t>
            </w:r>
            <w:r/>
          </w:p>
        </w:tc>
      </w:tr>
      <w:tr>
        <w:trPr>
          <w:trHeight w:val="51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S125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K8+400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S125真州</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全幅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I类交调+视频</w:t>
            </w:r>
            <w:r/>
          </w:p>
        </w:tc>
        <w:tc>
          <w:tcPr>
            <w:tcBorders>
              <w:top w:val="single" w:color="000000" w:sz="4" w:space="0"/>
              <w:left w:val="single" w:color="000000" w:sz="4" w:space="0"/>
              <w:bottom w:val="single" w:color="000000" w:sz="4" w:space="0"/>
              <w:right w:val="single" w:color="000000" w:sz="4" w:space="0"/>
            </w:tcBorders>
            <w:tcW w:w="1692" w:type="dxa"/>
            <w:vAlign w:val="bottom"/>
            <w:textDirection w:val="lrTb"/>
            <w:noWrap w:val="false"/>
          </w:tcPr>
          <w:p>
            <w:pPr>
              <w:jc w:val="center"/>
              <w:widowControl/>
              <w:rPr>
                <w:rFonts w:hint="eastAsia" w:ascii="宋体" w:hAnsi="宋体" w:cs="宋体"/>
              </w:rPr>
            </w:pPr>
            <w:r>
              <w:rPr>
                <w:rFonts w:hint="eastAsia" w:ascii="宋体" w:hAnsi="宋体" w:cs="宋体"/>
                <w:lang w:bidi="ar"/>
              </w:rPr>
              <w:t xml:space="preserve">HLWZX51420201102207</w:t>
            </w:r>
            <w:r/>
          </w:p>
        </w:tc>
      </w:tr>
      <w:tr>
        <w:trPr>
          <w:trHeight w:val="51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S125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K36+400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扬州S125大仪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全幅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I类交调+视频</w:t>
            </w:r>
            <w:r/>
          </w:p>
        </w:tc>
        <w:tc>
          <w:tcPr>
            <w:tcBorders>
              <w:top w:val="single" w:color="000000" w:sz="4" w:space="0"/>
              <w:left w:val="single" w:color="000000" w:sz="4" w:space="0"/>
              <w:bottom w:val="single" w:color="000000" w:sz="4" w:space="0"/>
              <w:right w:val="single" w:color="000000" w:sz="4" w:space="0"/>
            </w:tcBorders>
            <w:tcW w:w="1692" w:type="dxa"/>
            <w:vAlign w:val="bottom"/>
            <w:textDirection w:val="lrTb"/>
            <w:noWrap w:val="false"/>
          </w:tcPr>
          <w:p>
            <w:pPr>
              <w:jc w:val="center"/>
              <w:widowControl/>
              <w:rPr>
                <w:rFonts w:hint="eastAsia" w:ascii="宋体" w:hAnsi="宋体" w:cs="宋体"/>
              </w:rPr>
            </w:pPr>
            <w:r>
              <w:rPr>
                <w:rFonts w:hint="eastAsia" w:ascii="宋体" w:hAnsi="宋体" w:cs="宋体"/>
                <w:lang w:bidi="ar"/>
              </w:rPr>
              <w:t xml:space="preserve">151363455</w:t>
            </w:r>
            <w:r/>
          </w:p>
        </w:tc>
      </w:tr>
      <w:tr>
        <w:trPr>
          <w:trHeight w:val="51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K153+450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龙涧河中桥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bottom"/>
            <w:textDirection w:val="lrTb"/>
            <w:noWrap w:val="false"/>
          </w:tcPr>
          <w:p>
            <w:pPr>
              <w:jc w:val="center"/>
              <w:widowControl/>
              <w:rPr>
                <w:rFonts w:hint="eastAsia" w:ascii="宋体" w:hAnsi="宋体" w:cs="宋体"/>
              </w:rPr>
            </w:pPr>
            <w:r>
              <w:rPr>
                <w:rFonts w:hint="eastAsia" w:ascii="宋体" w:hAnsi="宋体" w:cs="宋体"/>
                <w:lang w:bidi="ar"/>
              </w:rPr>
              <w:t xml:space="preserve">151355822</w:t>
            </w:r>
            <w:r/>
          </w:p>
        </w:tc>
      </w:tr>
      <w:tr>
        <w:trPr>
          <w:trHeight w:val="51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K169+300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四庄停车区</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bottom"/>
            <w:textDirection w:val="lrTb"/>
            <w:noWrap w:val="false"/>
          </w:tcPr>
          <w:p>
            <w:pPr>
              <w:jc w:val="center"/>
              <w:widowControl/>
              <w:rPr>
                <w:rFonts w:hint="eastAsia" w:ascii="宋体" w:hAnsi="宋体" w:cs="宋体"/>
              </w:rPr>
            </w:pPr>
            <w:r>
              <w:rPr>
                <w:rFonts w:hint="eastAsia" w:ascii="宋体" w:hAnsi="宋体" w:cs="宋体"/>
                <w:lang w:bidi="ar"/>
              </w:rPr>
              <w:t xml:space="preserve">151359971</w:t>
            </w:r>
            <w:r/>
          </w:p>
        </w:tc>
      </w:tr>
      <w:tr>
        <w:trPr>
          <w:trHeight w:val="51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K179+000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宁扬市界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bottom"/>
            <w:textDirection w:val="lrTb"/>
            <w:noWrap w:val="false"/>
          </w:tcPr>
          <w:p>
            <w:pPr>
              <w:jc w:val="center"/>
              <w:widowControl/>
              <w:rPr>
                <w:rFonts w:hint="eastAsia" w:ascii="宋体" w:hAnsi="宋体" w:cs="宋体"/>
              </w:rPr>
            </w:pPr>
            <w:r>
              <w:rPr>
                <w:rFonts w:hint="eastAsia" w:ascii="宋体" w:hAnsi="宋体" w:cs="宋体"/>
                <w:lang w:bidi="ar"/>
              </w:rPr>
              <w:t xml:space="preserve">151359972</w:t>
            </w:r>
            <w:r/>
          </w:p>
        </w:tc>
      </w:tr>
      <w:tr>
        <w:trPr>
          <w:trHeight w:val="51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K315+000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S356十二圩</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I类交调+视频</w:t>
            </w:r>
            <w:r/>
          </w:p>
        </w:tc>
        <w:tc>
          <w:tcPr>
            <w:tcBorders>
              <w:top w:val="single" w:color="000000" w:sz="4" w:space="0"/>
              <w:left w:val="single" w:color="000000" w:sz="4" w:space="0"/>
              <w:bottom w:val="single" w:color="000000" w:sz="4" w:space="0"/>
              <w:right w:val="single" w:color="000000" w:sz="4" w:space="0"/>
            </w:tcBorders>
            <w:tcW w:w="1692" w:type="dxa"/>
            <w:vAlign w:val="bottom"/>
            <w:textDirection w:val="lrTb"/>
            <w:noWrap w:val="false"/>
          </w:tcPr>
          <w:p>
            <w:pPr>
              <w:jc w:val="center"/>
              <w:widowControl/>
              <w:rPr>
                <w:rFonts w:hint="eastAsia" w:ascii="宋体" w:hAnsi="宋体" w:cs="宋体"/>
              </w:rPr>
            </w:pPr>
            <w:r>
              <w:rPr>
                <w:rFonts w:hint="eastAsia" w:ascii="宋体" w:hAnsi="宋体" w:cs="宋体"/>
                <w:lang w:bidi="ar"/>
              </w:rPr>
              <w:t xml:space="preserve">HLWZX51420201101685</w:t>
            </w:r>
            <w:r/>
          </w:p>
        </w:tc>
      </w:tr>
      <w:tr>
        <w:trPr>
          <w:trHeight w:val="51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K327+330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S356胥浦</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I类交调+视频</w:t>
            </w:r>
            <w:r/>
          </w:p>
        </w:tc>
        <w:tc>
          <w:tcPr>
            <w:tcBorders>
              <w:top w:val="single" w:color="000000" w:sz="4" w:space="0"/>
              <w:left w:val="single" w:color="000000" w:sz="4" w:space="0"/>
              <w:bottom w:val="single" w:color="000000" w:sz="4" w:space="0"/>
              <w:right w:val="single" w:color="000000" w:sz="4" w:space="0"/>
            </w:tcBorders>
            <w:tcW w:w="1692" w:type="dxa"/>
            <w:vAlign w:val="bottom"/>
            <w:textDirection w:val="lrTb"/>
            <w:noWrap w:val="false"/>
          </w:tcPr>
          <w:p>
            <w:pPr>
              <w:jc w:val="center"/>
              <w:widowControl/>
              <w:rPr>
                <w:rFonts w:hint="eastAsia" w:ascii="宋体" w:hAnsi="宋体" w:cs="宋体"/>
              </w:rPr>
            </w:pPr>
            <w:r>
              <w:rPr>
                <w:rFonts w:hint="eastAsia" w:ascii="宋体" w:hAnsi="宋体" w:cs="宋体"/>
                <w:lang w:bidi="ar"/>
              </w:rPr>
              <w:t xml:space="preserve">151372268</w:t>
            </w:r>
            <w:r/>
          </w:p>
        </w:tc>
      </w:tr>
      <w:tr>
        <w:trPr>
          <w:trHeight w:val="51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K334+020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宁扬市界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bottom"/>
            <w:textDirection w:val="lrTb"/>
            <w:noWrap w:val="false"/>
          </w:tcPr>
          <w:p>
            <w:pPr>
              <w:jc w:val="center"/>
              <w:widowControl/>
              <w:rPr>
                <w:rFonts w:hint="eastAsia" w:ascii="宋体" w:hAnsi="宋体" w:cs="宋体"/>
              </w:rPr>
            </w:pPr>
            <w:r>
              <w:rPr>
                <w:rFonts w:hint="eastAsia" w:ascii="宋体" w:hAnsi="宋体" w:cs="宋体"/>
                <w:lang w:bidi="ar"/>
              </w:rPr>
              <w:t xml:space="preserve">151338843</w:t>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K363+000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大仪交调站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K368+500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K368+500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S125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K3+000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开发区交调站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K177+500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S353天乐湖</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K0+700（K1，328国道北辅道）新集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21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K5+200（K5，328国道南辅道）金家桥东边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22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K8（328国道 南辅道）青山果园</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23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K28+140（328国道南辅道）华电路与328国道交叉口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24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K6（328国道北辅道）青山</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25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K15+050（K11,328国道北辅道）仪征服务区东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26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K3（328国道南辅道）新浦家园</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27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K12+210（K9,328国道南辅道）新城西桥东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K2（328国道北辅道）天地和园与南洋尚城之间</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29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K29+700（328国道 南辅道）原十五里墩收费站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30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K4（328国道北辅道）浦封路口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31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K9+430（K7，328国道北辅道）G328与科研二路交叉口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32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S333桩号189+020（仪征公路站）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33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S333桩号191+400（仪征公路站）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34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S333桩号194+600（仪征公路站）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35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S333桩号205+500（仪征公路站）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36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S125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K9+400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下穿宁启铁路桥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37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S125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K4+100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仪扬河大桥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38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S125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K7+900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上跨CP5铁路专线桥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39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K158+000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龙河大桥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40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K171+600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胥浦河大桥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41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K328+200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与X204桃青线交叉口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42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S125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K33+200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新扬高速出入口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43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K320+020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仪扬河大桥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44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K338+678</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明煜11条</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K339+928</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46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K341+378</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47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K342+522</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48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K344+278</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49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K345+778</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K347+422</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51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K348+578</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52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K350+178</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53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K351+478</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left"/>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54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non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仪征市真州镇万年大道101号</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100M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55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K365+382 上行侧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香沟桥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56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S125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K005+580 中分带</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与 G328 平交道口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57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S125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K007+100 上行侧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与联众路交叉</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58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S125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K011+200 上行侧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G40 高速连接线上跨桥南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59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S125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K028+400 下行侧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丁桥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60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S125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K030+410 上行侧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陈集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61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S125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K041+200 下行侧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大巷</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62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S125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K043+580 上行侧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仪征高邮界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63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S353</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K172+080 下行侧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X204 汉金路平交路口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64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S353</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K173+200 下行侧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魏井路平交路口东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65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K177+500上行侧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月塘（扬州南京界）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66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K311+540 下行侧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国泰应急产业园路口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67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K318+500 下行侧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东园南路东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68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K323+300 上行侧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扬州化学工业园区</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69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S418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K2+500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金田交调站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70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S418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K0+000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扬溧高速扬州西出入口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71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S418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K1+000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宁启铁路上跨大桥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72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S418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K001+810 上行侧</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宁启铁路大桥西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51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73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S532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K8+700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与回归大道交叉口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租用 VPN（20M）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bottom"/>
            <w:textDirection w:val="lrTb"/>
            <w:noWrap/>
          </w:tcPr>
          <w:p>
            <w:pPr>
              <w:jc w:val="center"/>
              <w:widowControl/>
              <w:rPr>
                <w:rFonts w:hint="eastAsia" w:ascii="宋体" w:hAnsi="宋体" w:cs="宋体"/>
              </w:rPr>
            </w:pPr>
            <w:r>
              <w:rPr>
                <w:rFonts w:hint="eastAsia" w:ascii="宋体" w:hAnsi="宋体" w:cs="宋体"/>
                <w:lang w:bidi="ar"/>
              </w:rPr>
              <w:t xml:space="preserve">151324669</w:t>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74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S532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K1+700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江苏省扬州市邗江区S532新甘泉大道交叉口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75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S243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K2+930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江苏省扬州市邗江区瓜州气渡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76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S532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K7+150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江苏省扬州市邗江区甘泉服务区</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77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S532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K0+140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S532启扬高速出入口（下行）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78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K319+291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G345扬溧高速口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51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79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K292+201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扬州市外地江苏省扬州市G345连济南线交叉口桩号K292+201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K293+241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头桥镇丰裕路口西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81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K294+541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江宜高速出入口东侧</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82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K295+491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江宜高速出入口西侧</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83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S531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K5+100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田桥大桥北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84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S531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K6+660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扬州市外地江苏省扬州市S531田桥大桥南桩号K6+660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85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S531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K9+850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李典镇东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51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86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S531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K3+000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扬州市外地江苏省扬州市杭集南收费站S531桩号K3+000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87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S532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K6+080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扬州市外地江苏省扬州市S532甘泉桩号K6+080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88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K310+191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京杭运河大桥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89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K309+643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京杭运河大桥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90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K297+571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与S531交叉口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91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K299+741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铁路桥西侧</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92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K307+791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小夹江大桥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93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K317+291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古运河大桥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94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K318+491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与S243交叉口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95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K319+291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扬溧高速出入口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96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K319+991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扬溧高速跨线桥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97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K321+321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建华大桥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98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S437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K0+000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G40扬州南出入口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99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S437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K2+400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古运河大桥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S437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K7+300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与临江路交叉口西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51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101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扬州市邗江区梅岭街道史可法路50号</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市中心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100M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102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K289+591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头桥镇东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103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K322+451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三联村</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104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K323+396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朴席镇唐桥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105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K324+371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大寨河中桥桥东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106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K308+600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扬仪界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107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S532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K004+000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甘泉镇香巷路东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108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S611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K9+000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向阳河大桥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109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S611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K10+410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人民河中桥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S611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K15+000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公道河大桥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111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S611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K21+000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施庄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S611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K24+200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北方寺大桥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113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S611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K25+900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姚槐岗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114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S611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K28+400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邗江港中桥北侧</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115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S611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K31+700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团结村</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116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S611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K32+400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与姚大线交叉口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117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S28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启扬高速瘦西湖出入口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118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K302+800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龙川南路</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广陵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119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K302+800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龙川南路</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广陵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车检器</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K304+200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广州路</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广陵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121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K304+200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广州路</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广陵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车检器</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122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K304+870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杭集出入口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广陵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123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K306+700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与S461相交</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广陵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124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K309+900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廖家沟大桥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广陵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125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K309+870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廖家沟大桥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广陵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126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K314+000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运河大桥东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广陵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127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K317+200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运河大桥西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广陵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K319+500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古运河大桥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广陵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129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K323+000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润扬路交叉口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广陵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130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K309++870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廖家沟交调站（扬州公路站）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广陵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I类交调+视频</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131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K314+200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京杭运河大桥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广陵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132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K320+800 </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维扬路与 G328 的交接点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广陵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133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K354+100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宁仪界匝道(枣林湾)</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 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广陵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134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S125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K45+630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送桥交调站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non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135</w:t>
            </w:r>
            <w:r/>
          </w:p>
        </w:tc>
        <w:tc>
          <w:tcPr>
            <w:tcBorders>
              <w:top w:val="non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G328</w:t>
            </w:r>
            <w:r/>
          </w:p>
        </w:tc>
        <w:tc>
          <w:tcPr>
            <w:tcBorders>
              <w:top w:val="non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K328+300</w:t>
            </w:r>
            <w:r/>
          </w:p>
        </w:tc>
        <w:tc>
          <w:tcPr>
            <w:tcBorders>
              <w:top w:val="non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八字桥南</w:t>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下行</w:t>
            </w:r>
            <w:r/>
          </w:p>
        </w:tc>
        <w:tc>
          <w:tcPr>
            <w:shd w:val="clear" w:color="auto" w:fill="ffffff"/>
            <w:tcBorders>
              <w:top w:val="non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广陵</w:t>
            </w:r>
            <w:r/>
          </w:p>
        </w:tc>
        <w:tc>
          <w:tcPr>
            <w:tcBorders>
              <w:top w:val="non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136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Style w:val="998"/>
                <w:color w:val="auto"/>
                <w:lang w:bidi="ar"/>
              </w:rPr>
              <w:t xml:space="preserve">G328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K320+000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扬子江路口东南角</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广陵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137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Style w:val="998"/>
                <w:color w:val="auto"/>
                <w:lang w:bidi="ar"/>
              </w:rPr>
              <w:t xml:space="preserve">G328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K323+650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公交车站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广陵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138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Style w:val="998"/>
                <w:color w:val="auto"/>
                <w:lang w:bidi="ar"/>
              </w:rPr>
              <w:t xml:space="preserve">S243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K0+730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瓜洲桥北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139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K301+831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G345与康健路交叉口东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上行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140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K303+841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G345与人民南路交叉口东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上行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141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K305+141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小虹村村委会</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上行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142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K306+401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G345与四通路交叉口东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143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K311+891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G345与临江路交叉口西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上行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144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K312+941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G345与扬子江南路交叉口西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上行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K314+241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G345与金春路交叉口西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上行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146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K315+421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马港河桥东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147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K304+470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建华大桥西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上行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148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S532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K9+460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虞都河桥南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上行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149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S531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K0+100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S531主线桥北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S531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9"/>
                <w:rFonts w:hint="default"/>
                <w:color w:val="auto"/>
                <w:lang w:bidi="ar"/>
              </w:rPr>
              <w:t xml:space="preserve">K1+</w:t>
            </w:r>
            <w:r>
              <w:rPr>
                <w:rStyle w:val="998"/>
                <w:color w:val="auto"/>
                <w:lang w:bidi="ar"/>
              </w:rPr>
              <w:t xml:space="preserve">295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S531主线桥南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151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S531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K9+110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S531与X305交叉口南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152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Style w:val="998"/>
                <w:color w:val="auto"/>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K355+650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G345 与六纲公路交叉口北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153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Style w:val="998"/>
                <w:color w:val="auto"/>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K357+950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大仪转化物流段</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154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Style w:val="998"/>
                <w:color w:val="auto"/>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K360+100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G345 与兴仪路交叉</w:t>
            </w:r>
            <w:r>
              <w:rPr>
                <w:rStyle w:val="998"/>
                <w:color w:val="auto"/>
                <w:lang w:bidi="ar"/>
              </w:rPr>
              <w:br/>
            </w:r>
            <w:r>
              <w:rPr>
                <w:rStyle w:val="998"/>
                <w:color w:val="auto"/>
                <w:lang w:bidi="ar"/>
              </w:rPr>
              <w:t xml:space="preserve">口南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72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155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Style w:val="998"/>
                <w:color w:val="auto"/>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K366+500移位到K365+460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香沟桥东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上行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156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Style w:val="998"/>
                <w:color w:val="auto"/>
                <w:lang w:bidi="ar"/>
              </w:rPr>
              <w:t xml:space="preserve">S125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K1+950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仪泗河中桥南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上行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157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Style w:val="998"/>
                <w:color w:val="auto"/>
                <w:lang w:bidi="ar"/>
              </w:rPr>
              <w:t xml:space="preserve">S125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K14+150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S125 与金谷路交叉</w:t>
            </w:r>
            <w:r>
              <w:rPr>
                <w:rStyle w:val="998"/>
                <w:color w:val="auto"/>
                <w:lang w:bidi="ar"/>
              </w:rPr>
              <w:br/>
            </w:r>
            <w:r>
              <w:rPr>
                <w:rStyle w:val="998"/>
                <w:color w:val="auto"/>
                <w:lang w:bidi="ar"/>
              </w:rPr>
              <w:t xml:space="preserve">口西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158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Style w:val="998"/>
                <w:color w:val="auto"/>
                <w:lang w:bidi="ar"/>
              </w:rPr>
              <w:t xml:space="preserve">S353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K159+300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秦桥邱云四岔路口</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159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Style w:val="998"/>
                <w:color w:val="auto"/>
                <w:lang w:bidi="ar"/>
              </w:rPr>
              <w:t xml:space="preserve">S353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K160+130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S353 与邱莹路交叉口东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160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Style w:val="998"/>
                <w:color w:val="auto"/>
                <w:lang w:bidi="ar"/>
              </w:rPr>
              <w:t xml:space="preserve">S353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K175+380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大庄曹中桥东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161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Style w:val="998"/>
                <w:color w:val="auto"/>
                <w:lang w:bidi="ar"/>
              </w:rPr>
              <w:t xml:space="preserve">S356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K309+500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三益村</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上行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162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Style w:val="998"/>
                <w:color w:val="auto"/>
                <w:lang w:bidi="ar"/>
              </w:rPr>
              <w:t xml:space="preserve">S356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K314+450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S356 与大新线交叉口东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上行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163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Style w:val="998"/>
                <w:color w:val="auto"/>
                <w:lang w:bidi="ar"/>
              </w:rPr>
              <w:t xml:space="preserve">S356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K320+650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S356 与大庆路路口东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上行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164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Style w:val="998"/>
                <w:color w:val="auto"/>
                <w:lang w:bidi="ar"/>
              </w:rPr>
              <w:t xml:space="preserve">S356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K322+900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胥浦河中桥东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165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Style w:val="998"/>
                <w:color w:val="auto"/>
                <w:lang w:bidi="ar"/>
              </w:rPr>
              <w:t xml:space="preserve">S356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K325+580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烟灯河中桥东</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上行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48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166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Style w:val="998"/>
                <w:color w:val="auto"/>
                <w:lang w:bidi="ar"/>
              </w:rPr>
              <w:t xml:space="preserve">S356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K329+230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S356 与龙仪路路口西</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167</w:t>
            </w:r>
            <w:r/>
          </w:p>
        </w:tc>
        <w:tc>
          <w:tcPr>
            <w:tcBorders>
              <w:top w:val="single" w:color="000000" w:sz="4" w:space="0"/>
              <w:left w:val="single" w:color="000000" w:sz="4" w:space="0"/>
              <w:bottom w:val="non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Style w:val="998"/>
                <w:color w:val="auto"/>
                <w:lang w:bidi="ar"/>
              </w:rPr>
              <w:t xml:space="preserve">S356</w:t>
            </w:r>
            <w:r/>
          </w:p>
        </w:tc>
        <w:tc>
          <w:tcPr>
            <w:tcBorders>
              <w:top w:val="single" w:color="000000" w:sz="4" w:space="0"/>
              <w:left w:val="single" w:color="000000" w:sz="4" w:space="0"/>
              <w:bottom w:val="non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K331+500</w:t>
            </w:r>
            <w:r/>
          </w:p>
        </w:tc>
        <w:tc>
          <w:tcPr>
            <w:tcBorders>
              <w:top w:val="single" w:color="000000" w:sz="4" w:space="0"/>
              <w:left w:val="single" w:color="000000" w:sz="4" w:space="0"/>
              <w:bottom w:val="non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龙山森林公园</w:t>
            </w:r>
            <w:r/>
          </w:p>
        </w:tc>
        <w:tc>
          <w:tcPr>
            <w:tcBorders>
              <w:top w:val="single" w:color="000000" w:sz="4" w:space="0"/>
              <w:left w:val="single" w:color="000000" w:sz="4" w:space="0"/>
              <w:bottom w:val="non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下行</w:t>
            </w:r>
            <w:r/>
          </w:p>
        </w:tc>
        <w:tc>
          <w:tcPr>
            <w:shd w:val="clear" w:color="auto" w:fill="ffffff"/>
            <w:tcBorders>
              <w:top w:val="single" w:color="000000" w:sz="4" w:space="0"/>
              <w:left w:val="single" w:color="000000" w:sz="4" w:space="0"/>
              <w:bottom w:val="non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non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168</w:t>
            </w:r>
            <w:r/>
          </w:p>
        </w:tc>
        <w:tc>
          <w:tcPr>
            <w:tcBorders>
              <w:top w:val="non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Style w:val="998"/>
                <w:color w:val="auto"/>
                <w:lang w:bidi="ar"/>
              </w:rPr>
              <w:t xml:space="preserve">G328</w:t>
            </w:r>
            <w:r/>
          </w:p>
        </w:tc>
        <w:tc>
          <w:tcPr>
            <w:tcBorders>
              <w:top w:val="non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Style w:val="998"/>
                <w:color w:val="auto"/>
                <w:lang w:bidi="ar"/>
              </w:rPr>
              <w:t xml:space="preserve">K310+800</w:t>
            </w:r>
            <w:r/>
          </w:p>
        </w:tc>
        <w:tc>
          <w:tcPr>
            <w:tcBorders>
              <w:top w:val="non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Style w:val="998"/>
                <w:color w:val="auto"/>
                <w:lang w:bidi="ar"/>
              </w:rPr>
              <w:t xml:space="preserve">开发路东延</w:t>
            </w:r>
            <w:r/>
          </w:p>
        </w:tc>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Style w:val="998"/>
                <w:color w:val="auto"/>
                <w:lang w:bidi="ar"/>
              </w:rPr>
              <w:t xml:space="preserve">下行</w:t>
            </w:r>
            <w:r/>
          </w:p>
        </w:tc>
        <w:tc>
          <w:tcPr>
            <w:shd w:val="clear" w:color="auto" w:fill="ffffff"/>
            <w:tcBorders>
              <w:top w:val="non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广陵</w:t>
            </w:r>
            <w:r/>
          </w:p>
        </w:tc>
        <w:tc>
          <w:tcPr>
            <w:tcBorders>
              <w:top w:val="non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non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视频</w:t>
            </w:r>
            <w:r/>
          </w:p>
        </w:tc>
        <w:tc>
          <w:tcPr>
            <w:tcBorders>
              <w:top w:val="none" w:color="000000" w:sz="4" w:space="0"/>
              <w:left w:val="non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51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169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K163+998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马集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S353K163+998</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765"/>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170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S353与S418交叉口</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新集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S353与S418交叉口</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171</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S531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K5+980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杭集交调</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中分带</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数字电路</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172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S462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K4+400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广陵新城交调</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中分带</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数字电路</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173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S611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K021+560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S611 沿湖交调站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中分带</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174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S243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K2+750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瓜洲汽渡交调站</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175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S243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K2+750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瓜洲汽渡车检器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176</w:t>
            </w:r>
            <w:r/>
          </w:p>
        </w:tc>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S532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K6+080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甘泉交调</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下行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177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K298+991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李典交调站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中分带</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178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K315+911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八里交调站</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179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G345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K329+635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朴席交调站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中分带</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S437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K2+400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扬子津交调站</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上行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50M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center"/>
              <w:rPr>
                <w:rFonts w:hint="eastAsia" w:ascii="宋体" w:hAnsi="宋体" w:cs="宋体"/>
              </w:rPr>
            </w:pPr>
            <w:r>
              <w:rPr>
                <w:rFonts w:hint="eastAsia"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181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G345</w:t>
            </w:r>
            <w:r/>
          </w:p>
        </w:tc>
        <w:tc>
          <w:tcPr>
            <w:tcBorders>
              <w:top w:val="non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K361+750</w:t>
            </w:r>
            <w:r/>
          </w:p>
        </w:tc>
        <w:tc>
          <w:tcPr>
            <w:tcBorders>
              <w:top w:val="non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与 S125交叉口</w:t>
            </w:r>
            <w:r/>
          </w:p>
        </w:tc>
        <w:tc>
          <w:tcPr>
            <w:shd w:val="clear" w:color="auto"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上行</w:t>
            </w:r>
            <w:r/>
          </w:p>
        </w:tc>
        <w:tc>
          <w:tcPr>
            <w:shd w:val="clear" w:color="auto" w:fill="ffffff"/>
            <w:tcBorders>
              <w:top w:val="non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182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G345</w:t>
            </w:r>
            <w:r/>
          </w:p>
        </w:tc>
        <w:tc>
          <w:tcPr>
            <w:tcBorders>
              <w:top w:val="non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K362+970</w:t>
            </w:r>
            <w:r/>
          </w:p>
        </w:tc>
        <w:tc>
          <w:tcPr>
            <w:tcBorders>
              <w:top w:val="non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大仪</w:t>
            </w:r>
            <w:r/>
          </w:p>
        </w:tc>
        <w:tc>
          <w:tcPr>
            <w:shd w:val="clear" w:color="auto"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全断面</w:t>
            </w:r>
            <w:r/>
          </w:p>
        </w:tc>
        <w:tc>
          <w:tcPr>
            <w:shd w:val="clear" w:color="auto" w:fill="ffffff"/>
            <w:tcBorders>
              <w:top w:val="non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183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S125</w:t>
            </w:r>
            <w:r/>
          </w:p>
        </w:tc>
        <w:tc>
          <w:tcPr>
            <w:tcBorders>
              <w:top w:val="non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K16+850</w:t>
            </w:r>
            <w:r/>
          </w:p>
        </w:tc>
        <w:tc>
          <w:tcPr>
            <w:tcBorders>
              <w:top w:val="non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马集</w:t>
            </w:r>
            <w:r/>
          </w:p>
        </w:tc>
        <w:tc>
          <w:tcPr>
            <w:shd w:val="clear" w:color="auto"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全断面</w:t>
            </w:r>
            <w:r/>
          </w:p>
        </w:tc>
        <w:tc>
          <w:tcPr>
            <w:shd w:val="clear" w:color="auto" w:fill="ffffff"/>
            <w:tcBorders>
              <w:top w:val="non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184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S125</w:t>
            </w:r>
            <w:r/>
          </w:p>
        </w:tc>
        <w:tc>
          <w:tcPr>
            <w:tcBorders>
              <w:top w:val="non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K18+930</w:t>
            </w:r>
            <w:r/>
          </w:p>
        </w:tc>
        <w:tc>
          <w:tcPr>
            <w:tcBorders>
              <w:top w:val="non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与仪天线交叉口</w:t>
            </w:r>
            <w:r/>
          </w:p>
        </w:tc>
        <w:tc>
          <w:tcPr>
            <w:shd w:val="clear" w:color="auto"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shd w:val="clear" w:color="auto" w:fill="ffffff"/>
            <w:tcBorders>
              <w:top w:val="non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185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S125</w:t>
            </w:r>
            <w:r/>
          </w:p>
        </w:tc>
        <w:tc>
          <w:tcPr>
            <w:tcBorders>
              <w:top w:val="non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K20+810</w:t>
            </w:r>
            <w:r/>
          </w:p>
        </w:tc>
        <w:tc>
          <w:tcPr>
            <w:tcBorders>
              <w:top w:val="non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捺山地质公园</w:t>
            </w:r>
            <w:r/>
          </w:p>
        </w:tc>
        <w:tc>
          <w:tcPr>
            <w:shd w:val="clear" w:color="auto"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shd w:val="clear" w:color="auto" w:fill="ffffff"/>
            <w:tcBorders>
              <w:top w:val="non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186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S125</w:t>
            </w:r>
            <w:r/>
          </w:p>
        </w:tc>
        <w:tc>
          <w:tcPr>
            <w:tcBorders>
              <w:top w:val="non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K22+200</w:t>
            </w:r>
            <w:r/>
          </w:p>
        </w:tc>
        <w:tc>
          <w:tcPr>
            <w:tcBorders>
              <w:top w:val="non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郑营村</w:t>
            </w:r>
            <w:r/>
          </w:p>
        </w:tc>
        <w:tc>
          <w:tcPr>
            <w:shd w:val="clear" w:color="auto"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上行</w:t>
            </w:r>
            <w:r/>
          </w:p>
        </w:tc>
        <w:tc>
          <w:tcPr>
            <w:shd w:val="clear" w:color="auto" w:fill="ffffff"/>
            <w:tcBorders>
              <w:top w:val="non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187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S125</w:t>
            </w:r>
            <w:r/>
          </w:p>
        </w:tc>
        <w:tc>
          <w:tcPr>
            <w:tcBorders>
              <w:top w:val="non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K24+740</w:t>
            </w:r>
            <w:r/>
          </w:p>
        </w:tc>
        <w:tc>
          <w:tcPr>
            <w:tcBorders>
              <w:top w:val="non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丁营</w:t>
            </w:r>
            <w:r/>
          </w:p>
        </w:tc>
        <w:tc>
          <w:tcPr>
            <w:shd w:val="clear" w:color="auto"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shd w:val="clear" w:color="auto" w:fill="ffffff"/>
            <w:tcBorders>
              <w:top w:val="non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188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S125</w:t>
            </w:r>
            <w:r/>
          </w:p>
        </w:tc>
        <w:tc>
          <w:tcPr>
            <w:tcBorders>
              <w:top w:val="non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K26+150</w:t>
            </w:r>
            <w:r/>
          </w:p>
        </w:tc>
        <w:tc>
          <w:tcPr>
            <w:tcBorders>
              <w:top w:val="non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友好村</w:t>
            </w:r>
            <w:r/>
          </w:p>
        </w:tc>
        <w:tc>
          <w:tcPr>
            <w:shd w:val="clear" w:color="auto" w:fill="ffffff"/>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shd w:val="clear" w:color="auto" w:fill="ffffff"/>
            <w:tcBorders>
              <w:top w:val="non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189</w:t>
            </w:r>
            <w:r/>
          </w:p>
        </w:tc>
        <w:tc>
          <w:tcPr>
            <w:tcBorders>
              <w:top w:val="single" w:color="000000" w:sz="4" w:space="0"/>
              <w:left w:val="single" w:color="000000" w:sz="4" w:space="0"/>
              <w:bottom w:val="non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S125</w:t>
            </w:r>
            <w:r/>
          </w:p>
        </w:tc>
        <w:tc>
          <w:tcPr>
            <w:tcBorders>
              <w:top w:val="single" w:color="000000" w:sz="4" w:space="0"/>
              <w:left w:val="single" w:color="000000" w:sz="4" w:space="0"/>
              <w:bottom w:val="non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K27+620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孔雀山公园</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上行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widowControl/>
              <w:rPr>
                <w:rFonts w:hint="eastAsia" w:ascii="宋体" w:hAnsi="宋体" w:cs="宋体"/>
              </w:rPr>
            </w:pPr>
            <w:r>
              <w:rPr>
                <w:rFonts w:hint="eastAsia" w:ascii="宋体" w:hAnsi="宋体" w:cs="宋体"/>
                <w:lang w:bidi="ar"/>
              </w:rPr>
              <w:t xml:space="preserve">190</w:t>
            </w:r>
            <w:r/>
          </w:p>
        </w:tc>
        <w:tc>
          <w:tcPr>
            <w:tcBorders>
              <w:top w:val="single" w:color="000000" w:sz="4" w:space="0"/>
              <w:left w:val="single" w:color="000000" w:sz="4" w:space="0"/>
              <w:bottom w:val="non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S125</w:t>
            </w:r>
            <w:r/>
          </w:p>
        </w:tc>
        <w:tc>
          <w:tcPr>
            <w:tcBorders>
              <w:top w:val="single" w:color="000000" w:sz="4" w:space="0"/>
              <w:left w:val="single" w:color="000000" w:sz="4" w:space="0"/>
              <w:bottom w:val="none" w:color="000000" w:sz="4" w:space="0"/>
              <w:right w:val="single" w:color="000000" w:sz="4" w:space="0"/>
            </w:tcBorders>
            <w:tcW w:w="1134"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K29+600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陈集中学</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下行</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宋体" w:hAnsi="宋体" w:cs="宋体"/>
                <w:sz w:val="20"/>
                <w:szCs w:val="20"/>
              </w:rPr>
            </w:pPr>
            <w:r>
              <w:rPr>
                <w:rFonts w:ascii="宋体" w:hAnsi="宋体" w:cs="宋体"/>
                <w:sz w:val="20"/>
                <w:szCs w:val="20"/>
                <w:lang w:bidi="ar"/>
              </w:rPr>
              <w:t xml:space="preserve">仪征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r>
      <w:tr>
        <w:trPr>
          <w:trHeight w:val="270"/>
        </w:trPr>
        <w:tc>
          <w:tcPr>
            <w:shd w:val="clear" w:color="auto" w:fill="d0cece"/>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shd w:val="clear" w:color="auto" w:fill="d0cece"/>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shd w:val="clear" w:color="auto" w:fill="d0cece"/>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shd w:val="clear" w:color="auto" w:fill="d0cece"/>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shd w:val="clear" w:color="auto" w:fill="d0cece"/>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shd w:val="clear" w:color="auto" w:fill="d0cece"/>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shd w:val="clear" w:color="auto" w:fill="d0cece"/>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rPr>
                <w:rFonts w:hint="eastAsia" w:ascii="宋体" w:hAnsi="宋体" w:cs="宋体"/>
                <w:sz w:val="22"/>
                <w:szCs w:val="22"/>
              </w:rPr>
            </w:pPr>
            <w:r>
              <w:rPr>
                <w:rFonts w:hint="eastAsia" w:ascii="宋体" w:hAnsi="宋体" w:cs="宋体"/>
                <w:sz w:val="22"/>
                <w:szCs w:val="22"/>
              </w:rPr>
            </w:r>
            <w:r/>
          </w:p>
        </w:tc>
        <w:tc>
          <w:tcPr>
            <w:shd w:val="clear" w:color="auto" w:fill="d0cece"/>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lang w:bidi="ar"/>
              </w:rPr>
              <w:t xml:space="preserve">小计</w:t>
            </w:r>
            <w:r/>
          </w:p>
        </w:tc>
        <w:tc>
          <w:tcPr>
            <w:shd w:val="clear" w:color="auto" w:fill="d0cece"/>
            <w:tcBorders>
              <w:top w:val="single" w:color="000000" w:sz="4" w:space="0"/>
              <w:left w:val="single" w:color="000000" w:sz="4" w:space="0"/>
              <w:bottom w:val="single" w:color="000000" w:sz="4" w:space="0"/>
              <w:right w:val="single" w:color="000000" w:sz="4" w:space="0"/>
            </w:tcBorders>
            <w:tcW w:w="1692" w:type="dxa"/>
            <w:vAlign w:val="center"/>
            <w:textDirection w:val="lrTb"/>
            <w:noWrap/>
          </w:tcPr>
          <w:p>
            <w:pPr>
              <w:jc w:val="left"/>
              <w:widowControl/>
              <w:rPr>
                <w:rFonts w:hint="eastAsia" w:ascii="宋体" w:hAnsi="宋体" w:cs="宋体"/>
                <w:sz w:val="22"/>
                <w:szCs w:val="22"/>
              </w:rPr>
            </w:pPr>
            <w:r>
              <w:rPr>
                <w:rFonts w:hint="eastAsia" w:ascii="宋体" w:hAnsi="宋体" w:cs="宋体"/>
                <w:sz w:val="22"/>
                <w:szCs w:val="22"/>
                <w:lang w:bidi="ar"/>
              </w:rPr>
              <w:t xml:space="preserve">190条</w:t>
            </w:r>
            <w:r/>
          </w:p>
        </w:tc>
      </w:tr>
    </w:tbl>
    <w:p>
      <w:pPr>
        <w:rPr>
          <w:rFonts w:hint="eastAsia" w:ascii="宋体" w:hAnsi="宋体"/>
          <w:sz w:val="24"/>
          <w:szCs w:val="24"/>
        </w:rPr>
      </w:pPr>
      <w:r>
        <w:rPr>
          <w:rFonts w:hint="eastAsia" w:ascii="宋体" w:hAnsi="宋体"/>
          <w:sz w:val="24"/>
          <w:szCs w:val="24"/>
        </w:rPr>
      </w:r>
      <w:r/>
    </w:p>
    <w:p>
      <w:pPr>
        <w:pStyle w:val="708"/>
        <w:jc w:val="center"/>
        <w:rPr>
          <w:rFonts w:hint="eastAsia" w:ascii="宋体" w:hAnsi="宋体" w:eastAsia="宋体" w:cs="等线"/>
          <w:b/>
          <w:bCs/>
          <w:sz w:val="24"/>
          <w:szCs w:val="24"/>
          <w:lang w:bidi="ar"/>
        </w:rPr>
      </w:pPr>
      <w:r>
        <w:rPr>
          <w:rFonts w:hint="eastAsia" w:ascii="宋体" w:hAnsi="宋体" w:eastAsia="宋体" w:cs="等线"/>
          <w:b/>
          <w:bCs/>
          <w:sz w:val="24"/>
          <w:szCs w:val="24"/>
          <w:lang w:bidi="ar"/>
        </w:rPr>
        <w:t xml:space="preserve">路网上云项目各公路站互联网专线</w:t>
      </w:r>
      <w:r/>
    </w:p>
    <w:tbl>
      <w:tblPr>
        <w:tblStyle w:val="717"/>
        <w:tblW w:w="10049" w:type="dxa"/>
        <w:tblInd w:w="-4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2558"/>
        <w:gridCol w:w="2866"/>
        <w:gridCol w:w="3686"/>
      </w:tblGrid>
      <w:tr>
        <w:trPr>
          <w:trHeight w:val="702"/>
        </w:trPr>
        <w:tc>
          <w:tcPr>
            <w:tcBorders>
              <w:top w:val="single" w:color="auto" w:sz="4" w:space="0"/>
              <w:left w:val="single" w:color="auto" w:sz="4" w:space="0"/>
              <w:bottom w:val="single" w:color="auto" w:sz="4" w:space="0"/>
              <w:right w:val="single" w:color="auto" w:sz="4" w:space="0"/>
            </w:tcBorders>
            <w:tcW w:w="939" w:type="dxa"/>
            <w:vAlign w:val="center"/>
            <w:textDirection w:val="lrTb"/>
            <w:noWrap/>
          </w:tcPr>
          <w:p>
            <w:pPr>
              <w:jc w:val="center"/>
              <w:widowControl/>
              <w:rPr>
                <w:rFonts w:hint="eastAsia" w:ascii="宋体" w:hAnsi="宋体" w:cs="宋体"/>
                <w:b/>
                <w:bCs/>
              </w:rPr>
            </w:pPr>
            <w:r>
              <w:rPr>
                <w:rFonts w:hint="eastAsia" w:ascii="宋体" w:hAnsi="宋体" w:cs="宋体"/>
                <w:b/>
                <w:bCs/>
                <w:lang w:bidi="ar"/>
              </w:rPr>
              <w:t xml:space="preserve">序号</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tcPr>
          <w:p>
            <w:pPr>
              <w:jc w:val="center"/>
              <w:widowControl/>
              <w:rPr>
                <w:rFonts w:hint="eastAsia" w:ascii="宋体" w:hAnsi="宋体" w:cs="宋体"/>
                <w:b/>
                <w:bCs/>
              </w:rPr>
            </w:pPr>
            <w:r>
              <w:rPr>
                <w:rFonts w:hint="eastAsia" w:ascii="宋体" w:hAnsi="宋体" w:cs="宋体"/>
                <w:b/>
                <w:bCs/>
                <w:lang w:bidi="ar"/>
              </w:rPr>
              <w:t xml:space="preserve">地址</w:t>
            </w:r>
            <w:r/>
          </w:p>
        </w:tc>
        <w:tc>
          <w:tcPr>
            <w:tcBorders>
              <w:top w:val="single" w:color="auto" w:sz="4" w:space="0"/>
              <w:left w:val="single" w:color="auto" w:sz="4" w:space="0"/>
              <w:bottom w:val="single" w:color="auto" w:sz="4" w:space="0"/>
              <w:right w:val="single" w:color="auto" w:sz="4" w:space="0"/>
            </w:tcBorders>
            <w:tcW w:w="2866" w:type="dxa"/>
            <w:vAlign w:val="center"/>
            <w:textDirection w:val="lrTb"/>
            <w:noWrap/>
          </w:tcPr>
          <w:p>
            <w:pPr>
              <w:jc w:val="center"/>
              <w:widowControl/>
              <w:rPr>
                <w:rFonts w:hint="eastAsia" w:ascii="宋体" w:hAnsi="宋体" w:cs="宋体"/>
                <w:b/>
                <w:bCs/>
              </w:rPr>
            </w:pPr>
            <w:r>
              <w:rPr>
                <w:rFonts w:hint="eastAsia" w:ascii="宋体" w:hAnsi="宋体" w:cs="宋体"/>
                <w:b/>
                <w:bCs/>
                <w:lang w:bidi="ar"/>
              </w:rPr>
              <w:t xml:space="preserve">带宽</w:t>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接入号</w:t>
            </w:r>
            <w:r/>
          </w:p>
        </w:tc>
      </w:tr>
      <w:tr>
        <w:trPr>
          <w:trHeight w:val="680"/>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1</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广陵分中心</w:t>
            </w:r>
            <w:r/>
          </w:p>
        </w:tc>
        <w:tc>
          <w:tcPr>
            <w:tcBorders>
              <w:top w:val="single" w:color="auto" w:sz="4" w:space="0"/>
              <w:left w:val="single" w:color="auto" w:sz="4" w:space="0"/>
              <w:bottom w:val="single" w:color="auto" w:sz="4" w:space="0"/>
              <w:right w:val="single" w:color="auto" w:sz="4" w:space="0"/>
            </w:tcBorders>
            <w:tcW w:w="2866"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100M</w:t>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150401071</w:t>
            </w:r>
            <w:r/>
          </w:p>
        </w:tc>
      </w:tr>
      <w:tr>
        <w:trPr>
          <w:trHeight w:val="680"/>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2</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邗江分中心</w:t>
            </w:r>
            <w:r/>
          </w:p>
        </w:tc>
        <w:tc>
          <w:tcPr>
            <w:tcBorders>
              <w:top w:val="single" w:color="auto" w:sz="4" w:space="0"/>
              <w:left w:val="single" w:color="auto" w:sz="4" w:space="0"/>
              <w:bottom w:val="single" w:color="auto" w:sz="4" w:space="0"/>
              <w:right w:val="single" w:color="auto" w:sz="4" w:space="0"/>
            </w:tcBorders>
            <w:tcW w:w="2866"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100M</w:t>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150401075</w:t>
            </w:r>
            <w:r/>
          </w:p>
        </w:tc>
      </w:tr>
      <w:tr>
        <w:trPr>
          <w:trHeight w:val="680"/>
        </w:trPr>
        <w:tc>
          <w:tcPr>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3</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仪征分中心</w:t>
            </w:r>
            <w:r/>
          </w:p>
        </w:tc>
        <w:tc>
          <w:tcPr>
            <w:tcBorders>
              <w:top w:val="single" w:color="auto" w:sz="4" w:space="0"/>
              <w:left w:val="single" w:color="auto" w:sz="4" w:space="0"/>
              <w:bottom w:val="single" w:color="auto" w:sz="4" w:space="0"/>
              <w:right w:val="single" w:color="auto" w:sz="4" w:space="0"/>
            </w:tcBorders>
            <w:tcW w:w="2866"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100M</w:t>
            </w:r>
            <w:r/>
          </w:p>
        </w:tc>
        <w:tc>
          <w:tcPr>
            <w:tcBorders>
              <w:top w:val="single" w:color="auto" w:sz="4" w:space="0"/>
              <w:left w:val="single" w:color="auto" w:sz="4" w:space="0"/>
              <w:bottom w:val="single" w:color="auto" w:sz="4" w:space="0"/>
              <w:right w:val="single" w:color="auto" w:sz="4" w:space="0"/>
            </w:tcBorders>
            <w:tcW w:w="3686"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150401085</w:t>
            </w:r>
            <w:r/>
          </w:p>
        </w:tc>
      </w:tr>
    </w:tbl>
    <w:p>
      <w:pPr>
        <w:rPr>
          <w:rFonts w:hint="eastAsia" w:ascii="宋体" w:hAnsi="宋体" w:cs="等线"/>
          <w:b/>
          <w:bCs/>
          <w:sz w:val="24"/>
          <w:szCs w:val="24"/>
          <w:lang w:bidi="ar"/>
        </w:rPr>
      </w:pPr>
      <w:r>
        <w:rPr>
          <w:rFonts w:hint="eastAsia" w:ascii="宋体" w:hAnsi="宋体" w:cs="等线"/>
          <w:b/>
          <w:bCs/>
          <w:sz w:val="24"/>
          <w:szCs w:val="24"/>
          <w:lang w:bidi="ar"/>
        </w:rPr>
      </w:r>
      <w:r/>
    </w:p>
    <w:p>
      <w:pPr>
        <w:pStyle w:val="708"/>
        <w:jc w:val="center"/>
        <w:rPr>
          <w:rFonts w:hint="eastAsia" w:ascii="宋体" w:hAnsi="宋体" w:eastAsia="宋体" w:cs="等线"/>
          <w:b/>
          <w:bCs/>
          <w:sz w:val="24"/>
          <w:szCs w:val="24"/>
          <w:lang w:bidi="ar"/>
        </w:rPr>
      </w:pPr>
      <w:r>
        <w:rPr>
          <w:rFonts w:hint="eastAsia" w:ascii="宋体" w:hAnsi="宋体" w:eastAsia="宋体" w:cs="等线"/>
          <w:b/>
          <w:bCs/>
          <w:sz w:val="24"/>
          <w:szCs w:val="24"/>
          <w:lang w:bidi="ar"/>
        </w:rPr>
        <w:t xml:space="preserve">2026年8月底到期路网监测线路</w:t>
      </w:r>
      <w:r/>
    </w:p>
    <w:p>
      <w:pPr>
        <w:rPr>
          <w:rFonts w:hint="eastAsia" w:ascii="宋体" w:hAnsi="宋体" w:cs="等线"/>
          <w:b/>
          <w:bCs/>
          <w:sz w:val="24"/>
          <w:szCs w:val="24"/>
          <w:lang w:bidi="ar"/>
        </w:rPr>
      </w:pPr>
      <w:r>
        <w:rPr>
          <w:rFonts w:hint="eastAsia" w:ascii="宋体" w:hAnsi="宋体" w:cs="等线"/>
          <w:b/>
          <w:bCs/>
          <w:sz w:val="24"/>
          <w:szCs w:val="24"/>
          <w:lang w:bidi="ar"/>
        </w:rPr>
      </w:r>
      <w:r/>
    </w:p>
    <w:tbl>
      <w:tblPr>
        <w:tblStyle w:val="717"/>
        <w:tblW w:w="9810" w:type="dxa"/>
        <w:tblInd w:w="93" w:type="dxa"/>
        <w:tblLayout w:type="autofit"/>
        <w:tblCellMar>
          <w:left w:w="108" w:type="dxa"/>
          <w:top w:w="0" w:type="dxa"/>
          <w:right w:w="108" w:type="dxa"/>
          <w:bottom w:w="0" w:type="dxa"/>
        </w:tblCellMar>
        <w:tblLook w:val="04A0" w:firstRow="1" w:lastRow="0" w:firstColumn="1" w:lastColumn="0" w:noHBand="0" w:noVBand="1"/>
      </w:tblPr>
      <w:tblGrid>
        <w:gridCol w:w="465"/>
        <w:gridCol w:w="1110"/>
        <w:gridCol w:w="1267"/>
        <w:gridCol w:w="2768"/>
        <w:gridCol w:w="915"/>
        <w:gridCol w:w="870"/>
        <w:gridCol w:w="825"/>
        <w:gridCol w:w="705"/>
        <w:gridCol w:w="885"/>
      </w:tblGrid>
      <w:tr>
        <w:trPr>
          <w:trHeight w:val="510"/>
        </w:trPr>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序号</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道路编号</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桩号</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布点位置</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方向</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接入点</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带宽</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备注</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b/>
                <w:bCs/>
              </w:rPr>
            </w:pPr>
            <w:r>
              <w:rPr>
                <w:rFonts w:hint="eastAsia" w:ascii="宋体" w:hAnsi="宋体" w:cs="宋体"/>
                <w:b/>
                <w:bCs/>
                <w:lang w:bidi="ar"/>
              </w:rPr>
              <w:t xml:space="preserve">电路接入号</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S243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K1+520</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S243 瓜洲镇</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下行</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邗江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G345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K321+951</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G345三联服务区</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上行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G345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K324+911</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S356 G345 交叉口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上行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S532</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K2+307</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S532 锦塘路交叉口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下行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S532</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K5+290</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S532 甘泉街道长塘村</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下行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S531</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K1+990</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S531 快速路段</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上行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S531</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K7+465</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S531 田桥村</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下行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G328</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K313+210</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G328 束肖公路桥</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下行</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广陵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G328</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K318+390</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G328 大学南路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下行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G328</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K326+640</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G328 蒋王收费站出入口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G345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K347+600</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G345 刘集收费站出入口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仪征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G345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K360+800</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G345 大仪工业园区</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上行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G345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K362+500</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G345 墩塘</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上行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S125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K6+300</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S125 安康路交叉口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上行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S125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K13+510</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S125 跃进路交叉口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上行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S125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K15+700</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S125 马集镇神驰缸套路口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上行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S125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K19+950</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S125 捺山村</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下行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S125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K41+800</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S125 中心西路交叉口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下行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S353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K176+350</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S353 吴东路交叉口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下行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S356</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K312+990</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S356 万事通路交叉口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下行</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S418</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K0+000</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S418 扬州西收费站出入口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sz w:val="22"/>
                <w:szCs w:val="22"/>
              </w:rPr>
            </w:pPr>
            <w:r>
              <w:rPr>
                <w:rFonts w:hint="eastAsia" w:ascii="宋体" w:hAnsi="宋体" w:cs="宋体"/>
                <w:sz w:val="22"/>
                <w:szCs w:val="22"/>
                <w:lang w:bidi="ar"/>
              </w:rPr>
              <w:t xml:space="preserve">20M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sz w:val="22"/>
                <w:szCs w:val="22"/>
              </w:rPr>
            </w:pPr>
            <w:r>
              <w:rPr>
                <w:rFonts w:hint="eastAsia" w:ascii="宋体" w:hAnsi="宋体" w:cs="宋体"/>
                <w:sz w:val="22"/>
                <w:szCs w:val="22"/>
              </w:rPr>
            </w:r>
            <w:r/>
          </w:p>
        </w:tc>
      </w:tr>
    </w:tbl>
    <w:p>
      <w:pPr>
        <w:rPr>
          <w:rFonts w:hint="eastAsia" w:ascii="宋体" w:hAnsi="宋体" w:cs="等线"/>
          <w:b/>
          <w:bCs/>
          <w:sz w:val="24"/>
          <w:szCs w:val="24"/>
          <w:lang w:bidi="ar"/>
        </w:rPr>
      </w:pPr>
      <w:r>
        <w:rPr>
          <w:rFonts w:hint="eastAsia" w:ascii="宋体" w:hAnsi="宋体" w:cs="等线"/>
          <w:b/>
          <w:bCs/>
          <w:sz w:val="24"/>
          <w:szCs w:val="24"/>
          <w:lang w:bidi="ar"/>
        </w:rPr>
      </w:r>
      <w:r/>
    </w:p>
    <w:p>
      <w:pPr>
        <w:pStyle w:val="708"/>
        <w:ind w:firstLine="482"/>
        <w:jc w:val="left"/>
        <w:spacing w:before="0" w:after="0" w:line="360" w:lineRule="auto"/>
        <w:rPr>
          <w:rFonts w:hint="eastAsia" w:ascii="宋体" w:hAnsi="宋体" w:eastAsia="宋体" w:cs="等线"/>
          <w:b/>
          <w:bCs/>
          <w:sz w:val="24"/>
          <w:szCs w:val="24"/>
          <w:lang w:bidi="ar"/>
        </w:rPr>
      </w:pPr>
      <w:r/>
      <w:bookmarkStart w:id="5" w:name="OLE_LINK1"/>
      <w:r>
        <w:rPr>
          <w:rFonts w:hint="eastAsia" w:ascii="宋体" w:hAnsi="宋体" w:eastAsia="宋体" w:cs="等线"/>
          <w:b/>
          <w:bCs/>
          <w:sz w:val="24"/>
          <w:szCs w:val="24"/>
          <w:lang w:bidi="ar"/>
        </w:rPr>
        <w:t xml:space="preserve">包3：通讯线路39条租用服务</w:t>
      </w:r>
      <w:bookmarkEnd w:id="5"/>
      <w:r/>
      <w:r/>
    </w:p>
    <w:p>
      <w:pPr>
        <w:ind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1、项目需求：为市公路中心和各分中心39条各类通讯线路（包含互联网专线、内网传输专线、政务网线路、光纤租赁等）对以上线路租用服务。其中：</w:t>
      </w:r>
      <w:r/>
    </w:p>
    <w:p>
      <w:pPr>
        <w:ind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1）互联网专线2条（1条200M带宽、1条100M带宽)；</w:t>
      </w:r>
      <w:r/>
    </w:p>
    <w:p>
      <w:pPr>
        <w:ind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2）vpdn线路100M带宽1条；</w:t>
      </w:r>
      <w:r/>
    </w:p>
    <w:p>
      <w:pPr>
        <w:ind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3）mstp电路200M带宽6条；</w:t>
      </w:r>
      <w:r/>
    </w:p>
    <w:p>
      <w:pPr>
        <w:ind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4）横向网线路100M带宽2条；</w:t>
      </w:r>
      <w:r/>
    </w:p>
    <w:p>
      <w:pPr>
        <w:ind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5）外网专线7条(6条100M带宽、1条50M带宽)；</w:t>
      </w:r>
      <w:r/>
    </w:p>
    <w:p>
      <w:pPr>
        <w:ind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6）数据专线18条(16条100M带宽、2条20M带宽)；</w:t>
      </w:r>
      <w:r/>
    </w:p>
    <w:p>
      <w:pPr>
        <w:ind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7）无线AP100M带宽1条；</w:t>
      </w:r>
      <w:r/>
    </w:p>
    <w:p>
      <w:pPr>
        <w:ind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8）普通宽带100M带宽2条。</w:t>
      </w:r>
      <w:r/>
    </w:p>
    <w:p>
      <w:pPr>
        <w:ind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2、服务期：2026年4月底到期的39条通讯线路服务期十二个月（自合同签订之日起计）。</w:t>
      </w:r>
      <w:r/>
    </w:p>
    <w:p>
      <w:pPr>
        <w:ind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3、服务要求</w:t>
      </w:r>
      <w:r/>
    </w:p>
    <w:p>
      <w:pPr>
        <w:ind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3.1服务期内，中标人承诺免费提供线路迁移服务，迁移服务包含：</w:t>
      </w:r>
      <w:r/>
    </w:p>
    <w:p>
      <w:pPr>
        <w:ind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3.1.1采购人办公地点整体迁移。要求投标人先开通新办公地点的线路，采购人迁移工作完毕后，再拆除原办公地点线路。新老线路在迁移期间不再额外收取任何费用。新旧光传输设备型号、容量不降低。</w:t>
      </w:r>
      <w:r/>
    </w:p>
    <w:p>
      <w:pPr>
        <w:ind w:right="225"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3.1.2采购人办公地点不变，机房位置根据工作需要改变位置。要求投标人根据采购人需求，免费提供接入光缆或光传输设备的移位服务。迁移前应制定详细的线路迁移方案，迁移中线路中断时间应在招标人的要求范围内，迁移后保证线路的可用性，确保系统如期正常运行。</w:t>
      </w:r>
      <w:r/>
    </w:p>
    <w:p>
      <w:pPr>
        <w:ind w:right="225" w:firstLine="480"/>
        <w:spacing w:line="360" w:lineRule="auto"/>
        <w:rPr>
          <w:rFonts w:hint="eastAsia" w:ascii="宋体" w:hAnsi="宋体" w:cs="宋体"/>
          <w:sz w:val="24"/>
          <w:szCs w:val="24"/>
          <w:highlight w:val="none"/>
          <w:lang w:bidi="ar"/>
        </w:rPr>
      </w:pPr>
      <w:r>
        <w:rPr>
          <w:rFonts w:hint="eastAsia" w:ascii="宋体" w:hAnsi="宋体" w:cs="宋体"/>
          <w:sz w:val="24"/>
          <w:szCs w:val="24"/>
          <w:lang w:bidi="ar"/>
        </w:rPr>
        <w:t xml:space="preserve">3.1.</w:t>
      </w:r>
      <w:r>
        <w:rPr>
          <w:rFonts w:hint="eastAsia" w:ascii="宋体" w:hAnsi="宋体" w:cs="宋体"/>
          <w:sz w:val="24"/>
          <w:szCs w:val="24"/>
          <w:highlight w:val="none"/>
          <w:lang w:bidi="ar"/>
        </w:rPr>
        <w:t xml:space="preserve">3通讯线路需符合：误码率≤1×10</w:t>
      </w:r>
      <w:r>
        <w:rPr>
          <w:rFonts w:hint="eastAsia" w:ascii="宋体" w:hAnsi="宋体" w:cs="宋体"/>
          <w:sz w:val="24"/>
          <w:szCs w:val="24"/>
          <w:highlight w:val="none"/>
          <w:vertAlign w:val="superscript"/>
          <w:lang w:bidi="ar"/>
        </w:rPr>
        <w:t xml:space="preserve">-7</w:t>
      </w:r>
      <w:r>
        <w:rPr>
          <w:rFonts w:hint="eastAsia" w:ascii="宋体" w:hAnsi="宋体" w:cs="宋体"/>
          <w:sz w:val="24"/>
          <w:szCs w:val="24"/>
          <w:highlight w:val="none"/>
          <w:lang w:bidi="ar"/>
        </w:rPr>
        <w:t xml:space="preserve">，空闲时最高时延≤50ms，倒换时间≤50ms。</w:t>
      </w:r>
      <w:r/>
    </w:p>
    <w:p>
      <w:pPr>
        <w:pStyle w:val="708"/>
        <w:jc w:val="center"/>
        <w:rPr>
          <w:rFonts w:hint="eastAsia" w:ascii="宋体" w:hAnsi="宋体" w:eastAsia="宋体" w:cs="等线"/>
          <w:b/>
          <w:bCs/>
          <w:sz w:val="24"/>
          <w:szCs w:val="24"/>
          <w:lang w:bidi="ar"/>
        </w:rPr>
      </w:pPr>
      <w:r>
        <w:rPr>
          <w:rFonts w:hint="eastAsia" w:ascii="宋体" w:hAnsi="宋体" w:eastAsia="宋体" w:cs="等线"/>
          <w:b/>
          <w:bCs/>
          <w:sz w:val="24"/>
          <w:szCs w:val="24"/>
          <w:lang w:bidi="ar"/>
        </w:rPr>
        <w:t xml:space="preserve">通讯线路39条租用服务</w:t>
      </w:r>
      <w:r/>
    </w:p>
    <w:tbl>
      <w:tblPr>
        <w:tblStyle w:val="717"/>
        <w:tblW w:w="9169" w:type="dxa"/>
        <w:jc w:val="center"/>
        <w:tblLayout w:type="autofit"/>
        <w:tblCellMar>
          <w:left w:w="108" w:type="dxa"/>
          <w:top w:w="0" w:type="dxa"/>
          <w:right w:w="108" w:type="dxa"/>
          <w:bottom w:w="0" w:type="dxa"/>
        </w:tblCellMar>
        <w:tblLook w:val="04A0" w:firstRow="1" w:lastRow="0" w:firstColumn="1" w:lastColumn="0" w:noHBand="0" w:noVBand="1"/>
      </w:tblPr>
      <w:tblGrid>
        <w:gridCol w:w="861"/>
        <w:gridCol w:w="1716"/>
        <w:gridCol w:w="1717"/>
        <w:gridCol w:w="3998"/>
        <w:gridCol w:w="877"/>
      </w:tblGrid>
      <w:tr>
        <w:trPr>
          <w:jc w:val="center"/>
          <w:tblHeader/>
        </w:trPr>
        <w:tc>
          <w:tcPr>
            <w:tcBorders>
              <w:top w:val="single" w:color="000000" w:sz="4" w:space="0"/>
              <w:left w:val="single" w:color="000000" w:sz="4" w:space="0"/>
              <w:bottom w:val="single" w:color="000000" w:sz="4" w:space="0"/>
              <w:right w:val="single" w:color="000000" w:sz="4" w:space="0"/>
            </w:tcBorders>
            <w:tcW w:w="861" w:type="dxa"/>
            <w:vAlign w:val="center"/>
            <w:vMerge w:val="restart"/>
            <w:textDirection w:val="lrTb"/>
            <w:noWrap w:val="false"/>
          </w:tcPr>
          <w:p>
            <w:pPr>
              <w:jc w:val="center"/>
              <w:widowControl/>
              <w:rPr>
                <w:rFonts w:hint="eastAsia" w:ascii="宋体" w:hAnsi="宋体" w:cs="宋体"/>
                <w:b/>
                <w:color w:val="000000"/>
              </w:rPr>
            </w:pPr>
            <w:r>
              <w:rPr>
                <w:rFonts w:hint="eastAsia" w:ascii="宋体" w:hAnsi="宋体" w:cs="宋体"/>
                <w:b/>
                <w:color w:val="000000"/>
                <w:lang w:bidi="ar"/>
              </w:rPr>
              <w:t xml:space="preserve">序号</w:t>
            </w:r>
            <w:r/>
          </w:p>
        </w:tc>
        <w:tc>
          <w:tcPr>
            <w:tcBorders>
              <w:top w:val="single" w:color="000000" w:sz="4" w:space="0"/>
              <w:left w:val="single" w:color="000000" w:sz="4" w:space="0"/>
              <w:bottom w:val="single" w:color="000000" w:sz="4" w:space="0"/>
              <w:right w:val="single" w:color="000000" w:sz="4" w:space="0"/>
            </w:tcBorders>
            <w:tcW w:w="1716" w:type="dxa"/>
            <w:vAlign w:val="center"/>
            <w:vMerge w:val="restart"/>
            <w:textDirection w:val="lrTb"/>
            <w:noWrap w:val="false"/>
          </w:tcPr>
          <w:p>
            <w:pPr>
              <w:jc w:val="center"/>
              <w:rPr>
                <w:rFonts w:hint="eastAsia" w:ascii="宋体" w:hAnsi="宋体" w:cs="宋体"/>
                <w:b/>
                <w:color w:val="000000"/>
              </w:rPr>
            </w:pPr>
            <w:r>
              <w:rPr>
                <w:rFonts w:hint="eastAsia" w:ascii="宋体" w:hAnsi="宋体" w:cs="宋体"/>
                <w:b/>
                <w:color w:val="000000"/>
              </w:rPr>
            </w:r>
            <w:r/>
          </w:p>
        </w:tc>
        <w:tc>
          <w:tcPr>
            <w:gridSpan w:val="3"/>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cs="宋体"/>
                <w:b/>
                <w:color w:val="000000"/>
                <w:lang w:bidi="ar"/>
              </w:rPr>
            </w:pPr>
            <w:r>
              <w:rPr>
                <w:rFonts w:hint="eastAsia" w:ascii="宋体" w:hAnsi="宋体" w:cs="宋体"/>
                <w:b/>
                <w:color w:val="000000"/>
                <w:lang w:bidi="ar"/>
              </w:rPr>
              <w:t xml:space="preserve">分项服务名称</w:t>
            </w:r>
            <w:r/>
          </w:p>
        </w:tc>
      </w:tr>
      <w:tr>
        <w:trPr>
          <w:jc w:val="center"/>
          <w:tblHeader/>
        </w:trPr>
        <w:tc>
          <w:tcPr>
            <w:tcBorders>
              <w:top w:val="single" w:color="000000" w:sz="4" w:space="0"/>
              <w:left w:val="single" w:color="000000" w:sz="4" w:space="0"/>
              <w:bottom w:val="single" w:color="000000" w:sz="4" w:space="0"/>
              <w:right w:val="single" w:color="000000" w:sz="4" w:space="0"/>
            </w:tcBorders>
            <w:tcW w:w="861" w:type="dxa"/>
            <w:vAlign w:val="center"/>
            <w:vMerge w:val="continue"/>
            <w:textDirection w:val="lrTb"/>
            <w:noWrap w:val="false"/>
          </w:tcPr>
          <w:p>
            <w:pPr>
              <w:jc w:val="center"/>
              <w:widowControl/>
              <w:rPr>
                <w:rFonts w:hint="eastAsia" w:ascii="宋体" w:hAnsi="宋体" w:cs="宋体"/>
                <w:b/>
                <w:color w:val="000000"/>
              </w:rPr>
            </w:pPr>
            <w:r>
              <w:rPr>
                <w:rFonts w:hint="eastAsia" w:ascii="宋体" w:hAnsi="宋体" w:cs="宋体"/>
                <w:b/>
                <w:color w:val="000000"/>
              </w:rPr>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b/>
                <w:color w:val="000000"/>
              </w:rPr>
            </w:pPr>
            <w:r>
              <w:rPr>
                <w:rFonts w:hint="eastAsia" w:ascii="宋体" w:hAnsi="宋体" w:cs="宋体"/>
                <w:b/>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center"/>
              <w:widowControl/>
              <w:rPr>
                <w:rFonts w:hint="eastAsia" w:ascii="宋体" w:hAnsi="宋体" w:cs="宋体"/>
                <w:b/>
                <w:color w:val="000000"/>
              </w:rPr>
            </w:pPr>
            <w:r>
              <w:rPr>
                <w:rFonts w:hint="eastAsia" w:ascii="宋体" w:hAnsi="宋体" w:cs="宋体"/>
                <w:b/>
                <w:color w:val="000000"/>
                <w:lang w:bidi="ar"/>
              </w:rPr>
              <w:t xml:space="preserve">类型</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center"/>
              <w:widowControl/>
              <w:rPr>
                <w:rFonts w:hint="eastAsia" w:ascii="宋体" w:hAnsi="宋体" w:cs="宋体"/>
                <w:b/>
                <w:color w:val="000000"/>
              </w:rPr>
            </w:pPr>
            <w:r>
              <w:rPr>
                <w:rFonts w:hint="eastAsia" w:ascii="宋体" w:hAnsi="宋体" w:cs="宋体"/>
                <w:b/>
                <w:color w:val="000000"/>
                <w:lang w:bidi="ar"/>
              </w:rPr>
              <w:t xml:space="preserve">地址</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b/>
                <w:color w:val="000000"/>
              </w:rPr>
            </w:pPr>
            <w:r>
              <w:rPr>
                <w:rFonts w:hint="eastAsia" w:ascii="宋体" w:hAnsi="宋体" w:cs="宋体"/>
                <w:b/>
                <w:color w:val="000000"/>
                <w:lang w:bidi="ar"/>
              </w:rPr>
              <w:t xml:space="preserve">带宽</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1716"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市中心</w:t>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互联网专线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市中心互联网线路</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left"/>
              <w:widowControl/>
              <w:rPr>
                <w:rFonts w:hint="eastAsia" w:ascii="宋体" w:hAnsi="宋体" w:cs="宋体"/>
                <w:color w:val="000000"/>
              </w:rPr>
            </w:pPr>
            <w:r>
              <w:rPr>
                <w:rFonts w:hint="eastAsia" w:ascii="宋体" w:hAnsi="宋体" w:cs="宋体"/>
                <w:color w:val="000000"/>
                <w:lang w:bidi="ar"/>
              </w:rPr>
              <w:t xml:space="preserve">200M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vpdn线路</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移动拨号线路</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lang w:bidi="ar"/>
              </w:rPr>
            </w:pPr>
            <w:r>
              <w:rPr>
                <w:rFonts w:hint="eastAsia" w:ascii="宋体" w:hAnsi="宋体" w:cs="宋体"/>
                <w:color w:val="000000"/>
                <w:lang w:bidi="ar"/>
              </w:rPr>
              <w:t xml:space="preserve">mstp电路</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lang w:bidi="ar"/>
              </w:rPr>
            </w:pPr>
            <w:r>
              <w:rPr>
                <w:rFonts w:hint="eastAsia" w:ascii="宋体" w:hAnsi="宋体" w:cs="宋体"/>
                <w:color w:val="000000"/>
                <w:lang w:bidi="ar"/>
              </w:rPr>
              <w:t xml:space="preserve">广陵分中心</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left"/>
              <w:widowControl/>
              <w:rPr>
                <w:rFonts w:hint="eastAsia" w:ascii="宋体" w:hAnsi="宋体" w:cs="宋体"/>
                <w:color w:val="000000"/>
                <w:lang w:bidi="ar"/>
              </w:rPr>
            </w:pPr>
            <w:r>
              <w:rPr>
                <w:rFonts w:hint="eastAsia" w:ascii="宋体" w:hAnsi="宋体" w:cs="宋体"/>
                <w:color w:val="000000"/>
                <w:lang w:bidi="ar"/>
              </w:rPr>
              <w:t xml:space="preserve">200M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mstp电路</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邗江分中心</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left"/>
              <w:widowControl/>
              <w:rPr>
                <w:rFonts w:hint="eastAsia" w:ascii="宋体" w:hAnsi="宋体" w:cs="宋体"/>
                <w:color w:val="000000"/>
              </w:rPr>
            </w:pPr>
            <w:r>
              <w:rPr>
                <w:rFonts w:hint="eastAsia" w:ascii="宋体" w:hAnsi="宋体" w:cs="宋体"/>
                <w:color w:val="000000"/>
                <w:lang w:bidi="ar"/>
              </w:rPr>
              <w:t xml:space="preserve">200M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mstp电路</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江都分中心</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left"/>
              <w:widowControl/>
              <w:rPr>
                <w:rFonts w:hint="eastAsia" w:ascii="宋体" w:hAnsi="宋体" w:cs="宋体"/>
                <w:color w:val="000000"/>
              </w:rPr>
            </w:pPr>
            <w:r>
              <w:rPr>
                <w:rFonts w:hint="eastAsia" w:ascii="宋体" w:hAnsi="宋体" w:cs="宋体"/>
                <w:color w:val="000000"/>
                <w:lang w:bidi="ar"/>
              </w:rPr>
              <w:t xml:space="preserve">200M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mstp电路</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高邮分中心</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left"/>
              <w:widowControl/>
              <w:rPr>
                <w:rFonts w:hint="eastAsia" w:ascii="宋体" w:hAnsi="宋体" w:cs="宋体"/>
                <w:color w:val="000000"/>
              </w:rPr>
            </w:pPr>
            <w:r>
              <w:rPr>
                <w:rFonts w:hint="eastAsia" w:ascii="宋体" w:hAnsi="宋体" w:cs="宋体"/>
                <w:color w:val="000000"/>
                <w:lang w:bidi="ar"/>
              </w:rPr>
              <w:t xml:space="preserve">200M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7</w:t>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mstp电路</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宝应分中心</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left"/>
              <w:widowControl/>
              <w:rPr>
                <w:rFonts w:hint="eastAsia" w:ascii="宋体" w:hAnsi="宋体" w:cs="宋体"/>
                <w:color w:val="000000"/>
              </w:rPr>
            </w:pPr>
            <w:r>
              <w:rPr>
                <w:rFonts w:hint="eastAsia" w:ascii="宋体" w:hAnsi="宋体" w:cs="宋体"/>
                <w:color w:val="000000"/>
                <w:lang w:bidi="ar"/>
              </w:rPr>
              <w:t xml:space="preserve">200M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mstp电路</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仪征分中心</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left"/>
              <w:widowControl/>
              <w:rPr>
                <w:rFonts w:hint="eastAsia" w:ascii="宋体" w:hAnsi="宋体" w:cs="宋体"/>
                <w:color w:val="000000"/>
              </w:rPr>
            </w:pPr>
            <w:r>
              <w:rPr>
                <w:rFonts w:hint="eastAsia" w:ascii="宋体" w:hAnsi="宋体" w:cs="宋体"/>
                <w:color w:val="000000"/>
                <w:lang w:bidi="ar"/>
              </w:rPr>
              <w:t xml:space="preserve">200M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9</w:t>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互联网专线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网闸</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横向网线路</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市交通运输局</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11</w:t>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横向网线路</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市交通运输局（备用）</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12</w:t>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广陵分中心</w:t>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外网专线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互联网专线</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13</w:t>
            </w:r>
            <w:r/>
          </w:p>
        </w:tc>
        <w:tc>
          <w:tcPr>
            <w:tcBorders>
              <w:top w:val="single" w:color="000000" w:sz="4" w:space="0"/>
              <w:left w:val="single" w:color="000000" w:sz="4" w:space="0"/>
              <w:bottom w:val="single" w:color="000000" w:sz="4" w:space="0"/>
              <w:right w:val="single" w:color="000000" w:sz="4" w:space="0"/>
            </w:tcBorders>
            <w:tcW w:w="1716"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邗江分中心</w:t>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外网专线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互联网专线</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14</w:t>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外网专线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吴桥工区</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50M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15</w:t>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数据专线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吴桥工区</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16</w:t>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数据专线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甘泉服务区</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17</w:t>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数据专线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连接邗江交警线路</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18</w:t>
            </w:r>
            <w:r/>
          </w:p>
        </w:tc>
        <w:tc>
          <w:tcPr>
            <w:tcBorders>
              <w:top w:val="single" w:color="000000" w:sz="4" w:space="0"/>
              <w:left w:val="single" w:color="000000" w:sz="4" w:space="0"/>
              <w:bottom w:val="single" w:color="000000" w:sz="4" w:space="0"/>
              <w:right w:val="single" w:color="000000" w:sz="4" w:space="0"/>
            </w:tcBorders>
            <w:tcW w:w="1716"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江都分中心</w:t>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外网专线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互联网专线</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19</w:t>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数据专线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宜陵工区</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20</w:t>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数据专线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樊川停车区</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21</w:t>
            </w:r>
            <w:r/>
          </w:p>
        </w:tc>
        <w:tc>
          <w:tcPr>
            <w:tcBorders>
              <w:top w:val="single" w:color="000000" w:sz="4" w:space="0"/>
              <w:left w:val="single" w:color="000000" w:sz="4" w:space="0"/>
              <w:bottom w:val="single" w:color="000000" w:sz="4" w:space="0"/>
              <w:right w:val="single" w:color="000000" w:sz="4" w:space="0"/>
            </w:tcBorders>
            <w:tcW w:w="1716"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高邮分中心</w:t>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外网专线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互联网专线</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22</w:t>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无线AP</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无线覆盖</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23</w:t>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数据专线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三垛工区</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24</w:t>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数据专线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湖西工区</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25</w:t>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数据专线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应急中心</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26</w:t>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数据专线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湖西停车区</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27</w:t>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数据专线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三垛西服务区</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28</w:t>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数据专线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三垛服务区</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29</w:t>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数据专线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秦邮服务区</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30</w:t>
            </w:r>
            <w:r/>
          </w:p>
        </w:tc>
        <w:tc>
          <w:tcPr>
            <w:tcBorders>
              <w:top w:val="single" w:color="000000" w:sz="4" w:space="0"/>
              <w:left w:val="single" w:color="000000" w:sz="4" w:space="0"/>
              <w:bottom w:val="single" w:color="000000" w:sz="4" w:space="0"/>
              <w:right w:val="single" w:color="000000" w:sz="4" w:space="0"/>
            </w:tcBorders>
            <w:tcW w:w="1716"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宝应分中心</w:t>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外网专线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互联网专线</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31</w:t>
            </w:r>
            <w:r/>
          </w:p>
        </w:tc>
        <w:tc>
          <w:tcPr>
            <w:tcBorders>
              <w:top w:val="single" w:color="000000" w:sz="4" w:space="0"/>
              <w:left w:val="single" w:color="000000" w:sz="4" w:space="0"/>
              <w:bottom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数据专线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养护应急基地(老淮江收费站)</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32</w:t>
            </w:r>
            <w:r/>
          </w:p>
        </w:tc>
        <w:tc>
          <w:tcPr>
            <w:tcBorders>
              <w:top w:val="single" w:color="000000" w:sz="4" w:space="0"/>
              <w:left w:val="single" w:color="000000" w:sz="4" w:space="0"/>
              <w:right w:val="single" w:color="000000" w:sz="4" w:space="0"/>
            </w:tcBorders>
            <w:tcW w:w="1716"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仪征分中心</w:t>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外网专线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互联网专线</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33</w:t>
            </w:r>
            <w:r/>
          </w:p>
        </w:tc>
        <w:tc>
          <w:tcPr>
            <w:tcBorders>
              <w:left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数据专线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大仪工区</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34</w:t>
            </w:r>
            <w:r/>
          </w:p>
        </w:tc>
        <w:tc>
          <w:tcPr>
            <w:tcBorders>
              <w:left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数据专线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仪征服务区</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35</w:t>
            </w:r>
            <w:r/>
          </w:p>
        </w:tc>
        <w:tc>
          <w:tcPr>
            <w:tcBorders>
              <w:left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普通宽带</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大仪停车区</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36</w:t>
            </w:r>
            <w:r/>
          </w:p>
        </w:tc>
        <w:tc>
          <w:tcPr>
            <w:tcBorders>
              <w:left w:val="single" w:color="000000" w:sz="4" w:space="0"/>
              <w:right w:val="single" w:color="000000" w:sz="4" w:space="0"/>
            </w:tcBorders>
            <w:tcW w:w="1716" w:type="dxa"/>
            <w:vAlign w:val="center"/>
            <w:vMerge w:val="continue"/>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数据专线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曹山泵站</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20M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37</w:t>
            </w:r>
            <w:r/>
          </w:p>
        </w:tc>
        <w:tc>
          <w:tcPr>
            <w:tcBorders>
              <w:left w:val="single" w:color="000000" w:sz="4" w:space="0"/>
              <w:right w:val="single" w:color="000000" w:sz="4" w:space="0"/>
            </w:tcBorders>
            <w:tcW w:w="1716" w:type="dxa"/>
            <w:vAlign w:val="center"/>
            <w:vMerge w:val="continue"/>
            <w:textDirection w:val="lrTb"/>
            <w:noWrap/>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数据专线</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马集工区</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left"/>
              <w:widowControl/>
              <w:rPr>
                <w:rFonts w:hint="eastAsia" w:ascii="宋体" w:hAnsi="宋体" w:cs="宋体"/>
                <w:color w:val="000000"/>
              </w:rPr>
            </w:pPr>
            <w:r>
              <w:rPr>
                <w:rFonts w:hint="eastAsia" w:ascii="宋体" w:hAnsi="宋体" w:cs="宋体"/>
                <w:color w:val="000000"/>
                <w:lang w:bidi="ar"/>
              </w:rPr>
              <w:t xml:space="preserve">20M</w:t>
            </w:r>
            <w:r/>
          </w:p>
        </w:tc>
      </w:tr>
      <w:tr>
        <w:trPr>
          <w:jc w:val="cente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38</w:t>
            </w:r>
            <w:r/>
          </w:p>
        </w:tc>
        <w:tc>
          <w:tcPr>
            <w:tcBorders>
              <w:left w:val="single" w:color="000000" w:sz="4" w:space="0"/>
              <w:right w:val="single" w:color="000000" w:sz="4" w:space="0"/>
            </w:tcBorders>
            <w:tcW w:w="1716" w:type="dxa"/>
            <w:vAlign w:val="center"/>
            <w:vMerge w:val="continue"/>
            <w:textDirection w:val="lrTb"/>
            <w:noWrap/>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普通宽带</w:t>
            </w:r>
            <w:r/>
          </w:p>
        </w:tc>
        <w:tc>
          <w:tcPr>
            <w:tcBorders>
              <w:top w:val="single" w:color="000000" w:sz="4" w:space="0"/>
              <w:left w:val="single" w:color="000000" w:sz="4" w:space="0"/>
              <w:bottom w:val="single" w:color="000000" w:sz="4" w:space="0"/>
              <w:right w:val="single" w:color="000000" w:sz="4" w:space="0"/>
            </w:tcBorders>
            <w:tcW w:w="3998"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曹山泵站</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left"/>
              <w:widowControl/>
              <w:rPr>
                <w:rFonts w:hint="eastAsia" w:ascii="宋体" w:hAnsi="宋体" w:cs="宋体"/>
                <w:color w:val="000000"/>
              </w:rPr>
            </w:pPr>
            <w:r>
              <w:rPr>
                <w:rFonts w:hint="eastAsia" w:ascii="宋体" w:hAnsi="宋体" w:cs="宋体"/>
                <w:color w:val="000000"/>
                <w:lang w:bidi="ar"/>
              </w:rPr>
              <w:t xml:space="preserve">100M</w:t>
            </w:r>
            <w:r/>
          </w:p>
        </w:tc>
      </w:tr>
      <w:tr>
        <w:trPr>
          <w:jc w:val="center"/>
        </w:trPr>
        <w:tc>
          <w:tcPr>
            <w:tcBorders>
              <w:top w:val="single" w:color="000000" w:sz="4" w:space="0"/>
              <w:left w:val="single" w:color="000000" w:sz="4" w:space="0"/>
              <w:bottom w:val="single" w:color="auto" w:sz="4" w:space="0"/>
              <w:right w:val="single" w:color="000000" w:sz="4" w:space="0"/>
            </w:tcBorders>
            <w:tcW w:w="861"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39</w:t>
            </w:r>
            <w:r/>
          </w:p>
        </w:tc>
        <w:tc>
          <w:tcPr>
            <w:tcBorders>
              <w:left w:val="single" w:color="000000" w:sz="4" w:space="0"/>
              <w:bottom w:val="single" w:color="auto" w:sz="4" w:space="0"/>
              <w:right w:val="single" w:color="000000" w:sz="4" w:space="0"/>
            </w:tcBorders>
            <w:tcW w:w="1716" w:type="dxa"/>
            <w:vAlign w:val="center"/>
            <w:textDirection w:val="lrTb"/>
            <w:noWrap/>
          </w:tcPr>
          <w:p>
            <w:pPr>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auto" w:sz="4" w:space="0"/>
              <w:right w:val="single" w:color="000000" w:sz="4" w:space="0"/>
            </w:tcBorders>
            <w:tcW w:w="1717" w:type="dxa"/>
            <w:vAlign w:val="center"/>
            <w:textDirection w:val="lrTb"/>
            <w:noWrap w:val="false"/>
          </w:tcPr>
          <w:p>
            <w:pPr>
              <w:jc w:val="left"/>
              <w:widowControl/>
              <w:rPr>
                <w:rFonts w:hint="eastAsia" w:ascii="宋体" w:hAnsi="宋体" w:cs="宋体"/>
                <w:color w:val="000000"/>
                <w:lang w:bidi="ar"/>
              </w:rPr>
            </w:pPr>
            <w:r>
              <w:rPr>
                <w:rFonts w:hint="eastAsia" w:ascii="宋体" w:hAnsi="宋体" w:cs="宋体"/>
                <w:color w:val="000000"/>
                <w:lang w:bidi="ar"/>
              </w:rPr>
              <w:t xml:space="preserve">数据专线</w:t>
            </w:r>
            <w:r/>
          </w:p>
        </w:tc>
        <w:tc>
          <w:tcPr>
            <w:tcBorders>
              <w:top w:val="single" w:color="000000" w:sz="4" w:space="0"/>
              <w:left w:val="single" w:color="000000" w:sz="4" w:space="0"/>
              <w:bottom w:val="single" w:color="auto" w:sz="4" w:space="0"/>
              <w:right w:val="single" w:color="000000" w:sz="4" w:space="0"/>
            </w:tcBorders>
            <w:tcW w:w="3998" w:type="dxa"/>
            <w:vAlign w:val="center"/>
            <w:textDirection w:val="lrTb"/>
            <w:noWrap w:val="false"/>
          </w:tcPr>
          <w:p>
            <w:pPr>
              <w:jc w:val="left"/>
              <w:widowControl/>
              <w:rPr>
                <w:rFonts w:hint="eastAsia" w:ascii="宋体" w:hAnsi="宋体" w:cs="宋体"/>
                <w:color w:val="000000"/>
                <w:lang w:bidi="ar"/>
              </w:rPr>
            </w:pPr>
            <w:r>
              <w:rPr>
                <w:rFonts w:hint="eastAsia" w:ascii="宋体" w:hAnsi="宋体" w:cs="宋体"/>
                <w:color w:val="000000"/>
                <w:lang w:bidi="ar"/>
              </w:rPr>
              <w:t xml:space="preserve">四庄服务区</w:t>
            </w:r>
            <w:r/>
          </w:p>
        </w:tc>
        <w:tc>
          <w:tcPr>
            <w:tcBorders>
              <w:top w:val="single" w:color="000000" w:sz="4" w:space="0"/>
              <w:left w:val="single" w:color="000000" w:sz="4" w:space="0"/>
              <w:bottom w:val="single" w:color="auto" w:sz="4" w:space="0"/>
              <w:right w:val="single" w:color="000000" w:sz="4" w:space="0"/>
            </w:tcBorders>
            <w:tcW w:w="876" w:type="dxa"/>
            <w:vAlign w:val="center"/>
            <w:textDirection w:val="lrTb"/>
            <w:noWrap/>
          </w:tcPr>
          <w:p>
            <w:pPr>
              <w:jc w:val="left"/>
              <w:widowControl/>
              <w:rPr>
                <w:rFonts w:hint="eastAsia" w:ascii="宋体" w:hAnsi="宋体" w:cs="宋体"/>
                <w:color w:val="000000"/>
                <w:lang w:bidi="ar"/>
              </w:rPr>
            </w:pPr>
            <w:r>
              <w:rPr>
                <w:rFonts w:hint="eastAsia" w:ascii="宋体" w:hAnsi="宋体" w:cs="宋体"/>
                <w:color w:val="000000"/>
                <w:lang w:bidi="ar"/>
              </w:rPr>
              <w:t xml:space="preserve">100M</w:t>
            </w:r>
            <w:r/>
          </w:p>
        </w:tc>
      </w:tr>
    </w:tbl>
    <w:p>
      <w:pPr>
        <w:spacing w:before="240" w:after="240"/>
        <w:rPr>
          <w:rFonts w:eastAsia="Times New Roman"/>
          <w:color w:val="000000"/>
          <w:sz w:val="24"/>
          <w:szCs w:val="24"/>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Times New Roman"/>
          <w:color w:val="000000"/>
          <w:sz w:val="24"/>
        </w:rPr>
      </w:r>
      <w:r>
        <w:rPr>
          <w:rFonts w:ascii="黑体" w:hAnsi="黑体" w:cs="黑体"/>
          <w:color w:val="000000"/>
        </w:rPr>
        <w:t xml:space="preserve"> </w:t>
      </w:r>
      <w:r/>
      <w:r/>
    </w:p>
    <w:p>
      <w:pPr>
        <w:pStyle w:val="887"/>
        <w:rPr>
          <w:rFonts w:hint="eastAsia"/>
        </w:rPr>
      </w:pPr>
      <w:r>
        <w:rPr>
          <w:rFonts w:ascii="黑体" w:hAnsi="黑体" w:cs="黑体"/>
          <w:color w:val="000000"/>
        </w:rPr>
        <w:t xml:space="preserve">第五章评标方法与评标标准</w:t>
      </w:r>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39"/>
        <w:spacing w:before="240" w:after="240"/>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本项目采用最低评标价法，投标文件满足招标文件全部实质性要求，且投标报价最低的投标人为中标候选人。</w:t>
      </w:r>
      <w:r/>
    </w:p>
    <w:p>
      <w:pPr>
        <w:ind w:firstLine="439"/>
        <w:spacing w:before="240" w:after="24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采用最低评标价法评标时，除了算术修正和落实政府采购政策需进行的价格扣除外，不能对投标人的投标价格进行任何调整。</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57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val="false"/>
          </w:tcPr>
          <w:p>
            <w:pPr>
              <w:jc w:val="center"/>
              <w:rPr>
                <w:color w:val="ff0000"/>
              </w:rPr>
              <w:pBdr>
                <w:top w:val="none" w:color="000000" w:sz="0" w:space="0"/>
                <w:left w:val="none" w:color="000000" w:sz="0" w:space="0"/>
                <w:bottom w:val="none" w:color="000000" w:sz="0" w:space="0"/>
                <w:right w:val="none" w:color="000000" w:sz="0" w:space="0"/>
              </w:pBdr>
            </w:pPr>
            <w:r>
              <w:rPr>
                <w:color w:val="ff0000"/>
              </w:rPr>
            </w:r>
            <w:r/>
          </w:p>
          <w:p>
            <w:pPr>
              <w:jc w:val="center"/>
              <w:rPr>
                <w:color w:val="ff0000"/>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1</w:t>
            </w:r>
            <w:r/>
          </w:p>
        </w:tc>
        <w:tc>
          <w:tcPr>
            <w:tcBorders>
              <w:top w:val="none" w:color="000000" w:sz="4" w:space="0"/>
              <w:left w:val="none" w:color="000000" w:sz="4" w:space="0"/>
              <w:right w:val="single" w:color="000000" w:sz="8" w:space="0"/>
            </w:tcBorders>
            <w:tcMar>
              <w:left w:w="108" w:type="dxa"/>
              <w:top w:w="0" w:type="dxa"/>
              <w:right w:w="108" w:type="dxa"/>
              <w:bottom w:w="0" w:type="dxa"/>
            </w:tcMar>
            <w:tcW w:w="5767" w:type="dxa"/>
            <w:vAlign w:val="center"/>
            <w:vMerge w:val="restart"/>
            <w:textDirection w:val="lrTb"/>
            <w:noWrap w:val="false"/>
          </w:tcPr>
          <w:p>
            <w:pPr>
              <w:jc w:val="lef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满足招标文件全部实质性要求，且投标报价最低的投标人为中标候选人</w:t>
            </w:r>
            <w:r/>
          </w:p>
          <w:p>
            <w:pPr>
              <w:jc w:val="left"/>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val="false"/>
          </w:tcPr>
          <w:p>
            <w:pPr>
              <w:jc w:val="center"/>
              <w:rPr>
                <w:color w:val="ff0000"/>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1</w:t>
            </w:r>
            <w:r/>
          </w:p>
        </w:tc>
        <w:tc>
          <w:tcPr>
            <w:tcBorders>
              <w:left w:val="none" w:color="000000" w:sz="4" w:space="0"/>
              <w:right w:val="single" w:color="000000" w:sz="8" w:space="0"/>
            </w:tcBorders>
            <w:tcMar>
              <w:left w:w="108" w:type="dxa"/>
              <w:top w:w="0" w:type="dxa"/>
              <w:right w:w="108" w:type="dxa"/>
              <w:bottom w:w="0" w:type="dxa"/>
            </w:tcMar>
            <w:tcW w:w="5767" w:type="dxa"/>
            <w:vMerge w:val="continue"/>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val="false"/>
          </w:tcPr>
          <w:p>
            <w:pPr>
              <w:jc w:val="center"/>
              <w:rPr>
                <w:color w:val="ff0000"/>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1</w:t>
            </w:r>
            <w:r/>
          </w:p>
        </w:tc>
        <w:tc>
          <w:tcPr>
            <w:tcBorders>
              <w:left w:val="none" w:color="000000" w:sz="4" w:space="0"/>
              <w:bottom w:val="single" w:color="000000" w:sz="8" w:space="0"/>
              <w:right w:val="single" w:color="000000" w:sz="8" w:space="0"/>
            </w:tcBorders>
            <w:tcMar>
              <w:left w:w="108" w:type="dxa"/>
              <w:top w:w="0" w:type="dxa"/>
              <w:right w:w="108" w:type="dxa"/>
              <w:bottom w:w="0" w:type="dxa"/>
            </w:tcMar>
            <w:tcW w:w="5767" w:type="dxa"/>
            <w:vMerge w:val="continue"/>
            <w:textDirection w:val="lrTb"/>
            <w:noWrap w:val="false"/>
          </w:tcPr>
          <w:p>
            <w:pPr>
              <w:jc w:val="center"/>
              <w:pBdr>
                <w:top w:val="none" w:color="000000" w:sz="0" w:space="0"/>
                <w:left w:val="none" w:color="000000" w:sz="0" w:space="0"/>
                <w:bottom w:val="none" w:color="000000" w:sz="0" w:space="0"/>
                <w:right w:val="none" w:color="000000" w:sz="0" w:space="0"/>
              </w:pBdr>
            </w:pPr>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本项目专门面向中小企业：否</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64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6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r>
    </w:tbl>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hint="eastAsia" w:ascii="宋体" w:hAnsi="宋体" w:cs="宋体"/>
          <w:color w:val="000000"/>
          <w:sz w:val="24"/>
          <w:u w:val="single"/>
        </w:rPr>
        <w:t xml:space="preserve">10</w:t>
      </w:r>
      <w:r>
        <w:rPr>
          <w:rFonts w:ascii="宋体" w:hAnsi="宋体" w:cs="宋体"/>
          <w:color w:val="000000"/>
          <w:sz w:val="24"/>
          <w:u w:val="single"/>
        </w:rPr>
        <w:t xml:space="preserve">%</w:t>
      </w:r>
      <w:r>
        <w:rPr>
          <w:rFonts w:ascii="宋体" w:hAnsi="宋体" w:cs="宋体"/>
          <w:color w:val="000000"/>
          <w:sz w:val="24"/>
        </w:rPr>
        <w:t xml:space="preserve">的扣除价格，用扣除后的价格参与评审。</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hint="eastAsia" w:ascii="宋体" w:hAnsi="宋体" w:cs="宋体"/>
          <w:color w:val="000000"/>
          <w:sz w:val="24"/>
          <w:u w:val="single"/>
        </w:rPr>
        <w:t xml:space="preserve">10</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hint="eastAsia" w:ascii="宋体" w:hAnsi="宋体" w:cs="宋体"/>
          <w:color w:val="000000"/>
          <w:sz w:val="24"/>
          <w:u w:val="single"/>
        </w:rPr>
        <w:t xml:space="preserve">10</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spacing w:before="120" w:after="120"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ff0000"/>
          <w:sz w:val="24"/>
          <w:u w:val="single"/>
        </w:rPr>
        <w:t xml:space="preserve">4</w:t>
      </w:r>
      <w:r>
        <w:rPr>
          <w:rFonts w:ascii="宋体" w:hAnsi="宋体" w:cs="宋体"/>
          <w:color w:val="ff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hint="eastAsia" w:ascii="宋体" w:hAnsi="宋体" w:cs="宋体"/>
          <w:color w:val="000000"/>
          <w:sz w:val="24"/>
          <w:u w:val="single"/>
        </w:rPr>
        <w:t xml:space="preserve">10</w:t>
      </w:r>
      <w:r>
        <w:rPr>
          <w:rFonts w:ascii="宋体" w:hAnsi="宋体" w:cs="宋体"/>
          <w:color w:val="000000"/>
          <w:sz w:val="24"/>
          <w:u w:val="single"/>
        </w:rPr>
        <w:t xml:space="preserve">%</w:t>
      </w:r>
      <w:r>
        <w:rPr>
          <w:rFonts w:ascii="宋体" w:hAnsi="宋体" w:cs="宋体"/>
          <w:color w:val="000000"/>
          <w:sz w:val="24"/>
        </w:rPr>
        <w:t xml:space="preserve">价格扣除，用扣除后的价格参与评审。</w:t>
      </w:r>
      <w:r/>
    </w:p>
    <w:p>
      <w:pPr>
        <w:jc w:val="center"/>
        <w:spacing w:before="240" w:after="240"/>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jc w:val="center"/>
        <w:spacing w:before="240" w:after="240"/>
        <w:rPr>
          <w:rFonts w:hint="eastAsia"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szCs w:val="44"/>
        </w:rPr>
      </w:r>
      <w:r/>
    </w:p>
    <w:p>
      <w:pPr>
        <w:jc w:val="center"/>
        <w:spacing w:before="240" w:after="240"/>
        <w:rPr>
          <w:rFonts w:hint="eastAsia"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szCs w:val="44"/>
        </w:rPr>
      </w:r>
      <w:r/>
    </w:p>
    <w:p>
      <w:pPr>
        <w:jc w:val="center"/>
        <w:spacing w:before="240" w:after="240"/>
        <w:rPr>
          <w:rFonts w:hint="eastAsia"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szCs w:val="44"/>
        </w:rPr>
      </w:r>
      <w:r/>
    </w:p>
    <w:p>
      <w:pPr>
        <w:jc w:val="center"/>
        <w:spacing w:before="240" w:after="240"/>
        <w:rPr>
          <w:rFonts w:hint="eastAsia"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szCs w:val="44"/>
        </w:rPr>
      </w:r>
      <w:r/>
    </w:p>
    <w:p>
      <w:pPr>
        <w:jc w:val="center"/>
        <w:spacing w:before="240" w:after="240"/>
        <w:rPr>
          <w:rFonts w:hint="eastAsia"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szCs w:val="44"/>
        </w:rPr>
      </w:r>
      <w:r/>
    </w:p>
    <w:p>
      <w:pPr>
        <w:jc w:val="both"/>
        <w:spacing w:before="240" w:after="240"/>
        <w:rPr>
          <w:rFonts w:hint="eastAsia"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szCs w:val="44"/>
        </w:rPr>
      </w:r>
      <w:r>
        <w:rPr>
          <w:rFonts w:hint="eastAsia" w:ascii="黑体" w:hAnsi="黑体" w:eastAsia="黑体" w:cs="黑体"/>
          <w:color w:val="000000"/>
          <w:sz w:val="44"/>
          <w:szCs w:val="44"/>
        </w:rPr>
      </w:r>
    </w:p>
    <w:p>
      <w:pPr>
        <w:jc w:val="both"/>
        <w:spacing w:before="240" w:after="240"/>
        <w:rPr>
          <w:rFonts w:hint="eastAsia"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szCs w:val="44"/>
        </w:rPr>
      </w:r>
      <w:r/>
    </w:p>
    <w:p>
      <w:pPr>
        <w:jc w:val="left"/>
        <w:spacing w:before="240" w:after="240"/>
        <w:rPr>
          <w:rFonts w:hint="eastAsia"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szCs w:val="44"/>
        </w:rPr>
      </w:r>
      <w:r/>
    </w:p>
    <w:p>
      <w:pPr>
        <w:pStyle w:val="887"/>
        <w:rPr>
          <w:rFonts w:hint="eastAsia" w:ascii="黑体" w:hAnsi="黑体" w:cs="黑体"/>
          <w:color w:val="000000"/>
          <w:szCs w:val="44"/>
        </w:rPr>
      </w:pPr>
      <w:r>
        <w:rPr>
          <w:rStyle w:val="922"/>
          <w:rFonts w:ascii="黑体" w:hAnsi="黑体" w:cs="黑体"/>
        </w:rPr>
        <w:t xml:space="preserve">第六章投标文件格式</w:t>
      </w:r>
      <w:r>
        <w:rPr>
          <w:rFonts w:ascii="黑体" w:hAnsi="黑体" w:cs="黑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jc w:val="left"/>
        <w:rPr>
          <w:rFonts w:hint="eastAsia"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4"/>
        <w:jc w:val="left"/>
        <w:rPr>
          <w:rFonts w:hint="eastAsia"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投标人名称 ：</w:t>
      </w:r>
      <w:r>
        <w:rPr>
          <w:rFonts w:ascii="宋体" w:hAnsi="宋体" w:cs="宋体"/>
          <w:b/>
          <w:color w:val="000000"/>
          <w:sz w:val="36"/>
          <w:u w:val="single"/>
        </w:rPr>
        <w:t xml:space="preserve">（加盖CA电子公章）</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日期 ：</w:t>
      </w:r>
      <w:r>
        <w:rPr>
          <w:rFonts w:ascii="宋体" w:hAnsi="宋体" w:cs="宋体"/>
          <w:b/>
          <w:color w:val="000000"/>
          <w:sz w:val="36"/>
          <w:u w:val="single"/>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1084"/>
        <w:pBdr>
          <w:top w:val="none" w:color="000000" w:sz="0" w:space="0"/>
          <w:left w:val="none" w:color="000000" w:sz="0" w:space="0"/>
          <w:bottom w:val="none" w:color="000000" w:sz="0" w:space="0"/>
          <w:right w:val="none" w:color="000000" w:sz="0" w:space="0"/>
        </w:pBdr>
      </w:pPr>
      <w:r>
        <w:br w:type="page" w:clear="all"/>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2024年或2025</w:t>
      </w:r>
      <w:r>
        <w:rPr>
          <w:rFonts w:ascii="宋体" w:hAnsi="宋体" w:cs="宋体"/>
          <w:color w:val="000000"/>
          <w:sz w:val="24"/>
        </w:rPr>
        <w:t xml:space="preserve">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8.联合体协议（格式见附件13）。</w:t>
      </w:r>
      <w:r>
        <w:rPr>
          <w:rFonts w:ascii="宋体" w:hAnsi="宋体" w:cs="宋体"/>
          <w:color w:val="ff0000"/>
          <w:sz w:val="24"/>
        </w:rPr>
        <w:t xml:space="preserve">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四、价格扣除证明文件</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w:t>
      </w:r>
      <w:r>
        <w:rPr>
          <w:rFonts w:hint="eastAsia" w:ascii="宋体" w:hAnsi="宋体" w:cs="宋体"/>
          <w:b/>
          <w:color w:val="000000"/>
          <w:sz w:val="24"/>
        </w:rPr>
        <w:t xml:space="preserve">             </w:t>
      </w:r>
      <w:r>
        <w:rPr>
          <w:rFonts w:ascii="宋体" w:hAnsi="宋体" w:cs="宋体"/>
          <w:b/>
          <w:color w:val="000000"/>
          <w:sz w:val="24"/>
        </w:rPr>
        <w:t xml:space="preserve">开标一览表</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项目编号：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采购包号：</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附件2        投标分项报价表（采购包号：**）</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tbl>
      <w:tblPr>
        <w:tblStyle w:val="735"/>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658"/>
        <w:gridCol w:w="897"/>
        <w:gridCol w:w="799"/>
        <w:gridCol w:w="655"/>
        <w:gridCol w:w="917"/>
        <w:gridCol w:w="2723"/>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tcW w:w="863"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合同签订后</w:t>
            </w:r>
            <w:r>
              <w:rPr>
                <w:rFonts w:ascii="宋体" w:hAnsi="宋体" w:cs="宋体"/>
                <w:color w:val="000000"/>
                <w:sz w:val="24"/>
                <w:u w:val="single"/>
              </w:rPr>
              <w:t xml:space="preserve">  </w:t>
            </w:r>
            <w:r>
              <w:rPr>
                <w:rFonts w:ascii="宋体" w:hAnsi="宋体" w:cs="宋体"/>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2.“投标分项报价表”中“投标总报价”数额应当与“开标一览表”中“投标总报价”数额一致。</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项目经办人可以根据项目实际需要对表格结构进行调整。</w:t>
      </w:r>
      <w:r/>
    </w:p>
    <w:p>
      <w:pPr>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tbl>
      <w:tblPr>
        <w:tblStyle w:val="735"/>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tbl>
      <w:tblPr>
        <w:tblStyle w:val="735"/>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法人授权书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ind w:firstLine="120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被授权人身份证号码：           </w:t>
      </w:r>
      <w:r/>
    </w:p>
    <w:p>
      <w:pPr>
        <w:ind w:firstLine="1200"/>
        <w:spacing w:line="400" w:lineRule="atLeast"/>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被授权人联系电话：（手机）           </w:t>
      </w:r>
      <w:r/>
    </w:p>
    <w:p>
      <w:pPr>
        <w:ind w:firstLine="1200"/>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被授权人电子邮箱：</w:t>
      </w:r>
      <w:r>
        <w:rPr>
          <w:rFonts w:ascii="宋体" w:hAnsi="宋体" w:cs="宋体"/>
          <w:color w:val="auto"/>
          <w:sz w:val="24"/>
          <w:u w:val="single"/>
        </w:rPr>
        <w:t xml:space="preserve">           </w:t>
      </w:r>
      <w:r/>
    </w:p>
    <w:p>
      <w:pPr>
        <w:ind w:firstLine="1200"/>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授权单位名称：</w:t>
      </w:r>
      <w:r>
        <w:rPr>
          <w:rFonts w:ascii="宋体" w:hAnsi="宋体" w:cs="宋体"/>
          <w:color w:val="auto"/>
          <w:sz w:val="24"/>
          <w:u w:val="single"/>
        </w:rPr>
        <w:t xml:space="preserve">（加盖CA电子公章）</w:t>
      </w:r>
      <w:r/>
    </w:p>
    <w:p>
      <w:pPr>
        <w:ind w:firstLine="120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单位地址：           </w:t>
      </w:r>
      <w:r/>
    </w:p>
    <w:p>
      <w:pPr>
        <w:ind w:firstLine="120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日期：           </w:t>
      </w:r>
      <w:r/>
    </w:p>
    <w:p>
      <w:pPr>
        <w:spacing w:before="260" w:after="260"/>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before="260" w:after="260"/>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before="260" w:after="260"/>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投标函</w:t>
      </w:r>
      <w:r/>
    </w:p>
    <w:p>
      <w:pPr>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735"/>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20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中小企业声明函（服务类项目）（采购包号：**）</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的采购活动，服务全部由符合政策的中小企业承接。相关企业（含联合体中的中小企业、签订采购包意向协议的中小企业）的具体情况如下：</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信息传输业</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信息传输业</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right="180" w:firstLine="360"/>
        <w:jc w:val="righ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3.供应商应对照《工业和信息化部、国家统计局、国家发展和改革委员会、财政</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5</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firstLine="420"/>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8000≤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残疾人福利性单位声明函（服务类项目）（采购包号：**）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2.非专门面向中小微型企业采购的项目，供应商如不提供此声明函，价格将不做相应扣除。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供应商全称（加盖CA电子公章）：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附件13          联合体协议（参考格式）（采购包号：**）</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                       </w:t>
      </w:r>
      <w:r>
        <w:rPr>
          <w:rFonts w:ascii="宋体" w:hAnsi="宋体" w:cs="宋体"/>
          <w:color w:val="000000"/>
          <w:sz w:val="24"/>
        </w:rPr>
        <w:t xml:space="preserve">日期：</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实质性要求响应及偏离表（采购包号：**）</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r>
      <w:r>
        <w:rPr>
          <w:rFonts w:ascii="宋体" w:hAnsi="宋体" w:cs="宋体"/>
          <w:b/>
          <w:color w:val="000000"/>
          <w:sz w:val="32"/>
          <w:highlight w:val="none"/>
        </w:rPr>
      </w:r>
    </w:p>
    <w:p>
      <w:pPr>
        <w:jc w:val="center"/>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r>
      <w:r>
        <w:rPr>
          <w:rFonts w:ascii="宋体" w:hAnsi="宋体" w:cs="宋体"/>
          <w:b/>
          <w:color w:val="000000"/>
          <w:sz w:val="32"/>
          <w:highlight w:val="none"/>
        </w:rPr>
      </w:r>
    </w:p>
    <w:p>
      <w:pPr>
        <w:jc w:val="center"/>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r>
      <w:r>
        <w:rPr>
          <w:rFonts w:ascii="宋体" w:hAnsi="宋体" w:cs="宋体"/>
          <w:b/>
          <w:color w:val="000000"/>
          <w:sz w:val="32"/>
          <w:highlight w:val="none"/>
        </w:rPr>
      </w:r>
    </w:p>
    <w:p>
      <w:pPr>
        <w:jc w:val="center"/>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29"/>
      </w:rPr>
      <w:framePr w:wrap="around" w:vAnchor="text" w:hAnchor="margin" w:xAlign="center" w:y="1"/>
    </w:pPr>
    <w:r>
      <w:fldChar w:fldCharType="begin"/>
    </w:r>
    <w:r>
      <w:rPr>
        <w:rStyle w:val="929"/>
      </w:rPr>
      <w:instrText xml:space="preserve">PAGE  </w:instrText>
    </w:r>
    <w:r>
      <w:fldChar w:fldCharType="separate"/>
    </w:r>
    <w:r>
      <w:rPr>
        <w:rStyle w:val="929"/>
      </w:rPr>
      <w:t xml:space="preserve">1</w:t>
    </w:r>
    <w:r>
      <w:fldChar w:fldCharType="end"/>
    </w:r>
    <w:r/>
  </w:p>
  <w:p>
    <w:pPr>
      <w:pStyle w:val="9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06427" cy="153339"/>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306427"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4.1pt;height:12.1pt;mso-wrap-distance-left:9.0pt;mso-wrap-distance-top:0.0pt;mso-wrap-distance-right:9.0pt;mso-wrap-distance-bottom:0.0pt;v-text-anchor:top;visibility:visible;" filled="f" stroked="f" strokeweight="0.50pt">
              <v:textbox inset="0,0,0,0">
                <w:txbxContent>
                  <w:p>
                    <w:pPr>
                      <w:pStyle w:val="72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3"/>
      <w:isLgl w:val="false"/>
      <w:suff w:val="nothing"/>
      <w:lvlText w:val=""/>
      <w:lvlJc w:val="left"/>
      <w:pPr>
        <w:ind w:left="0" w:firstLine="0"/>
      </w:pPr>
      <w:rPr>
        <w:rFonts w:hint="eastAsia"/>
      </w:rPr>
    </w:lvl>
    <w:lvl w:ilvl="6">
      <w:start w:val="1"/>
      <w:numFmt w:val="decimal"/>
      <w:pStyle w:val="894"/>
      <w:isLgl w:val="false"/>
      <w:suff w:val="nothing"/>
      <w:lvlText w:val=""/>
      <w:lvlJc w:val="left"/>
      <w:pPr>
        <w:ind w:left="0" w:firstLine="0"/>
      </w:pPr>
      <w:rPr>
        <w:rFonts w:hint="eastAsia"/>
      </w:rPr>
    </w:lvl>
    <w:lvl w:ilvl="7">
      <w:start w:val="1"/>
      <w:numFmt w:val="decimal"/>
      <w:pStyle w:val="895"/>
      <w:isLgl w:val="false"/>
      <w:suff w:val="nothing"/>
      <w:lvlText w:val=""/>
      <w:lvlJc w:val="left"/>
      <w:pPr>
        <w:ind w:left="0" w:firstLine="0"/>
      </w:pPr>
      <w:rPr>
        <w:rFonts w:hint="eastAsia"/>
      </w:rPr>
    </w:lvl>
    <w:lvl w:ilvl="8">
      <w:start w:val="1"/>
      <w:numFmt w:val="decimal"/>
      <w:pStyle w:val="896"/>
      <w:isLgl w:val="false"/>
      <w:suff w:val="nothing"/>
      <w:lvlText w:val=""/>
      <w:lvlJc w:val="left"/>
      <w:pPr>
        <w:ind w:left="0" w:firstLine="0"/>
      </w:pPr>
      <w:rPr>
        <w:rFonts w:hint="eastAsia"/>
      </w:rPr>
    </w:lvl>
  </w:abstractNum>
  <w:abstractNum w:abstractNumId="3">
    <w:multiLevelType w:val="hybridMultilevel"/>
    <w:lvl w:ilvl="0">
      <w:start w:val="1"/>
      <w:numFmt w:val="decimal"/>
      <w:pStyle w:val="99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2"/>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6"/>
    <w:link w:val="707"/>
    <w:uiPriority w:val="9"/>
    <w:rPr>
      <w:rFonts w:ascii="Arial" w:hAnsi="Arial" w:eastAsia="Arial" w:cs="Arial"/>
      <w:sz w:val="40"/>
      <w:szCs w:val="40"/>
    </w:rPr>
  </w:style>
  <w:style w:type="character" w:styleId="15">
    <w:name w:val="Heading 2 Char"/>
    <w:basedOn w:val="716"/>
    <w:link w:val="708"/>
    <w:uiPriority w:val="9"/>
    <w:rPr>
      <w:rFonts w:ascii="Arial" w:hAnsi="Arial" w:eastAsia="Arial" w:cs="Arial"/>
      <w:sz w:val="34"/>
    </w:rPr>
  </w:style>
  <w:style w:type="character" w:styleId="17">
    <w:name w:val="Heading 3 Char"/>
    <w:basedOn w:val="716"/>
    <w:link w:val="709"/>
    <w:uiPriority w:val="9"/>
    <w:rPr>
      <w:rFonts w:ascii="Arial" w:hAnsi="Arial" w:eastAsia="Arial" w:cs="Arial"/>
      <w:sz w:val="30"/>
      <w:szCs w:val="30"/>
    </w:rPr>
  </w:style>
  <w:style w:type="character" w:styleId="19">
    <w:name w:val="Heading 4 Char"/>
    <w:basedOn w:val="716"/>
    <w:link w:val="710"/>
    <w:uiPriority w:val="9"/>
    <w:rPr>
      <w:rFonts w:ascii="Arial" w:hAnsi="Arial" w:eastAsia="Arial" w:cs="Arial"/>
      <w:b/>
      <w:bCs/>
      <w:sz w:val="26"/>
      <w:szCs w:val="26"/>
    </w:rPr>
  </w:style>
  <w:style w:type="character" w:styleId="21">
    <w:name w:val="Heading 5 Char"/>
    <w:basedOn w:val="716"/>
    <w:link w:val="711"/>
    <w:uiPriority w:val="9"/>
    <w:rPr>
      <w:rFonts w:ascii="Arial" w:hAnsi="Arial" w:eastAsia="Arial" w:cs="Arial"/>
      <w:b/>
      <w:bCs/>
      <w:sz w:val="24"/>
      <w:szCs w:val="24"/>
    </w:rPr>
  </w:style>
  <w:style w:type="character" w:styleId="23">
    <w:name w:val="Heading 6 Char"/>
    <w:basedOn w:val="716"/>
    <w:link w:val="712"/>
    <w:uiPriority w:val="9"/>
    <w:rPr>
      <w:rFonts w:ascii="Arial" w:hAnsi="Arial" w:eastAsia="Arial" w:cs="Arial"/>
      <w:b/>
      <w:bCs/>
      <w:sz w:val="22"/>
      <w:szCs w:val="22"/>
    </w:rPr>
  </w:style>
  <w:style w:type="character" w:styleId="25">
    <w:name w:val="Heading 7 Char"/>
    <w:basedOn w:val="716"/>
    <w:link w:val="713"/>
    <w:uiPriority w:val="9"/>
    <w:rPr>
      <w:rFonts w:ascii="Arial" w:hAnsi="Arial" w:eastAsia="Arial" w:cs="Arial"/>
      <w:b/>
      <w:bCs/>
      <w:i/>
      <w:iCs/>
      <w:sz w:val="22"/>
      <w:szCs w:val="22"/>
    </w:rPr>
  </w:style>
  <w:style w:type="character" w:styleId="27">
    <w:name w:val="Heading 8 Char"/>
    <w:basedOn w:val="716"/>
    <w:link w:val="714"/>
    <w:uiPriority w:val="9"/>
    <w:rPr>
      <w:rFonts w:ascii="Arial" w:hAnsi="Arial" w:eastAsia="Arial" w:cs="Arial"/>
      <w:i/>
      <w:iCs/>
      <w:sz w:val="22"/>
      <w:szCs w:val="22"/>
    </w:rPr>
  </w:style>
  <w:style w:type="character" w:styleId="29">
    <w:name w:val="Heading 9 Char"/>
    <w:basedOn w:val="716"/>
    <w:link w:val="715"/>
    <w:uiPriority w:val="9"/>
    <w:rPr>
      <w:rFonts w:ascii="Arial" w:hAnsi="Arial" w:eastAsia="Arial" w:cs="Arial"/>
      <w:i/>
      <w:iCs/>
      <w:sz w:val="21"/>
      <w:szCs w:val="21"/>
    </w:rPr>
  </w:style>
  <w:style w:type="character" w:styleId="34">
    <w:name w:val="Title Char"/>
    <w:basedOn w:val="716"/>
    <w:link w:val="734"/>
    <w:uiPriority w:val="10"/>
    <w:rPr>
      <w:sz w:val="48"/>
      <w:szCs w:val="48"/>
    </w:rPr>
  </w:style>
  <w:style w:type="character" w:styleId="36">
    <w:name w:val="Subtitle Char"/>
    <w:basedOn w:val="716"/>
    <w:link w:val="728"/>
    <w:uiPriority w:val="11"/>
    <w:rPr>
      <w:sz w:val="24"/>
      <w:szCs w:val="24"/>
    </w:rPr>
  </w:style>
  <w:style w:type="character" w:styleId="38">
    <w:name w:val="Quote Char"/>
    <w:link w:val="752"/>
    <w:uiPriority w:val="29"/>
    <w:rPr>
      <w:i/>
    </w:rPr>
  </w:style>
  <w:style w:type="character" w:styleId="40">
    <w:name w:val="Intense Quote Char"/>
    <w:link w:val="754"/>
    <w:uiPriority w:val="30"/>
    <w:rPr>
      <w:i/>
    </w:rPr>
  </w:style>
  <w:style w:type="character" w:styleId="42">
    <w:name w:val="Header Char"/>
    <w:basedOn w:val="716"/>
    <w:link w:val="725"/>
    <w:uiPriority w:val="99"/>
  </w:style>
  <w:style w:type="character" w:styleId="46">
    <w:name w:val="Caption Char"/>
    <w:basedOn w:val="719"/>
    <w:link w:val="724"/>
    <w:uiPriority w:val="99"/>
  </w:style>
  <w:style w:type="table" w:styleId="49">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29"/>
    <w:uiPriority w:val="99"/>
    <w:rPr>
      <w:sz w:val="18"/>
    </w:rPr>
  </w:style>
  <w:style w:type="character" w:styleId="178">
    <w:name w:val="Endnote Text Char"/>
    <w:link w:val="723"/>
    <w:uiPriority w:val="99"/>
    <w:rPr>
      <w:sz w:val="20"/>
    </w:rPr>
  </w:style>
  <w:style w:type="paragraph" w:styleId="189">
    <w:name w:val="TOC Heading"/>
    <w:uiPriority w:val="39"/>
    <w:unhideWhenUsed/>
  </w:style>
  <w:style w:type="paragraph" w:styleId="70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07">
    <w:name w:val="Heading 1"/>
    <w:basedOn w:val="706"/>
    <w:next w:val="706"/>
    <w:link w:val="739"/>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40"/>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41"/>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42"/>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43"/>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44"/>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46"/>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47"/>
    <w:uiPriority w:val="9"/>
    <w:unhideWhenUsed/>
    <w:qFormat/>
    <w:pPr>
      <w:keepLines/>
      <w:keepNext/>
      <w:spacing w:before="320" w:after="200"/>
      <w:outlineLvl w:val="8"/>
    </w:pPr>
    <w:rPr>
      <w:rFonts w:ascii="Arial" w:hAnsi="Arial" w:eastAsia="Arial" w:cs="Arial"/>
      <w:i/>
      <w:iCs/>
    </w:rPr>
  </w:style>
  <w:style w:type="character" w:styleId="716" w:default="1">
    <w:name w:val="Default Paragraph Font"/>
    <w:uiPriority w:val="1"/>
    <w:semiHidden/>
    <w:unhideWhenUsed/>
  </w:style>
  <w:style w:type="table" w:styleId="717" w:default="1">
    <w:name w:val="Normal Table"/>
    <w:uiPriority w:val="99"/>
    <w:semiHidden/>
    <w:unhideWhenUsed/>
    <w:tblPr>
      <w:tblCellMar>
        <w:left w:w="108" w:type="dxa"/>
        <w:top w:w="0" w:type="dxa"/>
        <w:right w:w="108" w:type="dxa"/>
        <w:bottom w:w="0" w:type="dxa"/>
      </w:tblCellMar>
    </w:tblPr>
  </w:style>
  <w:style w:type="paragraph" w:styleId="718">
    <w:name w:val="toc 7"/>
    <w:basedOn w:val="706"/>
    <w:next w:val="706"/>
    <w:uiPriority w:val="39"/>
    <w:unhideWhenUsed/>
    <w:qFormat/>
    <w:pPr>
      <w:ind w:left="1701"/>
      <w:spacing w:after="57"/>
    </w:pPr>
  </w:style>
  <w:style w:type="paragraph" w:styleId="719">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toc 5"/>
    <w:basedOn w:val="706"/>
    <w:next w:val="706"/>
    <w:uiPriority w:val="39"/>
    <w:unhideWhenUsed/>
    <w:qFormat/>
    <w:pPr>
      <w:ind w:left="1134"/>
      <w:spacing w:after="57"/>
    </w:pPr>
  </w:style>
  <w:style w:type="paragraph" w:styleId="721">
    <w:name w:val="toc 3"/>
    <w:basedOn w:val="706"/>
    <w:next w:val="706"/>
    <w:uiPriority w:val="39"/>
    <w:unhideWhenUsed/>
    <w:qFormat/>
    <w:pPr>
      <w:ind w:left="567"/>
      <w:spacing w:after="57"/>
    </w:pPr>
  </w:style>
  <w:style w:type="paragraph" w:styleId="722">
    <w:name w:val="toc 8"/>
    <w:basedOn w:val="706"/>
    <w:next w:val="706"/>
    <w:uiPriority w:val="39"/>
    <w:unhideWhenUsed/>
    <w:qFormat/>
    <w:pPr>
      <w:ind w:left="1984"/>
      <w:spacing w:after="57"/>
    </w:pPr>
  </w:style>
  <w:style w:type="paragraph" w:styleId="723">
    <w:name w:val="endnote text"/>
    <w:basedOn w:val="706"/>
    <w:link w:val="885"/>
    <w:uiPriority w:val="99"/>
    <w:semiHidden/>
    <w:unhideWhenUsed/>
    <w:qFormat/>
    <w:rPr>
      <w:sz w:val="20"/>
    </w:rPr>
  </w:style>
  <w:style w:type="paragraph" w:styleId="724">
    <w:name w:val="Footer"/>
    <w:basedOn w:val="706"/>
    <w:link w:val="758"/>
    <w:uiPriority w:val="99"/>
    <w:unhideWhenUsed/>
    <w:qFormat/>
    <w:pPr>
      <w:tabs>
        <w:tab w:val="center" w:pos="7143" w:leader="none"/>
        <w:tab w:val="right" w:pos="14287" w:leader="none"/>
      </w:tabs>
    </w:pPr>
  </w:style>
  <w:style w:type="paragraph" w:styleId="725">
    <w:name w:val="Header"/>
    <w:basedOn w:val="706"/>
    <w:link w:val="756"/>
    <w:uiPriority w:val="99"/>
    <w:unhideWhenUsed/>
    <w:qFormat/>
    <w:pPr>
      <w:tabs>
        <w:tab w:val="center" w:pos="7143" w:leader="none"/>
        <w:tab w:val="right" w:pos="14287" w:leader="none"/>
      </w:tabs>
    </w:pPr>
  </w:style>
  <w:style w:type="paragraph" w:styleId="726">
    <w:name w:val="toc 1"/>
    <w:basedOn w:val="706"/>
    <w:next w:val="706"/>
    <w:uiPriority w:val="39"/>
    <w:unhideWhenUsed/>
    <w:qFormat/>
    <w:pPr>
      <w:spacing w:after="57"/>
    </w:pPr>
  </w:style>
  <w:style w:type="paragraph" w:styleId="727">
    <w:name w:val="toc 4"/>
    <w:basedOn w:val="706"/>
    <w:next w:val="706"/>
    <w:uiPriority w:val="39"/>
    <w:unhideWhenUsed/>
    <w:qFormat/>
    <w:pPr>
      <w:ind w:left="850"/>
      <w:spacing w:after="57"/>
    </w:pPr>
  </w:style>
  <w:style w:type="paragraph" w:styleId="728">
    <w:name w:val="Subtitle"/>
    <w:basedOn w:val="706"/>
    <w:next w:val="706"/>
    <w:link w:val="751"/>
    <w:uiPriority w:val="11"/>
    <w:qFormat/>
    <w:pPr>
      <w:spacing w:before="200" w:after="200"/>
    </w:pPr>
    <w:rPr>
      <w:sz w:val="24"/>
      <w:szCs w:val="24"/>
    </w:rPr>
  </w:style>
  <w:style w:type="paragraph" w:styleId="729">
    <w:name w:val="footnote text"/>
    <w:basedOn w:val="706"/>
    <w:link w:val="884"/>
    <w:uiPriority w:val="99"/>
    <w:semiHidden/>
    <w:unhideWhenUsed/>
    <w:qFormat/>
    <w:pPr>
      <w:spacing w:after="40"/>
    </w:pPr>
    <w:rPr>
      <w:sz w:val="18"/>
    </w:rPr>
  </w:style>
  <w:style w:type="paragraph" w:styleId="730">
    <w:name w:val="toc 6"/>
    <w:basedOn w:val="706"/>
    <w:next w:val="706"/>
    <w:uiPriority w:val="39"/>
    <w:unhideWhenUsed/>
    <w:qFormat/>
    <w:pPr>
      <w:ind w:left="1417"/>
      <w:spacing w:after="57"/>
    </w:pPr>
  </w:style>
  <w:style w:type="paragraph" w:styleId="731">
    <w:name w:val="table of figures"/>
    <w:basedOn w:val="706"/>
    <w:next w:val="706"/>
    <w:uiPriority w:val="99"/>
    <w:unhideWhenUsed/>
    <w:qFormat/>
  </w:style>
  <w:style w:type="paragraph" w:styleId="732">
    <w:name w:val="toc 2"/>
    <w:basedOn w:val="706"/>
    <w:next w:val="706"/>
    <w:uiPriority w:val="39"/>
    <w:unhideWhenUsed/>
    <w:qFormat/>
    <w:pPr>
      <w:ind w:left="283"/>
      <w:spacing w:after="57"/>
    </w:pPr>
  </w:style>
  <w:style w:type="paragraph" w:styleId="733">
    <w:name w:val="toc 9"/>
    <w:basedOn w:val="706"/>
    <w:next w:val="706"/>
    <w:uiPriority w:val="39"/>
    <w:unhideWhenUsed/>
    <w:qFormat/>
    <w:pPr>
      <w:ind w:left="2268"/>
      <w:spacing w:after="57"/>
    </w:pPr>
  </w:style>
  <w:style w:type="paragraph" w:styleId="734">
    <w:name w:val="Title"/>
    <w:basedOn w:val="706"/>
    <w:next w:val="706"/>
    <w:link w:val="750"/>
    <w:uiPriority w:val="10"/>
    <w:qFormat/>
    <w:pPr>
      <w:contextualSpacing/>
      <w:spacing w:before="300" w:after="200"/>
    </w:pPr>
    <w:rPr>
      <w:sz w:val="48"/>
      <w:szCs w:val="48"/>
    </w:rPr>
  </w:style>
  <w:style w:type="table" w:styleId="7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endnote reference"/>
    <w:uiPriority w:val="99"/>
    <w:semiHidden/>
    <w:unhideWhenUsed/>
    <w:qFormat/>
    <w:rPr>
      <w:vertAlign w:val="superscript"/>
    </w:rPr>
  </w:style>
  <w:style w:type="character" w:styleId="737">
    <w:name w:val="Hyperlink"/>
    <w:uiPriority w:val="99"/>
    <w:unhideWhenUsed/>
    <w:qFormat/>
    <w:rPr>
      <w:color w:val="0000ff" w:themeColor="hyperlink"/>
      <w:u w:val="single"/>
      <w14:textFill>
        <w14:solidFill>
          <w14:schemeClr w14:val="hlink"/>
        </w14:solidFill>
      </w14:textFill>
    </w:rPr>
  </w:style>
  <w:style w:type="character" w:styleId="738">
    <w:name w:val="footnote reference"/>
    <w:uiPriority w:val="99"/>
    <w:unhideWhenUsed/>
    <w:qFormat/>
    <w:rPr>
      <w:vertAlign w:val="superscript"/>
    </w:rPr>
  </w:style>
  <w:style w:type="character" w:styleId="739" w:customStyle="1">
    <w:name w:val="标题 1 字符"/>
    <w:link w:val="707"/>
    <w:uiPriority w:val="9"/>
    <w:qFormat/>
    <w:rPr>
      <w:rFonts w:ascii="Arial" w:hAnsi="Arial" w:eastAsia="Arial" w:cs="Arial"/>
      <w:sz w:val="40"/>
      <w:szCs w:val="40"/>
    </w:rPr>
  </w:style>
  <w:style w:type="character" w:styleId="740" w:customStyle="1">
    <w:name w:val="标题 2 字符"/>
    <w:link w:val="708"/>
    <w:uiPriority w:val="9"/>
    <w:qFormat/>
    <w:rPr>
      <w:rFonts w:ascii="Arial" w:hAnsi="Arial" w:eastAsia="Arial" w:cs="Arial"/>
      <w:sz w:val="34"/>
    </w:rPr>
  </w:style>
  <w:style w:type="character" w:styleId="741" w:customStyle="1">
    <w:name w:val="标题 3 字符"/>
    <w:link w:val="709"/>
    <w:uiPriority w:val="9"/>
    <w:qFormat/>
    <w:rPr>
      <w:rFonts w:ascii="Arial" w:hAnsi="Arial" w:eastAsia="Arial" w:cs="Arial"/>
      <w:sz w:val="30"/>
      <w:szCs w:val="30"/>
    </w:rPr>
  </w:style>
  <w:style w:type="character" w:styleId="742" w:customStyle="1">
    <w:name w:val="标题 4 字符"/>
    <w:link w:val="710"/>
    <w:uiPriority w:val="9"/>
    <w:qFormat/>
    <w:rPr>
      <w:rFonts w:ascii="Arial" w:hAnsi="Arial" w:eastAsia="Arial" w:cs="Arial"/>
      <w:b/>
      <w:bCs/>
      <w:sz w:val="26"/>
      <w:szCs w:val="26"/>
    </w:rPr>
  </w:style>
  <w:style w:type="character" w:styleId="743" w:customStyle="1">
    <w:name w:val="标题 5 字符"/>
    <w:link w:val="711"/>
    <w:uiPriority w:val="9"/>
    <w:qFormat/>
    <w:rPr>
      <w:rFonts w:ascii="Arial" w:hAnsi="Arial" w:eastAsia="Arial" w:cs="Arial"/>
      <w:b/>
      <w:bCs/>
      <w:sz w:val="24"/>
      <w:szCs w:val="24"/>
    </w:rPr>
  </w:style>
  <w:style w:type="character" w:styleId="744" w:customStyle="1">
    <w:name w:val="标题 6 字符"/>
    <w:link w:val="712"/>
    <w:uiPriority w:val="9"/>
    <w:qFormat/>
    <w:rPr>
      <w:rFonts w:ascii="Arial" w:hAnsi="Arial" w:eastAsia="Arial" w:cs="Arial"/>
      <w:b/>
      <w:bCs/>
      <w:sz w:val="22"/>
      <w:szCs w:val="22"/>
    </w:rPr>
  </w:style>
  <w:style w:type="character" w:styleId="745" w:customStyle="1">
    <w:name w:val="标题 7 字符"/>
    <w:link w:val="713"/>
    <w:uiPriority w:val="9"/>
    <w:qFormat/>
    <w:rPr>
      <w:rFonts w:ascii="Arial" w:hAnsi="Arial" w:eastAsia="Arial" w:cs="Arial"/>
      <w:b/>
      <w:bCs/>
      <w:i/>
      <w:iCs/>
      <w:sz w:val="22"/>
      <w:szCs w:val="22"/>
    </w:rPr>
  </w:style>
  <w:style w:type="character" w:styleId="746" w:customStyle="1">
    <w:name w:val="标题 8 字符"/>
    <w:link w:val="714"/>
    <w:uiPriority w:val="9"/>
    <w:qFormat/>
    <w:rPr>
      <w:rFonts w:ascii="Arial" w:hAnsi="Arial" w:eastAsia="Arial" w:cs="Arial"/>
      <w:i/>
      <w:iCs/>
      <w:sz w:val="22"/>
      <w:szCs w:val="22"/>
    </w:rPr>
  </w:style>
  <w:style w:type="character" w:styleId="747" w:customStyle="1">
    <w:name w:val="标题 9 字符"/>
    <w:link w:val="715"/>
    <w:uiPriority w:val="9"/>
    <w:qFormat/>
    <w:rPr>
      <w:rFonts w:ascii="Arial" w:hAnsi="Arial" w:eastAsia="Arial" w:cs="Arial"/>
      <w:i/>
      <w:iCs/>
      <w:sz w:val="21"/>
      <w:szCs w:val="21"/>
    </w:rPr>
  </w:style>
  <w:style w:type="paragraph" w:styleId="748">
    <w:name w:val="List Paragraph"/>
    <w:basedOn w:val="706"/>
    <w:uiPriority w:val="34"/>
    <w:qFormat/>
    <w:pPr>
      <w:contextualSpacing/>
      <w:ind w:left="720"/>
    </w:pPr>
  </w:style>
  <w:style w:type="paragraph" w:styleId="749">
    <w:name w:val="No Spacing"/>
    <w:uiPriority w:val="1"/>
    <w:qFormat/>
    <w:rPr>
      <w:rFonts w:ascii="Times New Roman" w:hAnsi="Times New Roman" w:eastAsia="宋体" w:cs="Times New Roman"/>
      <w:lang w:val="en-US" w:eastAsia="zh-CN" w:bidi="ar-SA"/>
    </w:rPr>
  </w:style>
  <w:style w:type="character" w:styleId="750" w:customStyle="1">
    <w:name w:val="标题 字符"/>
    <w:link w:val="734"/>
    <w:uiPriority w:val="10"/>
    <w:qFormat/>
    <w:rPr>
      <w:sz w:val="48"/>
      <w:szCs w:val="48"/>
    </w:rPr>
  </w:style>
  <w:style w:type="character" w:styleId="751" w:customStyle="1">
    <w:name w:val="副标题 字符"/>
    <w:link w:val="728"/>
    <w:uiPriority w:val="11"/>
    <w:qFormat/>
    <w:rPr>
      <w:sz w:val="24"/>
      <w:szCs w:val="24"/>
    </w:rPr>
  </w:style>
  <w:style w:type="paragraph" w:styleId="752">
    <w:name w:val="Quote"/>
    <w:basedOn w:val="706"/>
    <w:next w:val="706"/>
    <w:link w:val="753"/>
    <w:uiPriority w:val="29"/>
    <w:qFormat/>
    <w:pPr>
      <w:ind w:left="720" w:right="720"/>
    </w:pPr>
    <w:rPr>
      <w:i/>
    </w:rPr>
  </w:style>
  <w:style w:type="character" w:styleId="753" w:customStyle="1">
    <w:name w:val="引用 字符"/>
    <w:link w:val="752"/>
    <w:uiPriority w:val="29"/>
    <w:qFormat/>
    <w:rPr>
      <w:i/>
    </w:rPr>
  </w:style>
  <w:style w:type="paragraph" w:styleId="754">
    <w:name w:val="Intense Quote"/>
    <w:basedOn w:val="706"/>
    <w:next w:val="706"/>
    <w:link w:val="7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明显引用 字符"/>
    <w:link w:val="754"/>
    <w:uiPriority w:val="30"/>
    <w:qFormat/>
    <w:rPr>
      <w:i/>
    </w:rPr>
  </w:style>
  <w:style w:type="character" w:styleId="756" w:customStyle="1">
    <w:name w:val="页眉 字符"/>
    <w:link w:val="725"/>
    <w:uiPriority w:val="99"/>
    <w:qFormat/>
  </w:style>
  <w:style w:type="character" w:styleId="757" w:customStyle="1">
    <w:name w:val="Footer Char"/>
    <w:uiPriority w:val="99"/>
    <w:qFormat/>
  </w:style>
  <w:style w:type="character" w:styleId="758" w:customStyle="1">
    <w:name w:val="页脚 字符"/>
    <w:link w:val="724"/>
    <w:uiPriority w:val="99"/>
    <w:qFormat/>
  </w:style>
  <w:style w:type="table" w:styleId="75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4" w:customStyle="1">
    <w:name w:val="脚注文本 字符"/>
    <w:link w:val="729"/>
    <w:uiPriority w:val="99"/>
    <w:qFormat/>
    <w:rPr>
      <w:sz w:val="18"/>
    </w:rPr>
  </w:style>
  <w:style w:type="character" w:styleId="885" w:customStyle="1">
    <w:name w:val="尾注文本 字符"/>
    <w:link w:val="723"/>
    <w:uiPriority w:val="99"/>
    <w:qFormat/>
    <w:rPr>
      <w:sz w:val="20"/>
    </w:rPr>
  </w:style>
  <w:style w:type="paragraph" w:styleId="886" w:customStyle="1">
    <w:name w:val="TOC 标题1"/>
    <w:uiPriority w:val="39"/>
    <w:unhideWhenUsed/>
    <w:qFormat/>
    <w:rPr>
      <w:rFonts w:ascii="Times New Roman" w:hAnsi="Times New Roman" w:eastAsia="宋体" w:cs="Times New Roman"/>
      <w:lang w:val="en-US" w:eastAsia="zh-CN" w:bidi="ar-SA"/>
    </w:rPr>
  </w:style>
  <w:style w:type="paragraph" w:styleId="887" w:customStyle="1">
    <w:name w:val="标题 11"/>
    <w:basedOn w:val="706"/>
    <w:next w:val="706"/>
    <w:link w:val="922"/>
    <w:uiPriority w:val="0"/>
    <w:qFormat/>
    <w:pPr>
      <w:jc w:val="center"/>
      <w:keepNext/>
      <w:outlineLvl w:val="0"/>
    </w:pPr>
    <w:rPr>
      <w:rFonts w:ascii="楷体_GB2312" w:hAnsi="楷体_GB2312" w:eastAsia="黑体"/>
      <w:sz w:val="44"/>
      <w:szCs w:val="28"/>
    </w:rPr>
  </w:style>
  <w:style w:type="paragraph" w:styleId="888" w:customStyle="1">
    <w:name w:val="标题 21"/>
    <w:basedOn w:val="706"/>
    <w:next w:val="889"/>
    <w:link w:val="90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9" w:customStyle="1">
    <w:name w:val="正文缩进1"/>
    <w:basedOn w:val="706"/>
    <w:link w:val="928"/>
    <w:uiPriority w:val="0"/>
    <w:qFormat/>
    <w:pPr>
      <w:ind w:firstLine="420"/>
    </w:pPr>
  </w:style>
  <w:style w:type="paragraph" w:styleId="890" w:customStyle="1">
    <w:name w:val="标题 31"/>
    <w:basedOn w:val="706"/>
    <w:next w:val="889"/>
    <w:link w:val="899"/>
    <w:uiPriority w:val="0"/>
    <w:qFormat/>
    <w:pPr>
      <w:keepLines/>
      <w:keepNext/>
      <w:spacing w:before="260" w:after="260" w:line="416" w:lineRule="auto"/>
      <w:outlineLvl w:val="2"/>
    </w:pPr>
    <w:rPr>
      <w:b/>
      <w:bCs/>
      <w:sz w:val="32"/>
      <w:szCs w:val="32"/>
    </w:rPr>
  </w:style>
  <w:style w:type="paragraph" w:styleId="891" w:customStyle="1">
    <w:name w:val="标题 41"/>
    <w:basedOn w:val="706"/>
    <w:next w:val="889"/>
    <w:link w:val="942"/>
    <w:uiPriority w:val="0"/>
    <w:qFormat/>
    <w:pPr>
      <w:keepLines/>
      <w:keepNext/>
      <w:spacing w:before="280" w:after="290" w:line="376" w:lineRule="auto"/>
      <w:outlineLvl w:val="3"/>
    </w:pPr>
    <w:rPr>
      <w:rFonts w:ascii="Arial" w:hAnsi="Arial" w:eastAsia="黑体" w:cs="Arial"/>
      <w:b/>
      <w:bCs/>
      <w:sz w:val="28"/>
      <w:szCs w:val="28"/>
    </w:rPr>
  </w:style>
  <w:style w:type="paragraph" w:styleId="892" w:customStyle="1">
    <w:name w:val="标题 51"/>
    <w:basedOn w:val="706"/>
    <w:next w:val="889"/>
    <w:link w:val="934"/>
    <w:uiPriority w:val="0"/>
    <w:qFormat/>
    <w:pPr>
      <w:keepNext/>
      <w:outlineLvl w:val="4"/>
    </w:pPr>
    <w:rPr>
      <w:rFonts w:ascii="宋体"/>
      <w:color w:val="000000"/>
      <w:sz w:val="28"/>
      <w:szCs w:val="28"/>
    </w:rPr>
  </w:style>
  <w:style w:type="paragraph" w:styleId="893" w:customStyle="1">
    <w:name w:val="标题 61"/>
    <w:basedOn w:val="706"/>
    <w:next w:val="706"/>
    <w:link w:val="91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4" w:customStyle="1">
    <w:name w:val="标题 71"/>
    <w:basedOn w:val="706"/>
    <w:next w:val="706"/>
    <w:link w:val="930"/>
    <w:uiPriority w:val="0"/>
    <w:qFormat/>
    <w:pPr>
      <w:numPr>
        <w:ilvl w:val="6"/>
        <w:numId w:val="1"/>
      </w:numPr>
      <w:keepLines/>
      <w:keepNext/>
      <w:spacing w:before="240" w:after="64" w:line="320" w:lineRule="auto"/>
      <w:outlineLvl w:val="6"/>
    </w:pPr>
    <w:rPr>
      <w:b/>
      <w:bCs/>
      <w:sz w:val="24"/>
      <w:szCs w:val="24"/>
    </w:rPr>
  </w:style>
  <w:style w:type="paragraph" w:styleId="895" w:customStyle="1">
    <w:name w:val="标题 81"/>
    <w:basedOn w:val="706"/>
    <w:next w:val="706"/>
    <w:link w:val="95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6" w:customStyle="1">
    <w:name w:val="标题 91"/>
    <w:basedOn w:val="706"/>
    <w:next w:val="706"/>
    <w:link w:val="932"/>
    <w:uiPriority w:val="0"/>
    <w:qFormat/>
    <w:pPr>
      <w:numPr>
        <w:ilvl w:val="8"/>
        <w:numId w:val="1"/>
      </w:numPr>
      <w:keepLines/>
      <w:keepNext/>
      <w:spacing w:before="240" w:after="64" w:line="320" w:lineRule="auto"/>
      <w:outlineLvl w:val="8"/>
    </w:pPr>
    <w:rPr>
      <w:rFonts w:ascii="Arial" w:hAnsi="Arial" w:eastAsia="黑体"/>
    </w:rPr>
  </w:style>
  <w:style w:type="character" w:styleId="897" w:customStyle="1">
    <w:name w:val="默认段落字体1"/>
    <w:uiPriority w:val="1"/>
    <w:unhideWhenUsed/>
    <w:qFormat/>
  </w:style>
  <w:style w:type="table" w:styleId="898" w:customStyle="1">
    <w:name w:val="普通表格1"/>
    <w:uiPriority w:val="99"/>
    <w:unhideWhenUsed/>
    <w:qFormat/>
    <w:tblPr>
      <w:tblCellMar>
        <w:left w:w="0" w:type="dxa"/>
        <w:top w:w="0" w:type="dxa"/>
        <w:right w:w="0" w:type="dxa"/>
        <w:bottom w:w="0" w:type="dxa"/>
      </w:tblCellMar>
    </w:tblPr>
  </w:style>
  <w:style w:type="character" w:styleId="899" w:customStyle="1">
    <w:name w:val="标题 3 Char"/>
    <w:link w:val="890"/>
    <w:uiPriority w:val="0"/>
    <w:qFormat/>
    <w:rPr>
      <w:rFonts w:ascii="Times New Roman" w:hAnsi="Times New Roman" w:eastAsia="宋体" w:cs="Times New Roman"/>
      <w:b/>
      <w:bCs/>
      <w:sz w:val="32"/>
      <w:szCs w:val="32"/>
    </w:rPr>
  </w:style>
  <w:style w:type="character" w:styleId="900" w:customStyle="1">
    <w:name w:val="标题 2 Char"/>
    <w:link w:val="888"/>
    <w:uiPriority w:val="0"/>
    <w:qFormat/>
    <w:rPr>
      <w:rFonts w:ascii="Arial" w:hAnsi="Arial" w:eastAsia="幼圆" w:cs="Arial"/>
      <w:b/>
      <w:bCs/>
      <w:sz w:val="44"/>
      <w:szCs w:val="44"/>
    </w:rPr>
  </w:style>
  <w:style w:type="character" w:styleId="901" w:customStyle="1">
    <w:name w:val="批注引用1"/>
    <w:uiPriority w:val="0"/>
    <w:semiHidden/>
    <w:qFormat/>
    <w:rPr>
      <w:sz w:val="21"/>
      <w:szCs w:val="21"/>
    </w:rPr>
  </w:style>
  <w:style w:type="character" w:styleId="902" w:customStyle="1">
    <w:name w:val="纯文本 Char"/>
    <w:link w:val="903"/>
    <w:uiPriority w:val="0"/>
    <w:qFormat/>
    <w:rPr>
      <w:rFonts w:ascii="宋体" w:hAnsi="Courier New" w:eastAsia="宋体" w:cs="Courier New"/>
      <w:szCs w:val="21"/>
    </w:rPr>
  </w:style>
  <w:style w:type="paragraph" w:styleId="903" w:customStyle="1">
    <w:name w:val="纯文本1"/>
    <w:basedOn w:val="706"/>
    <w:link w:val="902"/>
    <w:uiPriority w:val="0"/>
    <w:qFormat/>
    <w:rPr>
      <w:rFonts w:ascii="宋体" w:hAnsi="Courier New" w:cs="Courier New"/>
    </w:rPr>
  </w:style>
  <w:style w:type="character" w:styleId="904" w:customStyle="1">
    <w:name w:val="文档结构图 Char"/>
    <w:link w:val="905"/>
    <w:uiPriority w:val="0"/>
    <w:semiHidden/>
    <w:qFormat/>
    <w:rPr>
      <w:rFonts w:ascii="Times New Roman" w:hAnsi="Times New Roman" w:eastAsia="宋体" w:cs="Times New Roman"/>
      <w:szCs w:val="21"/>
      <w:shd w:val="clear" w:color="auto" w:fill="000080"/>
    </w:rPr>
  </w:style>
  <w:style w:type="paragraph" w:styleId="905" w:customStyle="1">
    <w:name w:val="文档结构图1"/>
    <w:basedOn w:val="706"/>
    <w:link w:val="904"/>
    <w:uiPriority w:val="0"/>
    <w:semiHidden/>
    <w:qFormat/>
    <w:pPr>
      <w:shd w:val="clear" w:color="auto" w:fill="000080"/>
    </w:pPr>
  </w:style>
  <w:style w:type="character" w:styleId="906" w:customStyle="1">
    <w:name w:val="要点1"/>
    <w:uiPriority w:val="0"/>
    <w:qFormat/>
    <w:rPr>
      <w:b/>
      <w:bCs/>
    </w:rPr>
  </w:style>
  <w:style w:type="character" w:styleId="907" w:customStyle="1">
    <w:name w:val="页脚 Char"/>
    <w:link w:val="908"/>
    <w:uiPriority w:val="0"/>
    <w:qFormat/>
    <w:rPr>
      <w:rFonts w:ascii="Times New Roman" w:hAnsi="Times New Roman" w:eastAsia="宋体" w:cs="Times New Roman"/>
      <w:sz w:val="18"/>
      <w:szCs w:val="18"/>
    </w:rPr>
  </w:style>
  <w:style w:type="paragraph" w:styleId="908" w:customStyle="1">
    <w:name w:val="页脚1"/>
    <w:basedOn w:val="706"/>
    <w:link w:val="907"/>
    <w:uiPriority w:val="0"/>
    <w:qFormat/>
    <w:pPr>
      <w:jc w:val="left"/>
      <w:tabs>
        <w:tab w:val="center" w:pos="4153" w:leader="none"/>
        <w:tab w:val="right" w:pos="8306" w:leader="none"/>
      </w:tabs>
    </w:pPr>
    <w:rPr>
      <w:sz w:val="18"/>
      <w:szCs w:val="18"/>
    </w:rPr>
  </w:style>
  <w:style w:type="character" w:styleId="909" w:customStyle="1">
    <w:name w:val="列出段落 Char"/>
    <w:link w:val="910"/>
    <w:uiPriority w:val="0"/>
    <w:qFormat/>
    <w:rPr>
      <w:rFonts w:ascii="Calibri" w:hAnsi="Calibri"/>
      <w:sz w:val="24"/>
      <w:szCs w:val="24"/>
      <w:lang w:eastAsia="en-US" w:bidi="en-US"/>
    </w:rPr>
  </w:style>
  <w:style w:type="paragraph" w:styleId="910" w:customStyle="1">
    <w:name w:val="列出段落1"/>
    <w:basedOn w:val="706"/>
    <w:link w:val="909"/>
    <w:uiPriority w:val="0"/>
    <w:qFormat/>
    <w:pPr>
      <w:contextualSpacing/>
      <w:ind w:left="720"/>
      <w:jc w:val="left"/>
      <w:widowControl/>
    </w:pPr>
    <w:rPr>
      <w:rFonts w:ascii="Calibri" w:hAnsi="Calibri"/>
      <w:sz w:val="24"/>
      <w:szCs w:val="24"/>
      <w:lang w:eastAsia="en-US" w:bidi="en-US"/>
    </w:rPr>
  </w:style>
  <w:style w:type="character" w:styleId="911" w:customStyle="1">
    <w:name w:val="标题 6 Char"/>
    <w:link w:val="893"/>
    <w:uiPriority w:val="0"/>
    <w:qFormat/>
    <w:rPr>
      <w:rFonts w:ascii="Arial" w:hAnsi="Arial" w:eastAsia="黑体" w:cs="Times New Roman"/>
      <w:b/>
      <w:bCs/>
      <w:sz w:val="24"/>
      <w:szCs w:val="24"/>
    </w:rPr>
  </w:style>
  <w:style w:type="character" w:styleId="912" w:customStyle="1">
    <w:name w:val="批注主题 Char"/>
    <w:link w:val="913"/>
    <w:uiPriority w:val="0"/>
    <w:semiHidden/>
    <w:qFormat/>
    <w:rPr>
      <w:rFonts w:ascii="Times New Roman" w:hAnsi="Times New Roman" w:eastAsia="宋体" w:cs="Times New Roman"/>
      <w:b/>
      <w:bCs/>
      <w:szCs w:val="21"/>
    </w:rPr>
  </w:style>
  <w:style w:type="paragraph" w:styleId="913" w:customStyle="1">
    <w:name w:val="批注主题1"/>
    <w:basedOn w:val="914"/>
    <w:next w:val="914"/>
    <w:link w:val="912"/>
    <w:uiPriority w:val="0"/>
    <w:semiHidden/>
    <w:qFormat/>
    <w:rPr>
      <w:b/>
      <w:bCs/>
    </w:rPr>
  </w:style>
  <w:style w:type="paragraph" w:styleId="914" w:customStyle="1">
    <w:name w:val="批注文字1"/>
    <w:basedOn w:val="706"/>
    <w:link w:val="933"/>
    <w:uiPriority w:val="0"/>
    <w:semiHidden/>
    <w:qFormat/>
    <w:pPr>
      <w:jc w:val="left"/>
    </w:pPr>
  </w:style>
  <w:style w:type="character" w:styleId="915" w:customStyle="1">
    <w:name w:val="正文文本 2 Char"/>
    <w:link w:val="916"/>
    <w:uiPriority w:val="0"/>
    <w:qFormat/>
    <w:rPr>
      <w:rFonts w:ascii="楷体_GB2312" w:hAnsi="Times New Roman" w:eastAsia="楷体_GB2312" w:cs="Times New Roman"/>
      <w:sz w:val="28"/>
      <w:szCs w:val="28"/>
    </w:rPr>
  </w:style>
  <w:style w:type="paragraph" w:styleId="916" w:customStyle="1">
    <w:name w:val="正文文本 21"/>
    <w:basedOn w:val="706"/>
    <w:link w:val="915"/>
    <w:uiPriority w:val="0"/>
    <w:qFormat/>
    <w:pPr>
      <w:jc w:val="center"/>
      <w:widowControl/>
    </w:pPr>
    <w:rPr>
      <w:rFonts w:ascii="楷体_GB2312" w:eastAsia="楷体_GB2312"/>
      <w:sz w:val="28"/>
      <w:szCs w:val="28"/>
    </w:rPr>
  </w:style>
  <w:style w:type="character" w:styleId="917" w:customStyle="1">
    <w:name w:val="正文首行缩进 Char"/>
    <w:link w:val="918"/>
    <w:uiPriority w:val="0"/>
    <w:qFormat/>
    <w:rPr>
      <w:rFonts w:ascii="仿宋_GB2312" w:hAnsi="Times New Roman" w:eastAsia="仿宋_GB2312" w:cs="Times New Roman"/>
      <w:sz w:val="30"/>
      <w:szCs w:val="30"/>
    </w:rPr>
  </w:style>
  <w:style w:type="paragraph" w:styleId="918" w:customStyle="1">
    <w:name w:val="正文首行缩进1"/>
    <w:basedOn w:val="706"/>
    <w:link w:val="917"/>
    <w:uiPriority w:val="0"/>
    <w:qFormat/>
    <w:pPr>
      <w:ind w:firstLine="200"/>
      <w:spacing w:line="360" w:lineRule="auto"/>
    </w:pPr>
    <w:rPr>
      <w:rFonts w:ascii="仿宋_GB2312" w:eastAsia="仿宋_GB2312"/>
      <w:sz w:val="30"/>
      <w:szCs w:val="30"/>
    </w:rPr>
  </w:style>
  <w:style w:type="character" w:styleId="919" w:customStyle="1">
    <w:name w:val="正文首行缩进 2 Char"/>
    <w:link w:val="920"/>
    <w:uiPriority w:val="0"/>
    <w:qFormat/>
    <w:rPr>
      <w:rFonts w:ascii="宋体" w:hAnsi="宋体" w:eastAsia="宋体" w:cs="Times New Roman"/>
      <w:sz w:val="32"/>
      <w:szCs w:val="20"/>
    </w:rPr>
  </w:style>
  <w:style w:type="paragraph" w:styleId="920" w:customStyle="1">
    <w:name w:val="正文首行缩进 21"/>
    <w:basedOn w:val="921"/>
    <w:link w:val="919"/>
    <w:uiPriority w:val="0"/>
    <w:qFormat/>
    <w:pPr>
      <w:ind w:firstLine="420"/>
      <w:spacing w:line="360" w:lineRule="auto"/>
    </w:pPr>
    <w:rPr>
      <w:rFonts w:ascii="宋体" w:hAnsi="宋体" w:eastAsia="宋体"/>
      <w:sz w:val="21"/>
      <w:szCs w:val="20"/>
    </w:rPr>
  </w:style>
  <w:style w:type="paragraph" w:styleId="921" w:customStyle="1">
    <w:name w:val="正文文本缩进1"/>
    <w:basedOn w:val="706"/>
    <w:link w:val="931"/>
    <w:uiPriority w:val="0"/>
    <w:qFormat/>
    <w:pPr>
      <w:ind w:firstLine="645"/>
    </w:pPr>
    <w:rPr>
      <w:rFonts w:ascii="楷体_GB2312" w:eastAsia="楷体_GB2312"/>
      <w:sz w:val="32"/>
      <w:szCs w:val="32"/>
    </w:rPr>
  </w:style>
  <w:style w:type="character" w:styleId="922" w:customStyle="1">
    <w:name w:val="标题 1 Char"/>
    <w:link w:val="887"/>
    <w:uiPriority w:val="0"/>
    <w:qFormat/>
    <w:rPr>
      <w:rFonts w:ascii="楷体_GB2312" w:hAnsi="楷体_GB2312" w:eastAsia="黑体" w:cs="Times New Roman"/>
      <w:sz w:val="44"/>
      <w:szCs w:val="28"/>
    </w:rPr>
  </w:style>
  <w:style w:type="character" w:styleId="923" w:customStyle="1">
    <w:name w:val="已访问的超链接1"/>
    <w:uiPriority w:val="0"/>
    <w:qFormat/>
    <w:rPr>
      <w:color w:val="800080"/>
      <w:u w:val="single"/>
    </w:rPr>
  </w:style>
  <w:style w:type="character" w:styleId="924" w:customStyle="1">
    <w:name w:val="正文文本 3 Char"/>
    <w:link w:val="925"/>
    <w:uiPriority w:val="0"/>
    <w:qFormat/>
    <w:rPr>
      <w:rFonts w:ascii="仿宋_GB2312" w:hAnsi="Arial" w:eastAsia="仿宋_GB2312" w:cs="Times New Roman"/>
      <w:sz w:val="32"/>
      <w:szCs w:val="32"/>
    </w:rPr>
  </w:style>
  <w:style w:type="paragraph" w:styleId="925" w:customStyle="1">
    <w:name w:val="正文文本 31"/>
    <w:basedOn w:val="706"/>
    <w:link w:val="924"/>
    <w:uiPriority w:val="0"/>
    <w:qFormat/>
    <w:rPr>
      <w:rFonts w:ascii="仿宋_GB2312" w:hAnsi="Arial" w:eastAsia="仿宋_GB2312"/>
      <w:sz w:val="32"/>
      <w:szCs w:val="32"/>
    </w:rPr>
  </w:style>
  <w:style w:type="character" w:styleId="926" w:customStyle="1">
    <w:name w:val="二级目录 Char"/>
    <w:link w:val="927"/>
    <w:uiPriority w:val="0"/>
    <w:qFormat/>
    <w:rPr>
      <w:b/>
      <w:sz w:val="30"/>
      <w:szCs w:val="28"/>
    </w:rPr>
  </w:style>
  <w:style w:type="paragraph" w:styleId="927" w:customStyle="1">
    <w:name w:val="二级目录"/>
    <w:next w:val="706"/>
    <w:link w:val="926"/>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28" w:customStyle="1">
    <w:name w:val="正文缩进 Char"/>
    <w:link w:val="889"/>
    <w:uiPriority w:val="0"/>
    <w:qFormat/>
    <w:rPr>
      <w:rFonts w:ascii="Times New Roman" w:hAnsi="Times New Roman" w:eastAsia="宋体" w:cs="Times New Roman"/>
      <w:szCs w:val="21"/>
    </w:rPr>
  </w:style>
  <w:style w:type="character" w:styleId="929" w:customStyle="1">
    <w:name w:val="页码1"/>
    <w:uiPriority w:val="0"/>
    <w:qFormat/>
  </w:style>
  <w:style w:type="character" w:styleId="930" w:customStyle="1">
    <w:name w:val="标题 7 Char"/>
    <w:link w:val="894"/>
    <w:uiPriority w:val="0"/>
    <w:qFormat/>
    <w:rPr>
      <w:rFonts w:ascii="Times New Roman" w:hAnsi="Times New Roman" w:eastAsia="宋体" w:cs="Times New Roman"/>
      <w:b/>
      <w:bCs/>
      <w:sz w:val="24"/>
      <w:szCs w:val="24"/>
    </w:rPr>
  </w:style>
  <w:style w:type="character" w:styleId="931" w:customStyle="1">
    <w:name w:val="正文文本缩进 Char"/>
    <w:link w:val="921"/>
    <w:uiPriority w:val="0"/>
    <w:qFormat/>
    <w:rPr>
      <w:rFonts w:ascii="楷体_GB2312" w:hAnsi="Times New Roman" w:eastAsia="楷体_GB2312" w:cs="Times New Roman"/>
      <w:sz w:val="32"/>
      <w:szCs w:val="32"/>
    </w:rPr>
  </w:style>
  <w:style w:type="character" w:styleId="932" w:customStyle="1">
    <w:name w:val="标题 9 Char"/>
    <w:link w:val="896"/>
    <w:uiPriority w:val="0"/>
    <w:rPr>
      <w:rFonts w:ascii="Arial" w:hAnsi="Arial" w:eastAsia="黑体" w:cs="Times New Roman"/>
      <w:szCs w:val="21"/>
    </w:rPr>
  </w:style>
  <w:style w:type="character" w:styleId="933" w:customStyle="1">
    <w:name w:val="批注文字 Char"/>
    <w:link w:val="914"/>
    <w:uiPriority w:val="0"/>
    <w:semiHidden/>
    <w:qFormat/>
    <w:rPr>
      <w:rFonts w:ascii="Times New Roman" w:hAnsi="Times New Roman" w:eastAsia="宋体" w:cs="Times New Roman"/>
      <w:szCs w:val="21"/>
    </w:rPr>
  </w:style>
  <w:style w:type="character" w:styleId="934" w:customStyle="1">
    <w:name w:val="标题 5 Char"/>
    <w:link w:val="892"/>
    <w:uiPriority w:val="0"/>
    <w:qFormat/>
    <w:rPr>
      <w:rFonts w:ascii="宋体" w:hAnsi="Times New Roman" w:eastAsia="宋体" w:cs="Times New Roman"/>
      <w:color w:val="000000"/>
      <w:sz w:val="28"/>
      <w:szCs w:val="28"/>
    </w:rPr>
  </w:style>
  <w:style w:type="character" w:styleId="935" w:customStyle="1">
    <w:name w:val="正文文本缩进 2 Char"/>
    <w:link w:val="936"/>
    <w:uiPriority w:val="0"/>
    <w:qFormat/>
    <w:rPr>
      <w:rFonts w:ascii="Arial" w:hAnsi="Arial" w:eastAsia="仿宋_GB2312" w:cs="Arial"/>
      <w:sz w:val="32"/>
      <w:szCs w:val="32"/>
    </w:rPr>
  </w:style>
  <w:style w:type="paragraph" w:styleId="936" w:customStyle="1">
    <w:name w:val="正文文本缩进 21"/>
    <w:basedOn w:val="706"/>
    <w:link w:val="935"/>
    <w:uiPriority w:val="0"/>
    <w:qFormat/>
    <w:pPr>
      <w:ind w:left="630" w:firstLine="645"/>
    </w:pPr>
    <w:rPr>
      <w:rFonts w:ascii="Arial" w:hAnsi="Arial" w:eastAsia="仿宋_GB2312" w:cs="Arial"/>
      <w:sz w:val="32"/>
      <w:szCs w:val="32"/>
    </w:rPr>
  </w:style>
  <w:style w:type="character" w:styleId="937" w:customStyle="1">
    <w:name w:val="日期 Char"/>
    <w:link w:val="938"/>
    <w:uiPriority w:val="0"/>
    <w:qFormat/>
    <w:rPr>
      <w:rFonts w:ascii="Times New Roman" w:hAnsi="Times New Roman" w:eastAsia="宋体" w:cs="Times New Roman"/>
      <w:sz w:val="24"/>
      <w:szCs w:val="24"/>
    </w:rPr>
  </w:style>
  <w:style w:type="paragraph" w:styleId="938" w:customStyle="1">
    <w:name w:val="日期1"/>
    <w:basedOn w:val="706"/>
    <w:next w:val="706"/>
    <w:link w:val="937"/>
    <w:uiPriority w:val="0"/>
    <w:qFormat/>
    <w:rPr>
      <w:sz w:val="24"/>
      <w:szCs w:val="24"/>
    </w:rPr>
  </w:style>
  <w:style w:type="character" w:styleId="939" w:customStyle="1">
    <w:name w:val="超链接1"/>
    <w:uiPriority w:val="0"/>
    <w:qFormat/>
    <w:rPr>
      <w:color w:val="0000ff"/>
      <w:u w:val="single"/>
    </w:rPr>
  </w:style>
  <w:style w:type="character" w:styleId="940" w:customStyle="1">
    <w:name w:val="批注框文本 Char"/>
    <w:link w:val="941"/>
    <w:uiPriority w:val="0"/>
    <w:semiHidden/>
    <w:rPr>
      <w:rFonts w:ascii="Times New Roman" w:hAnsi="Times New Roman" w:eastAsia="宋体" w:cs="Times New Roman"/>
      <w:sz w:val="18"/>
      <w:szCs w:val="18"/>
    </w:rPr>
  </w:style>
  <w:style w:type="paragraph" w:styleId="941" w:customStyle="1">
    <w:name w:val="批注框文本1"/>
    <w:basedOn w:val="706"/>
    <w:link w:val="940"/>
    <w:uiPriority w:val="0"/>
    <w:semiHidden/>
    <w:rPr>
      <w:sz w:val="18"/>
      <w:szCs w:val="18"/>
    </w:rPr>
  </w:style>
  <w:style w:type="character" w:styleId="942" w:customStyle="1">
    <w:name w:val="标题 4 Char"/>
    <w:link w:val="891"/>
    <w:uiPriority w:val="0"/>
    <w:qFormat/>
    <w:rPr>
      <w:rFonts w:ascii="Arial" w:hAnsi="Arial" w:eastAsia="黑体" w:cs="Arial"/>
      <w:b/>
      <w:bCs/>
      <w:sz w:val="28"/>
      <w:szCs w:val="28"/>
    </w:rPr>
  </w:style>
  <w:style w:type="character" w:styleId="943" w:customStyle="1">
    <w:name w:val="font5 Char"/>
    <w:uiPriority w:val="0"/>
    <w:qFormat/>
    <w:rPr>
      <w:rFonts w:ascii="宋体" w:hAnsi="宋体" w:eastAsia="宋体"/>
      <w:sz w:val="28"/>
      <w:szCs w:val="28"/>
      <w:lang w:val="en-US" w:eastAsia="zh-CN" w:bidi="ar-SA"/>
    </w:rPr>
  </w:style>
  <w:style w:type="character" w:styleId="944" w:customStyle="1">
    <w:name w:val="页眉 Char"/>
    <w:link w:val="945"/>
    <w:uiPriority w:val="0"/>
    <w:qFormat/>
    <w:rPr>
      <w:rFonts w:ascii="Times New Roman" w:hAnsi="Times New Roman" w:eastAsia="宋体" w:cs="Times New Roman"/>
      <w:sz w:val="18"/>
      <w:szCs w:val="18"/>
    </w:rPr>
  </w:style>
  <w:style w:type="paragraph" w:styleId="945" w:customStyle="1">
    <w:name w:val="页眉1"/>
    <w:basedOn w:val="706"/>
    <w:link w:val="944"/>
    <w:uiPriority w:val="0"/>
    <w:qFormat/>
    <w:pPr>
      <w:jc w:val="center"/>
      <w:tabs>
        <w:tab w:val="center" w:pos="4153" w:leader="none"/>
        <w:tab w:val="right" w:pos="8306" w:leader="none"/>
      </w:tabs>
      <w:pBdr>
        <w:bottom w:val="single" w:color="000000" w:sz="6" w:space="1"/>
      </w:pBdr>
    </w:pPr>
    <w:rPr>
      <w:sz w:val="18"/>
      <w:szCs w:val="18"/>
    </w:rPr>
  </w:style>
  <w:style w:type="character" w:styleId="946" w:customStyle="1">
    <w:name w:val="正文文本 Char"/>
    <w:link w:val="947"/>
    <w:uiPriority w:val="0"/>
    <w:qFormat/>
    <w:rPr>
      <w:rFonts w:ascii="楷体_GB2312" w:hAnsi="Arial" w:eastAsia="楷体_GB2312" w:cs="Times New Roman"/>
      <w:sz w:val="28"/>
      <w:szCs w:val="28"/>
    </w:rPr>
  </w:style>
  <w:style w:type="paragraph" w:styleId="947" w:customStyle="1">
    <w:name w:val="正文文本1"/>
    <w:basedOn w:val="706"/>
    <w:link w:val="946"/>
    <w:uiPriority w:val="0"/>
    <w:qFormat/>
    <w:rPr>
      <w:rFonts w:ascii="楷体_GB2312" w:hAnsi="Arial" w:eastAsia="楷体_GB2312"/>
      <w:sz w:val="28"/>
      <w:szCs w:val="28"/>
    </w:rPr>
  </w:style>
  <w:style w:type="character" w:styleId="948" w:customStyle="1">
    <w:name w:val="正文文本缩进 3 Char"/>
    <w:link w:val="949"/>
    <w:uiPriority w:val="0"/>
    <w:qFormat/>
    <w:rPr>
      <w:rFonts w:ascii="Arial" w:hAnsi="Arial" w:eastAsia="仿宋_GB2312" w:cs="Arial"/>
      <w:color w:val="ffff00"/>
      <w:sz w:val="32"/>
      <w:szCs w:val="32"/>
    </w:rPr>
  </w:style>
  <w:style w:type="paragraph" w:styleId="949" w:customStyle="1">
    <w:name w:val="正文文本缩进 31"/>
    <w:basedOn w:val="706"/>
    <w:link w:val="948"/>
    <w:uiPriority w:val="0"/>
    <w:pPr>
      <w:ind w:left="645" w:firstLine="645"/>
    </w:pPr>
    <w:rPr>
      <w:rFonts w:ascii="Arial" w:hAnsi="Arial" w:eastAsia="仿宋_GB2312" w:cs="Arial"/>
      <w:color w:val="ffff00"/>
      <w:sz w:val="32"/>
      <w:szCs w:val="32"/>
    </w:rPr>
  </w:style>
  <w:style w:type="character" w:styleId="950" w:customStyle="1">
    <w:name w:val="标题 8 Char"/>
    <w:link w:val="895"/>
    <w:uiPriority w:val="0"/>
    <w:qFormat/>
    <w:rPr>
      <w:rFonts w:ascii="Arial" w:hAnsi="Arial" w:eastAsia="黑体" w:cs="Times New Roman"/>
      <w:sz w:val="24"/>
      <w:szCs w:val="24"/>
    </w:rPr>
  </w:style>
  <w:style w:type="paragraph" w:styleId="951" w:customStyle="1">
    <w:name w:val="xl25"/>
    <w:basedOn w:val="7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2" w:customStyle="1">
    <w:name w:val="xl27"/>
    <w:basedOn w:val="706"/>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3" w:customStyle="1">
    <w:name w:val="标题1"/>
    <w:basedOn w:val="706"/>
    <w:next w:val="706"/>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54" w:customStyle="1">
    <w:name w:val="目录 31"/>
    <w:basedOn w:val="706"/>
    <w:next w:val="706"/>
    <w:uiPriority w:val="0"/>
    <w:semiHidden/>
    <w:pPr>
      <w:ind w:left="420"/>
      <w:jc w:val="left"/>
    </w:pPr>
    <w:rPr>
      <w:i/>
      <w:iCs/>
      <w:szCs w:val="24"/>
    </w:rPr>
  </w:style>
  <w:style w:type="paragraph" w:styleId="955" w:customStyle="1">
    <w:name w:val="font6"/>
    <w:basedOn w:val="706"/>
    <w:uiPriority w:val="0"/>
    <w:pPr>
      <w:jc w:val="left"/>
      <w:spacing w:before="100" w:beforeAutospacing="1" w:after="100" w:afterAutospacing="1"/>
      <w:widowControl/>
    </w:pPr>
    <w:rPr>
      <w:rFonts w:hint="eastAsia" w:ascii="宋体" w:hAnsi="宋体"/>
      <w:sz w:val="28"/>
      <w:szCs w:val="28"/>
      <w:u w:val="single"/>
    </w:rPr>
  </w:style>
  <w:style w:type="paragraph" w:styleId="956" w:customStyle="1">
    <w:name w:val="xl30"/>
    <w:basedOn w:val="706"/>
    <w:uiPriority w:val="0"/>
    <w:pPr>
      <w:jc w:val="center"/>
      <w:spacing w:before="100" w:beforeAutospacing="1" w:after="100" w:afterAutospacing="1"/>
      <w:widowControl/>
    </w:pPr>
    <w:rPr>
      <w:rFonts w:ascii="宋体" w:hAnsi="宋体"/>
      <w:b/>
      <w:bCs/>
      <w:sz w:val="36"/>
      <w:szCs w:val="36"/>
    </w:rPr>
  </w:style>
  <w:style w:type="paragraph" w:styleId="957" w:customStyle="1">
    <w:name w:val="font5"/>
    <w:basedOn w:val="706"/>
    <w:uiPriority w:val="0"/>
    <w:qFormat/>
    <w:pPr>
      <w:jc w:val="left"/>
      <w:spacing w:before="100" w:beforeAutospacing="1" w:after="100" w:afterAutospacing="1"/>
      <w:widowControl/>
    </w:pPr>
    <w:rPr>
      <w:rFonts w:hint="eastAsia" w:ascii="宋体" w:hAnsi="宋体"/>
      <w:sz w:val="28"/>
      <w:szCs w:val="28"/>
    </w:rPr>
  </w:style>
  <w:style w:type="paragraph" w:styleId="958" w:customStyle="1">
    <w:name w:val="图标"/>
    <w:basedOn w:val="706"/>
    <w:next w:val="7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9" w:customStyle="1">
    <w:name w:val="列表 31"/>
    <w:basedOn w:val="706"/>
    <w:uiPriority w:val="0"/>
    <w:qFormat/>
    <w:pPr>
      <w:ind w:left="100" w:hanging="200"/>
    </w:pPr>
  </w:style>
  <w:style w:type="paragraph" w:styleId="960" w:customStyle="1">
    <w:name w:val="列表1"/>
    <w:basedOn w:val="706"/>
    <w:uiPriority w:val="0"/>
    <w:qFormat/>
    <w:pPr>
      <w:ind w:left="200" w:hanging="200"/>
    </w:pPr>
  </w:style>
  <w:style w:type="paragraph" w:styleId="961" w:customStyle="1">
    <w:name w:val="Char Char Char Char"/>
    <w:basedOn w:val="905"/>
    <w:uiPriority w:val="0"/>
    <w:qFormat/>
    <w:pPr>
      <w:spacing w:line="360" w:lineRule="auto"/>
    </w:pPr>
    <w:rPr>
      <w:rFonts w:ascii="Tahoma" w:hAnsi="Tahoma"/>
      <w:sz w:val="24"/>
      <w:szCs w:val="24"/>
    </w:rPr>
  </w:style>
  <w:style w:type="paragraph" w:styleId="962" w:customStyle="1">
    <w:name w:val="目录 81"/>
    <w:basedOn w:val="706"/>
    <w:next w:val="706"/>
    <w:uiPriority w:val="0"/>
    <w:semiHidden/>
    <w:qFormat/>
    <w:pPr>
      <w:ind w:left="1470"/>
      <w:jc w:val="left"/>
    </w:pPr>
  </w:style>
  <w:style w:type="paragraph" w:styleId="963" w:customStyle="1">
    <w:name w:val="修订1"/>
    <w:uiPriority w:val="99"/>
    <w:semiHidden/>
    <w:qFormat/>
    <w:rPr>
      <w:rFonts w:ascii="Times New Roman" w:hAnsi="Times New Roman" w:eastAsia="宋体" w:cs="Times New Roman"/>
      <w:sz w:val="21"/>
      <w:szCs w:val="21"/>
      <w:lang w:val="en-US" w:eastAsia="zh-CN" w:bidi="ar-SA"/>
    </w:rPr>
  </w:style>
  <w:style w:type="paragraph" w:styleId="964" w:customStyle="1">
    <w:name w:val="列表 21"/>
    <w:basedOn w:val="706"/>
    <w:uiPriority w:val="0"/>
    <w:qFormat/>
    <w:pPr>
      <w:ind w:left="100" w:hanging="200"/>
    </w:pPr>
  </w:style>
  <w:style w:type="paragraph" w:styleId="965" w:customStyle="1">
    <w:name w:val="xl24"/>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customStyle="1">
    <w:name w:val="目录 51"/>
    <w:basedOn w:val="706"/>
    <w:next w:val="706"/>
    <w:uiPriority w:val="0"/>
    <w:semiHidden/>
    <w:qFormat/>
    <w:pPr>
      <w:ind w:left="840"/>
      <w:jc w:val="left"/>
    </w:pPr>
  </w:style>
  <w:style w:type="paragraph" w:styleId="967" w:customStyle="1">
    <w:name w:val="普通(网站)1"/>
    <w:basedOn w:val="706"/>
    <w:uiPriority w:val="99"/>
    <w:qFormat/>
    <w:pPr>
      <w:jc w:val="left"/>
      <w:spacing w:before="100" w:beforeAutospacing="1" w:after="100" w:afterAutospacing="1"/>
      <w:widowControl/>
    </w:pPr>
    <w:rPr>
      <w:rFonts w:ascii="宋体" w:hAnsi="宋体" w:cs="宋体"/>
      <w:sz w:val="24"/>
      <w:szCs w:val="24"/>
    </w:rPr>
  </w:style>
  <w:style w:type="paragraph" w:styleId="968" w:customStyle="1">
    <w:name w:val="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69" w:customStyle="1">
    <w:name w:val="font7"/>
    <w:basedOn w:val="706"/>
    <w:uiPriority w:val="0"/>
    <w:qFormat/>
    <w:pPr>
      <w:jc w:val="left"/>
      <w:spacing w:before="100" w:beforeAutospacing="1" w:after="100" w:afterAutospacing="1"/>
      <w:widowControl/>
    </w:pPr>
    <w:rPr>
      <w:rFonts w:hint="eastAsia" w:ascii="宋体" w:hAnsi="宋体"/>
      <w:sz w:val="18"/>
      <w:szCs w:val="18"/>
    </w:rPr>
  </w:style>
  <w:style w:type="paragraph" w:styleId="970" w:customStyle="1">
    <w:name w:val="索引 11"/>
    <w:basedOn w:val="706"/>
    <w:next w:val="706"/>
    <w:uiPriority w:val="0"/>
    <w:semiHidden/>
    <w:qFormat/>
    <w:pPr>
      <w:spacing w:line="240" w:lineRule="atLeast"/>
    </w:pPr>
    <w:rPr>
      <w:b/>
      <w:bCs/>
    </w:rPr>
  </w:style>
  <w:style w:type="paragraph" w:styleId="971" w:customStyle="1">
    <w:name w:val="目录 61"/>
    <w:basedOn w:val="706"/>
    <w:next w:val="706"/>
    <w:uiPriority w:val="0"/>
    <w:semiHidden/>
    <w:qFormat/>
    <w:pPr>
      <w:ind w:left="1050"/>
      <w:jc w:val="left"/>
    </w:pPr>
  </w:style>
  <w:style w:type="paragraph" w:styleId="972" w:customStyle="1">
    <w:name w:val="Char Char Char Char Char Char Char Char1"/>
    <w:basedOn w:val="706"/>
    <w:uiPriority w:val="0"/>
    <w:qFormat/>
    <w:pPr>
      <w:jc w:val="left"/>
      <w:spacing w:after="160" w:line="240" w:lineRule="exact"/>
      <w:widowControl/>
    </w:pPr>
    <w:rPr>
      <w:rFonts w:ascii="Verdana" w:hAnsi="Verdana"/>
      <w:sz w:val="20"/>
      <w:szCs w:val="20"/>
      <w:lang w:eastAsia="en-US"/>
    </w:rPr>
  </w:style>
  <w:style w:type="paragraph" w:styleId="973" w:customStyle="1">
    <w:name w:val="table_lines"/>
    <w:basedOn w:val="706"/>
    <w:uiPriority w:val="0"/>
    <w:qFormat/>
    <w:pPr>
      <w:jc w:val="left"/>
      <w:widowControl/>
    </w:pPr>
    <w:rPr>
      <w:sz w:val="20"/>
      <w:szCs w:val="20"/>
      <w:lang w:val="de-DE" w:eastAsia="de-DE"/>
    </w:rPr>
  </w:style>
  <w:style w:type="paragraph" w:styleId="974" w:customStyle="1">
    <w:name w:val="Char"/>
    <w:basedOn w:val="905"/>
    <w:uiPriority w:val="0"/>
    <w:qFormat/>
    <w:rPr>
      <w:rFonts w:ascii="Tahoma" w:hAnsi="Tahoma"/>
      <w:sz w:val="24"/>
      <w:szCs w:val="24"/>
    </w:rPr>
  </w:style>
  <w:style w:type="paragraph" w:styleId="975" w:customStyle="1">
    <w:name w:val="附录1"/>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7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77" w:customStyle="1">
    <w:name w:val="图表目录1"/>
    <w:basedOn w:val="706"/>
    <w:next w:val="706"/>
    <w:uiPriority w:val="0"/>
    <w:semiHidden/>
    <w:qFormat/>
    <w:pPr>
      <w:ind w:left="840" w:hanging="420"/>
    </w:pPr>
  </w:style>
  <w:style w:type="paragraph" w:styleId="978" w:customStyle="1">
    <w:name w:val="Body Text(ch)"/>
    <w:basedOn w:val="706"/>
    <w:next w:val="947"/>
    <w:uiPriority w:val="0"/>
    <w:qFormat/>
    <w:pPr>
      <w:spacing w:after="120"/>
    </w:pPr>
    <w:rPr>
      <w:rFonts w:ascii="宋体" w:hAnsi="Arial"/>
      <w:bCs/>
      <w:iCs/>
      <w:szCs w:val="24"/>
    </w:rPr>
  </w:style>
  <w:style w:type="paragraph" w:styleId="979" w:customStyle="1">
    <w:name w:val="目录 91"/>
    <w:basedOn w:val="706"/>
    <w:next w:val="706"/>
    <w:uiPriority w:val="0"/>
    <w:semiHidden/>
    <w:qFormat/>
    <w:pPr>
      <w:ind w:left="1680"/>
      <w:jc w:val="left"/>
    </w:pPr>
  </w:style>
  <w:style w:type="paragraph" w:styleId="980" w:customStyle="1">
    <w:name w:val="目录 11"/>
    <w:basedOn w:val="706"/>
    <w:next w:val="706"/>
    <w:uiPriority w:val="0"/>
    <w:semiHidden/>
    <w:qFormat/>
    <w:pPr>
      <w:jc w:val="left"/>
      <w:spacing w:before="120" w:after="120" w:line="400" w:lineRule="exact"/>
      <w:tabs>
        <w:tab w:val="right" w:pos="8720" w:leader="dot"/>
      </w:tabs>
    </w:pPr>
    <w:rPr>
      <w:rFonts w:ascii="宋体" w:hAnsi="宋体"/>
      <w:caps/>
      <w:sz w:val="24"/>
      <w:szCs w:val="24"/>
    </w:rPr>
  </w:style>
  <w:style w:type="paragraph" w:styleId="981" w:customStyle="1">
    <w:name w:val="xl2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2" w:customStyle="1">
    <w:name w:val="目录 21"/>
    <w:basedOn w:val="706"/>
    <w:next w:val="706"/>
    <w:uiPriority w:val="0"/>
    <w:semiHidden/>
    <w:pPr>
      <w:ind w:left="210"/>
      <w:jc w:val="left"/>
    </w:pPr>
    <w:rPr>
      <w:smallCaps/>
      <w:szCs w:val="24"/>
    </w:rPr>
  </w:style>
  <w:style w:type="paragraph" w:styleId="983" w:customStyle="1">
    <w:name w:val="普通 (Web)"/>
    <w:basedOn w:val="706"/>
    <w:uiPriority w:val="0"/>
    <w:qFormat/>
    <w:pPr>
      <w:jc w:val="left"/>
      <w:spacing w:before="100" w:beforeAutospacing="1" w:after="100" w:afterAutospacing="1"/>
      <w:widowControl/>
    </w:pPr>
    <w:rPr>
      <w:rFonts w:ascii="宋体" w:hAnsi="宋体"/>
      <w:sz w:val="24"/>
      <w:szCs w:val="24"/>
    </w:rPr>
  </w:style>
  <w:style w:type="paragraph" w:styleId="984" w:customStyle="1">
    <w:name w:val="列出段落"/>
    <w:basedOn w:val="706"/>
    <w:uiPriority w:val="0"/>
    <w:qFormat/>
    <w:pPr>
      <w:contextualSpacing/>
      <w:ind w:left="720"/>
      <w:jc w:val="left"/>
      <w:widowControl/>
    </w:pPr>
    <w:rPr>
      <w:rFonts w:ascii="Calibri" w:hAnsi="Calibri"/>
      <w:sz w:val="24"/>
      <w:szCs w:val="24"/>
      <w:lang w:eastAsia="en-US" w:bidi="en-US"/>
    </w:rPr>
  </w:style>
  <w:style w:type="paragraph" w:styleId="985" w:customStyle="1">
    <w:name w:val="普通正文"/>
    <w:basedOn w:val="706"/>
    <w:uiPriority w:val="0"/>
    <w:pPr>
      <w:ind w:firstLine="480"/>
      <w:jc w:val="left"/>
      <w:spacing w:before="120" w:after="120" w:line="360" w:lineRule="auto"/>
    </w:pPr>
    <w:rPr>
      <w:rFonts w:ascii="Arial" w:hAnsi="Arial"/>
      <w:sz w:val="24"/>
      <w:szCs w:val="24"/>
    </w:rPr>
  </w:style>
  <w:style w:type="paragraph" w:styleId="986" w:customStyle="1">
    <w:name w:val="目录 71"/>
    <w:basedOn w:val="706"/>
    <w:next w:val="706"/>
    <w:uiPriority w:val="0"/>
    <w:semiHidden/>
    <w:pPr>
      <w:ind w:left="1260"/>
      <w:jc w:val="left"/>
    </w:pPr>
  </w:style>
  <w:style w:type="paragraph" w:styleId="987" w:customStyle="1">
    <w:name w:val="目录 41"/>
    <w:basedOn w:val="706"/>
    <w:next w:val="706"/>
    <w:uiPriority w:val="0"/>
    <w:semiHidden/>
    <w:pPr>
      <w:ind w:left="630"/>
      <w:jc w:val="left"/>
    </w:pPr>
  </w:style>
  <w:style w:type="paragraph" w:styleId="988" w:customStyle="1">
    <w:name w:val="xl26"/>
    <w:basedOn w:val="70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9" w:customStyle="1">
    <w:name w:val="xl29"/>
    <w:basedOn w:val="706"/>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0" w:customStyle="1">
    <w:name w:val="Char1"/>
    <w:basedOn w:val="706"/>
    <w:uiPriority w:val="0"/>
    <w:pPr>
      <w:ind w:firstLine="200"/>
      <w:tabs>
        <w:tab w:val="left" w:pos="360" w:leader="none"/>
      </w:tabs>
    </w:pPr>
    <w:rPr>
      <w:sz w:val="28"/>
      <w:szCs w:val="30"/>
    </w:rPr>
  </w:style>
  <w:style w:type="paragraph" w:styleId="991" w:customStyle="1">
    <w:name w:val="4"/>
    <w:basedOn w:val="706"/>
    <w:next w:val="949"/>
    <w:uiPriority w:val="0"/>
    <w:pPr>
      <w:ind w:firstLine="420"/>
      <w:spacing w:line="360" w:lineRule="auto"/>
    </w:pPr>
    <w:rPr>
      <w:color w:val="ff0000"/>
      <w:sz w:val="24"/>
      <w:szCs w:val="24"/>
    </w:rPr>
  </w:style>
  <w:style w:type="paragraph" w:styleId="992" w:customStyle="1">
    <w:name w:val="Char Char Char Char Char Char Char Char Char Char"/>
    <w:basedOn w:val="706"/>
    <w:uiPriority w:val="0"/>
    <w:pPr>
      <w:spacing w:line="360" w:lineRule="auto"/>
    </w:pPr>
    <w:rPr>
      <w:sz w:val="24"/>
      <w:szCs w:val="20"/>
    </w:rPr>
  </w:style>
  <w:style w:type="paragraph" w:styleId="993" w:customStyle="1">
    <w:name w:val="样式1"/>
    <w:basedOn w:val="706"/>
    <w:uiPriority w:val="0"/>
    <w:pPr>
      <w:numPr>
        <w:ilvl w:val="0"/>
        <w:numId w:val="3"/>
      </w:numPr>
    </w:pPr>
    <w:rPr>
      <w:rFonts w:ascii="宋体" w:hAnsi="宋体"/>
    </w:rPr>
  </w:style>
  <w:style w:type="paragraph" w:styleId="994" w:customStyle="1">
    <w:name w:val="标题3"/>
    <w:basedOn w:val="706"/>
    <w:next w:val="706"/>
    <w:uiPriority w:val="0"/>
    <w:pPr>
      <w:ind w:firstLine="624"/>
      <w:spacing w:line="590" w:lineRule="atLeast"/>
    </w:pPr>
    <w:rPr>
      <w:rFonts w:ascii="方正黑体_GBK" w:eastAsia="方正黑体_GBK"/>
      <w:sz w:val="32"/>
      <w:szCs w:val="32"/>
    </w:rPr>
  </w:style>
  <w:style w:type="paragraph" w:styleId="995" w:customStyle="1">
    <w:name w:val="Char Char Char Char1"/>
    <w:basedOn w:val="905"/>
    <w:uiPriority w:val="0"/>
    <w:qFormat/>
    <w:pPr>
      <w:spacing w:line="360" w:lineRule="auto"/>
    </w:pPr>
    <w:rPr>
      <w:rFonts w:ascii="Tahoma" w:hAnsi="Tahoma"/>
      <w:sz w:val="24"/>
      <w:szCs w:val="24"/>
    </w:rPr>
  </w:style>
  <w:style w:type="paragraph" w:styleId="996" w:customStyle="1">
    <w:name w:val="table_1stline"/>
    <w:basedOn w:val="706"/>
    <w:uiPriority w:val="0"/>
    <w:qFormat/>
    <w:pPr>
      <w:jc w:val="left"/>
      <w:spacing w:before="120"/>
      <w:widowControl/>
    </w:pPr>
    <w:rPr>
      <w:bCs/>
      <w:sz w:val="20"/>
      <w:szCs w:val="20"/>
      <w:lang w:val="de-DE" w:eastAsia="de-DE"/>
    </w:rPr>
  </w:style>
  <w:style w:type="table" w:styleId="997" w:customStyle="1">
    <w:name w:val="网格型1"/>
    <w:basedOn w:val="898"/>
    <w:uiPriority w:val="0"/>
    <w:qFormat/>
    <w:pPr>
      <w:jc w:val="both"/>
      <w:widowControl w:val="off"/>
    </w:pPr>
    <w:tblPr>
      <w:tblCellMar>
        <w:left w:w="0" w:type="dxa"/>
        <w:top w:w="0" w:type="dxa"/>
        <w:right w:w="0" w:type="dxa"/>
        <w:bottom w:w="0" w:type="dxa"/>
      </w:tblCellMar>
    </w:tblPr>
  </w:style>
  <w:style w:type="character" w:styleId="998" w:customStyle="1">
    <w:name w:val="font41"/>
    <w:basedOn w:val="716"/>
    <w:uiPriority w:val="0"/>
    <w:qFormat/>
    <w:rPr>
      <w:rFonts w:ascii="宋体" w:hAnsi="宋体" w:eastAsia="宋体" w:cs="宋体"/>
      <w:color w:val="000000"/>
      <w:sz w:val="20"/>
      <w:szCs w:val="20"/>
      <w:u w:val="none"/>
    </w:rPr>
  </w:style>
  <w:style w:type="character" w:styleId="999" w:customStyle="1">
    <w:name w:val="font21"/>
    <w:basedOn w:val="716"/>
    <w:uiPriority w:val="0"/>
    <w:qFormat/>
    <w:rPr>
      <w:rFonts w:hint="eastAsia" w:ascii="宋体" w:hAnsi="宋体" w:eastAsia="宋体" w:cs="宋体"/>
      <w:color w:val="000000"/>
      <w:sz w:val="21"/>
      <w:szCs w:val="21"/>
      <w:u w:val="none"/>
    </w:rPr>
  </w:style>
  <w:style w:type="numbering" w:styleId="565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舒畅</cp:lastModifiedBy>
  <cp:revision>3</cp:revision>
  <dcterms:created xsi:type="dcterms:W3CDTF">2026-04-16T07:04:00Z</dcterms:created>
  <dcterms:modified xsi:type="dcterms:W3CDTF">2026-04-20T07:02:04Z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92A7E87EEC9443CEB8FA4655FECE77E3_13</vt:lpwstr>
  </property>
  <property fmtid="{D5CDD505-2E9C-101B-9397-08002B2CF9AE}" pid="4" name="KSOTemplateDocerSaveRecord">
    <vt:lpwstr>eyJoZGlkIjoiZWM1OGUwNGQzNTE2MWE1ZTFhMmE2Y2U2NzkwZmQwNDYiLCJ1c2VySWQiOiIyMzE3MzYwNzAifQ==</vt:lpwstr>
  </property>
</Properties>
</file>