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编号：JSZC-321000-SWGC-G2026-0048号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pacing w:val="-17"/>
          <w:sz w:val="36"/>
          <w:highlight w:val="none"/>
        </w:rPr>
      </w:pPr>
      <w:r>
        <w:rPr>
          <w:rFonts w:hint="eastAsia" w:ascii="宋体" w:hAnsi="宋体" w:cs="宋体"/>
          <w:b/>
          <w:bCs/>
          <w:color w:val="auto"/>
          <w:spacing w:val="-17"/>
          <w:sz w:val="36"/>
          <w:highlight w:val="none"/>
        </w:rPr>
        <w:t xml:space="preserve">苏北人民医院数智病理综合服务平台项目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2026年4月</w:t>
      </w:r>
      <w:r>
        <w:rPr>
          <w:rFonts w:hint="eastAsia" w:ascii="宋体" w:hAnsi="宋体" w:cs="宋体"/>
          <w:b/>
          <w:bCs/>
          <w:color w:val="auto"/>
          <w:sz w:val="36"/>
          <w:highlight w:val="none"/>
          <w:lang w:val="en-US" w:eastAsia="zh-CN"/>
        </w:rPr>
        <w:t xml:space="preserve">28</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67"/>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68"/>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采购公告</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68"/>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7</w:t>
      </w:r>
      <w:r/>
    </w:p>
    <w:p>
      <w:pPr>
        <w:pStyle w:val="768"/>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19</w:t>
      </w:r>
      <w:r/>
    </w:p>
    <w:p>
      <w:pPr>
        <w:pStyle w:val="768"/>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28</w:t>
      </w:r>
      <w:r/>
    </w:p>
    <w:p>
      <w:pPr>
        <w:pStyle w:val="768"/>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41</w:t>
      </w:r>
      <w:r/>
    </w:p>
    <w:p>
      <w:pPr>
        <w:pStyle w:val="768"/>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46</w:t>
      </w:r>
      <w:r/>
    </w:p>
    <w:p>
      <w:pPr>
        <w:pStyle w:val="774"/>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44"/>
        <w:rPr>
          <w:color w:val="auto"/>
          <w:highlight w:val="none"/>
        </w:rPr>
      </w:pPr>
      <w:r/>
      <w:bookmarkStart w:id="0" w:name="_Toc30208"/>
      <w:r/>
      <w:bookmarkStart w:id="1" w:name="_Toc55204177"/>
      <w:r>
        <w:rPr>
          <w:rFonts w:hint="eastAsia"/>
          <w:color w:val="auto"/>
          <w:highlight w:val="none"/>
        </w:rPr>
        <w:t xml:space="preserve">第一章 </w:t>
      </w:r>
      <w:bookmarkEnd w:id="0"/>
      <w:r/>
      <w:bookmarkStart w:id="2" w:name="_Toc27417"/>
      <w:r>
        <w:rPr>
          <w:rFonts w:hint="eastAsia"/>
          <w:color w:val="auto"/>
          <w:highlight w:val="none"/>
        </w:rPr>
        <w:t xml:space="preserve">采购公告</w:t>
      </w:r>
      <w:bookmarkEnd w:id="1"/>
      <w:r/>
      <w:bookmarkEnd w:id="2"/>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受苏北人民医院的委托，江苏苏维工程管理有限公司就苏北人民医院数智病理综合服务平台项目(</w:t>
      </w:r>
      <w:r>
        <w:rPr>
          <w:rFonts w:hint="eastAsia" w:ascii="宋体" w:hAnsi="宋体" w:cs="宋体"/>
          <w:color w:val="auto"/>
          <w:szCs w:val="21"/>
          <w:highlight w:val="none"/>
        </w:rPr>
        <w:t xml:space="preserve">JSZC-321000-SWGC-G2026-0048号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苏北人民医院数智病理综合服务平台项目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2026年5月</w:t>
      </w:r>
      <w:r>
        <w:rPr>
          <w:rFonts w:hint="eastAsia" w:ascii="宋体" w:hAnsi="宋体" w:cs="宋体"/>
          <w:bCs/>
          <w:color w:val="auto"/>
          <w:highlight w:val="none"/>
          <w:u w:val="single"/>
          <w:lang w:val="en-US" w:eastAsia="zh-CN"/>
        </w:rPr>
        <w:t xml:space="preserve">22</w:t>
      </w:r>
      <w:r>
        <w:rPr>
          <w:rFonts w:hint="eastAsia" w:ascii="宋体" w:hAnsi="宋体" w:cs="宋体"/>
          <w:bCs/>
          <w:color w:val="auto"/>
          <w:highlight w:val="none"/>
          <w:u w:val="single"/>
        </w:rPr>
        <w:t xml:space="preserve">日上午9：30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hint="eastAsia" w:ascii="宋体" w:hAnsi="宋体" w:cs="宋体"/>
          <w:b/>
          <w:bCs/>
          <w:color w:val="auto"/>
          <w:highlight w:val="none"/>
        </w:rPr>
      </w:pPr>
      <w:r/>
      <w:bookmarkStart w:id="3" w:name="_Toc35393621"/>
      <w:r/>
      <w:bookmarkStart w:id="4" w:name="_Toc28359079"/>
      <w:r/>
      <w:bookmarkStart w:id="5" w:name="_Toc28359002"/>
      <w:r/>
      <w:bookmarkStart w:id="6" w:name="_Toc38985263"/>
      <w:r/>
      <w:bookmarkStart w:id="7" w:name="_Toc35393790"/>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1.项目编号：JSZC-321000-SWGC-G2026-0048号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bookmarkEnd w:id="8"/>
      <w:r>
        <w:rPr>
          <w:rFonts w:hint="eastAsia" w:ascii="宋体" w:hAnsi="宋体" w:cs="宋体"/>
          <w:color w:val="auto"/>
          <w:szCs w:val="21"/>
          <w:highlight w:val="none"/>
        </w:rPr>
        <w:t xml:space="preserve">苏北人民医院数智病理综合服务平台项目</w:t>
      </w:r>
      <w:r/>
    </w:p>
    <w:p>
      <w:pPr>
        <w:ind w:firstLine="420"/>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3.预算金额：</w:t>
      </w:r>
      <w:r/>
    </w:p>
    <w:tbl>
      <w:tblPr>
        <w:tblStyle w:val="7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7139"/>
      </w:tblGrid>
      <w:tr>
        <w:trPr/>
        <w:tc>
          <w:tcPr>
            <w:tcW w:w="810"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4189"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预算</w:t>
            </w:r>
            <w:r>
              <w:rPr>
                <w:rFonts w:ascii="宋体" w:hAnsi="宋体"/>
                <w:color w:val="auto"/>
                <w:szCs w:val="21"/>
                <w:highlight w:val="none"/>
              </w:rPr>
              <w:t xml:space="preserve">金额</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4189"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195</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p>
    <w:tbl>
      <w:tblPr>
        <w:tblStyle w:val="75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3367"/>
        <w:gridCol w:w="3772"/>
      </w:tblGrid>
      <w:tr>
        <w:trPr/>
        <w:tc>
          <w:tcPr>
            <w:tcW w:w="810"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1976"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是否</w:t>
            </w:r>
            <w:r>
              <w:rPr>
                <w:rFonts w:ascii="宋体" w:hAnsi="宋体"/>
                <w:color w:val="auto"/>
                <w:szCs w:val="21"/>
                <w:highlight w:val="none"/>
              </w:rPr>
              <w:t xml:space="preserve">设定最高</w:t>
            </w:r>
            <w:r>
              <w:rPr>
                <w:rFonts w:hint="eastAsia" w:ascii="宋体" w:hAnsi="宋体"/>
                <w:color w:val="auto"/>
                <w:szCs w:val="21"/>
                <w:highlight w:val="none"/>
              </w:rPr>
              <w:t xml:space="preserve">限价</w:t>
            </w:r>
            <w:r/>
          </w:p>
          <w:p>
            <w:pPr>
              <w:jc w:val="center"/>
              <w:spacing w:line="0" w:lineRule="atLeas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13"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最高</w:t>
            </w:r>
            <w:r>
              <w:rPr>
                <w:rFonts w:ascii="宋体" w:hAnsi="宋体"/>
                <w:color w:val="auto"/>
                <w:szCs w:val="21"/>
                <w:highlight w:val="none"/>
              </w:rPr>
              <w:t xml:space="preserve">限价</w:t>
            </w:r>
            <w:r>
              <w:rPr>
                <w:rFonts w:hint="eastAsia" w:ascii="宋体" w:hAnsi="宋体"/>
                <w:color w:val="auto"/>
                <w:szCs w:val="21"/>
                <w:highlight w:val="none"/>
              </w:rPr>
              <w:t xml:space="preserve">（人民币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1976"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是</w:t>
            </w:r>
            <w:r/>
          </w:p>
        </w:tc>
        <w:tc>
          <w:tcPr>
            <w:tcW w:w="2213" w:type="pct"/>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195</w:t>
            </w:r>
            <w:r/>
          </w:p>
        </w:tc>
      </w:tr>
    </w:tbl>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w:t>
      </w:r>
      <w:r>
        <w:rPr>
          <w:rFonts w:hint="eastAsia" w:ascii="Times New Roman" w:hAnsi="Times New Roman" w:cs="宋体"/>
          <w:color w:val="auto"/>
          <w:highlight w:val="none"/>
        </w:rPr>
        <w:t xml:space="preserve">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ind w:firstLine="422"/>
        <w:spacing w:line="360" w:lineRule="auto"/>
        <w:tabs>
          <w:tab w:val="left" w:pos="266" w:leader="none"/>
        </w:tabs>
        <w:rPr>
          <w:rFonts w:hint="eastAsia" w:ascii="宋体" w:hAnsi="宋体" w:cs="宋体"/>
          <w:b/>
          <w:bCs/>
          <w:color w:val="auto"/>
          <w:highlight w:val="none"/>
        </w:rPr>
      </w:pPr>
      <w:r/>
      <w:bookmarkStart w:id="9" w:name="_Toc35393791"/>
      <w:r/>
      <w:bookmarkStart w:id="10" w:name="_Toc38985264"/>
      <w:r/>
      <w:bookmarkStart w:id="11" w:name="_Toc28359003"/>
      <w:r/>
      <w:bookmarkStart w:id="12" w:name="_Toc35393622"/>
      <w:r/>
      <w:bookmarkStart w:id="13" w:name="_Toc28359080"/>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bookmarkStart w:id="14" w:name="_Toc35393623"/>
      <w:r/>
      <w:bookmarkStart w:id="15" w:name="_Toc28359081"/>
      <w:r/>
      <w:bookmarkStart w:id="16" w:name="_Toc35393792"/>
      <w:r/>
      <w:bookmarkStart w:id="17" w:name="_Toc28359004"/>
      <w:r/>
      <w:bookmarkStart w:id="18" w:name="_Toc38985265"/>
      <w:r>
        <w:rPr>
          <w:rFonts w:hint="eastAsia" w:ascii="宋体" w:hAnsi="宋体" w:cs="宋体"/>
          <w:color w:val="auto"/>
          <w:szCs w:val="21"/>
          <w:highlight w:val="none"/>
        </w:rPr>
        <w:t xml:space="preserve">（一）通用资格要求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2024年度或2025年度的财务报告情况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无</w:t>
      </w:r>
      <w:r/>
    </w:p>
    <w:p>
      <w:pPr>
        <w:ind w:firstLine="420"/>
        <w:spacing w:line="360" w:lineRule="auto"/>
        <w:rPr>
          <w:rFonts w:hint="eastAsia" w:ascii="宋体" w:hAnsi="宋体"/>
          <w:color w:val="auto"/>
          <w:sz w:val="24"/>
          <w:szCs w:val="24"/>
          <w:highlight w:val="none"/>
        </w:rPr>
      </w:pPr>
      <w:r>
        <w:rPr>
          <w:rFonts w:hint="eastAsia" w:ascii="宋体" w:hAnsi="宋体" w:cs="宋体"/>
          <w:color w:val="auto"/>
          <w:szCs w:val="21"/>
          <w:highlight w:val="none"/>
        </w:rPr>
        <w:t xml:space="preserve">3.联合体投标</w:t>
      </w:r>
      <w:r/>
    </w:p>
    <w:tbl>
      <w:tblPr>
        <w:tblStyle w:val="7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3343"/>
        <w:gridCol w:w="3885"/>
      </w:tblGrid>
      <w:tr>
        <w:trPr/>
        <w:tc>
          <w:tcPr>
            <w:tcW w:w="758"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1961"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是否接受联合体</w:t>
            </w:r>
            <w:r>
              <w:rPr>
                <w:rFonts w:ascii="宋体" w:hAnsi="宋体"/>
                <w:color w:val="auto"/>
                <w:szCs w:val="21"/>
                <w:highlight w:val="none"/>
              </w:rPr>
              <w:t xml:space="preserve">投标</w:t>
            </w:r>
            <w:r/>
          </w:p>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79"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该采购包中</w:t>
            </w:r>
            <w:r>
              <w:rPr>
                <w:rFonts w:ascii="宋体" w:hAnsi="宋体"/>
                <w:color w:val="auto"/>
                <w:szCs w:val="21"/>
                <w:highlight w:val="none"/>
              </w:rPr>
              <w:t xml:space="preserve">联合体成员数量</w:t>
            </w:r>
            <w:r>
              <w:rPr>
                <w:rFonts w:hint="eastAsia" w:ascii="宋体" w:hAnsi="宋体"/>
                <w:color w:val="auto"/>
                <w:szCs w:val="21"/>
                <w:highlight w:val="none"/>
              </w:rPr>
              <w:t xml:space="preserve">上限</w:t>
            </w:r>
            <w:r/>
          </w:p>
        </w:tc>
      </w:tr>
      <w:tr>
        <w:trPr/>
        <w:tc>
          <w:tcPr>
            <w:tcW w:w="758"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1961"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否</w:t>
            </w:r>
            <w:r/>
          </w:p>
        </w:tc>
        <w:tc>
          <w:tcPr>
            <w:tcW w:w="2279"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75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7138"/>
      </w:tblGrid>
      <w:tr>
        <w:trPr/>
        <w:tc>
          <w:tcPr>
            <w:tcW w:w="811"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w:t>
            </w:r>
            <w:r/>
          </w:p>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包号</w:t>
            </w:r>
            <w:r/>
          </w:p>
        </w:tc>
        <w:tc>
          <w:tcPr>
            <w:tcW w:w="4188"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特定</w:t>
            </w:r>
            <w:r>
              <w:rPr>
                <w:rFonts w:ascii="宋体" w:hAnsi="宋体"/>
                <w:color w:val="auto"/>
                <w:szCs w:val="21"/>
                <w:highlight w:val="none"/>
              </w:rPr>
              <w:t xml:space="preserve">资格要求</w:t>
            </w:r>
            <w:r/>
          </w:p>
        </w:tc>
      </w:tr>
      <w:tr>
        <w:trPr/>
        <w:tc>
          <w:tcPr>
            <w:tcW w:w="811"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4188" w:type="pct"/>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tc>
      </w:tr>
    </w:tbl>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（2）凡为采购项目提供整体设计、规范编制或者项目管理、监理、检测等服务的供应商，不得再参加本项目的采购活动；</w:t>
      </w:r>
      <w:r/>
    </w:p>
    <w:p>
      <w:pPr>
        <w:ind w:firstLine="420"/>
        <w:spacing w:line="360" w:lineRule="auto"/>
        <w:rPr>
          <w:rFonts w:hint="eastAsia" w:ascii="宋体" w:hAnsi="宋体" w:cs="宋体"/>
          <w:b/>
          <w:bCs/>
          <w:color w:val="auto"/>
          <w:highlight w:val="none"/>
        </w:rPr>
      </w:pPr>
      <w:r>
        <w:rPr>
          <w:rFonts w:hint="eastAsia" w:ascii="宋体" w:hAnsi="宋体" w:cs="宋体"/>
          <w:color w:val="auto"/>
          <w:szCs w:val="24"/>
          <w:highlight w:val="none"/>
        </w:rPr>
        <w:t xml:space="preserve">（3）法人的分支机构不得参加投标（除银行、保险、石油石化、电力、电信等行业特殊情况外）。</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color w:val="auto"/>
          <w:highlight w:val="none"/>
        </w:rPr>
      </w:pPr>
      <w:r/>
      <w:bookmarkStart w:id="19" w:name="_Toc28359082"/>
      <w:r/>
      <w:bookmarkStart w:id="20" w:name="_Toc28359005"/>
      <w:r/>
      <w:bookmarkStart w:id="21" w:name="_Toc38985266"/>
      <w:r/>
      <w:bookmarkStart w:id="22" w:name="_Toc35393793"/>
      <w:r/>
      <w:bookmarkStart w:id="23"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1.时间：2026年5月</w:t>
      </w:r>
      <w:r>
        <w:rPr>
          <w:rFonts w:hint="eastAsia" w:ascii="宋体" w:hAnsi="宋体" w:cs="宋体"/>
          <w:color w:val="auto"/>
          <w:highlight w:val="none"/>
          <w:lang w:val="en-US" w:eastAsia="zh-CN"/>
        </w:rPr>
        <w:t xml:space="preserve">22</w:t>
      </w:r>
      <w:r>
        <w:rPr>
          <w:rFonts w:hint="eastAsia" w:ascii="宋体" w:hAnsi="宋体" w:cs="宋体"/>
          <w:color w:val="auto"/>
          <w:highlight w:val="none"/>
        </w:rPr>
        <w:t xml:space="preserve">日上午9：30 （北京时间）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spacing w:line="360" w:lineRule="auto"/>
        <w:tabs>
          <w:tab w:val="left" w:pos="266" w:leader="none"/>
        </w:tabs>
        <w:rPr>
          <w:rFonts w:hint="eastAsia" w:ascii="宋体" w:hAnsi="宋体" w:cs="宋体"/>
          <w:b/>
          <w:bCs/>
          <w:color w:val="auto"/>
          <w:highlight w:val="none"/>
        </w:rPr>
      </w:pPr>
      <w:r/>
      <w:bookmarkStart w:id="24" w:name="_Toc38985267"/>
      <w:r/>
      <w:bookmarkStart w:id="25" w:name="_Toc35393794"/>
      <w:r/>
      <w:bookmarkStart w:id="26" w:name="_Toc28359007"/>
      <w:r/>
      <w:bookmarkStart w:id="27" w:name="_Toc28359084"/>
      <w:r/>
      <w:bookmarkStart w:id="28" w:name="_Toc35393625"/>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color w:val="auto"/>
          <w:highlight w:val="none"/>
        </w:rPr>
      </w:pPr>
      <w:r/>
      <w:bookmarkStart w:id="29" w:name="_Toc35393626"/>
      <w:r/>
      <w:bookmarkStart w:id="30" w:name="_Toc35393795"/>
      <w:r/>
      <w:bookmarkStart w:id="31" w:name="_Toc38985268"/>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spacing w:line="360" w:lineRule="auto"/>
        <w:rPr>
          <w:rFonts w:hint="eastAsia" w:ascii="宋体" w:hAnsi="宋体" w:cs="宋体"/>
          <w:b/>
          <w:bCs/>
          <w:color w:val="auto"/>
          <w:highlight w:val="none"/>
        </w:rPr>
      </w:pPr>
      <w:r/>
      <w:bookmarkStart w:id="32" w:name="_Toc38985269"/>
      <w:r/>
      <w:bookmarkStart w:id="33" w:name="_Toc35393627"/>
      <w:r/>
      <w:bookmarkStart w:id="34" w:name="_Toc28359085"/>
      <w:r/>
      <w:bookmarkStart w:id="35" w:name="_Toc28359008"/>
      <w:r/>
      <w:bookmarkStart w:id="36"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9.供应商对于所投货物的包装应按照“财办库〔2020〕123号《关于印发《商品包装政府采购需求标准（试行）》、《快递包装政府采购需求标准（试行）》的通知》”执行。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苏北人民医院</w:t>
      </w:r>
      <w:r/>
    </w:p>
    <w:p>
      <w:pPr>
        <w:ind w:firstLine="420"/>
        <w:jc w:val="left"/>
        <w:spacing w:line="360" w:lineRule="auto"/>
        <w:rPr>
          <w:rFonts w:hint="eastAsia" w:ascii="宋体" w:hAnsi="宋体" w:cs="宋体"/>
          <w:color w:val="auto"/>
          <w:highlight w:val="none"/>
        </w:rPr>
      </w:pPr>
      <w:r/>
      <w:bookmarkStart w:id="39" w:name="_Toc28359009"/>
      <w:r/>
      <w:bookmarkStart w:id="40" w:name="_Toc28359086"/>
      <w:r>
        <w:rPr>
          <w:rFonts w:hint="eastAsia" w:ascii="宋体" w:hAnsi="宋体" w:cs="宋体"/>
          <w:color w:val="auto"/>
          <w:highlight w:val="none"/>
        </w:rPr>
        <w:t xml:space="preserve">地 址：扬州市广陵区南通西路98号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联系人：滕文娟、</w:t>
      </w:r>
      <w:r>
        <w:rPr>
          <w:rFonts w:hint="eastAsia" w:ascii="宋体" w:hAnsi="宋体" w:cs="宋体"/>
          <w:color w:val="auto"/>
          <w:szCs w:val="21"/>
          <w:highlight w:val="none"/>
        </w:rPr>
        <w:t xml:space="preserve">阮玉婷</w:t>
      </w:r>
      <w:r/>
    </w:p>
    <w:p>
      <w:pPr>
        <w:ind w:firstLine="420"/>
        <w:rPr>
          <w:rFonts w:hint="eastAsia" w:ascii="宋体" w:hAnsi="宋体" w:cs="宋体"/>
          <w:bCs/>
          <w:color w:val="auto"/>
          <w:szCs w:val="21"/>
          <w:highlight w:val="non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7"/>
      <w:r/>
      <w:bookmarkEnd w:id="38"/>
      <w:r/>
      <w:bookmarkStart w:id="41" w:name="_Toc55204178"/>
      <w:r/>
      <w:r/>
    </w:p>
    <w:p>
      <w:pPr>
        <w:rPr>
          <w:color w:val="auto"/>
          <w:highlight w:val="none"/>
        </w:rPr>
      </w:pPr>
      <w:r/>
      <w:bookmarkStart w:id="42" w:name="_Toc10032"/>
      <w:r>
        <w:rPr>
          <w:rFonts w:hint="eastAsia"/>
          <w:color w:val="auto"/>
          <w:highlight w:val="none"/>
        </w:rPr>
        <w:br w:type="page" w:clear="all"/>
      </w:r>
      <w:r/>
    </w:p>
    <w:p>
      <w:pPr>
        <w:pStyle w:val="744"/>
        <w:rPr>
          <w:color w:val="auto"/>
          <w:highlight w:val="none"/>
        </w:rPr>
      </w:pPr>
      <w:r>
        <w:rPr>
          <w:rFonts w:hint="eastAsia"/>
          <w:color w:val="auto"/>
          <w:highlight w:val="none"/>
        </w:rPr>
        <w:t xml:space="preserve">第二章 投标人须知</w:t>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本次招标采取公开招标方式，本招标文件仅适用于JSZC-321000-SWGC-G2026-0048号项目。</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4.2本次采购预算中已包含参照《招标代理服务收费管理暂行办法》(计价格【2002】1980号文)货物类标准四折计取的代理服务费，投标报价应包含代理服务费，由中标人支付给代理机构。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采购人需求的货物和服务供应、安装，调试及有关技术服务等。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20823297"/>
      <w:r/>
      <w:bookmarkStart w:id="44" w:name="_Toc513029225"/>
      <w:r/>
      <w:bookmarkStart w:id="45" w:name="_Toc462564084"/>
      <w:r/>
      <w:bookmarkStart w:id="46" w:name="_Toc16938541"/>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16938543"/>
      <w:r/>
      <w:bookmarkStart w:id="51" w:name="_Toc20823299"/>
      <w:r/>
      <w:bookmarkStart w:id="52" w:name="_Toc513029227"/>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513029228"/>
      <w:r/>
      <w:bookmarkStart w:id="54" w:name="_Toc20823300"/>
      <w:r/>
      <w:bookmarkStart w:id="55" w:name="_Toc16938544"/>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b w:val="0"/>
          <w:bCs w:val="0"/>
          <w:color w:val="auto"/>
          <w:highlight w:val="none"/>
        </w:rPr>
        <w:t xml:space="preserve">21.</w:t>
      </w:r>
      <w:r>
        <w:rPr>
          <w:rFonts w:hint="eastAsia"/>
          <w:b w:val="0"/>
          <w:bCs w:val="0"/>
          <w:color w:val="auto"/>
          <w:highlight w:val="none"/>
          <w:lang w:val="en-US" w:eastAsia="zh-CN"/>
        </w:rPr>
        <w:t xml:space="preserve">4</w:t>
      </w:r>
      <w:r>
        <w:rPr>
          <w:rFonts w:hint="eastAsia"/>
          <w:b w:val="0"/>
          <w:bCs w:val="0"/>
          <w:color w:val="auto"/>
          <w:highlight w:val="none"/>
        </w:rPr>
        <w:t xml:space="preserve">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（本项目的核心产品为“数智病理综合服务平台”）</w:t>
      </w:r>
      <w:r>
        <w:rPr>
          <w:rFonts w:hint="eastAsia" w:ascii="宋体" w:hAnsi="宋体" w:cs="宋体"/>
          <w:bCs/>
          <w:color w:val="auto"/>
          <w:szCs w:val="21"/>
          <w:highlight w:val="none"/>
        </w:rPr>
        <w:t xml:space="preserve">。多家投标人提供的核心产品品牌相同的，按前两款规定处理。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25.9 异常低价投标审查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25.9.1 评标过程中出现下列情形之一的，评标委员会应当启动异常低价投标审查程序：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3.投标（响应）报价低于采购项目最高限价45%的，即投标（响应）报价&lt;采购项目最高限价×45%；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  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采购人及代理机构只接收以纸质原件形式送达的质疑。同时需与采购代理机构经办人确认是否收到《质疑函》，如供应商未按上述要求去做，将自行承担所产生的风险。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33.2各投标人应在规定时间内凭CA证书进行网上解密。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34、其他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44"/>
        <w:rPr>
          <w:color w:val="auto"/>
          <w:highlight w:val="none"/>
        </w:rPr>
      </w:pPr>
      <w:r/>
      <w:bookmarkStart w:id="56" w:name="_Toc55204179"/>
      <w:r/>
      <w:bookmarkStart w:id="57" w:name="_Toc18427"/>
      <w:r/>
      <w:bookmarkStart w:id="58" w:name="_Hlk69392822"/>
      <w:r>
        <w:rPr>
          <w:rFonts w:hint="eastAsia"/>
          <w:color w:val="auto"/>
          <w:highlight w:val="none"/>
        </w:rPr>
        <w:t xml:space="preserve">第三章 合同条款及格式</w:t>
      </w:r>
      <w:bookmarkEnd w:id="56"/>
      <w:r/>
      <w:bookmarkEnd w:id="57"/>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63"/>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扬州市政府采购合同（货物)（合同编号）</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项目名称：苏北人民医院数智病理综合服务平台项目</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项目编号：JSZC-321000-SWGC-G2026-0048号</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甲方：（买方）苏北人民医院</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bookmarkEnd w:id="58"/>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根据《中华人民共和国民法典》等法律法规的规定，甲乙双方按照江苏苏维工程管理有限公司关于本项目</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采购结果签订本合同。</w:t>
      </w:r>
      <w:r/>
    </w:p>
    <w:p>
      <w:pPr>
        <w:pStyle w:val="9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1、货物及伴随服务</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 货物及服务名称：</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 型号规格：</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 数量（单位）</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2、合同总金额</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w:t>
      </w:r>
      <w:r>
        <w:rPr>
          <w:rFonts w:hint="eastAsia" w:hAnsi="宋体" w:cs="宋体"/>
          <w:color w:val="auto"/>
          <w:sz w:val="21"/>
          <w:highlight w:val="none"/>
          <w:u w:val="single"/>
        </w:rPr>
        <w:t xml:space="preserve">               </w:t>
      </w:r>
      <w:r>
        <w:rPr>
          <w:rFonts w:hint="eastAsia" w:hAnsi="宋体" w:cs="宋体"/>
          <w:color w:val="auto"/>
          <w:sz w:val="21"/>
          <w:highlight w:val="none"/>
        </w:rPr>
        <w:t xml:space="preserve">元人民币（¥</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75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该合同总价款中包括但不限于运输、搬运、税金、管理费、风险费及政策性文件规定等与本项目相关的全部费用。</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3.1乙方应按招标文件规定的时间向甲方提供服务的有关技术资料。</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3.3 关于本项目采购的采购文件、乙方投标文件或与本次采购活动方式相适应的文件及有关附件是本合同不可分割的组成部分，这些文件包括但不限于：</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（1）招标文件；                   （2）投标配置与分项报价表；</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w:t>
      </w:r>
      <w:r>
        <w:rPr>
          <w:rFonts w:hint="eastAsia" w:hAnsi="宋体"/>
          <w:color w:val="auto"/>
          <w:sz w:val="21"/>
          <w:highlight w:val="none"/>
        </w:rPr>
        <w:t xml:space="preserve">技术参数响应及偏离表</w:t>
      </w:r>
      <w:r>
        <w:rPr>
          <w:rFonts w:hint="eastAsia" w:hAnsi="宋体" w:cs="宋体"/>
          <w:color w:val="auto"/>
          <w:sz w:val="21"/>
          <w:highlight w:val="none"/>
        </w:rPr>
        <w:t xml:space="preserve">         （4）</w:t>
      </w:r>
      <w:r>
        <w:rPr>
          <w:rFonts w:hint="eastAsia" w:hAnsi="宋体"/>
          <w:color w:val="auto"/>
          <w:sz w:val="21"/>
          <w:highlight w:val="none"/>
        </w:rPr>
        <w:t xml:space="preserve">商务条款响应及偏离表</w:t>
      </w:r>
      <w:r>
        <w:rPr>
          <w:rFonts w:hint="eastAsia" w:hAnsi="宋体" w:cs="宋体"/>
          <w:color w:val="auto"/>
          <w:sz w:val="21"/>
          <w:highlight w:val="none"/>
        </w:rPr>
        <w:t xml:space="preserve">；</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（5）服务承诺（如有）；           （6）中标通知书；</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（7）甲乙双方补充协议；           （8）乙方投标时提供的投标文件。</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4、双方的权利和义务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4.1甲方的权利和义务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4.1.1甲方成立由院领导或相关科室负责人参与的领导和实施小组，并指定专人负责在本合同执行过程中的组织和协调工作。</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4.1.2 甲方按需组织由实施小组或领导小组成员参加的项目例会，协调解决问题，跟踪工作进度。</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4.1.3甲方为乙方现场安装调试和正式部署提供必要的软件、硬件、网络、基础数据等条件，以满足软件安装调试的需要。</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4.1.4为使本软件完成后能更好地进行今后的维护工作，甲方安排一名以上维护人员全程跟踪学习、参与安装调试。</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4.1.5甲方有权知晓各种技术和方案的细节，并提出改进意见。</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4.1.6甲方负责及时签收乙方交付的标的物，按期进行工程进度的确认、项目系统的验收，并按照合同规定的付款方式及时付款。</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 乙方的权利和义务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 乙方指定</w:t>
      </w:r>
      <w:r>
        <w:rPr>
          <w:rFonts w:hint="eastAsia" w:hAnsi="宋体" w:cs="宋体"/>
          <w:color w:val="auto"/>
          <w:sz w:val="21"/>
          <w:highlight w:val="none"/>
          <w:u w:val="single"/>
        </w:rPr>
        <w:t xml:space="preserve">     </w:t>
      </w:r>
      <w:r>
        <w:rPr>
          <w:rFonts w:hint="eastAsia" w:hAnsi="宋体" w:cs="宋体"/>
          <w:color w:val="auto"/>
          <w:sz w:val="21"/>
          <w:highlight w:val="none"/>
        </w:rPr>
        <w:t xml:space="preserve">为本合同负责人，代表乙方在合同履行过程行使权利和履行义务。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4.2.2 在甲方提供的条件符合后，甲方正式书面提出安装调试和测试后，乙方负责在</w:t>
      </w:r>
      <w:r>
        <w:rPr>
          <w:rFonts w:hint="eastAsia" w:hAnsi="宋体" w:cs="宋体"/>
          <w:color w:val="auto"/>
          <w:sz w:val="21"/>
          <w:highlight w:val="none"/>
          <w:u w:val="single"/>
        </w:rPr>
        <w:t xml:space="preserve">  </w:t>
      </w:r>
      <w:r>
        <w:rPr>
          <w:rFonts w:hint="eastAsia" w:hAnsi="宋体" w:cs="宋体"/>
          <w:color w:val="auto"/>
          <w:sz w:val="21"/>
          <w:highlight w:val="none"/>
        </w:rPr>
        <w:t xml:space="preserve">天内完成安装调试、测试、人员培训等系统上线工作，待甲方验收合格后交付甲方正式使用。</w:t>
      </w:r>
      <w:r/>
    </w:p>
    <w:p>
      <w:pPr>
        <w:pStyle w:val="763"/>
        <w:ind w:firstLine="420"/>
        <w:spacing w:line="360" w:lineRule="auto"/>
        <w:rPr>
          <w:rFonts w:hint="eastAsia" w:hAnsi="宋体" w:cs="宋体"/>
          <w:color w:val="auto"/>
          <w:sz w:val="21"/>
          <w:highlight w:val="none"/>
          <w:lang w:eastAsia="zh"/>
        </w:rPr>
      </w:pPr>
      <w:r>
        <w:rPr>
          <w:rFonts w:hint="eastAsia" w:hAnsi="宋体" w:cs="宋体"/>
          <w:color w:val="auto"/>
          <w:sz w:val="21"/>
          <w:highlight w:val="none"/>
        </w:rPr>
        <w:t xml:space="preserve">4.2.3第三方工具产品需向甲方提供足够数量的正版软件许可，包括服务器端的许可或客户端的许可，并提供培训。</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4.2.4乙方按承诺函要求派遣适合本合同内容及进度要求的技术人员队伍，并指派专人负责该工作，确保按双方约定的要求保质、保量地完成软件的开发安装调试工作。</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4.2.5乙方应及时、主动地向甲方通告工作进展及所需要解决的问题。</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4.2.6指导甲方相关人员进行基础数据的准备、整理工作。</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4.2.7在整个安装调试过程中对甲方相关人员进行软件功能、作用、和使用操作进行培训。</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4.2.8乙方在产品安装调试过程中应向甲方提供相关文档及技术资料。</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4.2.9如因乙方原因无法为甲方提供持续的售后服务和产品升级，乙方需无偿向甲方提供本产品的源代码，以保证甲方系统的正常稳定运行。</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4.2.10乙方对所供系统终身维保，终身使用，保证院方的投资效益。乙方应保障系统不发生重大故障，</w:t>
      </w:r>
      <w:r>
        <w:rPr>
          <w:rFonts w:hint="eastAsia" w:hAnsi="宋体" w:cs="宋体"/>
          <w:color w:val="auto"/>
          <w:sz w:val="21"/>
          <w:highlight w:val="none"/>
          <w:lang w:eastAsia="zh"/>
        </w:rPr>
        <w:t xml:space="preserve">并承诺不会在事先未征得甲方许可时以“后门”“验证码”“产品码”等形式干扰产品的正常使用，</w:t>
      </w:r>
      <w:r>
        <w:rPr>
          <w:rFonts w:hint="eastAsia" w:hAnsi="宋体" w:cs="宋体"/>
          <w:color w:val="auto"/>
          <w:sz w:val="21"/>
          <w:highlight w:val="none"/>
        </w:rPr>
        <w:t xml:space="preserve">否则甲方有权追溯乙方相关责任。</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4.2.11乙方需严格履行承诺函中的各项条款，保证系统全面、顺利实施。</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4.2.12 乙方不得部分或全部转让本合同内应履行义务。</w:t>
      </w:r>
      <w:r/>
    </w:p>
    <w:p>
      <w:pPr>
        <w:pStyle w:val="763"/>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rPr>
        <w:t xml:space="preserve">5、项目实施</w:t>
      </w:r>
      <w:r/>
    </w:p>
    <w:p>
      <w:pPr>
        <w:pStyle w:val="763"/>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u w:val="single"/>
        </w:rPr>
        <w:t xml:space="preserve">5.1 乙方应委派至少1名具有类似项目经验的负责人在现场进行项目管理与推进，保障项目顺利实施。项目验收前乙方至少安排1名研发人员驻场实施。</w:t>
      </w:r>
      <w:r/>
    </w:p>
    <w:p>
      <w:pPr>
        <w:pStyle w:val="763"/>
        <w:ind w:firstLine="422"/>
        <w:spacing w:line="360" w:lineRule="auto"/>
        <w:rPr>
          <w:rFonts w:hint="eastAsia" w:hAnsi="宋体" w:cs="宋体"/>
          <w:b/>
          <w:bCs/>
          <w:color w:val="auto"/>
          <w:sz w:val="21"/>
          <w:highlight w:val="none"/>
          <w:u w:val="single"/>
        </w:rPr>
      </w:pPr>
      <w:r>
        <w:rPr>
          <w:rFonts w:hint="eastAsia" w:hAnsi="宋体" w:cs="宋体"/>
          <w:b/>
          <w:bCs/>
          <w:color w:val="auto"/>
          <w:sz w:val="21"/>
          <w:highlight w:val="none"/>
          <w:u w:val="single"/>
        </w:rPr>
        <w:t xml:space="preserve">5.2 具体实施计划：                 </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6、售后服务条款及质保服务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6.1本合同自验收之日起</w:t>
      </w:r>
      <w:r>
        <w:rPr>
          <w:rFonts w:hint="eastAsia" w:hAnsi="宋体" w:cs="宋体"/>
          <w:color w:val="auto"/>
          <w:sz w:val="21"/>
          <w:highlight w:val="none"/>
          <w:u w:val="single"/>
        </w:rPr>
        <w:t xml:space="preserve">     </w:t>
      </w:r>
      <w:r>
        <w:rPr>
          <w:rFonts w:hint="eastAsia" w:hAnsi="宋体" w:cs="宋体"/>
          <w:color w:val="auto"/>
          <w:sz w:val="21"/>
          <w:highlight w:val="none"/>
        </w:rPr>
        <w:t xml:space="preserve">年内对软硬件提供免费维护服务。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6.2免费维护期满后，维保费用不应超过中标金额的8%,双方另外签署收费维护期合同。</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7.2质保期内条款</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7.2.1乙方提供7*24小时技术支持，并不限支持次数。</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7.2.2乙方免费对医院技术人员进行系统管理、操作培训。</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7.2.3乙方提供专门技术服务人员进行项目后期跟踪，提供定期的现场服务</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（每年不少于</w:t>
      </w:r>
      <w:r>
        <w:rPr>
          <w:rFonts w:hint="eastAsia" w:hAnsi="宋体" w:cs="宋体"/>
          <w:color w:val="auto"/>
          <w:sz w:val="21"/>
          <w:highlight w:val="none"/>
          <w:u w:val="single"/>
        </w:rPr>
        <w:t xml:space="preserve">  </w:t>
      </w:r>
      <w:r>
        <w:rPr>
          <w:rFonts w:hint="eastAsia" w:hAnsi="宋体" w:cs="宋体"/>
          <w:color w:val="auto"/>
          <w:sz w:val="21"/>
          <w:highlight w:val="none"/>
        </w:rPr>
        <w:t xml:space="preserve">次），及时检查并处理问题。</w:t>
      </w:r>
      <w:r/>
    </w:p>
    <w:p>
      <w:pPr>
        <w:pStyle w:val="763"/>
        <w:ind w:firstLine="420"/>
        <w:spacing w:line="360" w:lineRule="auto"/>
        <w:rPr>
          <w:rFonts w:hint="eastAsia" w:hAnsi="宋体" w:cs="宋体"/>
          <w:b/>
          <w:bCs/>
          <w:color w:val="auto"/>
          <w:sz w:val="21"/>
          <w:highlight w:val="none"/>
        </w:rPr>
      </w:pPr>
      <w:r>
        <w:rPr>
          <w:rFonts w:hint="eastAsia" w:hAnsi="宋体" w:cs="宋体"/>
          <w:color w:val="auto"/>
          <w:sz w:val="21"/>
          <w:highlight w:val="none"/>
        </w:rPr>
        <w:t xml:space="preserve">7.2.4免费维护期内，乙方指派</w:t>
      </w:r>
      <w:r>
        <w:rPr>
          <w:rFonts w:hint="eastAsia" w:hAnsi="宋体" w:cs="宋体"/>
          <w:color w:val="auto"/>
          <w:sz w:val="21"/>
          <w:highlight w:val="none"/>
          <w:u w:val="single"/>
        </w:rPr>
        <w:t xml:space="preserve">  </w:t>
      </w:r>
      <w:r>
        <w:rPr>
          <w:rFonts w:hint="eastAsia" w:hAnsi="宋体" w:cs="宋体"/>
          <w:color w:val="auto"/>
          <w:sz w:val="21"/>
          <w:highlight w:val="none"/>
        </w:rPr>
        <w:t xml:space="preserve">名技术工程师提供技术支持服务，派遣的工程师均为具备相关技术资格认证的工程师，保证提供专业的、正确的和高效的技术服务和技术培训。（具体工程师名单，项目签收整体验收报告时同时报备，若有驻场工程师需按医院的作息制度上下班）</w:t>
      </w:r>
      <w:r/>
    </w:p>
    <w:p>
      <w:pPr>
        <w:pStyle w:val="759"/>
        <w:ind w:firstLine="422"/>
        <w:spacing w:line="360" w:lineRule="auto"/>
        <w:rPr>
          <w:rFonts w:hint="eastAsia" w:hAnsi="宋体" w:cs="宋体"/>
          <w:b/>
          <w:bCs/>
          <w:color w:val="auto"/>
          <w:highlight w:val="none"/>
        </w:rPr>
      </w:pPr>
      <w:r>
        <w:rPr>
          <w:rFonts w:hint="eastAsia" w:hAnsi="宋体" w:cs="宋体"/>
          <w:b/>
          <w:bCs/>
          <w:color w:val="auto"/>
          <w:highlight w:val="none"/>
        </w:rPr>
        <w:t xml:space="preserve">8.1 知识产权</w:t>
      </w:r>
      <w:r/>
    </w:p>
    <w:p>
      <w:pPr>
        <w:pStyle w:val="759"/>
        <w:ind w:firstLine="420"/>
        <w:spacing w:line="360" w:lineRule="auto"/>
        <w:rPr>
          <w:rFonts w:hint="eastAsia" w:hAnsi="宋体" w:cs="宋体"/>
          <w:color w:val="auto"/>
          <w:highlight w:val="none"/>
        </w:rPr>
      </w:pPr>
      <w:r>
        <w:rPr>
          <w:rFonts w:hint="eastAsia" w:hAnsi="宋体" w:cs="宋体"/>
          <w:color w:val="auto"/>
          <w:highlight w:val="none"/>
        </w:rPr>
        <w:t xml:space="preserve">8.1.1根据本合同产生的全部研究开发成果(包括软件产品及其升级产品和以此为基础研发出的其他技术成果)的知识产权，包括可能产生的专利等，归甲方所有，乙方应无偿配合申报。</w:t>
      </w:r>
      <w:r/>
    </w:p>
    <w:p>
      <w:pPr>
        <w:pStyle w:val="759"/>
        <w:ind w:firstLine="420"/>
        <w:spacing w:line="360" w:lineRule="auto"/>
        <w:rPr>
          <w:rFonts w:hint="eastAsia" w:hAnsi="宋体" w:cs="宋体"/>
          <w:color w:val="auto"/>
          <w:highlight w:val="none"/>
        </w:rPr>
      </w:pPr>
      <w:r>
        <w:rPr>
          <w:rFonts w:hint="eastAsia" w:hAnsi="宋体" w:cs="宋体"/>
          <w:color w:val="auto"/>
          <w:highlight w:val="none"/>
        </w:rPr>
        <w:t xml:space="preserve">8.1.2双方确定，甲方有权利用乙方按照本合同约定提供的研究开发成果，进行后续改进。由此产生的具有实质性或创造性技术进步特征的新的技术成果及其权利归属，由甲方享有。</w:t>
      </w:r>
      <w:r/>
    </w:p>
    <w:p>
      <w:pPr>
        <w:pStyle w:val="759"/>
        <w:ind w:firstLine="422"/>
        <w:spacing w:line="360" w:lineRule="auto"/>
        <w:rPr>
          <w:rFonts w:hint="eastAsia" w:hAnsi="宋体" w:cs="宋体"/>
          <w:b/>
          <w:bCs/>
          <w:color w:val="auto"/>
          <w:highlight w:val="none"/>
        </w:rPr>
      </w:pPr>
      <w:r>
        <w:rPr>
          <w:rFonts w:hint="eastAsia" w:hAnsi="宋体" w:cs="宋体"/>
          <w:b/>
          <w:bCs/>
          <w:color w:val="auto"/>
          <w:highlight w:val="none"/>
        </w:rPr>
        <w:t xml:space="preserve">8.2 保密约定</w:t>
      </w:r>
      <w:r/>
    </w:p>
    <w:p>
      <w:pPr>
        <w:pStyle w:val="759"/>
        <w:ind w:firstLine="420"/>
        <w:spacing w:line="360" w:lineRule="auto"/>
        <w:rPr>
          <w:rFonts w:hint="eastAsia" w:hAnsi="宋体" w:cs="宋体"/>
          <w:color w:val="auto"/>
          <w:highlight w:val="none"/>
        </w:rPr>
      </w:pPr>
      <w:r>
        <w:rPr>
          <w:rFonts w:hint="eastAsia" w:hAnsi="宋体" w:cs="宋体"/>
          <w:color w:val="auto"/>
          <w:highlight w:val="none"/>
        </w:rPr>
        <w:t xml:space="preserve">8.2.1甲方保证应用系统的所有涉及的商业机密和文档资料，不透露给第三方。</w:t>
      </w:r>
      <w:r/>
    </w:p>
    <w:p>
      <w:pPr>
        <w:pStyle w:val="759"/>
        <w:ind w:firstLine="420"/>
        <w:spacing w:line="360" w:lineRule="auto"/>
        <w:rPr>
          <w:rFonts w:hint="eastAsia" w:hAnsi="宋体" w:cs="宋体"/>
          <w:color w:val="auto"/>
          <w:highlight w:val="none"/>
        </w:rPr>
      </w:pPr>
      <w:r>
        <w:rPr>
          <w:rFonts w:hint="eastAsia" w:hAnsi="宋体" w:cs="宋体"/>
          <w:color w:val="auto"/>
          <w:highlight w:val="none"/>
        </w:rPr>
        <w:t xml:space="preserve">8.2.2乙方确保甲方数据的安全与保密性，不得将甲方数据带离医院，不得泄露和用于其它用途。不得以任何方式向第三方泄露在本合同实施过程中获取的甲方经济、技术以及其他甲方不同意公开的信息。</w:t>
      </w:r>
      <w:r/>
    </w:p>
    <w:p>
      <w:pPr>
        <w:pStyle w:val="759"/>
        <w:ind w:firstLine="420"/>
        <w:spacing w:line="360" w:lineRule="auto"/>
        <w:rPr>
          <w:rFonts w:hint="eastAsia" w:ascii="宋体" w:hAnsi="宋体" w:cs="宋体"/>
          <w:color w:val="auto"/>
          <w:szCs w:val="21"/>
          <w:highlight w:val="none"/>
        </w:rPr>
      </w:pPr>
      <w:r>
        <w:rPr>
          <w:rFonts w:hint="eastAsia" w:hAnsi="宋体" w:cs="宋体"/>
          <w:color w:val="auto"/>
          <w:highlight w:val="none"/>
        </w:rPr>
        <w:t xml:space="preserve">8.2.3乙方确保提供系统具有合法知识产权，在项目实施过程中向甲方提供合法的相关实施文档及技术资料。乙方保证甲方在使用该系统时不受第三方提出侵犯其著作权、专利权、商标权和工业设计权的起诉。一旦出现专利侵权，乙方应负全部责任并承担一切后果。 </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9、产权保证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因本合同服务瑕疵产生的法律风险由乙方承担，因此导致甲方损失的，乙方除应赔偿甲方全部损失外，并按本合同价款的5%支付违约金。</w:t>
      </w:r>
      <w:r/>
    </w:p>
    <w:p>
      <w:pPr>
        <w:pStyle w:val="763"/>
        <w:ind w:left="-2"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10、履约保证金</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无</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11、转包或分包</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 本合同禁止转包，本合同范围的服务，应由乙方直接提供的，不得转让他人提供。</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如乙方违反本条规定转包或者分包，乙方应按合同总价款5%支付甲方违约金，并赔偿甲方损失，且甲方有权解除合同，乙方无权要求支付价款。</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11.2 经甲方同意，乙方可以依法采取分包方式履行合同，但是分包方式履行的，乙方应就采购项目向甲方负全责。</w:t>
      </w:r>
      <w:r/>
    </w:p>
    <w:p>
      <w:pPr>
        <w:pStyle w:val="763"/>
        <w:ind w:firstLine="422"/>
        <w:spacing w:line="360" w:lineRule="auto"/>
        <w:rPr>
          <w:rFonts w:hint="eastAsia" w:hAnsi="宋体" w:cs="宋体"/>
          <w:color w:val="auto"/>
          <w:sz w:val="21"/>
          <w:highlight w:val="none"/>
        </w:rPr>
      </w:pPr>
      <w:r>
        <w:rPr>
          <w:rFonts w:hint="eastAsia" w:hAnsi="宋体" w:cs="宋体"/>
          <w:b/>
          <w:bCs/>
          <w:color w:val="auto"/>
          <w:sz w:val="21"/>
          <w:highlight w:val="none"/>
        </w:rPr>
        <w:t xml:space="preserve">12、合同履行期限：</w:t>
      </w:r>
      <w:r>
        <w:rPr>
          <w:rFonts w:hint="eastAsia" w:hAnsi="宋体" w:cs="宋体"/>
          <w:color w:val="auto"/>
          <w:sz w:val="21"/>
          <w:highlight w:val="none"/>
          <w:u w:val="single"/>
        </w:rPr>
        <w:t xml:space="preserve">合同签订后3个月内完成系统上线，试运行1个月（自上线之日起计算）。质保期自验收合格之日起开始计算。</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13、交付期、交付方式及交付地点</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13.1 交付期：合同签订后3个月内完成系统上线，试运行1个月（自上线之日起计算）</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13.2 交付方式：甲方指定方式</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13.3 交付地点：甲方指定地点</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14、付款方式</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本合同项下所有款项均以人民币支付。 </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 本合同项下的采购资金由甲方支付，付款前乙方向甲方开具发票。</w:t>
      </w:r>
      <w:r/>
    </w:p>
    <w:p>
      <w:pPr>
        <w:pStyle w:val="963"/>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14.3 支付方式：</w:t>
      </w:r>
      <w:r>
        <w:rPr>
          <w:rFonts w:hint="eastAsia" w:hAnsi="宋体" w:cs="宋体"/>
          <w:color w:val="auto"/>
          <w:sz w:val="21"/>
          <w:highlight w:val="none"/>
          <w:u w:val="single"/>
        </w:rPr>
        <w:t xml:space="preserve">合同签订后，乙方向甲方开具发票，甲方自收到发票之日起10个工作日内支付合同金额30%的预付款；</w:t>
      </w:r>
      <w:r/>
    </w:p>
    <w:p>
      <w:pPr>
        <w:pStyle w:val="963"/>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系统上线运行后，乙方向甲方开具发票，甲方自收到发票之日起10个工作日内支付合同金额的20%；</w:t>
      </w:r>
      <w:r/>
    </w:p>
    <w:p>
      <w:pPr>
        <w:pStyle w:val="963"/>
        <w:ind w:firstLine="420"/>
        <w:spacing w:line="360" w:lineRule="auto"/>
        <w:rPr>
          <w:rFonts w:hint="eastAsia" w:hAnsi="宋体" w:cs="宋体"/>
          <w:color w:val="auto"/>
          <w:sz w:val="21"/>
          <w:highlight w:val="none"/>
        </w:rPr>
      </w:pPr>
      <w:r>
        <w:rPr>
          <w:rFonts w:hint="eastAsia" w:hAnsi="宋体" w:cs="宋体"/>
          <w:color w:val="auto"/>
          <w:sz w:val="21"/>
          <w:highlight w:val="none"/>
          <w:u w:val="single"/>
        </w:rPr>
        <w:t xml:space="preserve">试运行一个月后组织验收，验收合格后，乙方向甲方开具发票，甲方自收到发票之日起10个工作日内支付合同金额的50%；</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15、税费</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15.1本合同执行中相关的一切税费均由乙方负担。</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16、违约责任</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16.1 在合同履行过程中，甲方或乙方损害对方权益，应承担违约责任。</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16.2乙方未按照合同约定满足医院的需求，应当减收或免收报酬。</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16.3乙方逾期交货的，每逾期一日应按合同总金额的万分之二支付甲方违约金；逾期超过</w:t>
      </w:r>
      <w:r>
        <w:rPr>
          <w:rFonts w:hint="eastAsia" w:hAnsi="宋体" w:cs="宋体"/>
          <w:color w:val="auto"/>
          <w:sz w:val="21"/>
          <w:highlight w:val="none"/>
          <w:u w:val="single"/>
        </w:rPr>
        <w:t xml:space="preserve">30</w:t>
      </w:r>
      <w:r>
        <w:rPr>
          <w:rFonts w:hint="eastAsia" w:hAnsi="宋体" w:cs="宋体"/>
          <w:color w:val="auto"/>
          <w:sz w:val="21"/>
          <w:highlight w:val="none"/>
        </w:rPr>
        <w:t xml:space="preserve">日的，视为乙方根本违约，甲方有权解除合同，乙方除应承担前述违约责任外，甲方有权要求乙方按合同总金额的20%支付违约金。</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16.4因违约给甲方造成损失的，乙方承担违约责任，并支付合同总金额20%的违约金。</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16.5甲乙双方违反合同约定的保密义务给对方造成损失的，应当承担相应的责任。</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16.6乙方违规操作导致甲方数据丢失，乙方须无条件为甲方进行数据恢复，同时承担相应赔偿责任，甲方数据无法恢复的，乙方应向甲方支付合同金额</w:t>
      </w:r>
      <w:r>
        <w:rPr>
          <w:rFonts w:hint="eastAsia" w:hAnsi="宋体" w:cs="宋体"/>
          <w:color w:val="auto"/>
          <w:sz w:val="21"/>
          <w:highlight w:val="none"/>
          <w:u w:val="single"/>
        </w:rPr>
        <w:t xml:space="preserve">_ 20</w:t>
      </w:r>
      <w:r>
        <w:rPr>
          <w:rFonts w:hint="eastAsia" w:hAnsi="宋体" w:cs="宋体"/>
          <w:color w:val="auto"/>
          <w:sz w:val="21"/>
          <w:highlight w:val="none"/>
        </w:rPr>
        <w:t xml:space="preserve">_%的违约金，并赔偿给甲方造成的全部损失。</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16.7乙方未按合同约定履行合同义务导致甲方采取维权措施的，乙方除应承担相应的违约责任外，还需赔偿甲方采取维权措施所产生的费用，包括但不限于诉讼费、律师代理费、保全费、保全担保费、调查费、公证费、鉴定费等一切有关费用。</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17、不可抗力事件处理</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17.1 在合同有效期内，甲乙双方因不可抗力事件导致不能履行合同，则合同履行期可延长，其延长期与不可抗力影响期相同。不可抗力，是指不能预见、不能避免且不能克服的客观情况，例如出现10级以上大风、地震、地表塌方、海啸、泥石流、火灾、战争、社会罢工等双方都不可预见、无法避免且不可抗拒的自然或社会事件等，但一方违约或疏忽导致合同不能履行的不属于不可抗力因素。</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59"/>
        <w:ind w:firstLine="420"/>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18、合同的变更和解除</w:t>
      </w:r>
      <w:r/>
    </w:p>
    <w:p>
      <w:pPr>
        <w:pStyle w:val="759"/>
        <w:ind w:firstLine="42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本合同生效后，除本合同约定或法律另有规定的情况外，未经双方协商一致，任何一方均无权单方变更、中止履行或解除本合同。否则视为违约，除本合同仍应继续履行外，违约方还应向守约方支付总费用10％的违约金。</w:t>
      </w:r>
      <w:r/>
    </w:p>
    <w:p>
      <w:pPr>
        <w:pStyle w:val="759"/>
        <w:ind w:firstLine="42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18.2本合同约定的解除条件成就后，依约字有解除权的一方在六个月内未行使解除权的，视为其已放弃解除权，其解除权消灭。</w:t>
      </w:r>
      <w:r/>
    </w:p>
    <w:p>
      <w:pPr>
        <w:pStyle w:val="759"/>
        <w:ind w:firstLine="42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一方行使本合同约定的合同解除权而解除合同的，本合同于相对方收到解除合同通知之日解除，解除合同相对方对解除权人解除合同持有异议的，应在收到解除合同的通知次日起90日内向合同约定法院提起诉讼要求确认解除无效，如逾期未向法院提出解除合同效力确认之诉的，则视为该方已放弃异议权，即视为对解除权人解除合同不持异议。</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19、争议解决</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19.1 因服务的品质质量问题发生争议的，可在国家认可的质量检测机构对服务内容质量进行鉴定。服务符合标准的，鉴定费由甲方承担；服务项目不符合质量标准的，鉴定费由乙方承担。</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19.2 因履行本合同引起的或与本合同有关的争议，甲、乙双方应首先通过友好协商解决；如果协商不能解决争议，甲乙双方同意最终采取下列两种方式的第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（2）向甲方所在地仲裁委员会按其仲裁规则申请仲裁。</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19.3 若甲乙双方任何一方都没有选择解除合同的，为避免扩大损失，在诉讼或仲裁期间，双方应继续履行。</w:t>
      </w:r>
      <w:r/>
    </w:p>
    <w:p>
      <w:pPr>
        <w:pStyle w:val="763"/>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20、合同其它</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20.1 乙方应诚实信用，严格按照采购文件要求和承诺履行合同，不向甲方进行商业贿赂或者提供不正当利益。</w:t>
      </w:r>
      <w:r/>
    </w:p>
    <w:p>
      <w:pPr>
        <w:pStyle w:val="763"/>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20.2 合同经双方法定代表人或授权代表签字并加盖单位公章后生效。</w:t>
      </w:r>
      <w:r/>
    </w:p>
    <w:p>
      <w:pPr>
        <w:pStyle w:val="763"/>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20.3本合同未尽事宜，遵照《中华人民共和国民法典》有关条文执行。</w:t>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20.4 本合同正本一式肆份，具有同等法律效力，甲方执贰份，乙方执贰份。</w:t>
      </w:r>
      <w:r/>
    </w:p>
    <w:tbl>
      <w:tblPr>
        <w:tblStyle w:val="754"/>
        <w:tblpPr w:horzAnchor="page" w:tblpX="1840" w:vertAnchor="text" w:tblpY="464"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7"/>
        <w:gridCol w:w="4143"/>
      </w:tblGrid>
      <w:tr>
        <w:trPr>
          <w:trHeight w:val="467"/>
        </w:trPr>
        <w:tc>
          <w:tcPr>
            <w:tcBorders>
              <w:top w:val="none" w:color="000000" w:sz="4" w:space="0"/>
              <w:left w:val="none" w:color="000000" w:sz="4" w:space="0"/>
              <w:bottom w:val="none" w:color="000000" w:sz="4" w:space="0"/>
              <w:right w:val="none" w:color="000000" w:sz="4" w:space="0"/>
            </w:tcBorders>
            <w:tcW w:w="2568" w:type="pct"/>
            <w:vAlign w:val="center"/>
            <w:textDirection w:val="lrTb"/>
            <w:noWrap w:val="false"/>
          </w:tcPr>
          <w:p>
            <w:pPr>
              <w:rPr>
                <w:rFonts w:hint="eastAsia" w:ascii="宋体" w:hAnsi="宋体" w:cs="宋体"/>
                <w:color w:val="auto"/>
                <w:szCs w:val="21"/>
                <w:highlight w:val="none"/>
              </w:rPr>
            </w:pPr>
            <w:r/>
            <w:bookmarkStart w:id="59" w:name="_Hlk167868565"/>
            <w:r>
              <w:rPr>
                <w:rFonts w:hint="eastAsia" w:ascii="宋体" w:hAnsi="宋体" w:cs="宋体"/>
                <w:color w:val="auto"/>
                <w:szCs w:val="21"/>
                <w:highlight w:val="none"/>
                <w:lang w:bidi="ar"/>
              </w:rPr>
              <w:t xml:space="preserve">甲方：</w:t>
            </w:r>
            <w:r/>
          </w:p>
        </w:tc>
        <w:tc>
          <w:tcPr>
            <w:tcBorders>
              <w:top w:val="none" w:color="000000" w:sz="4" w:space="0"/>
              <w:left w:val="none" w:color="000000" w:sz="4" w:space="0"/>
              <w:bottom w:val="none" w:color="000000" w:sz="4" w:space="0"/>
              <w:right w:val="none" w:color="000000" w:sz="4" w:space="0"/>
            </w:tcBorders>
            <w:tcW w:w="2431"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bidi="ar"/>
              </w:rPr>
              <w:t xml:space="preserve">乙方：</w:t>
            </w:r>
            <w:bookmarkEnd w:id="59"/>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单位（章）：苏北人民医院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单位（章）：</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经办人：</w:t>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Borders>
              <w:top w:val="none" w:color="000000" w:sz="4" w:space="0"/>
              <w:left w:val="none" w:color="000000" w:sz="4" w:space="0"/>
              <w:bottom w:val="none" w:color="000000" w:sz="4" w:space="0"/>
              <w:right w:val="none" w:color="000000" w:sz="4" w:space="0"/>
            </w:tcBorders>
            <w:tcW w:w="2568"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签订日期：    </w:t>
            </w:r>
            <w:r/>
          </w:p>
        </w:tc>
        <w:tc>
          <w:tcPr>
            <w:tcBorders>
              <w:top w:val="none" w:color="000000" w:sz="4" w:space="0"/>
              <w:left w:val="none" w:color="000000" w:sz="4" w:space="0"/>
              <w:bottom w:val="none" w:color="000000" w:sz="4" w:space="0"/>
              <w:right w:val="none" w:color="000000" w:sz="4" w:space="0"/>
            </w:tcBorders>
            <w:tcW w:w="2431" w:type="pct"/>
            <w:vAlign w:val="bottom"/>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签订日期：    </w:t>
            </w:r>
            <w:r/>
          </w:p>
        </w:tc>
      </w:tr>
    </w:tbl>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r>
      <w:r/>
    </w:p>
    <w:p>
      <w:pPr>
        <w:pStyle w:val="7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963"/>
        <w:ind w:firstLine="400"/>
        <w:spacing w:line="360" w:lineRule="auto"/>
        <w:rPr>
          <w:rFonts w:hint="eastAsia" w:hAnsi="宋体" w:cs="宋体"/>
          <w:b/>
          <w:bCs/>
          <w:color w:val="auto"/>
          <w:sz w:val="21"/>
          <w:highlight w:val="none"/>
        </w:rPr>
      </w:pPr>
      <w:r>
        <w:rPr>
          <w:rFonts w:hint="eastAsia" w:hAnsi="宋体"/>
          <w:color w:val="auto"/>
          <w:highlight w:val="none"/>
        </w:rPr>
        <w:br w:type="page" w:clear="all"/>
      </w:r>
      <w:r/>
    </w:p>
    <w:p>
      <w:pPr>
        <w:jc w:val="left"/>
        <w:spacing w:before="156" w:after="156"/>
        <w:rPr>
          <w:rFonts w:hint="eastAsia" w:ascii="宋体" w:hAnsi="宋体"/>
          <w:b/>
          <w:color w:val="auto"/>
          <w:szCs w:val="21"/>
          <w:highlight w:val="none"/>
        </w:rPr>
        <w:outlineLvl w:val="0"/>
      </w:pPr>
      <w:r>
        <w:rPr>
          <w:rFonts w:hint="eastAsia" w:ascii="宋体" w:hAnsi="宋体"/>
          <w:b/>
          <w:color w:val="auto"/>
          <w:szCs w:val="21"/>
          <w:highlight w:val="none"/>
        </w:rPr>
        <w:t xml:space="preserve">附件：保密承诺书</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致：</w:t>
      </w:r>
      <w:r>
        <w:rPr>
          <w:rFonts w:ascii="宋体" w:hAnsi="宋体" w:cs="宋体"/>
          <w:color w:val="auto"/>
          <w:szCs w:val="21"/>
          <w:highlight w:val="none"/>
          <w:u w:val="single"/>
          <w:lang w:bidi="ar"/>
        </w:rPr>
        <w:t xml:space="preserve">苏北人民医院</w:t>
      </w:r>
      <w:r>
        <w:rPr>
          <w:rFonts w:hint="eastAsia" w:ascii="宋体" w:hAnsi="宋体" w:cs="宋体"/>
          <w:color w:val="auto"/>
          <w:szCs w:val="21"/>
          <w:highlight w:val="none"/>
          <w:u w:val="single"/>
          <w:lang w:bidi="ar"/>
        </w:rPr>
        <w:t xml:space="preserve"> </w:t>
      </w:r>
      <w:r>
        <w:rPr>
          <w:rFonts w:ascii="宋体" w:hAnsi="宋体" w:cs="宋体"/>
          <w:color w:val="auto"/>
          <w:szCs w:val="21"/>
          <w:highlight w:val="none"/>
          <w:lang w:bidi="ar"/>
        </w:rPr>
        <w:t xml:space="preserve">（以下简称“甲方”）</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本承诺方（以下简称“乙方”）：__________</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鉴于乙方拟与甲方就__________项目（下称“本项目”）开展合作，后续可能参与本项目相关工作并接触、知悉甲方各类保密信息。为确保甲方信息技术资料和数据的安全，保障甲方合法权益，乙方本着平等、自愿、诚实信用的原则，特向甲方作出如下不可撤销的保密承诺，以资恪守：</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一、承诺保密的信息范围</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乙方承诺保密的信息包括但不限于以下内容：</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（一）本项目涉及的项目设计方案、图片素材、开发工具、流程图表、工程设计图、计算机程序代码、核心数据、专利技术、招标文件及相关配套资料；</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（二）甲方在本项目前期对接及后续实施过程中，为乙方及乙方工作人员提供的必要数据、程序文件、用户名、口令及各类专项资料；</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三）甲方应用软件在方案调研、需求分析、开发测试等阶段涉及的全部业务及技术文档，包括但不限于税收政策解读资料、方案设计细节、程序文件架构、数据结构说明，以及相关业务系统的软硬件配置信息、技术文档、测试报告及测试过程中产生的全部数据；</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（四）甲方的日常运营数据、经营策略及患者信息（含个人隐私、诊疗记录等敏感信息）；</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（五）甲方合理认定并书面或口头告知乙方属于保密范畴的其他任何信息。</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上述保密信息若以书面、电子等有形形式披露，甲方会标注“保密”或类似标识；若以口头、演示等无形方式披露，甲方将在披露后三十个工作日内以书面形式确认其保密属性。对于甲方未标注保密标识、未明确告知保密属性，或乙方无法判定是否属于保密信息的甲方资料，乙方承诺先向甲方书面确认，在获得甲方明确答复前，一律按保密信息对待，绝不擅自披露、使用。</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二、承诺履行的保密义务</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乙方自愿严格履行以下保密义务，直至相关保密信息完全丧失保密属性：</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（一）严格恪守保密原则，对甲方的保密信息予以妥善保管，不得利用接触保密信息的便利谋取任何不正当利益，不得实施任何损害甲方合法权益的行为；</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（二）未经甲方事前书面许可，绝不以任何名义、任何方式向第三方（包括但不限于乙方内部非相关工作人员、其他单位或个人）泄露、传播甲方保密信息；</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（三）未经甲方事前书面许可，绝不将甲方的技术资料、技术成果及保密信息用于本项目以外的其他任何项目，不得擅自转让、许可他人使用；</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（四）未经甲方事前书面许可，绝不对甲方保密信息进行任何形式的修改、补充、删减、复制、备份或篡改；</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五）未经甲方事前书面许可，绝不通过电子邮件、微信、QQ等电子传输方式，或U盘、移动硬盘等存储设备，将保密信息携带出甲方指定场所，确因工作需要临时携带的，须经甲方审批并严格遵守甲方的保密管理规定；</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六）若甲乙双方合作终止（包括但不限于项目取消、合作解约等任何情形），乙方应在合作终止后五个工作日内，将其持有的全部保密信息（含原件、复印件、电子备份件等所有形式）一次性归还甲方或按甲方要求予以销毁，并出具书面确认函，说明所有保密信息已全部处理完毕，但此行为不免除乙方后续的保密义务。</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三、保密信息的所有权</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乙方确认，其接触、知悉的全部保密信息均为甲方独家所有，乙方仅享有基于本项目合作目的的有限接触权，不享有任何形式的所有权、使用权（除甲方书面许可外）及其他知识产权。</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四、保密期限</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（一）本承诺书项下的保密义务期限为永久有效；</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（二）即使本承诺书因任何原因失效、终止，若其中涉及的部分保密信息仍未丧失保密性，乙方对该部分信息的保密义务继续有效，仍需严格恪守，直至该信息完全公开且无保密必要。</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五、违约责任</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乙方明确知晓，任何违反本承诺书约定的行为均会给甲方造成不可挽回的损失，自愿承担如下违约责任：</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（一）若乙方违反本承诺书项下任何保密义务，应向甲方一次性支付违约金，违约金金额按双方后续拟签订合作合同总额的20%计算（若未签订合同，则按甲方预估损失的20%计算，最低不低于人民币__________元）；</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二）若乙方的违约行为给甲方造成的实际损失（包括但不限于直接经济损失、第三方索赔、可得利益损失、维权支出的诉讼费、律师费、鉴定费、调查费、保全费等全部费用）超过上述违约金，乙方应就超出部分向甲方足额赔偿，确保甲方损失得到全面弥补；</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（三）若乙方的违约行为构成违法犯罪，甲方有权依法追究乙方的刑事责任，同时不免除乙方的民事赔偿责任。</w:t>
      </w:r>
      <w:r/>
    </w:p>
    <w:p>
      <w:pPr>
        <w:pStyle w:val="745"/>
        <w:ind w:firstLine="420"/>
        <w:jc w:val="left"/>
        <w:keepLines w:val="0"/>
        <w:keepNext w:val="0"/>
        <w:spacing w:before="0" w:after="0" w:line="360" w:lineRule="auto"/>
        <w:widowControl/>
        <w:rPr>
          <w:color w:val="auto"/>
          <w:sz w:val="21"/>
          <w:szCs w:val="21"/>
          <w:highlight w:val="none"/>
        </w:rPr>
      </w:pPr>
      <w:r>
        <w:rPr>
          <w:color w:val="auto"/>
          <w:sz w:val="21"/>
          <w:szCs w:val="21"/>
          <w:highlight w:val="none"/>
        </w:rPr>
        <w:t xml:space="preserve">六、其他事项</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（一）本承诺书是乙方单方自愿作出的真实意思表示，独立于双方后续可能签订的任何合作合同，即使合作合同未成立、无效或终止，本承诺书仍具有法律效力；</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（二）因本承诺书引起的任何争议，双方应首先友好协商解决；协商不成的，任何一方均有权向甲方所在地人民法院提起诉讼；</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（三）本承诺书一式</w:t>
      </w:r>
      <w:r>
        <w:rPr>
          <w:rFonts w:hint="eastAsia" w:ascii="宋体" w:hAnsi="宋体" w:cs="宋体"/>
          <w:color w:val="auto"/>
          <w:szCs w:val="21"/>
          <w:highlight w:val="none"/>
          <w:lang w:bidi="ar"/>
        </w:rPr>
        <w:t xml:space="preserve">叁</w:t>
      </w:r>
      <w:r>
        <w:rPr>
          <w:rFonts w:ascii="宋体" w:hAnsi="宋体" w:cs="宋体"/>
          <w:color w:val="auto"/>
          <w:szCs w:val="21"/>
          <w:highlight w:val="none"/>
          <w:lang w:bidi="ar"/>
        </w:rPr>
        <w:t xml:space="preserve">份，甲方执</w:t>
      </w:r>
      <w:r>
        <w:rPr>
          <w:rFonts w:hint="eastAsia" w:ascii="宋体" w:hAnsi="宋体" w:cs="宋体"/>
          <w:color w:val="auto"/>
          <w:szCs w:val="21"/>
          <w:highlight w:val="none"/>
          <w:lang w:bidi="ar"/>
        </w:rPr>
        <w:t xml:space="preserve">贰</w:t>
      </w:r>
      <w:r>
        <w:rPr>
          <w:rFonts w:ascii="宋体" w:hAnsi="宋体" w:cs="宋体"/>
          <w:color w:val="auto"/>
          <w:szCs w:val="21"/>
          <w:highlight w:val="none"/>
          <w:lang w:bidi="ar"/>
        </w:rPr>
        <w:t xml:space="preserve">份，乙方执</w:t>
      </w:r>
      <w:r>
        <w:rPr>
          <w:rFonts w:hint="eastAsia" w:ascii="宋体" w:hAnsi="宋体" w:cs="宋体"/>
          <w:color w:val="auto"/>
          <w:szCs w:val="21"/>
          <w:highlight w:val="none"/>
          <w:lang w:bidi="ar"/>
        </w:rPr>
        <w:t xml:space="preserve">壹</w:t>
      </w:r>
      <w:r>
        <w:rPr>
          <w:rFonts w:ascii="宋体" w:hAnsi="宋体" w:cs="宋体"/>
          <w:color w:val="auto"/>
          <w:szCs w:val="21"/>
          <w:highlight w:val="none"/>
          <w:lang w:bidi="ar"/>
        </w:rPr>
        <w:t xml:space="preserve">份，各份具有同等法律效力；</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（四）本承诺书自乙方</w:t>
      </w:r>
      <w:r>
        <w:rPr>
          <w:rFonts w:hint="eastAsia" w:ascii="宋体" w:hAnsi="宋体" w:cs="宋体"/>
          <w:color w:val="auto"/>
          <w:szCs w:val="21"/>
          <w:highlight w:val="none"/>
          <w:lang w:bidi="ar"/>
        </w:rPr>
        <w:t xml:space="preserve">法定代表人或授权代表签字并加盖单位公章后生效</w:t>
      </w:r>
      <w:r>
        <w:rPr>
          <w:rFonts w:ascii="宋体" w:hAnsi="宋体" w:cs="宋体"/>
          <w:color w:val="auto"/>
          <w:szCs w:val="21"/>
          <w:highlight w:val="none"/>
          <w:lang w:bidi="ar"/>
        </w:rPr>
        <w:t xml:space="preserve">。</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承诺方（盖章）：__________</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法定代表人或授权代表（签字并加</w:t>
      </w:r>
      <w:r>
        <w:rPr>
          <w:rFonts w:ascii="宋体" w:hAnsi="宋体" w:cs="宋体"/>
          <w:color w:val="auto"/>
          <w:szCs w:val="21"/>
          <w:highlight w:val="none"/>
          <w:lang w:bidi="ar"/>
        </w:rPr>
        <w:t xml:space="preserve">盖章</w:t>
      </w:r>
      <w:r>
        <w:rPr>
          <w:rFonts w:hint="eastAsia" w:ascii="宋体" w:hAnsi="宋体" w:cs="宋体"/>
          <w:color w:val="auto"/>
          <w:szCs w:val="21"/>
          <w:highlight w:val="none"/>
          <w:lang w:bidi="ar"/>
        </w:rPr>
        <w:t xml:space="preserve">）：</w:t>
      </w:r>
      <w:r/>
    </w:p>
    <w:p>
      <w:pPr>
        <w:ind w:firstLine="420"/>
        <w:jc w:val="left"/>
        <w:spacing w:line="360" w:lineRule="auto"/>
        <w:widowControl/>
        <w:rPr>
          <w:color w:val="auto"/>
          <w:szCs w:val="21"/>
          <w:highlight w:val="none"/>
        </w:rPr>
      </w:pPr>
      <w:r>
        <w:rPr>
          <w:rFonts w:ascii="宋体" w:hAnsi="宋体" w:cs="宋体"/>
          <w:color w:val="auto"/>
          <w:szCs w:val="21"/>
          <w:highlight w:val="none"/>
          <w:lang w:bidi="ar"/>
        </w:rPr>
        <w:t xml:space="preserve">日期：______年____月____日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bookmarkStart w:id="60" w:name="_Toc12506"/>
      <w:r>
        <w:rPr>
          <w:rFonts w:hint="eastAsia"/>
          <w:color w:val="auto"/>
          <w:highlight w:val="none"/>
        </w:rPr>
        <w:br w:type="page" w:clear="all"/>
      </w:r>
      <w:r/>
    </w:p>
    <w:p>
      <w:pPr>
        <w:pStyle w:val="744"/>
        <w:numPr>
          <w:ilvl w:val="0"/>
          <w:numId w:val="2"/>
        </w:numPr>
        <w:rPr>
          <w:color w:val="auto"/>
          <w:highlight w:val="none"/>
        </w:rPr>
      </w:pPr>
      <w:r>
        <w:rPr>
          <w:rFonts w:hint="eastAsia"/>
          <w:color w:val="auto"/>
          <w:highlight w:val="none"/>
        </w:rPr>
        <w:t xml:space="preserve">项目需求</w:t>
      </w:r>
      <w:bookmarkEnd w:id="60"/>
      <w:r/>
      <w:r/>
    </w:p>
    <w:p>
      <w:pPr>
        <w:ind w:firstLine="422"/>
        <w:spacing w:line="360" w:lineRule="auto"/>
        <w:rPr>
          <w:rFonts w:hint="eastAsia" w:ascii="宋体" w:hAnsi="宋体" w:cs="宋体"/>
          <w:b/>
          <w:bCs/>
          <w:color w:val="auto"/>
          <w:szCs w:val="21"/>
          <w:highlight w:val="none"/>
        </w:rPr>
      </w:pPr>
      <w:r/>
      <w:bookmarkStart w:id="61" w:name="_Toc319408306"/>
      <w:r>
        <w:rPr>
          <w:rFonts w:hint="eastAsia" w:ascii="宋体" w:hAnsi="宋体" w:cs="宋体"/>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760"/>
        <w:ind w:left="0" w:firstLine="422"/>
        <w:spacing w:after="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1"/>
      <w:r/>
      <w:r/>
    </w:p>
    <w:p>
      <w:pPr>
        <w:pStyle w:val="997"/>
        <w:ind w:firstLine="422"/>
        <w:jc w:val="left"/>
        <w:spacing w:line="360" w:lineRule="auto"/>
        <w:rPr>
          <w:rFonts w:hint="eastAsia" w:hAnsi="宋体" w:cs="宋体"/>
          <w:b/>
          <w:bCs/>
          <w:i/>
          <w:iCs/>
          <w:color w:val="auto"/>
          <w:szCs w:val="21"/>
          <w:highlight w:val="none"/>
          <w:u w:val="single"/>
        </w:rPr>
      </w:pPr>
      <w:r/>
      <w:bookmarkStart w:id="62" w:name="_Toc55204181"/>
      <w:r>
        <w:rPr>
          <w:rFonts w:hint="eastAsia" w:hAnsi="宋体" w:cs="宋体"/>
          <w:b/>
          <w:bCs/>
          <w:i/>
          <w:iCs/>
          <w:color w:val="auto"/>
          <w:szCs w:val="21"/>
          <w:highlight w:val="none"/>
          <w:u w:val="single"/>
        </w:rPr>
        <w:t xml:space="preserve">最高限价：195万元，投标人报价不得高出最高限价，否则做无效投标处理。（提供开标一览表，扫描上传系统）</w:t>
      </w:r>
      <w:r/>
    </w:p>
    <w:p>
      <w:pPr>
        <w:ind w:firstLine="241"/>
        <w:spacing w:line="0" w:lineRule="atLeast"/>
        <w:rPr>
          <w:rFonts w:hint="eastAsia" w:ascii="宋体" w:hAnsi="宋体"/>
          <w:b/>
          <w:color w:val="auto"/>
          <w:sz w:val="24"/>
          <w:szCs w:val="24"/>
          <w:highlight w:val="none"/>
        </w:rPr>
      </w:pPr>
      <w:r>
        <w:rPr>
          <w:rFonts w:hint="eastAsia" w:ascii="宋体" w:hAnsi="宋体"/>
          <w:b/>
          <w:color w:val="auto"/>
          <w:sz w:val="24"/>
          <w:szCs w:val="24"/>
          <w:highlight w:val="none"/>
        </w:rPr>
        <w:t xml:space="preserve">项目属性：货物类</w:t>
      </w:r>
      <w:r/>
    </w:p>
    <w:p>
      <w:pPr>
        <w:ind w:firstLine="241"/>
        <w:spacing w:line="0" w:lineRule="atLeast"/>
        <w:rPr>
          <w:rFonts w:hint="eastAsia" w:ascii="宋体" w:hAnsi="宋体"/>
          <w:b/>
          <w:color w:val="auto"/>
          <w:sz w:val="24"/>
          <w:szCs w:val="24"/>
          <w:highlight w:val="none"/>
        </w:rPr>
      </w:pPr>
      <w:r>
        <w:rPr>
          <w:rFonts w:hint="eastAsia" w:ascii="宋体" w:hAnsi="宋体"/>
          <w:b/>
          <w:color w:val="auto"/>
          <w:sz w:val="24"/>
          <w:szCs w:val="24"/>
          <w:highlight w:val="none"/>
        </w:rPr>
        <w:t xml:space="preserve">核心产品：数智病理综合服务平台</w:t>
      </w:r>
      <w:r/>
    </w:p>
    <w:p>
      <w:pPr>
        <w:spacing w:line="0" w:lineRule="atLeast"/>
        <w:rPr>
          <w:rFonts w:hint="eastAsia" w:ascii="宋体" w:hAnsi="宋体"/>
          <w:b/>
          <w:color w:val="auto"/>
          <w:sz w:val="24"/>
          <w:szCs w:val="24"/>
          <w:highlight w:val="none"/>
        </w:rPr>
      </w:pP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3471"/>
      </w:tblGrid>
      <w:tr>
        <w:trPr>
          <w:cantSplit/>
          <w:jc w:val="center"/>
          <w:trHeight w:val="784"/>
        </w:trPr>
        <w:tc>
          <w:tcPr>
            <w:tcW w:w="545" w:type="dxa"/>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采购包</w:t>
            </w:r>
            <w:r/>
          </w:p>
        </w:tc>
        <w:tc>
          <w:tcPr>
            <w:tcW w:w="545"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3291"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标的</w:t>
            </w:r>
            <w:r/>
          </w:p>
        </w:tc>
        <w:tc>
          <w:tcPr>
            <w:tcW w:w="3471" w:type="dxa"/>
            <w:vAlign w:val="center"/>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对应中</w:t>
            </w:r>
            <w:r>
              <w:rPr>
                <w:rFonts w:ascii="宋体" w:hAnsi="宋体"/>
                <w:color w:val="auto"/>
                <w:szCs w:val="21"/>
                <w:highlight w:val="none"/>
              </w:rPr>
              <w:t xml:space="preserve">小企业划分标准所属行业</w:t>
            </w:r>
            <w:r/>
          </w:p>
        </w:tc>
      </w:tr>
      <w:tr>
        <w:trPr>
          <w:cantSplit/>
          <w:jc w:val="center"/>
          <w:trHeight w:val="575"/>
        </w:trPr>
        <w:tc>
          <w:tcPr>
            <w:tcW w:w="545" w:type="dxa"/>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545" w:type="dxa"/>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1</w:t>
            </w:r>
            <w:r/>
          </w:p>
        </w:tc>
        <w:tc>
          <w:tcPr>
            <w:tcW w:w="3291" w:type="dxa"/>
            <w:textDirection w:val="lrTb"/>
            <w:noWrap w:val="false"/>
          </w:tcPr>
          <w:p>
            <w:pPr>
              <w:jc w:val="center"/>
              <w:spacing w:line="0" w:lineRule="atLeast"/>
              <w:tabs>
                <w:tab w:val="left" w:pos="2020" w:leader="none"/>
              </w:tabs>
              <w:rPr>
                <w:rFonts w:hint="eastAsia" w:ascii="宋体" w:hAnsi="宋体"/>
                <w:color w:val="auto"/>
                <w:szCs w:val="21"/>
                <w:highlight w:val="none"/>
              </w:rPr>
            </w:pPr>
            <w:r>
              <w:rPr>
                <w:rFonts w:hint="eastAsia" w:ascii="宋体" w:hAnsi="宋体"/>
                <w:color w:val="auto"/>
                <w:szCs w:val="21"/>
                <w:highlight w:val="none"/>
              </w:rPr>
              <w:t xml:space="preserve">数智病理综合服务平台</w:t>
            </w:r>
            <w:r/>
          </w:p>
        </w:tc>
        <w:tc>
          <w:tcPr>
            <w:tcW w:w="3471" w:type="dxa"/>
            <w:textDirection w:val="lrTb"/>
            <w:noWrap w:val="false"/>
          </w:tcPr>
          <w:p>
            <w:pPr>
              <w:jc w:val="center"/>
              <w:spacing w:line="0" w:lineRule="atLeast"/>
              <w:rPr>
                <w:rFonts w:hint="eastAsia" w:ascii="宋体" w:hAnsi="宋体"/>
                <w:color w:val="auto"/>
                <w:szCs w:val="21"/>
                <w:highlight w:val="none"/>
              </w:rPr>
            </w:pPr>
            <w:r>
              <w:rPr>
                <w:rFonts w:hint="eastAsia" w:ascii="宋体" w:hAnsi="宋体"/>
                <w:color w:val="auto"/>
                <w:szCs w:val="21"/>
                <w:highlight w:val="none"/>
              </w:rPr>
              <w:t xml:space="preserve">软件和信息技术服务业</w:t>
            </w:r>
            <w:r/>
          </w:p>
        </w:tc>
      </w:tr>
    </w:tbl>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二、政府采购中实施本国产品标准及相关政策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1.本项目对采购本国产品给予政策支持，具体内容见招标文件“第五章 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hAnsi="宋体" w:cs="宋体"/>
          <w:b/>
          <w:bCs/>
          <w:i/>
          <w:iCs/>
          <w:color w:val="auto"/>
          <w:szCs w:val="21"/>
          <w:highlight w:val="none"/>
          <w:u w:val="single"/>
        </w:rPr>
      </w:pPr>
      <w:r>
        <w:rPr>
          <w:rFonts w:hint="eastAsia" w:ascii="宋体" w:hAnsi="宋体" w:cs="宋体"/>
          <w:bCs/>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三、项目基本要求</w:t>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7778"/>
      </w:tblGrid>
      <w:tr>
        <w:trPr>
          <w:trHeight w:val="683"/>
        </w:trPr>
        <w:tc>
          <w:tcPr>
            <w:tcW w:w="43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56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项目概述</w:t>
            </w:r>
            <w:r/>
          </w:p>
        </w:tc>
      </w:tr>
      <w:tr>
        <w:trPr>
          <w:trHeight w:val="824"/>
        </w:trPr>
        <w:tc>
          <w:tcPr>
            <w:tcW w:w="43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4565"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围绕医院病理科高质量发展目标，聚焦病理诊断数字化、智能化升级需求，拟建设集数字化病理阅片中心与病理智能化应用中心于一体的数智病理综合服务平台，以病理科临床需求为核心，全面推进病理诊断全流程升级。</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项目通过构建数字化病理阅</w:t>
            </w:r>
            <w:r>
              <w:rPr>
                <w:rFonts w:hint="eastAsia" w:ascii="宋体" w:hAnsi="宋体" w:cs="宋体"/>
                <w:color w:val="auto"/>
                <w:szCs w:val="21"/>
                <w:highlight w:val="none"/>
              </w:rPr>
              <w:t xml:space="preserve">片中心，实现病理图像从采集、存储、管理、传输与阅片的全流程数字化转型，形成标准统一、流程自动的数字病理示范体系，推动病理科工作模式由传统人工向数字化、规范化转变。融合人工智能技术建设病理智能化应用中心，将 AI 深度嵌入病理阅片与诊断业务流程，围绕胃肠道（胃肠镜）、前列腺（前列腺穿刺）及免疫组化（Her-2、PD-L1）等重点病种应用场景，提供精准、稳定的 AI 辅助与定量分析支持，全面提升病理诊断效率、质量与一致性，降低诊断风险，缓解医生阅片压力，推动病理科向智慧化、精细化、可持续发展的现代病理学科转型。</w:t>
            </w:r>
            <w:r/>
          </w:p>
        </w:tc>
      </w:tr>
      <w:tr>
        <w:trPr>
          <w:trHeight w:val="670"/>
        </w:trPr>
        <w:tc>
          <w:tcPr>
            <w:tcW w:w="43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456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总体要求</w:t>
            </w:r>
            <w:r/>
          </w:p>
          <w:p>
            <w:pPr>
              <w:jc w:val="center"/>
              <w:rPr>
                <w:rFonts w:hint="eastAsia" w:ascii="宋体" w:hAnsi="宋体" w:cs="宋体"/>
                <w:b/>
                <w:color w:val="auto"/>
                <w:szCs w:val="21"/>
                <w:highlight w:val="none"/>
              </w:rPr>
            </w:pPr>
            <w:r>
              <w:rPr>
                <w:rFonts w:hint="eastAsia" w:ascii="宋体" w:hAnsi="宋体" w:cs="宋体"/>
                <w:b/>
                <w:color w:val="auto"/>
                <w:szCs w:val="21"/>
                <w:highlight w:val="none"/>
                <w:u w:val="single"/>
              </w:rPr>
              <w:t xml:space="preserve">【2.1-2.3项</w:t>
            </w:r>
            <w:r>
              <w:rPr>
                <w:rFonts w:hint="eastAsia" w:ascii="宋体" w:hAnsi="宋体" w:cs="宋体"/>
                <w:b/>
                <w:bCs/>
                <w:color w:val="auto"/>
                <w:szCs w:val="21"/>
                <w:highlight w:val="none"/>
                <w:u w:val="single"/>
              </w:rPr>
              <w:t xml:space="preserve">投标人须提供承诺书，</w:t>
            </w:r>
            <w:r>
              <w:rPr>
                <w:rFonts w:hint="eastAsia" w:ascii="宋体" w:hAnsi="宋体" w:cs="宋体"/>
                <w:b/>
                <w:bCs/>
                <w:color w:val="auto"/>
                <w:szCs w:val="21"/>
                <w:highlight w:val="none"/>
                <w:u w:val="single"/>
                <w:lang w:val="en-US" w:eastAsia="zh-CN"/>
              </w:rPr>
              <w:t xml:space="preserve">上传系统，</w:t>
            </w:r>
            <w:r>
              <w:rPr>
                <w:rFonts w:hint="eastAsia" w:ascii="宋体" w:hAnsi="宋体" w:cs="宋体"/>
                <w:b/>
                <w:bCs/>
                <w:color w:val="auto"/>
                <w:szCs w:val="21"/>
                <w:highlight w:val="none"/>
                <w:u w:val="single"/>
              </w:rPr>
              <w:t xml:space="preserve">承诺书格式自拟，未提供或漏项作无效投标处理</w:t>
            </w:r>
            <w:r>
              <w:rPr>
                <w:rFonts w:hint="eastAsia" w:ascii="宋体" w:hAnsi="宋体" w:cs="宋体"/>
                <w:b/>
                <w:color w:val="auto"/>
                <w:szCs w:val="21"/>
                <w:highlight w:val="none"/>
                <w:u w:val="single"/>
              </w:rPr>
              <w:t xml:space="preserve">】</w:t>
            </w:r>
            <w:r/>
          </w:p>
        </w:tc>
      </w:tr>
      <w:tr>
        <w:trPr>
          <w:trHeight w:val="670"/>
        </w:trPr>
        <w:tc>
          <w:tcPr>
            <w:tcW w:w="43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4565"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本项目不可转包、分包、不支持联合体投标</w:t>
            </w:r>
            <w:r/>
          </w:p>
        </w:tc>
      </w:tr>
      <w:tr>
        <w:trPr>
          <w:trHeight w:val="670"/>
        </w:trPr>
        <w:tc>
          <w:tcPr>
            <w:tcW w:w="43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4565"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报价内容包括但不限于相关软硬件新购、搬运、集成、测试、数据迁移、及接口改造、系统切换等为实现本项目建设目标而开展的服务商所必须的相关工作，所有费用均包含在投标报价中，采购人不再为此另外支付费用</w:t>
            </w:r>
            <w:r/>
          </w:p>
        </w:tc>
      </w:tr>
      <w:tr>
        <w:trPr>
          <w:trHeight w:val="670"/>
        </w:trPr>
        <w:tc>
          <w:tcPr>
            <w:tcW w:w="43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tcW w:w="4565" w:type="pct"/>
            <w:vAlign w:val="center"/>
            <w:textDirection w:val="lrTb"/>
            <w:noWrap w:val="false"/>
          </w:tcPr>
          <w:p>
            <w:pPr>
              <w:jc w:val="left"/>
              <w:widowControl/>
              <w:rPr>
                <w:rFonts w:hint="eastAsia" w:ascii="宋体" w:hAnsi="宋体" w:cs="宋体"/>
                <w:b/>
                <w:i/>
                <w:iCs/>
                <w:color w:val="auto"/>
                <w:szCs w:val="21"/>
                <w:highlight w:val="none"/>
                <w:u w:val="single"/>
              </w:rPr>
            </w:pPr>
            <w:r>
              <w:rPr>
                <w:rFonts w:hint="eastAsia" w:ascii="宋体" w:hAnsi="宋体" w:cs="宋体"/>
                <w:i/>
                <w:iCs/>
                <w:color w:val="auto"/>
                <w:szCs w:val="21"/>
                <w:highlight w:val="none"/>
                <w:u w:val="single"/>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医院智慧管理分级评估标准体系，符合国家信息安全和数据安全相关法律法规，符合医疗卫生行业及信息化政策法规。</w:t>
            </w:r>
            <w:r/>
          </w:p>
        </w:tc>
      </w:tr>
      <w:tr>
        <w:trPr>
          <w:trHeight w:val="670"/>
        </w:trPr>
        <w:tc>
          <w:tcPr>
            <w:tcW w:w="43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56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技术要求</w:t>
            </w:r>
            <w:r/>
          </w:p>
        </w:tc>
      </w:tr>
      <w:tr>
        <w:trPr>
          <w:trHeight w:val="52"/>
        </w:trPr>
        <w:tc>
          <w:tcPr>
            <w:tcW w:w="435"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4565" w:type="pct"/>
            <w:vAlign w:val="center"/>
            <w:textDirection w:val="lrTb"/>
            <w:noWrap w:val="false"/>
          </w:tcPr>
          <w:p>
            <w:pPr>
              <w:jc w:val="center"/>
              <w:widowControl/>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基础要求</w:t>
            </w:r>
            <w:r/>
          </w:p>
          <w:p>
            <w:pPr>
              <w:jc w:val="left"/>
              <w:widowControl/>
              <w:rPr>
                <w:rFonts w:hint="eastAsia" w:ascii="宋体" w:hAnsi="宋体" w:cs="宋体"/>
                <w:i/>
                <w:iCs/>
                <w:color w:val="auto"/>
                <w:szCs w:val="21"/>
                <w:highlight w:val="none"/>
                <w:u w:val="single"/>
              </w:rPr>
            </w:pPr>
            <w:r>
              <w:rPr>
                <w:rFonts w:hint="eastAsia" w:ascii="宋体" w:hAnsi="宋体"/>
                <w:color w:val="auto"/>
                <w:highlight w:val="none"/>
                <w:u w:val="single"/>
              </w:rPr>
              <w:t xml:space="preserve">【</w:t>
            </w:r>
            <w:r>
              <w:rPr>
                <w:rFonts w:hint="eastAsia" w:ascii="宋体" w:hAnsi="宋体"/>
                <w:b/>
                <w:bCs/>
                <w:color w:val="auto"/>
                <w:highlight w:val="none"/>
                <w:u w:val="single"/>
              </w:rPr>
              <w:t xml:space="preserve">基础要求1-</w:t>
            </w:r>
            <w:r>
              <w:rPr>
                <w:rFonts w:hint="eastAsia" w:ascii="宋体" w:hAnsi="宋体"/>
                <w:b/>
                <w:bCs/>
                <w:color w:val="auto"/>
                <w:highlight w:val="none"/>
                <w:u w:val="single"/>
                <w:lang w:val="en-US" w:eastAsia="zh-CN"/>
              </w:rPr>
              <w:t xml:space="preserve">7</w:t>
            </w:r>
            <w:r>
              <w:rPr>
                <w:rFonts w:hint="eastAsia" w:ascii="宋体" w:hAnsi="宋体"/>
                <w:b/>
                <w:bCs/>
                <w:color w:val="auto"/>
                <w:highlight w:val="none"/>
                <w:u w:val="single"/>
              </w:rPr>
              <w:t xml:space="preserve">项</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rPr>
              <w:t xml:space="preserve">投标人提供承诺书，</w:t>
            </w:r>
            <w:r>
              <w:rPr>
                <w:rFonts w:hint="eastAsia" w:ascii="宋体" w:hAnsi="宋体" w:cs="宋体"/>
                <w:b/>
                <w:bCs/>
                <w:color w:val="auto"/>
                <w:szCs w:val="21"/>
                <w:highlight w:val="none"/>
                <w:u w:val="single"/>
                <w:lang w:val="en-US" w:eastAsia="zh-CN"/>
              </w:rPr>
              <w:t xml:space="preserve">上传系统，</w:t>
            </w:r>
            <w:r>
              <w:rPr>
                <w:rFonts w:hint="eastAsia" w:ascii="宋体" w:hAnsi="宋体" w:cs="宋体"/>
                <w:b/>
                <w:bCs/>
                <w:color w:val="auto"/>
                <w:szCs w:val="21"/>
                <w:highlight w:val="none"/>
                <w:u w:val="single"/>
              </w:rPr>
              <w:t xml:space="preserve">承诺书格式自拟，未提供或漏项作无效投标处理</w:t>
            </w:r>
            <w:r>
              <w:rPr>
                <w:rFonts w:hint="eastAsia" w:ascii="宋体" w:hAnsi="宋体"/>
                <w:b/>
                <w:bCs/>
                <w:color w:val="auto"/>
                <w:highlight w:val="none"/>
                <w:u w:val="single"/>
              </w:rPr>
              <w:t xml:space="preserve">】</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tabs>
                <w:tab w:val="left" w:pos="14" w:leader="none"/>
              </w:tabs>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服务器支持Linux、Windows、国产主流操作系统，且支持服务器集群，容错工作模式。客户端支持Windows7、Windows 10（64位）及以上版本，或同等级别的国产操作系统。</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系统软件使用较新版本数据库，兼容主流数据库包括但不限于Oracle、MySQL、SQL Server及同等级别的国产数据库等。对于数据库复杂查询的响应时间能够达到秒级。</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系统采用B/S或C/S架构，支持目前常用的浏览器，如IE（IE8及以上版本）、谷歌及苹果Safari浏览器或主流的客户端操作系统等，支持院内常用版本，并具有良好的兼容性。</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系统提供7×24小时运行，在出现异常情况下提供后备解决方案；保障系统维护及时性，可支持数据容灾。</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支持标准医疗协议HL7标准V2、V3版本,XML，JSON，视图多种数据类型；支持MQ、Webservice、HTTPS多种网络协议、视图等方式。</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i/>
                <w:iCs/>
                <w:color w:val="auto"/>
                <w:highlight w:val="none"/>
                <w:u w:val="single"/>
              </w:rPr>
            </w:pPr>
            <w:r>
              <w:rPr>
                <w:rFonts w:hint="eastAsia" w:ascii="宋体" w:hAnsi="宋体"/>
                <w:i/>
                <w:iCs/>
                <w:color w:val="auto"/>
                <w:highlight w:val="none"/>
                <w:u w:val="single"/>
              </w:rPr>
              <w:t xml:space="preserve">要求病理AI模型更新迭代具有持续性，保持算法优越。</w:t>
            </w:r>
            <w:r/>
          </w:p>
        </w:tc>
      </w:tr>
      <w:tr>
        <w:trPr>
          <w:trHeight w:val="48"/>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3"/>
              </w:numPr>
              <w:jc w:val="left"/>
              <w:widowControl/>
              <w:rPr>
                <w:rFonts w:hint="eastAsia" w:ascii="宋体" w:hAnsi="宋体"/>
                <w:i/>
                <w:iCs/>
                <w:color w:val="auto"/>
                <w:highlight w:val="none"/>
                <w:u w:val="single"/>
              </w:rPr>
            </w:pPr>
            <w:r>
              <w:rPr>
                <w:rFonts w:hint="eastAsia" w:ascii="宋体" w:hAnsi="宋体"/>
                <w:i/>
                <w:iCs/>
                <w:color w:val="auto"/>
                <w:highlight w:val="none"/>
                <w:u w:val="single"/>
              </w:rPr>
              <w:t xml:space="preserve">要求阅片管理平台能够支持其他第三方厂商的AI接入使用。</w:t>
            </w:r>
            <w:r/>
          </w:p>
        </w:tc>
      </w:tr>
      <w:tr>
        <w:trPr>
          <w:trHeight w:val="64"/>
        </w:trPr>
        <w:tc>
          <w:tcPr>
            <w:tcW w:w="435"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4565" w:type="pct"/>
            <w:vAlign w:val="center"/>
            <w:textDirection w:val="lrTb"/>
            <w:noWrap w:val="false"/>
          </w:tcPr>
          <w:p>
            <w:pPr>
              <w:jc w:val="center"/>
              <w:widowControl/>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数据安全要求</w:t>
            </w:r>
            <w:r/>
          </w:p>
          <w:p>
            <w:pPr>
              <w:jc w:val="left"/>
              <w:widowControl/>
              <w:rPr>
                <w:rFonts w:hint="eastAsia" w:ascii="宋体" w:hAnsi="宋体" w:cs="宋体"/>
                <w:i/>
                <w:iCs/>
                <w:color w:val="auto"/>
                <w:szCs w:val="21"/>
                <w:highlight w:val="none"/>
                <w:u w:val="single"/>
              </w:rPr>
            </w:pPr>
            <w:r>
              <w:rPr>
                <w:rFonts w:hint="eastAsia" w:ascii="宋体" w:hAnsi="宋体"/>
                <w:color w:val="auto"/>
                <w:highlight w:val="none"/>
                <w:u w:val="single"/>
              </w:rPr>
              <w:t xml:space="preserve">【</w:t>
            </w:r>
            <w:r>
              <w:rPr>
                <w:rFonts w:hint="eastAsia" w:ascii="宋体" w:hAnsi="宋体"/>
                <w:b/>
                <w:bCs/>
                <w:color w:val="auto"/>
                <w:highlight w:val="none"/>
                <w:u w:val="single"/>
              </w:rPr>
              <w:t xml:space="preserve">数据安全要求1-7项，投标人提供承诺书，</w:t>
            </w:r>
            <w:r>
              <w:rPr>
                <w:rFonts w:hint="eastAsia" w:ascii="宋体" w:hAnsi="宋体" w:cs="宋体"/>
                <w:b/>
                <w:bCs/>
                <w:color w:val="auto"/>
                <w:szCs w:val="21"/>
                <w:highlight w:val="none"/>
                <w:u w:val="single"/>
                <w:lang w:val="en-US" w:eastAsia="zh-CN"/>
              </w:rPr>
              <w:t xml:space="preserve">上传系统，</w:t>
            </w:r>
            <w:r>
              <w:rPr>
                <w:rFonts w:hint="eastAsia" w:ascii="宋体" w:hAnsi="宋体" w:cs="宋体"/>
                <w:b/>
                <w:bCs/>
                <w:color w:val="auto"/>
                <w:szCs w:val="21"/>
                <w:highlight w:val="none"/>
                <w:u w:val="single"/>
              </w:rPr>
              <w:t xml:space="preserve">承诺书格式自拟，未提供或漏项作无效投标处理</w:t>
            </w:r>
            <w:r>
              <w:rPr>
                <w:rFonts w:hint="eastAsia" w:ascii="宋体" w:hAnsi="宋体"/>
                <w:b/>
                <w:bCs/>
                <w:color w:val="auto"/>
                <w:highlight w:val="none"/>
                <w:u w:val="single"/>
              </w:rPr>
              <w:t xml:space="preserve">】</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支持用户操作权限分级管理，能够根据不同角色对用户进行权限配置和管理，保证系统数据安全。</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支持数据加密管理，包括数据存储加密、数据传输加密等，保证用户信息和系统业务数据的安全。</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符合国家相关法律法规，包括但不限于《网络安全法》、《数据安全法》、《个人信息保护法》、国家网络安全等级保护建设要求，有效地防止系统数据的遗失和破坏。</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具备数据备份与恢复功能，提供数据库在线备份和故障恢复工具，保障数据库系统完全故障后能迅速恢复到故障前的备份状态。</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具有完备的日志记录和管理功能，能及时准确地记录用户登录与退出、业务操作、数据同步等各类日志，支持根据时间、操作类型、关键字等进行日志内容检索，为系统故障排查和系统数据安全提供保障。</w:t>
            </w:r>
            <w:r/>
          </w:p>
        </w:tc>
      </w:tr>
      <w:tr>
        <w:trPr>
          <w:trHeight w:val="60"/>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4"/>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系统上线前需提供江苏卫健委2022年发布的《江苏省卫生健康信息化项目建设网络安全管理规定（试行）》中的《网络安全检测评估情况表》。</w:t>
            </w:r>
            <w:r/>
          </w:p>
        </w:tc>
      </w:tr>
      <w:tr>
        <w:trPr>
          <w:trHeight w:val="242"/>
        </w:trPr>
        <w:tc>
          <w:tcPr>
            <w:tcW w:w="435"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4565" w:type="pct"/>
            <w:vAlign w:val="center"/>
            <w:textDirection w:val="lrTb"/>
            <w:noWrap w:val="false"/>
          </w:tcPr>
          <w:p>
            <w:pPr>
              <w:jc w:val="center"/>
              <w:widowControl/>
              <w:rPr>
                <w:rFonts w:hint="eastAsia" w:ascii="宋体" w:hAnsi="宋体" w:cs="宋体"/>
                <w:b/>
                <w:bCs/>
                <w:i w:val="0"/>
                <w:iCs w:val="0"/>
                <w:color w:val="auto"/>
                <w:szCs w:val="21"/>
                <w:highlight w:val="none"/>
                <w:u w:val="single"/>
              </w:rPr>
            </w:pPr>
            <w:r>
              <w:rPr>
                <w:rFonts w:hint="eastAsia" w:ascii="宋体" w:hAnsi="宋体" w:cs="宋体"/>
                <w:b/>
                <w:bCs/>
                <w:i w:val="0"/>
                <w:iCs w:val="0"/>
                <w:color w:val="auto"/>
                <w:szCs w:val="21"/>
                <w:highlight w:val="none"/>
                <w:u w:val="single"/>
              </w:rPr>
              <w:t xml:space="preserve">其他要求</w:t>
            </w:r>
            <w:r/>
          </w:p>
          <w:p>
            <w:pPr>
              <w:jc w:val="left"/>
              <w:widowControl/>
              <w:rPr>
                <w:rFonts w:hint="eastAsia" w:ascii="宋体" w:hAnsi="宋体" w:cs="宋体"/>
                <w:i/>
                <w:iCs/>
                <w:color w:val="auto"/>
                <w:szCs w:val="21"/>
                <w:highlight w:val="none"/>
                <w:u w:val="single"/>
              </w:rPr>
            </w:pPr>
            <w:r>
              <w:rPr>
                <w:rFonts w:hint="eastAsia" w:ascii="宋体" w:hAnsi="宋体"/>
                <w:b/>
                <w:bCs/>
                <w:i w:val="0"/>
                <w:iCs w:val="0"/>
                <w:color w:val="auto"/>
                <w:highlight w:val="none"/>
                <w:u w:val="single"/>
              </w:rPr>
              <w:t xml:space="preserve">【</w:t>
            </w:r>
            <w:r>
              <w:rPr>
                <w:rFonts w:hint="eastAsia" w:ascii="宋体" w:hAnsi="宋体"/>
                <w:b/>
                <w:bCs/>
                <w:i w:val="0"/>
                <w:iCs w:val="0"/>
                <w:color w:val="auto"/>
                <w:highlight w:val="none"/>
                <w:u w:val="single"/>
                <w:lang w:val="en-US" w:eastAsia="zh-CN"/>
              </w:rPr>
              <w:t xml:space="preserve">其他要求1-2项，</w:t>
            </w:r>
            <w:r>
              <w:rPr>
                <w:rFonts w:hint="eastAsia" w:ascii="宋体" w:hAnsi="宋体"/>
                <w:b/>
                <w:bCs/>
                <w:i w:val="0"/>
                <w:iCs w:val="0"/>
                <w:color w:val="auto"/>
                <w:highlight w:val="none"/>
                <w:u w:val="single"/>
              </w:rPr>
              <w:t xml:space="preserve">投标人提供承诺书，</w:t>
            </w:r>
            <w:r>
              <w:rPr>
                <w:rFonts w:hint="eastAsia" w:ascii="宋体" w:hAnsi="宋体" w:cs="宋体"/>
                <w:b/>
                <w:bCs/>
                <w:i w:val="0"/>
                <w:iCs w:val="0"/>
                <w:color w:val="auto"/>
                <w:szCs w:val="21"/>
                <w:highlight w:val="none"/>
                <w:u w:val="single"/>
                <w:lang w:val="en-US" w:eastAsia="zh-CN"/>
              </w:rPr>
              <w:t xml:space="preserve">上传系统，</w:t>
            </w:r>
            <w:r>
              <w:rPr>
                <w:rFonts w:hint="eastAsia" w:ascii="宋体" w:hAnsi="宋体" w:cs="宋体"/>
                <w:b/>
                <w:bCs/>
                <w:i w:val="0"/>
                <w:iCs w:val="0"/>
                <w:color w:val="auto"/>
                <w:szCs w:val="21"/>
                <w:highlight w:val="none"/>
                <w:u w:val="single"/>
              </w:rPr>
              <w:t xml:space="preserve">承诺书格式自拟，未提供或漏项作无效投标处理</w:t>
            </w:r>
            <w:r>
              <w:rPr>
                <w:rFonts w:hint="eastAsia" w:ascii="宋体" w:hAnsi="宋体"/>
                <w:b/>
                <w:bCs/>
                <w:i w:val="0"/>
                <w:iCs w:val="0"/>
                <w:color w:val="auto"/>
                <w:highlight w:val="none"/>
                <w:u w:val="single"/>
              </w:rPr>
              <w:t xml:space="preserve">】</w:t>
            </w:r>
            <w:r/>
          </w:p>
        </w:tc>
      </w:tr>
      <w:tr>
        <w:trPr>
          <w:trHeight w:val="242"/>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5"/>
              </w:numPr>
              <w:jc w:val="left"/>
              <w:widowControl/>
              <w:rPr>
                <w:rFonts w:hint="eastAsia" w:ascii="宋体" w:hAnsi="宋体" w:cs="宋体"/>
                <w:i/>
                <w:iCs/>
                <w:color w:val="auto"/>
                <w:szCs w:val="21"/>
                <w:highlight w:val="none"/>
                <w:u w:val="single"/>
              </w:rPr>
            </w:pPr>
            <w:r>
              <w:rPr>
                <w:rFonts w:hint="eastAsia" w:ascii="宋体" w:hAnsi="宋体"/>
                <w:i/>
                <w:iCs/>
                <w:color w:val="auto"/>
                <w:highlight w:val="none"/>
                <w:u w:val="single"/>
              </w:rPr>
              <w:t xml:space="preserve">数智病理综合服务平台支持部署在甲方指定位置，访问隔绝外网，通过防火墙限制服务器暴露端口和可访问网段，防止数据泄露、采用国密算法，符合三级等保数据要求。</w:t>
            </w:r>
            <w:r/>
          </w:p>
        </w:tc>
      </w:tr>
      <w:tr>
        <w:trPr>
          <w:trHeight w:val="242"/>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5"/>
              </w:numPr>
              <w:jc w:val="left"/>
              <w:widowControl/>
              <w:rPr>
                <w:rFonts w:hint="eastAsia" w:ascii="宋体" w:hAnsi="宋体"/>
                <w:i/>
                <w:iCs/>
                <w:color w:val="auto"/>
                <w:highlight w:val="none"/>
                <w:u w:val="single"/>
              </w:rPr>
            </w:pPr>
            <w:r>
              <w:rPr>
                <w:rFonts w:hint="eastAsia" w:ascii="宋体" w:hAnsi="宋体"/>
                <w:i/>
                <w:iCs/>
                <w:color w:val="auto"/>
                <w:highlight w:val="none"/>
                <w:u w:val="single"/>
              </w:rPr>
              <w:t xml:space="preserve">提供满足数智病理综合服务平台可计算的算力服务器。</w:t>
            </w:r>
            <w:r/>
          </w:p>
        </w:tc>
      </w:tr>
      <w:tr>
        <w:trPr>
          <w:trHeight w:val="242"/>
        </w:trPr>
        <w:tc>
          <w:tcPr>
            <w:tcW w:w="435" w:type="pct"/>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4565" w:type="pct"/>
            <w:vAlign w:val="center"/>
            <w:textDirection w:val="lrTb"/>
            <w:noWrap w:val="false"/>
          </w:tcPr>
          <w:p>
            <w:pPr>
              <w:jc w:val="center"/>
              <w:widowControl/>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接口要求</w:t>
            </w:r>
            <w:r/>
          </w:p>
          <w:p>
            <w:pPr>
              <w:jc w:val="left"/>
              <w:widowControl/>
              <w:rPr>
                <w:rFonts w:hint="eastAsia" w:ascii="宋体" w:hAnsi="宋体" w:cs="宋体"/>
                <w:i/>
                <w:iCs/>
                <w:color w:val="auto"/>
                <w:szCs w:val="21"/>
                <w:highlight w:val="none"/>
                <w:u w:val="single"/>
              </w:rPr>
            </w:pPr>
            <w:r>
              <w:rPr>
                <w:rFonts w:hint="eastAsia" w:ascii="宋体" w:hAnsi="宋体"/>
                <w:b/>
                <w:bCs/>
                <w:i w:val="0"/>
                <w:iCs w:val="0"/>
                <w:color w:val="auto"/>
                <w:highlight w:val="none"/>
                <w:u w:val="single"/>
              </w:rPr>
              <w:t xml:space="preserve">【</w:t>
            </w:r>
            <w:r>
              <w:rPr>
                <w:rFonts w:hint="eastAsia" w:ascii="宋体" w:hAnsi="宋体"/>
                <w:b/>
                <w:bCs/>
                <w:i w:val="0"/>
                <w:iCs w:val="0"/>
                <w:color w:val="auto"/>
                <w:highlight w:val="none"/>
                <w:u w:val="single"/>
                <w:lang w:val="en-US" w:eastAsia="zh-CN"/>
              </w:rPr>
              <w:t xml:space="preserve">接口要求</w:t>
            </w:r>
            <w:r>
              <w:rPr>
                <w:rFonts w:hint="eastAsia" w:ascii="宋体" w:hAnsi="宋体"/>
                <w:b/>
                <w:bCs/>
                <w:i w:val="0"/>
                <w:iCs w:val="0"/>
                <w:color w:val="auto"/>
                <w:highlight w:val="none"/>
                <w:u w:val="single"/>
              </w:rPr>
              <w:t xml:space="preserve">，投标人提供承诺书，</w:t>
            </w:r>
            <w:r>
              <w:rPr>
                <w:rFonts w:hint="eastAsia" w:ascii="宋体" w:hAnsi="宋体" w:cs="宋体"/>
                <w:b/>
                <w:bCs/>
                <w:i w:val="0"/>
                <w:iCs w:val="0"/>
                <w:color w:val="auto"/>
                <w:szCs w:val="21"/>
                <w:highlight w:val="none"/>
                <w:u w:val="single"/>
                <w:lang w:val="en-US" w:eastAsia="zh-CN"/>
              </w:rPr>
              <w:t xml:space="preserve">上传系统，</w:t>
            </w:r>
            <w:r>
              <w:rPr>
                <w:rFonts w:hint="eastAsia" w:ascii="宋体" w:hAnsi="宋体" w:cs="宋体"/>
                <w:b/>
                <w:bCs/>
                <w:i w:val="0"/>
                <w:iCs w:val="0"/>
                <w:color w:val="auto"/>
                <w:szCs w:val="21"/>
                <w:highlight w:val="none"/>
                <w:u w:val="single"/>
              </w:rPr>
              <w:t xml:space="preserve">承诺书格式自拟，未提供或漏项作无效投标处理</w:t>
            </w:r>
            <w:r>
              <w:rPr>
                <w:rFonts w:hint="eastAsia" w:ascii="宋体" w:hAnsi="宋体"/>
                <w:b/>
                <w:bCs/>
                <w:i w:val="0"/>
                <w:iCs w:val="0"/>
                <w:color w:val="auto"/>
                <w:highlight w:val="none"/>
                <w:u w:val="single"/>
              </w:rPr>
              <w:t xml:space="preserve">】</w:t>
            </w:r>
            <w:r/>
          </w:p>
        </w:tc>
      </w:tr>
      <w:tr>
        <w:trPr>
          <w:trHeight w:val="242"/>
        </w:trPr>
        <w:tc>
          <w:tcPr>
            <w:tcW w:w="435"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565" w:type="pct"/>
            <w:vAlign w:val="center"/>
            <w:textDirection w:val="lrTb"/>
            <w:noWrap w:val="false"/>
          </w:tcPr>
          <w:p>
            <w:pPr>
              <w:pStyle w:val="831"/>
              <w:numPr>
                <w:ilvl w:val="0"/>
                <w:numId w:val="6"/>
              </w:numPr>
              <w:jc w:val="left"/>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投标人须承诺完成数智病理综合服务平台与医院现有病理业务系统的深度对接，实现患者信息、病理图像、诊断报告等关键数据的双向互通与全流程智能辅助。</w:t>
            </w:r>
            <w:r/>
          </w:p>
        </w:tc>
      </w:tr>
    </w:tbl>
    <w:p>
      <w:pPr>
        <w:rPr>
          <w:color w:val="auto"/>
          <w:highlight w:val="none"/>
        </w:rPr>
      </w:pPr>
      <w:r>
        <w:rPr>
          <w:color w:val="auto"/>
          <w:highlight w:val="none"/>
        </w:rPr>
      </w:r>
      <w:r/>
    </w:p>
    <w:p>
      <w:pPr>
        <w:spacing w:after="157"/>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四、项目功能要求</w:t>
      </w:r>
      <w:r/>
    </w:p>
    <w:p>
      <w:pPr>
        <w:pStyle w:val="745"/>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1、数字病理图像智能管理平台</w:t>
      </w:r>
      <w:r/>
    </w:p>
    <w:p>
      <w:pPr>
        <w:ind w:firstLine="420"/>
        <w:spacing w:line="360" w:lineRule="auto"/>
        <w:rPr>
          <w:color w:val="auto"/>
          <w:highlight w:val="none"/>
        </w:rPr>
      </w:pPr>
      <w:r>
        <w:rPr>
          <w:rFonts w:hint="eastAsia"/>
          <w:color w:val="auto"/>
          <w:highlight w:val="none"/>
        </w:rPr>
        <w:t xml:space="preserve">数字病理图像智能管理平台构建覆盖病理图像全生命周期的数智化管理体系，集成病理图像压缩存储、数字病理图像管理、病理数据传输管理、数智化病理阅片管理、数字病理图像收藏管理和数字病理基础服务，实现数字病理图像的高效阅片和统一管理。</w:t>
      </w:r>
      <w:r/>
    </w:p>
    <w:tbl>
      <w:tblPr>
        <w:tblStyle w:val="75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33"/>
        <w:gridCol w:w="1299"/>
        <w:gridCol w:w="5790"/>
      </w:tblGrid>
      <w:tr>
        <w:trPr>
          <w:trHeight w:val="455"/>
        </w:trPr>
        <w:tc>
          <w:tcPr>
            <w:shd w:val="clear" w:color="auto" w:fill="auto"/>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系统模块</w:t>
            </w:r>
            <w:r/>
          </w:p>
        </w:tc>
        <w:tc>
          <w:tcPr>
            <w:shd w:val="clear" w:color="auto" w:fill="auto"/>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一级功能</w:t>
            </w:r>
            <w:r/>
          </w:p>
        </w:tc>
        <w:tc>
          <w:tcPr>
            <w:shd w:val="clear" w:color="auto" w:fill="auto"/>
            <w:tcBorders>
              <w:top w:val="single" w:color="auto" w:sz="4" w:space="0"/>
              <w:left w:val="none" w:color="000000" w:sz="4" w:space="0"/>
              <w:bottom w:val="single" w:color="auto" w:sz="4" w:space="0"/>
              <w:right w:val="single" w:color="auto" w:sz="4" w:space="0"/>
            </w:tcBorders>
            <w:tcW w:w="3398"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功能要求</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病理图像压缩存储</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病理图像处理解析</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支持兼容多种国内外常见数字病理扫描仪。</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支持处理多种扫描仪扫出的多种数据格式。</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支持自动同步上传扫描好的病理切片图像。</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支持与三方</w:t>
            </w:r>
            <w:r>
              <w:rPr>
                <w:rFonts w:ascii="Times New Roman" w:hAnsi="Times New Roman"/>
                <w:color w:val="auto"/>
                <w:szCs w:val="24"/>
                <w:highlight w:val="none"/>
              </w:rPr>
              <w:t xml:space="preserve">AI</w:t>
            </w:r>
            <w:r>
              <w:rPr>
                <w:rFonts w:hint="eastAsia" w:ascii="Times New Roman" w:hAnsi="Times New Roman" w:cs="宋体"/>
                <w:color w:val="auto"/>
                <w:szCs w:val="24"/>
                <w:highlight w:val="none"/>
              </w:rPr>
              <w:t xml:space="preserve">模块对接的自动推送，将切片数据推送给模块进行计算。</w:t>
            </w:r>
            <w:r/>
          </w:p>
        </w:tc>
      </w:tr>
      <w:tr>
        <w:trPr>
          <w:trHeight w:val="6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支持与</w:t>
            </w:r>
            <w:r>
              <w:rPr>
                <w:rFonts w:ascii="Times New Roman" w:hAnsi="Times New Roman"/>
                <w:color w:val="auto"/>
                <w:szCs w:val="24"/>
                <w:highlight w:val="none"/>
              </w:rPr>
              <w:t xml:space="preserve">PIS</w:t>
            </w:r>
            <w:r>
              <w:rPr>
                <w:rFonts w:hint="eastAsia" w:ascii="Times New Roman" w:hAnsi="Times New Roman" w:cs="宋体"/>
                <w:color w:val="auto"/>
                <w:szCs w:val="24"/>
                <w:highlight w:val="none"/>
              </w:rPr>
              <w:t xml:space="preserve">信息系统进行对接，实现阅片调阅、病例信息获取、</w:t>
            </w:r>
            <w:r>
              <w:rPr>
                <w:rFonts w:ascii="Times New Roman" w:hAnsi="Times New Roman"/>
                <w:color w:val="auto"/>
                <w:szCs w:val="24"/>
                <w:highlight w:val="none"/>
              </w:rPr>
              <w:t xml:space="preserve">AI</w:t>
            </w:r>
            <w:r>
              <w:rPr>
                <w:rFonts w:hint="eastAsia" w:ascii="Times New Roman" w:hAnsi="Times New Roman" w:cs="宋体"/>
                <w:color w:val="auto"/>
                <w:szCs w:val="24"/>
                <w:highlight w:val="none"/>
              </w:rPr>
              <w:t xml:space="preserve">结果回传。</w:t>
            </w:r>
            <w:r/>
          </w:p>
        </w:tc>
      </w:tr>
      <w:tr>
        <w:trPr>
          <w:trHeight w:val="6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w:t>
            </w:r>
            <w:r>
              <w:rPr>
                <w:rFonts w:hint="eastAsia" w:ascii="Times New Roman" w:hAnsi="Times New Roman"/>
                <w:color w:val="auto"/>
                <w:szCs w:val="24"/>
                <w:highlight w:val="none"/>
              </w:rPr>
              <w:t xml:space="preserve">OCR</w:t>
            </w:r>
            <w:r>
              <w:rPr>
                <w:rFonts w:hint="eastAsia" w:ascii="Times New Roman" w:hAnsi="Times New Roman" w:cs="宋体"/>
                <w:color w:val="auto"/>
                <w:szCs w:val="24"/>
                <w:highlight w:val="none"/>
              </w:rPr>
              <w:t xml:space="preserve">自动识别病理切片上的机打病理标签或二维码，提取病理切片编号进行归档管理。</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支持数字切片的信息解析，提取关键信息用于数据处理。</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w:t>
            </w:r>
            <w:r>
              <w:rPr>
                <w:rFonts w:ascii="Times New Roman" w:hAnsi="Times New Roman"/>
                <w:color w:val="auto"/>
                <w:szCs w:val="24"/>
                <w:highlight w:val="none"/>
              </w:rPr>
              <w:t xml:space="preserve">Excel/Txt</w:t>
            </w:r>
            <w:r>
              <w:rPr>
                <w:rFonts w:hint="eastAsia" w:ascii="Times New Roman" w:hAnsi="Times New Roman" w:cs="宋体"/>
                <w:color w:val="auto"/>
                <w:szCs w:val="24"/>
                <w:highlight w:val="none"/>
              </w:rPr>
              <w:t xml:space="preserve">文档的信息解析，提取病理号</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切片号匹配对应的数据。</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切片无损压缩存储</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支持对数字切片的存储自动无损压缩处理的功能。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支持对数字切片的导出自动无损压缩处理的功能。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支持对数字切片自动无损解压缩处理的功能。</w:t>
            </w:r>
            <w:r/>
          </w:p>
        </w:tc>
      </w:tr>
      <w:tr>
        <w:trPr>
          <w:trHeight w:val="6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切片分级存储</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根据数字化病理有很明显的周期性访问特征，支持将数据进行热温冷分级；</w:t>
            </w:r>
            <w:r/>
          </w:p>
        </w:tc>
      </w:tr>
      <w:tr>
        <w:trPr>
          <w:trHeight w:val="6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分级存储技术支持将同一个存储池内的不同类型物理节点划分成不同的硬盘池；</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支持基于文件池策略将不同价值的文件存放在不同类型的设备；</w:t>
            </w:r>
            <w:r/>
          </w:p>
        </w:tc>
      </w:tr>
      <w:tr>
        <w:trPr>
          <w:trHeight w:val="6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分级策略支持放置策略、迁移策略和删除策略；支持对缓存和切片清理的配置；</w:t>
            </w:r>
            <w:r/>
          </w:p>
        </w:tc>
      </w:tr>
      <w:tr>
        <w:trPr>
          <w:trHeight w:val="618"/>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数字病理图像管理</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数字病理切片管理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支持针对切片号</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切片号区间、切片类型、部位检索、扫描设备、阅片状态、切片状态的多类型组合数据查询。</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支持切片层级的结果展示，按照切片号或上传时间的正序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倒序显示。</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支持对数字病理切片的切片信息编辑</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批量编辑的功能。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支持对数字切片的删除</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批量删除的功能。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支持对数字病理切片的图像下载</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批量下载的功能。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支持对数字病理切片标签图的缩放显示，旋转的功能。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支持对数字病理切片的收藏功能。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支持对数字病理切片的相关扫描信息的显示功能。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支持对数字病理切片更改分析算法重新计算的功能。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支持对数字病理切片的直接调阅的功能。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支持对已归档的数字病理切片解档的功能。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支持切片上传时间默认筛选项的设置功能。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支持切片列表默认排序的设置功能。</w:t>
            </w:r>
            <w:r/>
          </w:p>
        </w:tc>
      </w:tr>
      <w:tr>
        <w:trPr>
          <w:trHeight w:val="6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数字病理检查管理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支持针对病理号</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病理号区间、检查项目、患者姓名、更新时间的多类型组合数据查询。</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支持病理层级的结果展示，按照病理号或更新时间的正序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倒序显示。</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支持列表项显示条目的自定义显示控制功能。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支持查看该病理分析报告的功能。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支持编辑该病理信息的功能。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支持收藏该病理信息的功能。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支持病理层级申请远程分析的功能入口。</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支持病理层级下该切片的收藏、编辑、下载、删除、解档、阅片的功能。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支持病理号一键复制的功能。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支持切片上传时间默认筛选项的设置功能。</w:t>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病理数据传输管理</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病理数据本地上传</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支持点击单选</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多选本地文件切片数据的上传。</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支持查看数据上传的状态和结果。</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支持对排队中状态数据的删除功能。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支持对失败状态的数据再次操作。</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支持对解析成功的数据直接进入阅片界面。</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病理数据批量导出</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支持导出大批量的切片数据。</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支持病理号</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切片号数据的匹配结果展示。</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数智化病理阅片管理</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数字病理阅片管理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支持数字切片图像信息的查看与编辑功能。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支持快捷切换查看同一病理号下不同切片图像。</w:t>
            </w:r>
            <w:r/>
          </w:p>
        </w:tc>
      </w:tr>
      <w:tr>
        <w:trPr>
          <w:trHeight w:val="6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支持病理图像的线上浏览功能，如图像的无损缩放、多种倍率快捷切换、自由拖拽平移、缩略图导航与浏览轨迹记录、分辨率尺。</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支持病理图像的旋转操作功能。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支持病理图像的截图功能。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支持病理图像的左右、上下翻转功能。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支持病理图像上一张、下一张的切换显示功能。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支持病理图像的多图对比浏览功能，方便比对查看切片图像。</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支持病理图像内矩形、自由笔、箭头、文字标注功能。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rPr>
                <w:color w:val="auto"/>
                <w:highlight w:val="none"/>
              </w:rPr>
            </w:pPr>
            <w:r>
              <w:rPr>
                <w:rFonts w:hint="eastAsia"/>
                <w:color w:val="auto"/>
                <w:highlight w:val="none"/>
              </w:rPr>
              <w:t xml:space="preserve">◆支持提供在线直线测量工具，支持测量细胞、组织等的直径、长度。该工具提供直观的用户界面，确保测量的准确性。（</w:t>
            </w:r>
            <w:r>
              <w:rPr>
                <w:color w:val="auto"/>
                <w:highlight w:val="none"/>
              </w:rPr>
              <w:t xml:space="preserve">须提供</w:t>
            </w:r>
            <w:r>
              <w:rPr>
                <w:rFonts w:hint="eastAsia"/>
                <w:color w:val="auto"/>
                <w:highlight w:val="none"/>
              </w:rPr>
              <w:t xml:space="preserve">体现相应内容的</w:t>
            </w:r>
            <w:r>
              <w:rPr>
                <w:color w:val="auto"/>
                <w:highlight w:val="none"/>
              </w:rPr>
              <w:t xml:space="preserve">系统演示视频证明</w:t>
            </w:r>
            <w:r>
              <w:rPr>
                <w:rFonts w:hint="eastAsia"/>
                <w:color w:val="auto"/>
                <w:highlight w:val="none"/>
              </w:rPr>
              <w:t xml:space="preserve">）</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支持自定义配置多种辅助分析算法，提供手动修改算法功能。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支持报告的填写、保存、预览和发送功能。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支持阅片偏好的设置功能，控制默认显示的图元信息。</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支持图像平移惯性的设置功能。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支持图像快捷键移动幅度的设置功能。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支持图像快捷键移动方向的设置功能。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支持数字阅片截图的设置功能。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病理分析结构化报告</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支持全病种类型的结构化报告功能。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支持结构化报告内容将分析结果智能填入的功能。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支持结构化报告内容编辑、修改、保存的功能。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支持预览结构化报告和通用报告模版的功能。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▲支持切换选择结构化报告模版的功能。（提供功能界面截图作为证明材料。）</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▲支持结构化报告图片插入的功能。（提供功能界面截图作为证明材料。）</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支持结构化报告发送PIS的功能。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支持自定义创建、配置结构化报告模版的功能；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▲支持快捷激活、停用结构化报告模版的功能；（提供功能界面截图作为证明材料。）</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支持删除自定义结构化报告模版的功能，并不影响使用结构化报告模版前已输入的报告内容；</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支持一键复制已有结构化报告模版的功能；</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数字病理图像收藏管理</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病理收藏管理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支持对病理层级数据的收藏管理功能。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支持病理收藏文件夹的创建功能。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支持对病理收藏文件夹的重命名功能。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支持对病理收藏文件夹的删除功能。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支持对病理文件夹收藏数据量的展示功能。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支持病理号搜索、检查项目、患者姓名的多类型组合数据查询功能。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支持病理取消收藏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批量取消收藏数据的功能。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支持编辑</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批量编辑切片信息的功能。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支持病理号下所有切片的下载</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批量下载的功能。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支持将单个</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多个病理数据移动到其他收藏文件夹的功能。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切片收藏管理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支持对切片层级数据的收藏管理功能。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支持切片收藏文件夹的创建功能。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支持对切片收藏文件夹的重命名功能。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支持对切片收藏文件夹的删除功能。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支持对切片文件夹收藏数据量的展示功能。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支持对切片取消收藏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批量取消收藏数据的功能。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支持切片号搜索、部位检索、切片类型的多类型组合数据查询功能。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支持对切片下所有切片的下载</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批量下载的功能。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支持切片信息编辑</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批量编辑的功能。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支持将单个</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多个切片移动到其他收藏文件夹的功能。</w:t>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841"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数字病理基础服务</w:t>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用户管理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支持用户名</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姓名的快速检索功能。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支持新用户的创建功能。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支持用户信息的编辑、删除、密码重置、激活</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停用的功能。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角色管理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支持角色名的快速检索功能。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支持角色创建功能。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支持用户角色的权限配置、修改、删除功能。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机构管理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支持机构的创建功能。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支持机构信息的编辑功能。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762"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设备管理</w:t>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支持设备的快速检索功能。</w:t>
            </w:r>
            <w:r/>
          </w:p>
        </w:tc>
      </w:tr>
      <w:tr>
        <w:trPr>
          <w:trHeight w:val="300"/>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支持设备的新增功能。</w:t>
            </w:r>
            <w:r/>
          </w:p>
        </w:tc>
      </w:tr>
      <w:tr>
        <w:trPr>
          <w:trHeight w:val="318"/>
        </w:trPr>
        <w:tc>
          <w:tcPr>
            <w:tcBorders>
              <w:top w:val="none" w:color="000000" w:sz="4" w:space="0"/>
              <w:left w:val="single" w:color="auto" w:sz="4" w:space="0"/>
              <w:bottom w:val="single" w:color="auto" w:sz="4" w:space="0"/>
              <w:right w:val="single" w:color="auto" w:sz="4" w:space="0"/>
            </w:tcBorders>
            <w:tcW w:w="841"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Borders>
              <w:top w:val="none" w:color="000000" w:sz="4" w:space="0"/>
              <w:left w:val="single" w:color="auto" w:sz="4" w:space="0"/>
              <w:bottom w:val="single" w:color="auto" w:sz="4" w:space="0"/>
              <w:right w:val="single" w:color="auto" w:sz="4" w:space="0"/>
            </w:tcBorders>
            <w:tcW w:w="762"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398" w:type="pct"/>
            <w:vAlign w:val="center"/>
            <w:textDirection w:val="lrTb"/>
            <w:noWrap w:val="false"/>
          </w:tcPr>
          <w:p>
            <w:pP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支持设备信息的编辑、启用</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禁用、删除功能。</w:t>
            </w:r>
            <w:r/>
          </w:p>
        </w:tc>
      </w:tr>
    </w:tbl>
    <w:p>
      <w:pPr>
        <w:rPr>
          <w:color w:val="auto"/>
          <w:highlight w:val="none"/>
        </w:rPr>
      </w:pPr>
      <w:r>
        <w:rPr>
          <w:color w:val="auto"/>
          <w:highlight w:val="none"/>
        </w:rPr>
      </w:r>
      <w:r/>
    </w:p>
    <w:p>
      <w:pPr>
        <w:pStyle w:val="745"/>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2、数字病理AI</w:t>
      </w:r>
      <w:r>
        <w:rPr>
          <w:rFonts w:hint="eastAsia" w:ascii="宋体" w:hAnsi="宋体" w:eastAsia="宋体" w:cs="宋体"/>
          <w:color w:val="auto"/>
          <w:sz w:val="21"/>
          <w:szCs w:val="21"/>
          <w:highlight w:val="none"/>
        </w:rPr>
        <w:t xml:space="preserve">辅助分析</w:t>
      </w:r>
      <w:r>
        <w:rPr>
          <w:rFonts w:hint="eastAsia" w:ascii="宋体" w:hAnsi="宋体" w:cs="宋体"/>
          <w:color w:val="auto"/>
          <w:sz w:val="21"/>
          <w:szCs w:val="21"/>
          <w:highlight w:val="none"/>
        </w:rPr>
        <w:t xml:space="preserve">平台</w:t>
      </w:r>
      <w:r/>
    </w:p>
    <w:p>
      <w:pPr>
        <w:ind w:firstLine="420"/>
        <w:rPr>
          <w:color w:val="auto"/>
          <w:highlight w:val="none"/>
        </w:rPr>
      </w:pPr>
      <w:r>
        <w:rPr>
          <w:rFonts w:hint="eastAsia"/>
          <w:color w:val="auto"/>
          <w:highlight w:val="none"/>
        </w:rPr>
        <w:t xml:space="preserve">数字病理AI辅助分析平台实现多病种 AI 辅助分析，包括胃消化道活检辅助分析、肠消化道活检辅助分析、前列腺组织病理辅助分析、免疫组化Her-2定量辅助分析和免疫组化PD-L1定量辅助分析，针对特定疾病场景提供精准AI辅助，助力医生提升诊断准确性。</w:t>
      </w:r>
      <w:r/>
    </w:p>
    <w:tbl>
      <w:tblPr>
        <w:tblStyle w:val="7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897"/>
        <w:gridCol w:w="5222"/>
      </w:tblGrid>
      <w:tr>
        <w:trPr>
          <w:trHeight w:val="455"/>
        </w:trPr>
        <w:tc>
          <w:tcPr>
            <w:shd w:val="clear" w:color="auto" w:fill="auto"/>
            <w:tcW w:w="823"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系统模块</w:t>
            </w:r>
            <w:r/>
          </w:p>
        </w:tc>
        <w:tc>
          <w:tcPr>
            <w:shd w:val="clear" w:color="auto" w:fill="auto"/>
            <w:tcW w:w="1113"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一级功能</w:t>
            </w:r>
            <w:r/>
          </w:p>
        </w:tc>
        <w:tc>
          <w:tcPr>
            <w:shd w:val="clear" w:color="auto" w:fill="auto"/>
            <w:tcW w:w="3064" w:type="pct"/>
            <w:vAlign w:val="center"/>
            <w:textDirection w:val="lrTb"/>
            <w:noWrap w:val="false"/>
          </w:tcPr>
          <w:p>
            <w:pPr>
              <w:jc w:val="center"/>
              <w:widowControl/>
              <w:rPr>
                <w:rFonts w:ascii="Times New Roman" w:hAnsi="Times New Roman" w:cs="宋体"/>
                <w:bCs/>
                <w:color w:val="auto"/>
                <w:szCs w:val="36"/>
                <w:highlight w:val="none"/>
              </w:rPr>
            </w:pPr>
            <w:r>
              <w:rPr>
                <w:rFonts w:hint="eastAsia" w:ascii="Times New Roman" w:hAnsi="Times New Roman" w:cs="宋体"/>
                <w:bCs/>
                <w:color w:val="auto"/>
                <w:szCs w:val="36"/>
                <w:highlight w:val="none"/>
              </w:rPr>
              <w:t xml:space="preserve">功能要求</w:t>
            </w:r>
            <w:r/>
          </w:p>
        </w:tc>
      </w:tr>
      <w:tr>
        <w:trPr>
          <w:trHeight w:val="628"/>
        </w:trPr>
        <w:tc>
          <w:tcPr>
            <w:shd w:val="clear" w:color="auto" w:fill="auto"/>
            <w:tcW w:w="823" w:type="pct"/>
            <w:vAlign w:val="center"/>
            <w:vMerge w:val="restart"/>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胃消化道病理活检辅助分析</w:t>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智能良恶性分类筛查</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支持胃消化道活检组织病理图像类型的自动识别功能，</w:t>
            </w:r>
            <w:r>
              <w:rPr>
                <w:rFonts w:hint="eastAsia" w:ascii="宋体" w:hAnsi="宋体"/>
                <w:color w:val="auto"/>
                <w:highlight w:val="none"/>
              </w:rPr>
              <w:t xml:space="preserve">模型算法准确性≥99%</w:t>
            </w:r>
            <w:r>
              <w:rPr>
                <w:rFonts w:hint="eastAsia" w:ascii="Times New Roman" w:hAnsi="Times New Roman" w:cs="宋体"/>
                <w:color w:val="auto"/>
                <w:szCs w:val="24"/>
                <w:highlight w:val="none"/>
              </w:rPr>
              <w:t xml:space="preserve">。</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▲肿瘤性分类：支持胃活检病理切片的良性</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恶性（肿瘤性）分类提示功能。（提供体现相应功能的界面截图作为证明材料。）</w:t>
            </w:r>
            <w:r/>
          </w:p>
        </w:tc>
      </w:tr>
      <w:tr>
        <w:trPr>
          <w:trHeight w:val="9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智能识别异型组织：支持胃活检病理切片异型类型，至少包括腺癌、神经内分泌肿瘤、高级别上皮内瘤变、低级别上皮内瘤变等常见病理类型的智能判读功能，并对胃活检病理切片中的异型组织进行勾画及定位。（须提供体现相应内容的系统演示视频证明）</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▲非肿瘤性病变智能识别，至少包括增生性息肉、炎性息肉和胃底腺息肉等常见息肉类型智能判读。（提供体现相应内容的功能界面截图作为证明材料。）</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支持胃消化道癌种检出分类，算法自动识别病灶区域并分类，至少包括高分化癌、低分化癌、黏液腺癌、鳞状细胞癌、印戒细胞癌等常见癌变类型；</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color w:val="auto"/>
                <w:highlight w:val="none"/>
              </w:rPr>
              <w:t xml:space="preserve">非肿瘤性病变智能识别与分级：支持慢性胃炎、活动性、肠化和萎缩的自动提示与分级功能。（</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热力图分布：支持在放大倍数＜</w:t>
            </w:r>
            <w:r>
              <w:rPr>
                <w:rFonts w:ascii="Times New Roman" w:hAnsi="Times New Roman"/>
                <w:color w:val="auto"/>
                <w:szCs w:val="24"/>
                <w:highlight w:val="none"/>
              </w:rPr>
              <w:t xml:space="preserve">10</w:t>
            </w:r>
            <w:r>
              <w:rPr>
                <w:rFonts w:hint="eastAsia" w:ascii="Times New Roman" w:hAnsi="Times New Roman" w:cs="宋体"/>
                <w:color w:val="auto"/>
                <w:szCs w:val="24"/>
                <w:highlight w:val="none"/>
              </w:rPr>
              <w:t xml:space="preserve">倍时，查看炎症、肠化、活动性热力图。</w:t>
            </w:r>
            <w:r/>
          </w:p>
        </w:tc>
      </w:tr>
      <w:tr>
        <w:trPr>
          <w:trHeight w:val="6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手动修改：支持手动选择全层黏膜、浅表黏膜；支持对慢性炎症、活动性、萎缩、肠化、</w:t>
            </w:r>
            <w:r>
              <w:rPr>
                <w:rFonts w:ascii="Times New Roman" w:hAnsi="Times New Roman"/>
                <w:color w:val="auto"/>
                <w:szCs w:val="24"/>
                <w:highlight w:val="none"/>
              </w:rPr>
              <w:t xml:space="preserve">HP</w:t>
            </w:r>
            <w:r>
              <w:rPr>
                <w:rFonts w:hint="eastAsia" w:ascii="Times New Roman" w:hAnsi="Times New Roman" w:cs="宋体"/>
                <w:color w:val="auto"/>
                <w:szCs w:val="24"/>
                <w:highlight w:val="none"/>
              </w:rPr>
              <w:t xml:space="preserve">级别进行手动选择。</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智能量化分析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支持对阳性病灶区域进行智能量化分析，统计病灶面积指标，无需手动操作，算法结果直接呈现。</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支持全片肿瘤区域热力图显示的功能；</w:t>
            </w:r>
            <w:r>
              <w:rPr>
                <w:rFonts w:hint="eastAsia"/>
                <w:color w:val="auto"/>
                <w:highlight w:val="none"/>
              </w:rPr>
              <w:t xml:space="preserve">（</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9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异型组织量化：支持异型组织的列表显示，支持算法自动对病变组织进行识别定位。在病灶列表显示检出的病灶、病灶个数以及病灶的类别；并对异型组织的面积进行量化显示。（提供体现相应功能的界面截图作为证明材料。）</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▲支持点击列表中病灶，图像跳转并定位到当前病灶位置，选中病灶的矩形框高亮显示。（提供体现相应功能的界面截图作为证明材料。）</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算法结果重置：支持手动添加、删除、修改病变，并支持算法结果重置。</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支持选择隐藏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显示病灶和热力图，支持一键隐藏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显示。</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结构化病理报告</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color w:val="auto"/>
                <w:highlight w:val="none"/>
              </w:rPr>
              <w:t xml:space="preserve">结构化报告：支持胃活检病理结构化报告按算法结果自动生成，允许用户对生成的报告文本进行手动编辑，调整分析内容等。（</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病理报告集成：支持对接发送到医院现有的报告系统中，极大提升医生报告书写效率和报告标准一致性。</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提供报告生成后预览功能，并支持导出为</w:t>
            </w:r>
            <w:r>
              <w:rPr>
                <w:rFonts w:ascii="Times New Roman" w:hAnsi="Times New Roman"/>
                <w:color w:val="auto"/>
                <w:szCs w:val="24"/>
                <w:highlight w:val="none"/>
              </w:rPr>
              <w:t xml:space="preserve">PDF</w:t>
            </w:r>
            <w:r>
              <w:rPr>
                <w:rFonts w:hint="eastAsia" w:ascii="Times New Roman" w:hAnsi="Times New Roman" w:cs="宋体"/>
                <w:color w:val="auto"/>
                <w:szCs w:val="24"/>
                <w:highlight w:val="none"/>
              </w:rPr>
              <w:t xml:space="preserve">格式，便于下载和打印。</w:t>
            </w:r>
            <w:r/>
          </w:p>
        </w:tc>
      </w:tr>
      <w:tr>
        <w:trPr>
          <w:trHeight w:val="313"/>
        </w:trPr>
        <w:tc>
          <w:tcPr>
            <w:shd w:val="clear" w:color="auto" w:fill="auto"/>
            <w:tcW w:w="82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肠消化道病理活检辅助分析</w:t>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智能良恶性分类筛查</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具备肠消化道活检组织病理图像类型的自动识别功能，</w:t>
            </w:r>
            <w:r>
              <w:rPr>
                <w:rFonts w:hint="eastAsia" w:ascii="宋体" w:hAnsi="宋体"/>
                <w:color w:val="auto"/>
                <w:highlight w:val="none"/>
              </w:rPr>
              <w:t xml:space="preserve">模型算法准确性≥99%</w:t>
            </w:r>
            <w:r>
              <w:rPr>
                <w:rFonts w:hint="eastAsia" w:ascii="Times New Roman" w:hAnsi="Times New Roman" w:cs="宋体"/>
                <w:color w:val="auto"/>
                <w:szCs w:val="24"/>
                <w:highlight w:val="none"/>
              </w:rPr>
              <w:t xml:space="preserve">。</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肿瘤性分类：支持肠活检病理切片的良性</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恶性（肿瘤性）分类提示功能。</w:t>
            </w:r>
            <w:r/>
          </w:p>
        </w:tc>
      </w:tr>
      <w:tr>
        <w:trPr>
          <w:trHeight w:val="122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智能识别异型组织：支持肠活检病理切片异型类型，至少包括腺癌、神经内分泌肿瘤、高级别上皮内瘤变、低级别上皮内瘤变等常见病理类的智能判读功能，并对肠活检病理切片异型组织进行勾画及定位。</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支持肠消化道癌种检出分类，算法自动识别病灶区域并分类，至少包括高分化癌、低分化癌、黏液腺癌、鳞状细胞癌、印戒细胞癌等常见癌型。</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支持肠消化道低级别上皮内瘤变的检出分类，算法自动识别病灶区域并分类，至少包括管状腺瘤、锯齿状腺瘤、绒毛状管状腺瘤等常见腺瘤；</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非肿瘤性病变智能识别与分级，至少包括增生性息肉和炎性息肉等常见息肉类型的智能判读。</w:t>
            </w:r>
            <w:r>
              <w:rPr>
                <w:rFonts w:hint="eastAsia"/>
                <w:color w:val="auto"/>
                <w:highlight w:val="none"/>
              </w:rPr>
              <w:t xml:space="preserve">（</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9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手动修改病灶：支持在病灶列表或病灶框上对算法检出的病灶类型进行手动修改，修改后病灶列表中的病灶标签相应更改；支持手动修改病灶轮廓；支持在病灶列表或病灶框上删除当前选中病灶。</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智能量化分析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支持对阳性病灶区域进行智能量化分析，统计病灶面积指标，无需手动操作，算法结果直接呈现。</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支持全片肿瘤区域热力图显示的功能；</w:t>
            </w:r>
            <w:r>
              <w:rPr>
                <w:rFonts w:hint="eastAsia"/>
                <w:color w:val="auto"/>
                <w:highlight w:val="none"/>
              </w:rPr>
              <w:t xml:space="preserve">（</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12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异型组织量化：支持异型组织的列表显示，支持算法自动对病变组织进行识别定位。在病灶列表显示检出的病灶、病灶个数以及病灶的类别；并对异型组织的面积进行量化显示。支持点击列表中病灶，图像跳转并定位到当前病灶位置，选中病灶的矩形框高亮显示。</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支持选择隐藏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显示病灶和热力图，支持一键隐藏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显示。</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算法结果重置：支持手动添加、删除、修改病变，并支持算法结果重置。</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结构化病理报告</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结构化报告：支持肠活检病理分析结构化报告自动生成。</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病理报告集成：支持对接发送到医院现有的报告系统中，极大提升医生报告书写效率和报告标准一致性。</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允许用户对生成的报告文本进行手动编辑，调整分析内容。</w:t>
            </w:r>
            <w:r/>
          </w:p>
        </w:tc>
      </w:tr>
      <w:tr>
        <w:trPr>
          <w:trHeight w:val="300"/>
        </w:trPr>
        <w:tc>
          <w:tcPr>
            <w:shd w:val="clear" w:color="auto" w:fill="auto"/>
            <w:tcW w:w="823" w:type="pct"/>
            <w:vAlign w:val="center"/>
            <w:vMerge w:val="restart"/>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前列腺组织病理辅助分析</w:t>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前列腺病灶识别与分级</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支持自动分析病理切片，识别癌细胞的形态特征，并生成格林森评分，</w:t>
            </w:r>
            <w:r>
              <w:rPr>
                <w:rFonts w:hint="eastAsia" w:ascii="宋体" w:hAnsi="宋体"/>
                <w:color w:val="auto"/>
                <w:highlight w:val="none"/>
              </w:rPr>
              <w:t xml:space="preserve">模型算法准确性≥99%</w:t>
            </w:r>
            <w:r>
              <w:rPr>
                <w:rFonts w:hint="eastAsia" w:ascii="Times New Roman" w:hAnsi="Times New Roman" w:cs="宋体"/>
                <w:color w:val="auto"/>
                <w:szCs w:val="24"/>
                <w:highlight w:val="none"/>
              </w:rPr>
              <w:t xml:space="preserve">。</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智能识别病灶区域：支持前列腺组织病理切片中病变部分的智能识别功能，并对病理切片中的肿瘤组织进行勾画及定位。</w:t>
            </w:r>
            <w:r/>
          </w:p>
        </w:tc>
      </w:tr>
      <w:tr>
        <w:trPr>
          <w:trHeight w:val="6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格林森分级：支持输出格林森分级评分，包括</w:t>
            </w:r>
            <w:r>
              <w:rPr>
                <w:rFonts w:ascii="Times New Roman" w:hAnsi="Times New Roman"/>
                <w:color w:val="auto"/>
                <w:szCs w:val="24"/>
                <w:highlight w:val="none"/>
              </w:rPr>
              <w:t xml:space="preserve">Gleason</w:t>
            </w:r>
            <w:r>
              <w:rPr>
                <w:rFonts w:hint="eastAsia" w:ascii="Times New Roman" w:hAnsi="Times New Roman" w:cs="宋体"/>
                <w:color w:val="auto"/>
                <w:szCs w:val="24"/>
                <w:highlight w:val="none"/>
              </w:rPr>
              <w:t xml:space="preserve">评分、</w:t>
            </w:r>
            <w:r>
              <w:rPr>
                <w:rFonts w:ascii="Times New Roman" w:hAnsi="Times New Roman"/>
                <w:color w:val="auto"/>
                <w:szCs w:val="24"/>
                <w:highlight w:val="none"/>
              </w:rPr>
              <w:t xml:space="preserve">ISUP</w:t>
            </w:r>
            <w:r>
              <w:rPr>
                <w:rFonts w:hint="eastAsia" w:ascii="Times New Roman" w:hAnsi="Times New Roman" w:cs="宋体"/>
                <w:color w:val="auto"/>
                <w:szCs w:val="24"/>
                <w:highlight w:val="none"/>
              </w:rPr>
              <w:t xml:space="preserve">分级、肿瘤区域面积占比信息；支持用户手动修改分级。</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病灶分布热力图</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热力图分布：支持自动输出全片中病灶区域分布热力图，颜色越深的区域表示为病灶的可能性越大；</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热力图仅在≤10X时显示，支持通过空格键快速显示/隐藏热力图。</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支持一键隐藏</w:t>
            </w:r>
            <w:r>
              <w:rPr>
                <w:rFonts w:ascii="Times New Roman" w:hAnsi="Times New Roman"/>
                <w:color w:val="auto"/>
                <w:szCs w:val="24"/>
                <w:highlight w:val="none"/>
              </w:rPr>
              <w:t xml:space="preserve">/</w:t>
            </w:r>
            <w:r>
              <w:rPr>
                <w:rFonts w:hint="eastAsia" w:ascii="Times New Roman" w:hAnsi="Times New Roman" w:cs="宋体"/>
                <w:color w:val="auto"/>
                <w:szCs w:val="24"/>
                <w:highlight w:val="none"/>
              </w:rPr>
              <w:t xml:space="preserve">显示热力图。</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结构化病理报告</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结构化报告：支持前列腺组织病理分析结构化报告自动生成。</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病理报告集成：支持对接发送到医院现有的报告系统中，极大提升医生报告书写效率和报告标准一致性。</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手动编辑报告：允许用户对生成的报告文本进行手动编辑，调整分析内容。</w:t>
            </w:r>
            <w:r/>
          </w:p>
        </w:tc>
      </w:tr>
      <w:tr>
        <w:trPr>
          <w:trHeight w:val="31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提供报告生成后预览功能，并支持导出为</w:t>
            </w:r>
            <w:r>
              <w:rPr>
                <w:rFonts w:ascii="Times New Roman" w:hAnsi="Times New Roman"/>
                <w:color w:val="auto"/>
                <w:szCs w:val="24"/>
                <w:highlight w:val="none"/>
              </w:rPr>
              <w:t xml:space="preserve">PDF</w:t>
            </w:r>
            <w:r>
              <w:rPr>
                <w:rFonts w:hint="eastAsia" w:ascii="Times New Roman" w:hAnsi="Times New Roman" w:cs="宋体"/>
                <w:color w:val="auto"/>
                <w:szCs w:val="24"/>
                <w:highlight w:val="none"/>
              </w:rPr>
              <w:t xml:space="preserve">格式，便于下载和打印。</w:t>
            </w:r>
            <w:r/>
          </w:p>
        </w:tc>
      </w:tr>
      <w:tr>
        <w:trPr>
          <w:trHeight w:val="780"/>
        </w:trPr>
        <w:tc>
          <w:tcPr>
            <w:shd w:val="clear" w:color="auto" w:fill="auto"/>
            <w:tcW w:w="82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免疫组化Her-2定量分析辅助分析</w:t>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肿瘤细胞精准识别与定位</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Her-2酶标切片智能识别：支持对免疫组化Her-2酶标的切片进行分析，支持识别切片中的肿瘤细胞，</w:t>
            </w:r>
            <w:r>
              <w:rPr>
                <w:rFonts w:hint="eastAsia" w:ascii="宋体" w:hAnsi="宋体"/>
                <w:color w:val="auto"/>
                <w:highlight w:val="none"/>
              </w:rPr>
              <w:t xml:space="preserve">模型算法准确性≥95%</w:t>
            </w:r>
            <w:r>
              <w:rPr>
                <w:rFonts w:hint="eastAsia" w:ascii="Times New Roman" w:hAnsi="Times New Roman" w:cs="宋体"/>
                <w:color w:val="auto"/>
                <w:szCs w:val="24"/>
                <w:highlight w:val="none"/>
              </w:rPr>
              <w:t xml:space="preserve">。</w:t>
            </w:r>
            <w:r/>
          </w:p>
        </w:tc>
      </w:tr>
      <w:tr>
        <w:trPr>
          <w:trHeight w:val="78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Her-2酶标切片智能分类：支持对肿瘤细胞进行阳性显色与阴性不显色分类。</w:t>
            </w:r>
            <w:r/>
          </w:p>
        </w:tc>
      </w:tr>
      <w:tr>
        <w:trPr>
          <w:trHeight w:val="9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肿瘤细胞定位：支持精准定位肿瘤细胞，并对肿瘤细胞进行显色和不显色的分类识别。支持肿瘤细胞在＞10倍时自动显示细胞检测点，以不同颜色区分不同类别；支持肿瘤细胞＜10倍时自动隐藏细胞点。</w:t>
            </w:r>
            <w:r/>
          </w:p>
        </w:tc>
      </w:tr>
      <w:tr>
        <w:trPr>
          <w:trHeight w:val="72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Her-2酶标智能分类与量化分析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Her-2酶标切片智能识别：支持针对Her-2区分强阳膜完整、强阳膜不完整、中阳膜完整、中阳膜不完整、弱阳膜完整、弱阳膜不完整。</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Her-2酶标切片量化分析：支持对免疫组化切片Her-2提供智能定量分析。支持统计各类肿瘤细胞的占比；支持对Her-2切片提供Her-2评分。</w:t>
            </w:r>
            <w:r/>
          </w:p>
        </w:tc>
      </w:tr>
      <w:tr>
        <w:trPr>
          <w:trHeight w:val="641"/>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感兴趣区域（ROI）分析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手动添加病灶：支持用户手动添加ROI区域进行分析，可选择在自定义大小或固定大小镜下视野下添加病灶。</w:t>
            </w:r>
            <w:r/>
          </w:p>
        </w:tc>
      </w:tr>
      <w:tr>
        <w:trPr>
          <w:trHeight w:val="92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感兴趣区域（ROI）智能分析：针对ROI区域内各类显色阳性肿瘤细胞占比进行统计，对ROI面积进行计算。</w:t>
            </w:r>
            <w:r>
              <w:rPr>
                <w:rFonts w:hint="eastAsia"/>
                <w:color w:val="auto"/>
                <w:highlight w:val="none"/>
              </w:rPr>
              <w:t xml:space="preserve">（</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1155"/>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自定义调节与报告生成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自定义调节：支持自定义调节肿瘤细胞显色阈值；支持选择隐藏/显示病灶，可一键隐藏细胞检测点和病灶轮廓。</w:t>
            </w:r>
            <w:r/>
          </w:p>
        </w:tc>
      </w:tr>
      <w:tr>
        <w:trPr>
          <w:trHeight w:val="791"/>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结构化报告：支持Her-2免疫组化病理分析结构化报告自动生成，当一个病人有多个病理切片时，支持输出多项免疫组化结果。</w:t>
            </w:r>
            <w:r/>
          </w:p>
        </w:tc>
      </w:tr>
      <w:tr>
        <w:trPr>
          <w:trHeight w:val="98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病理报告集成：支持对接发送到医院现有的报告系统中，极大提升医生报告书写效率和报告标准一致性。</w:t>
            </w:r>
            <w:r/>
          </w:p>
        </w:tc>
      </w:tr>
      <w:tr>
        <w:trPr>
          <w:trHeight w:val="98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手动编辑：允许用户对生成的报告文本进行手动编辑，调整分析内容。提供报告生成后预览功能，并支持导出为PDF格式，便于下载和打印。</w:t>
            </w:r>
            <w:r/>
          </w:p>
        </w:tc>
      </w:tr>
      <w:tr>
        <w:trPr>
          <w:trHeight w:val="628"/>
        </w:trPr>
        <w:tc>
          <w:tcPr>
            <w:shd w:val="clear" w:color="auto" w:fill="auto"/>
            <w:tcW w:w="82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免疫组化PD-L1定量分析辅助分析</w:t>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肿瘤细胞识别和TPS评分</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肿瘤细胞识别：支持对免疫组化PD-L1切片智能识别肿瘤细胞分布，</w:t>
            </w:r>
            <w:r>
              <w:rPr>
                <w:rFonts w:hint="eastAsia" w:ascii="宋体" w:hAnsi="宋体"/>
                <w:color w:val="auto"/>
                <w:highlight w:val="none"/>
              </w:rPr>
              <w:t xml:space="preserve">模型算法准确性≥95%</w:t>
            </w:r>
            <w:r>
              <w:rPr>
                <w:rFonts w:hint="eastAsia" w:ascii="Times New Roman" w:hAnsi="Times New Roman" w:cs="宋体"/>
                <w:color w:val="auto"/>
                <w:szCs w:val="24"/>
                <w:highlight w:val="none"/>
              </w:rPr>
              <w:t xml:space="preserve">。</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▲智能判读TPS评分：输出TPS评分即全片阳性显色肿瘤细胞在全部肿瘤细胞中的占比。（提供体现相应功能的界面截图作为证明材料。）</w:t>
            </w:r>
            <w:r/>
          </w:p>
        </w:tc>
      </w:tr>
      <w:tr>
        <w:trPr>
          <w:trHeight w:val="9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PD-L1肿瘤细胞定位</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宋体" w:hAnsi="宋体" w:cs="宋体"/>
                <w:color w:val="auto"/>
                <w:highlight w:val="none"/>
              </w:rPr>
              <w:t xml:space="preserve">◆</w:t>
            </w:r>
            <w:r>
              <w:rPr>
                <w:rFonts w:hint="eastAsia" w:ascii="Times New Roman" w:hAnsi="Times New Roman" w:cs="宋体"/>
                <w:color w:val="auto"/>
                <w:szCs w:val="24"/>
                <w:highlight w:val="none"/>
              </w:rPr>
              <w:t xml:space="preserve">肿瘤细胞定位：算法精准定位肿瘤细胞，并对肿瘤细胞进行显色和不显色的分类识别。在＞10倍时自动显示细胞检测点，以不同颜色区分不同类别，＜10倍时自动隐藏细胞点。</w:t>
            </w:r>
            <w:r>
              <w:rPr>
                <w:rFonts w:hint="eastAsia"/>
                <w:color w:val="auto"/>
                <w:highlight w:val="none"/>
              </w:rPr>
              <w:t xml:space="preserve">（</w:t>
            </w:r>
            <w:r>
              <w:rPr>
                <w:rFonts w:hint="eastAsia" w:ascii="Times New Roman" w:hAnsi="Times New Roman" w:cs="宋体"/>
                <w:color w:val="auto"/>
                <w:szCs w:val="24"/>
                <w:highlight w:val="none"/>
              </w:rPr>
              <w:t xml:space="preserve">须提供体现相应内容的系统演示视频证明</w:t>
            </w:r>
            <w:r>
              <w:rPr>
                <w:rFonts w:hint="eastAsia"/>
                <w:color w:val="auto"/>
                <w:highlight w:val="none"/>
              </w:rPr>
              <w:t xml:space="preserve">）</w:t>
            </w:r>
            <w:r/>
          </w:p>
        </w:tc>
      </w:tr>
      <w:tr>
        <w:trPr>
          <w:trHeight w:val="12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添加病灶：支持手动添加病灶区域，并对添加的病灶区域内各类细胞进行统计；点击列表中病灶，图像跳转并定位到当前病灶位置，选中病灶的矩形框高亮显示；在图像中选中病灶轮廓，病灶列表中同步跳转至该条病灶并选中。</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1113" w:type="pct"/>
            <w:vAlign w:val="center"/>
            <w:vMerge w:val="restart"/>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自定义调节与报告生成</w:t>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自定义调节：支持自定义调节肿瘤细胞显色阈值；支持选择隐藏/显示病灶，可一键隐藏细胞检测点和病灶轮廓。</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结构化报告：支持PD-L1免疫组化结构化报告自动生成。</w:t>
            </w:r>
            <w:r/>
          </w:p>
        </w:tc>
      </w:tr>
      <w:tr>
        <w:trPr>
          <w:trHeight w:val="6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病理报告集成：支持对接发送到医院现有的报告系统中，极大提升医生报告书写效率和报告标准一致性。</w:t>
            </w:r>
            <w:r/>
          </w:p>
        </w:tc>
      </w:tr>
      <w:tr>
        <w:trPr>
          <w:trHeight w:val="300"/>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手动编辑报告：允许用户对生成的报告文本进行手动编辑，调整分析内容。</w:t>
            </w:r>
            <w:r/>
          </w:p>
        </w:tc>
      </w:tr>
      <w:tr>
        <w:trPr>
          <w:trHeight w:val="388"/>
        </w:trPr>
        <w:tc>
          <w:tcPr>
            <w:tcW w:w="82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tcW w:w="1113" w:type="pct"/>
            <w:vAlign w:val="center"/>
            <w:vMerge w:val="continue"/>
            <w:textDirection w:val="lrTb"/>
            <w:noWrap w:val="false"/>
          </w:tcPr>
          <w:p>
            <w:pPr>
              <w:jc w:val="left"/>
              <w:widowControl/>
              <w:rPr>
                <w:rFonts w:ascii="Times New Roman" w:hAnsi="Times New Roman" w:cs="宋体"/>
                <w:color w:val="auto"/>
                <w:szCs w:val="24"/>
                <w:highlight w:val="none"/>
              </w:rPr>
            </w:pPr>
            <w:r>
              <w:rPr>
                <w:rFonts w:ascii="Times New Roman" w:hAnsi="Times New Roman" w:cs="宋体"/>
                <w:color w:val="auto"/>
                <w:szCs w:val="24"/>
                <w:highlight w:val="none"/>
              </w:rPr>
            </w:r>
            <w:r/>
          </w:p>
        </w:tc>
        <w:tc>
          <w:tcPr>
            <w:shd w:val="clear" w:color="auto" w:fill="auto"/>
            <w:tcW w:w="3064" w:type="pct"/>
            <w:vAlign w:val="center"/>
            <w:textDirection w:val="lrTb"/>
            <w:noWrap w:val="false"/>
          </w:tcPr>
          <w:p>
            <w:pPr>
              <w:jc w:val="lef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提供报告生成后预览功能，并支持导出为PDF格式，便于下载和打印。</w:t>
            </w:r>
            <w:r/>
          </w:p>
        </w:tc>
      </w:tr>
    </w:tbl>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五、项目实施要求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结合医院实际情况，制定详细的系统实施方案，包括但不限于客户化修改、测试、试运行。承诺保证在合同规定时间内上线及上线系统的基本平稳。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1.项目团队要求：</w:t>
      </w:r>
      <w:r>
        <w:rPr>
          <w:rFonts w:hint="eastAsia" w:ascii="宋体" w:hAnsi="宋体" w:cs="宋体"/>
          <w:color w:val="auto"/>
          <w:szCs w:val="21"/>
          <w:highlight w:val="none"/>
        </w:rPr>
        <w:t xml:space="preserve">投标人应委派一名具有类似项目经验的负责人在现场进行项目管理与推进，保障项目顺利实施。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2.实施地点：苏北人民医院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3.实施管理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投标人需制定详细的实施方案，内容包括不限于项目组织保障、项目实施计划、项目实施关键要素分析、团队人员的配备等。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4.安装方案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投标人需制定详细的系统安装方案，内容包括不限于系统对接、设备连接方案、采集服务的搭建等。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5.验收方案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投标人需制定详细的系统调试和验收方案，内容包括不限于调试内容、方法、验收标准等。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6.安全要求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投标人在中标后需在项目建设过程中参照三同步原则，同步规划、同步建设、同步使用。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六、商务要求</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1.合同履行期限（供货期）</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合同签订后3个月内完成系统上线，试运行1个月（自上线之日起计算）。质保期自验收合格之日起开始计算。（提供承诺书加盖投标人公章，承诺书格式自拟，未提供作无效投标处理）</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2.项目</w:t>
      </w:r>
      <w:r>
        <w:rPr>
          <w:rFonts w:hint="eastAsia" w:ascii="宋体" w:hAnsi="宋体" w:cs="宋体"/>
          <w:b/>
          <w:bCs/>
          <w:color w:val="auto"/>
          <w:szCs w:val="21"/>
          <w:highlight w:val="none"/>
        </w:rPr>
        <w:t xml:space="preserve">验收要求</w:t>
      </w:r>
      <w:r/>
    </w:p>
    <w:p>
      <w:pPr>
        <w:numPr>
          <w:ilvl w:val="0"/>
          <w:numId w:val="0"/>
        </w:numPr>
        <w:ind w:left="0" w:firstLine="422"/>
        <w:spacing w:line="360" w:lineRule="auto"/>
        <w:rPr>
          <w:rFonts w:hint="eastAsia" w:ascii="宋体" w:hAnsi="宋体" w:cs="宋体"/>
          <w:b/>
          <w:bCs/>
          <w:i/>
          <w:iCs/>
          <w:color w:val="auto"/>
          <w:szCs w:val="21"/>
          <w:highlight w:val="none"/>
          <w:u w:val="single"/>
        </w:rPr>
      </w:pPr>
      <w:r>
        <w:rPr>
          <w:rFonts w:hint="default" w:ascii="宋体" w:hAnsi="宋体" w:eastAsia="宋体" w:cs="宋体"/>
          <w:b/>
          <w:bCs/>
          <w:i/>
          <w:iCs/>
          <w:color w:val="auto"/>
          <w:sz w:val="21"/>
          <w:szCs w:val="21"/>
          <w:lang w:val="en-US" w:eastAsia="zh-CN" w:bidi="ar-SA"/>
        </w:rPr>
        <w:t xml:space="preserve">(1)</w:t>
      </w:r>
      <w:r>
        <w:rPr>
          <w:rFonts w:hint="eastAsia" w:ascii="宋体" w:hAnsi="宋体" w:cs="宋体"/>
          <w:b/>
          <w:bCs/>
          <w:i/>
          <w:iCs/>
          <w:color w:val="auto"/>
          <w:szCs w:val="21"/>
          <w:highlight w:val="none"/>
          <w:u w:val="single"/>
        </w:rPr>
        <w:t xml:space="preserve">投标人需在投标文件中承诺，如果本项目未完成验收前，由于相关政策调整导致业务需求或技术标准发生变化，应按照最新政策完成本项目建设。</w:t>
      </w:r>
      <w:r>
        <w:rPr>
          <w:rFonts w:hint="eastAsia" w:ascii="宋体" w:hAnsi="宋体" w:cs="宋体"/>
          <w:b/>
          <w:i/>
          <w:iCs/>
          <w:color w:val="auto"/>
          <w:szCs w:val="21"/>
          <w:highlight w:val="none"/>
          <w:u w:val="single"/>
        </w:rPr>
        <w:t xml:space="preserve">（提供承诺书加盖投标人公章，承诺书格式自拟，未提供作无效投标处理）</w:t>
      </w:r>
      <w:r/>
    </w:p>
    <w:p>
      <w:pPr>
        <w:numPr>
          <w:ilvl w:val="0"/>
          <w:numId w:val="0"/>
        </w:numPr>
        <w:ind w:left="0" w:firstLine="422"/>
        <w:spacing w:line="360" w:lineRule="auto"/>
        <w:rPr>
          <w:rFonts w:hint="eastAsia" w:ascii="宋体" w:hAnsi="宋体" w:cs="宋体"/>
          <w:b/>
          <w:bCs/>
          <w:i/>
          <w:iCs/>
          <w:color w:val="auto"/>
          <w:szCs w:val="21"/>
          <w:highlight w:val="none"/>
          <w:u w:val="single"/>
        </w:rPr>
      </w:pPr>
      <w:r>
        <w:rPr>
          <w:rFonts w:hint="default" w:ascii="宋体" w:hAnsi="宋体" w:eastAsia="宋体" w:cs="宋体"/>
          <w:b/>
          <w:bCs/>
          <w:i/>
          <w:iCs/>
          <w:color w:val="auto"/>
          <w:sz w:val="21"/>
          <w:szCs w:val="21"/>
          <w:lang w:val="en-US" w:eastAsia="zh-CN" w:bidi="ar-SA"/>
        </w:rPr>
        <w:t xml:space="preserve">(2)</w:t>
      </w:r>
      <w:r>
        <w:rPr>
          <w:rFonts w:hint="eastAsia" w:ascii="宋体" w:hAnsi="宋体" w:cs="宋体"/>
          <w:b/>
          <w:bCs/>
          <w:i/>
          <w:iCs/>
          <w:color w:val="auto"/>
          <w:szCs w:val="21"/>
          <w:highlight w:val="none"/>
          <w:u w:val="single"/>
        </w:rPr>
        <w:t xml:space="preserve">投标人需承诺提供的产品须符合国家及相关行业规定。</w:t>
      </w:r>
      <w:r>
        <w:rPr>
          <w:rFonts w:hint="eastAsia" w:ascii="宋体" w:hAnsi="宋体" w:cs="宋体"/>
          <w:b/>
          <w:i/>
          <w:iCs/>
          <w:color w:val="auto"/>
          <w:szCs w:val="21"/>
          <w:highlight w:val="none"/>
          <w:u w:val="single"/>
        </w:rPr>
        <w:t xml:space="preserve">（提供承诺书加盖投标人公章，承诺书格式自拟，未提供作无效投标处理）</w:t>
      </w:r>
      <w:r/>
    </w:p>
    <w:p>
      <w:pPr>
        <w:numPr>
          <w:ilvl w:val="0"/>
          <w:numId w:val="0"/>
        </w:numPr>
        <w:ind w:left="0" w:firstLine="420"/>
        <w:spacing w:line="360" w:lineRule="auto"/>
        <w:rPr>
          <w:rFonts w:hint="eastAsia"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(3)</w:t>
      </w:r>
      <w:r>
        <w:rPr>
          <w:rFonts w:hint="eastAsia" w:ascii="宋体" w:hAnsi="宋体" w:cs="宋体"/>
          <w:bCs/>
          <w:color w:val="auto"/>
          <w:szCs w:val="21"/>
          <w:highlight w:val="none"/>
        </w:rPr>
        <w:t xml:space="preserve">投标人</w:t>
      </w:r>
      <w:r>
        <w:rPr>
          <w:rFonts w:hint="eastAsia" w:ascii="宋体" w:hAnsi="宋体" w:cs="宋体"/>
          <w:color w:val="auto"/>
          <w:szCs w:val="21"/>
          <w:highlight w:val="none"/>
        </w:rPr>
        <w:t xml:space="preserve">在项目上线平稳试运行运1个月后，向采购人提交验收申请，并提供以下验收材料，包括但不限于：项目实施方案、项目合同、项目建设相关文档、软件测评报告、安全测试报告等。</w:t>
      </w:r>
      <w:r/>
    </w:p>
    <w:p>
      <w:pPr>
        <w:numPr>
          <w:ilvl w:val="0"/>
          <w:numId w:val="0"/>
        </w:numPr>
        <w:ind w:left="0" w:firstLine="420"/>
        <w:spacing w:line="360" w:lineRule="auto"/>
        <w:rPr>
          <w:rFonts w:hint="eastAsia"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(4)</w:t>
      </w:r>
      <w:r>
        <w:rPr>
          <w:rFonts w:hint="eastAsia" w:ascii="宋体" w:hAnsi="宋体" w:cs="宋体"/>
          <w:color w:val="auto"/>
          <w:szCs w:val="21"/>
          <w:highlight w:val="none"/>
        </w:rPr>
        <w:t xml:space="preserve">采购人同意验收后，</w:t>
      </w:r>
      <w:r>
        <w:rPr>
          <w:rFonts w:hint="eastAsia" w:ascii="宋体" w:hAnsi="宋体" w:cs="宋体"/>
          <w:bCs/>
          <w:color w:val="auto"/>
          <w:szCs w:val="21"/>
          <w:highlight w:val="none"/>
        </w:rPr>
        <w:t xml:space="preserve">投标人</w:t>
      </w:r>
      <w:r>
        <w:rPr>
          <w:rFonts w:hint="eastAsia" w:ascii="宋体" w:hAnsi="宋体" w:cs="宋体"/>
          <w:color w:val="auto"/>
          <w:szCs w:val="21"/>
          <w:highlight w:val="none"/>
        </w:rPr>
        <w:t xml:space="preserve">需按照采购人指定的验收时间、方式、程序等要求，配合完成验收工作。</w:t>
      </w:r>
      <w:r/>
    </w:p>
    <w:p>
      <w:pPr>
        <w:numPr>
          <w:ilvl w:val="0"/>
          <w:numId w:val="0"/>
        </w:numPr>
        <w:ind w:left="0" w:firstLine="420"/>
        <w:spacing w:line="360" w:lineRule="auto"/>
        <w:rPr>
          <w:rFonts w:hint="eastAsia"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(5)</w:t>
      </w:r>
      <w:r>
        <w:rPr>
          <w:rFonts w:hint="eastAsia" w:ascii="宋体" w:hAnsi="宋体" w:cs="宋体"/>
          <w:color w:val="auto"/>
          <w:szCs w:val="21"/>
          <w:highlight w:val="none"/>
        </w:rPr>
        <w:t xml:space="preserve">采购人出具的验收报告未明确认定验收合格的，不视为验收合格。采购人要求整改的地方，</w:t>
      </w:r>
      <w:r>
        <w:rPr>
          <w:rFonts w:hint="eastAsia" w:ascii="宋体" w:hAnsi="宋体" w:cs="宋体"/>
          <w:bCs/>
          <w:color w:val="auto"/>
          <w:szCs w:val="21"/>
          <w:highlight w:val="none"/>
        </w:rPr>
        <w:t xml:space="preserve">投标人</w:t>
      </w:r>
      <w:r>
        <w:rPr>
          <w:rFonts w:hint="eastAsia" w:ascii="宋体" w:hAnsi="宋体" w:cs="宋体"/>
          <w:color w:val="auto"/>
          <w:szCs w:val="21"/>
          <w:highlight w:val="none"/>
        </w:rPr>
        <w:t xml:space="preserve">应在采购人要求的期限内完成整改。</w:t>
      </w:r>
      <w:r/>
    </w:p>
    <w:p>
      <w:pPr>
        <w:numPr>
          <w:ilvl w:val="0"/>
          <w:numId w:val="0"/>
        </w:numPr>
        <w:ind w:left="0" w:firstLine="420"/>
        <w:spacing w:line="360" w:lineRule="auto"/>
        <w:rPr>
          <w:rFonts w:hint="eastAsia"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(6)</w:t>
      </w:r>
      <w:r>
        <w:rPr>
          <w:rFonts w:hint="eastAsia" w:ascii="宋体" w:hAnsi="宋体" w:cs="宋体"/>
          <w:color w:val="auto"/>
          <w:szCs w:val="21"/>
          <w:highlight w:val="none"/>
        </w:rPr>
        <w:t xml:space="preserve">在项目实施过程中出现性能指标或功能上不符合招标文件、投标文件和合同要求时，由</w:t>
      </w:r>
      <w:r>
        <w:rPr>
          <w:rFonts w:hint="eastAsia" w:ascii="宋体" w:hAnsi="宋体" w:cs="宋体"/>
          <w:bCs/>
          <w:color w:val="auto"/>
          <w:szCs w:val="21"/>
          <w:highlight w:val="none"/>
        </w:rPr>
        <w:t xml:space="preserve">投标人</w:t>
      </w:r>
      <w:r>
        <w:rPr>
          <w:rFonts w:hint="eastAsia" w:ascii="宋体" w:hAnsi="宋体" w:cs="宋体"/>
          <w:color w:val="auto"/>
          <w:szCs w:val="21"/>
          <w:highlight w:val="none"/>
        </w:rPr>
        <w:t xml:space="preserve">负责解决，采购人有权拒绝验收并保留依法依规追究</w:t>
      </w:r>
      <w:r>
        <w:rPr>
          <w:rFonts w:hint="eastAsia" w:ascii="宋体" w:hAnsi="宋体" w:cs="宋体"/>
          <w:bCs/>
          <w:color w:val="auto"/>
          <w:szCs w:val="21"/>
          <w:highlight w:val="none"/>
        </w:rPr>
        <w:t xml:space="preserve">投标人</w:t>
      </w:r>
      <w:r>
        <w:rPr>
          <w:rFonts w:hint="eastAsia" w:ascii="宋体" w:hAnsi="宋体" w:cs="宋体"/>
          <w:color w:val="auto"/>
          <w:szCs w:val="21"/>
          <w:highlight w:val="none"/>
        </w:rPr>
        <w:t xml:space="preserve">责任的权利。</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3.质保期</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本项目提供自验收合格之日起不少于2年的免费质保与技术支持。（提供承诺书加盖投标人公章，承诺书格式自拟，未提供作无效投标处理）</w:t>
      </w:r>
      <w:r/>
    </w:p>
    <w:p>
      <w:pPr>
        <w:numPr>
          <w:ilvl w:val="0"/>
          <w:numId w:val="7"/>
        </w:num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免费维护期内，负责软件的免费升级、维护和技术支持，需对院方提出的问题建立维护记录，并交付院方留存。工作说明书对免费维护期有特殊约定的，按工作说明书执行。</w:t>
      </w:r>
      <w:r/>
    </w:p>
    <w:p>
      <w:pPr>
        <w:numPr>
          <w:ilvl w:val="0"/>
          <w:numId w:val="7"/>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对于因国家法律法规及地方相关政策变化导致的软件策略改变，投标人应提供其具有长期进行本系统服务（包括维护和再开发）的能力。</w:t>
      </w:r>
      <w:r/>
    </w:p>
    <w:p>
      <w:pPr>
        <w:numPr>
          <w:ilvl w:val="0"/>
          <w:numId w:val="7"/>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免费维护期内，按照合同维保要求进行系统巡检。免费维护期满后，双方另外签署收费维护期合同。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4.售后服务要求</w:t>
      </w:r>
      <w:r/>
    </w:p>
    <w:p>
      <w:pPr>
        <w:numPr>
          <w:ilvl w:val="0"/>
          <w:numId w:val="8"/>
        </w:numPr>
        <w:ind w:firstLine="422"/>
        <w:spacing w:line="360" w:lineRule="auto"/>
        <w:rPr>
          <w:rFonts w:hint="eastAsia"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质保期内，本合同项目所有技术和服务发生任何非人为故障，由投标人负责系统恢复。免费维护期内，提供24小时服务。对于一般故障，应在接到院方通知后15分钟内响应，1小时内恢复系统正常运行；对于紧急故障，应在5分钟内响应，半小时内恢复系统正常运行。故障问题解决后及时向采购人提交问题处理报告，说明问题种类、问题原因、问题解决中使用的方法及造成的损失等情况。（提供承诺书加盖投标人公章，承诺书格式自拟，未提供作无效投标处理）</w:t>
      </w:r>
      <w:r/>
    </w:p>
    <w:p>
      <w:pPr>
        <w:numPr>
          <w:ilvl w:val="0"/>
          <w:numId w:val="8"/>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质保期内，对采购人提出的合理服务要求，投标人必须即时进行电话、邮件及远程网络支持，并在2小时内到场服务。如不到场，采购人有权自行处理，相关费用由投标人负责。</w:t>
      </w:r>
      <w:r/>
    </w:p>
    <w:p>
      <w:pPr>
        <w:numPr>
          <w:ilvl w:val="0"/>
          <w:numId w:val="8"/>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投标人需提供定期回访服务，对采购人提出的合理优化建议应提供免费升级服务。</w:t>
      </w:r>
      <w:r/>
    </w:p>
    <w:p>
      <w:pPr>
        <w:numPr>
          <w:ilvl w:val="0"/>
          <w:numId w:val="8"/>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所有的服务方式均为投标人上门保修或者远程处理，即由投标人派专业工程师到系统使用现场进行故障恢复或者远程处理，由此产生的一切费用均由投标人承担。</w:t>
      </w:r>
      <w:r/>
    </w:p>
    <w:p>
      <w:pPr>
        <w:numPr>
          <w:ilvl w:val="0"/>
          <w:numId w:val="8"/>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投标人需在项目调研期、数据转换期及项目上线的初期等阶段，投标人</w:t>
      </w:r>
      <w:r>
        <w:rPr>
          <w:rFonts w:hint="eastAsia" w:ascii="宋体" w:hAnsi="宋体" w:cs="宋体"/>
          <w:bCs/>
          <w:color w:val="auto"/>
          <w:szCs w:val="21"/>
          <w:highlight w:val="none"/>
          <w:lang w:bidi="ar"/>
        </w:rPr>
        <w:t xml:space="preserve">需安排专业工程师派驻现场</w:t>
      </w:r>
      <w:r>
        <w:rPr>
          <w:rFonts w:hint="eastAsia" w:ascii="宋体" w:hAnsi="宋体" w:cs="宋体"/>
          <w:bCs/>
          <w:color w:val="auto"/>
          <w:szCs w:val="21"/>
          <w:highlight w:val="none"/>
        </w:rPr>
        <w:t xml:space="preserve">提供相关技术支持及服务。</w:t>
      </w:r>
      <w:r>
        <w:rPr>
          <w:rFonts w:hint="eastAsia" w:ascii="宋体" w:hAnsi="宋体" w:cs="宋体"/>
          <w:bCs/>
          <w:color w:val="auto"/>
          <w:szCs w:val="21"/>
          <w:highlight w:val="none"/>
          <w:lang w:bidi="ar"/>
        </w:rPr>
        <w:t xml:space="preserve">（人数不少于1人，接受医院管理，服从医院工作安排）</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5.运维及应急响应服务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需提供运维及应急响应技术服务，提供迅速解决各种紧急安全问题的技术支持，控制事态发展；保护或恢复主机、网络服务的正常工作；并且提供事后分析，找出信息系统的安全漏洞，根据现场保留情况尽可能对入侵者进行追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（2）应急响应时间：全年7×24小时。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（3）响应方式：远程支持或现场支持。远程支持可以采用电话、E-mail，远程加密登录等方式。当远程支持无法解决问题时，中标人需派遣专业的紧急响应服务人员在第一时间到达现场提供服务。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6.培训服务</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投标人需根据项目相关交付内容提供有针对性的培训方案，针对不同系统，保障每月不少于1次培训，包括但不限于培训计划、培训方式、培训对象、培训内容等内容。</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投标人需按照采购人要求提供免费的现场培训和线上培训，确保被培训人员全面了解和掌握本项目所涉及的基本原理、技术特性、操作使用、管理维护等内容。</w:t>
      </w:r>
      <w:r/>
    </w:p>
    <w:p>
      <w:pPr>
        <w:numPr>
          <w:ilvl w:val="0"/>
          <w:numId w:val="9"/>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投标人为所有被培训人员提供培训使用的教材讲义、操作指南等相关材料。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7.报价说明</w:t>
      </w:r>
      <w:r/>
    </w:p>
    <w:p>
      <w:pPr>
        <w:numPr>
          <w:ilvl w:val="0"/>
          <w:numId w:val="1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numPr>
          <w:ilvl w:val="0"/>
          <w:numId w:val="1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投标人的任何错漏、优惠、竞争性报价不得作为减轻责任、减少服务、增加收费、降低服务质量的理由。</w:t>
      </w:r>
      <w:r/>
    </w:p>
    <w:p>
      <w:pPr>
        <w:numPr>
          <w:ilvl w:val="0"/>
          <w:numId w:val="1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投标人报价除包含招标文件中列明的项目外还应包括保障服务正常运行应当具有的物资和服务，对项目正常运行应当具有的物资和服务理解不一致的以采购人理解为准。</w:t>
      </w:r>
      <w:r/>
    </w:p>
    <w:p>
      <w:pPr>
        <w:numPr>
          <w:ilvl w:val="0"/>
          <w:numId w:val="1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软件采购人可以永久使用，产品所有接口永久开放，费用包含在本次总报价中，采购人不再另行支付额外费用。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8.知识产权要求</w:t>
      </w:r>
      <w:r/>
    </w:p>
    <w:p>
      <w:pPr>
        <w:numPr>
          <w:ilvl w:val="0"/>
          <w:numId w:val="1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numPr>
          <w:ilvl w:val="0"/>
          <w:numId w:val="11"/>
        </w:num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提供承诺书加盖投标人公章，承诺书格式自拟，未提供作无效投标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9.保密要求</w:t>
      </w:r>
      <w:r/>
    </w:p>
    <w:p>
      <w:pPr>
        <w:numPr>
          <w:ilvl w:val="0"/>
          <w:numId w:val="12"/>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投标人须对本项目技术文件、采购人提供的所有内部资料、技术文档、系统数据（包含原始数据和衍生数据）和信息予以保密。投标人须签订保密承诺书，并严格遵守。</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10.其他要求</w:t>
      </w:r>
      <w:r/>
    </w:p>
    <w:p>
      <w:pPr>
        <w:numPr>
          <w:ilvl w:val="0"/>
          <w:numId w:val="13"/>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投标人应对照招标文件要求，书面说明已对采购人的需求做出了实质性的响应，或申明与需求的偏差和例外。</w:t>
      </w:r>
      <w:r/>
    </w:p>
    <w:p>
      <w:pPr>
        <w:numPr>
          <w:ilvl w:val="0"/>
          <w:numId w:val="13"/>
        </w:num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56"/>
        <w:numPr>
          <w:ilvl w:val="0"/>
          <w:numId w:val="13"/>
        </w:num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如果发生因投标人安全措施不力造成的事故责任、或者其他工作失误，由此所产生的一切责任由投标人承担。</w:t>
      </w:r>
      <w:r/>
    </w:p>
    <w:p>
      <w:pPr>
        <w:numPr>
          <w:ilvl w:val="0"/>
          <w:numId w:val="13"/>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如因投标人投入人员过少原因，造成无法在承诺工期内完成服务，由此产生的一切责任由投标人承担。</w:t>
      </w:r>
      <w:r/>
    </w:p>
    <w:p>
      <w:pPr>
        <w:numPr>
          <w:ilvl w:val="0"/>
          <w:numId w:val="13"/>
        </w:numPr>
        <w:ind w:firstLine="420"/>
        <w:spacing w:line="360" w:lineRule="auto"/>
        <w:rPr>
          <w:rFonts w:hint="eastAsia" w:ascii="宋体" w:hAnsi="宋体" w:cs="宋体"/>
          <w:bCs/>
          <w:color w:val="auto"/>
          <w:sz w:val="24"/>
          <w:szCs w:val="24"/>
          <w:highlight w:val="none"/>
        </w:rPr>
      </w:pPr>
      <w:r>
        <w:rPr>
          <w:rFonts w:hint="eastAsia" w:ascii="宋体" w:hAnsi="宋体" w:cs="宋体"/>
          <w:bCs/>
          <w:color w:val="auto"/>
          <w:szCs w:val="21"/>
          <w:highlight w:val="none"/>
        </w:rPr>
        <w:t xml:space="preserve">其他未尽事宜按投标人所提供的相应承诺执行。</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、节能产品要求</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并在投标文件内提供由国家确定的认证机构出具的、处于有效期之内的节能产品认证证书原件，扫描上传，否则视为无效投标。（本项目涉及强制采购范围内产品有：无）</w:t>
      </w:r>
      <w:r/>
    </w:p>
    <w:p>
      <w:pPr>
        <w:rPr>
          <w:color w:val="auto"/>
          <w:highlight w:val="none"/>
        </w:rPr>
      </w:pPr>
      <w:r/>
      <w:bookmarkStart w:id="63" w:name="_Toc29995"/>
      <w:r>
        <w:rPr>
          <w:rFonts w:hint="eastAsia"/>
          <w:color w:val="auto"/>
          <w:highlight w:val="none"/>
        </w:rPr>
        <w:br w:type="page" w:clear="all"/>
      </w:r>
      <w:r/>
    </w:p>
    <w:p>
      <w:pPr>
        <w:pStyle w:val="744"/>
        <w:rPr>
          <w:color w:val="auto"/>
          <w:highlight w:val="none"/>
        </w:rPr>
      </w:pPr>
      <w:r>
        <w:rPr>
          <w:rFonts w:hint="eastAsia"/>
          <w:color w:val="auto"/>
          <w:highlight w:val="none"/>
        </w:rPr>
        <w:t xml:space="preserve">第五章 评标方法及评标标准</w:t>
      </w:r>
      <w:bookmarkEnd w:id="62"/>
      <w:r/>
      <w:bookmarkEnd w:id="63"/>
      <w:r/>
      <w:r/>
    </w:p>
    <w:p>
      <w:pPr>
        <w:pStyle w:val="988"/>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88"/>
        <w:ind w:firstLine="420"/>
        <w:spacing w:before="0" w:after="0"/>
        <w:rPr>
          <w:rFonts w:hint="eastAsia" w:ascii="宋体" w:hAnsi="宋体" w:cs="宋体"/>
          <w:color w:val="auto"/>
          <w:sz w:val="21"/>
          <w:szCs w:val="21"/>
          <w:highlight w:val="none"/>
        </w:rPr>
      </w:pPr>
      <w:r/>
      <w:bookmarkStart w:id="64" w:name="_Toc449016388"/>
      <w:r/>
      <w:bookmarkStart w:id="65"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4"/>
      <w:r/>
      <w:bookmarkEnd w:id="65"/>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（二）采购本国产品的支持政策</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8"/>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54"/>
        <w:tblpPr w:horzAnchor="page" w:tblpX="1658" w:vertAnchor="text" w:tblpY="425"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6980"/>
      </w:tblGrid>
      <w:tr>
        <w:trPr>
          <w:trHeight w:val="507"/>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其他投标人的价格分统一按照下列公式计算：</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投标报价得分=(评标基准价／投标报价)×30×100%，结果保留两位有效小数。</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注：评标委员会认为投标人的报价明显低于其他通过符合性审查投标人的报价，有可能影响货物或服务质量或者不能诚信履约的，且投标人不能在评标现场合理的时间内证明其报价合理性的，评标委员会有权将其作为无效投标处理。</w:t>
            </w:r>
            <w:r/>
          </w:p>
        </w:tc>
      </w:tr>
      <w:tr>
        <w:trPr>
          <w:trHeight w:val="1805"/>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技术参数</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（34分）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投标人所投产品全部满足或优于第四章项目需求</w:t>
            </w:r>
            <w:r>
              <w:rPr>
                <w:rFonts w:hint="eastAsia" w:ascii="宋体" w:hAnsi="宋体" w:cs="宋体"/>
                <w:b/>
                <w:bCs/>
                <w:color w:val="auto"/>
                <w:szCs w:val="21"/>
                <w:highlight w:val="none"/>
              </w:rPr>
              <w:t xml:space="preserve">【四、项目功能要求</w:t>
            </w:r>
            <w:r>
              <w:rPr>
                <w:rFonts w:hint="eastAsia" w:ascii="宋体" w:hAnsi="宋体" w:cs="宋体"/>
                <w:color w:val="auto"/>
                <w:szCs w:val="21"/>
                <w:highlight w:val="none"/>
              </w:rPr>
              <w:t xml:space="preserve">】的，得34分。评委根据投标文件中《技术参数响应及偏离表》，结合投标文件提供的佐证材料等进行评审。</w:t>
            </w:r>
            <w:r/>
          </w:p>
          <w:p>
            <w:pPr>
              <w:rPr>
                <w:color w:val="auto"/>
                <w:highlight w:val="none"/>
              </w:rPr>
            </w:pPr>
            <w:r>
              <w:rPr>
                <w:rFonts w:hint="eastAsia" w:ascii="宋体" w:hAnsi="宋体" w:cs="宋体"/>
                <w:color w:val="auto"/>
                <w:szCs w:val="21"/>
                <w:highlight w:val="none"/>
              </w:rPr>
              <w:t xml:space="preserve">1、</w:t>
            </w:r>
            <w:r>
              <w:rPr>
                <w:rFonts w:hint="eastAsia"/>
                <w:color w:val="auto"/>
                <w:highlight w:val="none"/>
              </w:rPr>
              <w:t xml:space="preserve">项目功能要求</w:t>
            </w:r>
            <w:r>
              <w:rPr>
                <w:color w:val="auto"/>
                <w:highlight w:val="none"/>
              </w:rPr>
              <w:t xml:space="preserve">中</w:t>
            </w:r>
            <w:r>
              <w:rPr>
                <w:rFonts w:hint="eastAsia"/>
                <w:color w:val="auto"/>
                <w:highlight w:val="none"/>
              </w:rPr>
              <w:t xml:space="preserve">，</w:t>
            </w:r>
            <w:r>
              <w:rPr>
                <w:color w:val="auto"/>
                <w:highlight w:val="none"/>
              </w:rPr>
              <w:t xml:space="preserve">带</w:t>
            </w:r>
            <w:r>
              <w:rPr>
                <w:rFonts w:hint="eastAsia" w:ascii="宋体" w:hAnsi="宋体" w:cs="宋体"/>
                <w:color w:val="auto"/>
                <w:szCs w:val="21"/>
                <w:highlight w:val="none"/>
              </w:rPr>
              <w:t xml:space="preserve">“</w:t>
            </w:r>
            <w:bookmarkStart w:id="66" w:name="OLE_LINK1"/>
            <w:r>
              <w:rPr>
                <w:rFonts w:hint="eastAsia" w:ascii="宋体" w:hAnsi="宋体" w:cs="宋体"/>
                <w:color w:val="auto"/>
                <w:highlight w:val="none"/>
              </w:rPr>
              <w:t xml:space="preserve">◆</w:t>
            </w:r>
            <w:bookmarkEnd w:id="66"/>
            <w:r>
              <w:rPr>
                <w:rFonts w:hint="eastAsia" w:ascii="宋体" w:hAnsi="宋体" w:cs="宋体"/>
                <w:color w:val="auto"/>
                <w:szCs w:val="21"/>
                <w:highlight w:val="none"/>
              </w:rPr>
              <w:t xml:space="preserve">”</w:t>
            </w:r>
            <w:r>
              <w:rPr>
                <w:color w:val="auto"/>
                <w:highlight w:val="none"/>
              </w:rPr>
              <w:t xml:space="preserve">号的为关键</w:t>
            </w:r>
            <w:r>
              <w:rPr>
                <w:rFonts w:hint="eastAsia"/>
                <w:color w:val="auto"/>
                <w:highlight w:val="none"/>
              </w:rPr>
              <w:t xml:space="preserve">参数</w:t>
            </w:r>
            <w:r>
              <w:rPr>
                <w:color w:val="auto"/>
                <w:highlight w:val="none"/>
              </w:rPr>
              <w:t xml:space="preserve">，共</w:t>
            </w:r>
            <w:r>
              <w:rPr>
                <w:rFonts w:hint="eastAsia"/>
                <w:color w:val="auto"/>
                <w:highlight w:val="none"/>
              </w:rPr>
              <w:t xml:space="preserve">9</w:t>
            </w:r>
            <w:r>
              <w:rPr>
                <w:color w:val="auto"/>
                <w:highlight w:val="none"/>
              </w:rPr>
              <w:t xml:space="preserve">项，须提供系统演示视频证明满足相关功能</w:t>
            </w:r>
            <w:r>
              <w:rPr>
                <w:rFonts w:hint="eastAsia"/>
                <w:color w:val="auto"/>
                <w:highlight w:val="none"/>
              </w:rPr>
              <w:t xml:space="preserve">。</w:t>
            </w:r>
            <w:r>
              <w:rPr>
                <w:color w:val="auto"/>
                <w:highlight w:val="none"/>
              </w:rPr>
              <w:t xml:space="preserve">每条提供真实系统功能演示视频，不能完全满足要求或其他证明形式的，</w:t>
            </w:r>
            <w:r>
              <w:rPr>
                <w:rFonts w:hint="eastAsia"/>
                <w:color w:val="auto"/>
                <w:highlight w:val="none"/>
              </w:rPr>
              <w:t xml:space="preserve">每条扣2分，累计最多扣18分</w:t>
            </w:r>
            <w:r>
              <w:rPr>
                <w:color w:val="auto"/>
                <w:highlight w:val="none"/>
              </w:rPr>
              <w:t xml:space="preserve">。</w:t>
            </w:r>
            <w:r/>
          </w:p>
          <w:p>
            <w:pPr>
              <w:rPr>
                <w:rFonts w:hint="eastAsia" w:ascii="宋体" w:hAnsi="宋体" w:cs="宋体"/>
                <w:color w:val="auto"/>
                <w:szCs w:val="21"/>
                <w:highlight w:val="none"/>
              </w:rPr>
            </w:pPr>
            <w:r>
              <w:rPr>
                <w:rFonts w:hint="eastAsia"/>
                <w:color w:val="auto"/>
                <w:highlight w:val="none"/>
              </w:rPr>
              <w:t xml:space="preserve">注：投标人需按照招标文件规定的演示内容制作演示视频文件，视频文件的格式为*.mp4或*.avi（单个文件不得大于50M）。演示时间：视频时长总计应控制在7分钟内。</w:t>
            </w:r>
            <w:r/>
          </w:p>
          <w:p>
            <w:pPr>
              <w:numPr>
                <w:ilvl w:val="0"/>
                <w:numId w:val="14"/>
              </w:numPr>
              <w:rPr>
                <w:rFonts w:hint="eastAsia" w:ascii="宋体" w:hAnsi="宋体" w:cs="宋体"/>
                <w:color w:val="auto"/>
                <w:szCs w:val="21"/>
                <w:highlight w:val="none"/>
              </w:rPr>
            </w:pPr>
            <w:r>
              <w:rPr>
                <w:rFonts w:hint="eastAsia"/>
                <w:color w:val="auto"/>
                <w:highlight w:val="none"/>
              </w:rPr>
              <w:t xml:space="preserve">项目功能要求</w:t>
            </w:r>
            <w:r>
              <w:rPr>
                <w:color w:val="auto"/>
                <w:highlight w:val="none"/>
              </w:rPr>
              <w:t xml:space="preserve">中</w:t>
            </w:r>
            <w:r>
              <w:rPr>
                <w:rFonts w:hint="eastAsia"/>
                <w:color w:val="auto"/>
                <w:highlight w:val="none"/>
              </w:rPr>
              <w:t xml:space="preserve">，</w:t>
            </w:r>
            <w:r>
              <w:rPr>
                <w:rFonts w:hint="eastAsia" w:ascii="宋体" w:hAnsi="宋体" w:cs="宋体"/>
                <w:color w:val="auto"/>
                <w:szCs w:val="21"/>
                <w:highlight w:val="none"/>
              </w:rPr>
              <w:t xml:space="preserve">标注“▲”的为重要参数，共8项，</w:t>
            </w:r>
            <w:r>
              <w:rPr>
                <w:rFonts w:hint="eastAsia"/>
                <w:color w:val="auto"/>
                <w:highlight w:val="none"/>
              </w:rPr>
              <w:t xml:space="preserve">按照要求提供证明材料</w:t>
            </w:r>
            <w:r>
              <w:rPr>
                <w:rFonts w:hint="eastAsia" w:ascii="宋体" w:hAnsi="宋体" w:cs="宋体"/>
                <w:color w:val="auto"/>
                <w:szCs w:val="21"/>
                <w:highlight w:val="none"/>
              </w:rPr>
              <w:t xml:space="preserve">，每负偏离一项、未提供或未按要求提供佐证材料的扣1.5分，</w:t>
            </w:r>
            <w:r>
              <w:rPr>
                <w:rFonts w:ascii="宋体" w:hAnsi="宋体" w:cs="宋体"/>
                <w:color w:val="auto"/>
                <w:szCs w:val="21"/>
                <w:highlight w:val="none"/>
              </w:rPr>
              <w:t xml:space="preserve">累计最多扣</w:t>
            </w:r>
            <w:r>
              <w:rPr>
                <w:rFonts w:hint="eastAsia" w:ascii="宋体" w:hAnsi="宋体" w:cs="宋体"/>
                <w:color w:val="auto"/>
                <w:szCs w:val="21"/>
                <w:highlight w:val="none"/>
              </w:rPr>
              <w:t xml:space="preserve">12</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rPr>
                <w:rFonts w:hint="eastAsia" w:ascii="宋体" w:hAnsi="宋体" w:cs="宋体"/>
                <w:color w:val="auto"/>
                <w:szCs w:val="21"/>
                <w:highlight w:val="none"/>
              </w:rPr>
            </w:pPr>
            <w:r>
              <w:rPr>
                <w:rFonts w:hint="eastAsia" w:ascii="宋体" w:hAnsi="宋体" w:cs="宋体"/>
                <w:b/>
                <w:bCs/>
                <w:color w:val="auto"/>
                <w:szCs w:val="21"/>
                <w:highlight w:val="none"/>
              </w:rPr>
              <w:t xml:space="preserve">注：上述1、2条技术参数中，带“◆”号的为关键参数，共9项，标注“▲”的为重要参数，共8项，合计17个参数，负偏离（不满足）≥9项的，视为针对本项目</w:t>
            </w:r>
            <w:r>
              <w:rPr>
                <w:rFonts w:hint="eastAsia" w:ascii="宋体" w:hAnsi="宋体" w:cs="宋体"/>
                <w:b/>
                <w:bCs/>
                <w:color w:val="auto"/>
                <w:szCs w:val="21"/>
                <w:highlight w:val="none"/>
                <w:lang w:val="en-US" w:eastAsia="zh-CN"/>
              </w:rPr>
              <w:t xml:space="preserve">的</w:t>
            </w:r>
            <w:r>
              <w:rPr>
                <w:rFonts w:hint="eastAsia" w:ascii="宋体" w:hAnsi="宋体" w:cs="宋体"/>
                <w:b/>
                <w:bCs/>
                <w:color w:val="auto"/>
                <w:szCs w:val="21"/>
                <w:highlight w:val="none"/>
              </w:rPr>
              <w:t xml:space="preserve">实施属于重大偏离，技术参数整项评审不得分。</w:t>
            </w:r>
            <w:r>
              <w:rPr>
                <w:rFonts w:hint="eastAsia" w:ascii="宋体" w:hAnsi="宋体" w:cs="宋体"/>
                <w:color w:val="auto"/>
                <w:szCs w:val="21"/>
                <w:highlight w:val="none"/>
              </w:rPr>
              <w:t xml:space="preserve">3、</w:t>
            </w:r>
            <w:r>
              <w:rPr>
                <w:rFonts w:hint="eastAsia"/>
                <w:color w:val="auto"/>
                <w:highlight w:val="none"/>
              </w:rPr>
              <w:t xml:space="preserve">项目功能要求</w:t>
            </w:r>
            <w:r>
              <w:rPr>
                <w:color w:val="auto"/>
                <w:highlight w:val="none"/>
              </w:rPr>
              <w:t xml:space="preserve">中</w:t>
            </w:r>
            <w:r>
              <w:rPr>
                <w:rFonts w:hint="eastAsia"/>
                <w:color w:val="auto"/>
                <w:highlight w:val="none"/>
              </w:rPr>
              <w:t xml:space="preserve">，</w:t>
            </w:r>
            <w:r>
              <w:rPr>
                <w:rFonts w:hint="eastAsia" w:ascii="宋体" w:hAnsi="宋体" w:cs="宋体"/>
                <w:color w:val="auto"/>
                <w:szCs w:val="21"/>
                <w:highlight w:val="none"/>
              </w:rPr>
              <w:t xml:space="preserve">未标注“</w:t>
            </w:r>
            <w:r>
              <w:rPr>
                <w:rFonts w:hint="eastAsia" w:ascii="宋体" w:hAnsi="宋体" w:cs="宋体"/>
                <w:color w:val="auto"/>
                <w:highlight w:val="none"/>
              </w:rPr>
              <w:t xml:space="preserve">◆</w:t>
            </w:r>
            <w:r>
              <w:rPr>
                <w:rFonts w:hint="eastAsia" w:ascii="宋体" w:hAnsi="宋体" w:cs="宋体"/>
                <w:color w:val="auto"/>
                <w:szCs w:val="21"/>
                <w:highlight w:val="none"/>
              </w:rPr>
              <w:t xml:space="preserve">”“▲”的为一般参数，总计负偏离项数：1~5项，扣1分，总计负偏离项数：6~10项，扣2分，总计负偏离项数：11~15项，扣3分，总计负偏离项数：≥16项，扣4分，共4分。</w:t>
            </w:r>
            <w:r/>
          </w:p>
          <w:p>
            <w:pPr>
              <w:pStyle w:val="831"/>
              <w:ind w:left="0"/>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pStyle w:val="831"/>
              <w:ind w:left="0"/>
              <w:jc w:val="left"/>
              <w:rPr>
                <w:rFonts w:hint="eastAsia" w:ascii="宋体" w:hAnsi="宋体" w:cs="宋体"/>
                <w:b/>
                <w:bCs/>
                <w:color w:val="auto"/>
                <w:szCs w:val="21"/>
                <w:highlight w:val="none"/>
              </w:rPr>
            </w:pP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仅对小标题下明确列出的此类功能项打分，大标题（如“1、数字病理图像智能管理平台”等）为概括性标题，仅为内容组织框架，不参与评分。</w:t>
            </w:r>
            <w:r/>
          </w:p>
          <w:p>
            <w:pPr>
              <w:pStyle w:val="831"/>
              <w:ind w:left="0"/>
              <w:jc w:val="left"/>
              <w:rPr>
                <w:rFonts w:hint="eastAsia" w:ascii="宋体" w:hAnsi="宋体" w:cs="宋体"/>
                <w:b/>
                <w:bCs/>
                <w:color w:val="auto"/>
                <w:szCs w:val="21"/>
                <w:highlight w:val="none"/>
              </w:rPr>
            </w:pP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对技术要求中标注</w:t>
            </w:r>
            <w:r>
              <w:rPr>
                <w:rFonts w:hint="eastAsia" w:ascii="宋体" w:hAnsi="宋体" w:cs="宋体"/>
                <w:color w:val="auto"/>
                <w:szCs w:val="21"/>
                <w:highlight w:val="none"/>
              </w:rPr>
              <w:t xml:space="preserve">“</w:t>
            </w:r>
            <w:r>
              <w:rPr>
                <w:rFonts w:hint="eastAsia" w:ascii="宋体" w:hAnsi="宋体" w:cs="宋体"/>
                <w:color w:val="auto"/>
                <w:highlight w:val="none"/>
              </w:rPr>
              <w:t xml:space="preserve">◆</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关键参数和“▲”的重要参数，应按参数末括号内要求提供相应证明材料并在《技术参数响应及偏离表》中逐项说明偏离情况。如提供的软件功能截图或演示视频的，应涵盖该项模块的所有功能明细，未提供相应材料或提供的材料不符合招标文件要求将视为负偏离，不予计分。</w:t>
            </w:r>
            <w:r/>
          </w:p>
          <w:p>
            <w:pPr>
              <w:pStyle w:val="831"/>
              <w:ind w:left="0"/>
              <w:jc w:val="left"/>
              <w:rPr>
                <w:rFonts w:hint="eastAsia" w:ascii="宋体" w:hAnsi="宋体" w:cs="宋体"/>
                <w:b/>
                <w:bCs/>
                <w:color w:val="auto"/>
                <w:szCs w:val="21"/>
                <w:highlight w:val="none"/>
              </w:rPr>
            </w:pP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未标注</w:t>
            </w:r>
            <w:r>
              <w:rPr>
                <w:rFonts w:hint="eastAsia" w:ascii="宋体" w:hAnsi="宋体" w:cs="宋体"/>
                <w:color w:val="auto"/>
                <w:szCs w:val="21"/>
                <w:highlight w:val="none"/>
              </w:rPr>
              <w:t xml:space="preserve">“</w:t>
            </w:r>
            <w:r>
              <w:rPr>
                <w:rFonts w:hint="eastAsia" w:ascii="宋体" w:hAnsi="宋体" w:cs="宋体"/>
                <w:color w:val="auto"/>
                <w:highlight w:val="none"/>
              </w:rPr>
              <w:t xml:space="preserve">◆</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“▲”的一般参数应在《技术参数响应及偏离表》中逐项说明偏离情况。</w:t>
            </w:r>
            <w:r/>
          </w:p>
          <w:p>
            <w:pPr>
              <w:pStyle w:val="831"/>
              <w:ind w:left="0"/>
              <w:jc w:val="left"/>
              <w:spacing w:line="288"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如投标人提供演示视频，投标人应在系统内上传演示视频，同时将演示视频（备份件）存放在U盘内，将U盘密封在不透明的包装物中，在投标截止时间前采用邮寄或现场送达的方式，递交至江苏省扬州市翠岗路48号江苏苏维工程管理有限公司二楼代理一部（阮玉婷，0514-82129116），由工作人员签收保存。评标当日，如苏采云系统内视频无法正常打开，将播放备份件，否则备份件不予拆封，原路退回。</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总体方案</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投标人根据本项目建设内容和技术需求，提出项目总体方案，方案需要包括对项目现状分析、需求理解、总体设计、业务架构、建设内容与功能描述等内容进行综合评价：</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1、需求理解深刻、现状分析透彻、总体设计与业务架构完整、建设内容与功能模块描述详细为优秀的，得5分。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2、需求理解一般、现状分析一般、总体设计与业务架构完整程度一般、建设内容与功能模块描述详细程度一般得3分。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3、需求理解差、现状分析差、总体设计与业务架构完整程度差、建设内容与功能模块描述详细程度差、得1分。</w:t>
            </w:r>
            <w:r/>
          </w:p>
          <w:p>
            <w:pPr>
              <w:spacing w:line="360" w:lineRule="auto"/>
              <w:rPr>
                <w:rFonts w:hint="eastAsia" w:asciiTheme="minorEastAsia" w:hAnsiTheme="minorEastAsia" w:eastAsiaTheme="minorEastAsia" w:cstheme="minorEastAsia"/>
                <w:color w:val="auto"/>
                <w:szCs w:val="21"/>
                <w:highlight w:val="none"/>
              </w:rPr>
            </w:pPr>
            <w:r>
              <w:rPr>
                <w:rFonts w:hint="eastAsia" w:ascii="宋体" w:hAnsi="宋体" w:cs="宋体"/>
                <w:color w:val="auto"/>
                <w:szCs w:val="21"/>
                <w:highlight w:val="none"/>
              </w:rPr>
              <w:t xml:space="preserve">4、方案内容无需求分析、总体设计与业务架构等不具有技术方案全面性、或针对性或未提供此项者，不得分。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实施方案</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5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投标人须结合本项目建设要求，提供完整的实施方案，包括进度管理、质量保障、变更管理、风险管理、测试管理、培训计划、验收计划等内容。</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1、项目实施方案中能对上述内容做出详细规划和实质说明的，得</w:t>
            </w:r>
            <w:r>
              <w:rPr>
                <w:rFonts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rPr>
              <w:t xml:space="preserve">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2、项目实施方案中包含上述内容，但没有详细规划和实质说明的，得3分；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3、项目实施方案混乱的，得1分；</w:t>
            </w:r>
            <w:r/>
          </w:p>
          <w:p>
            <w:pPr>
              <w:pStyle w:val="760"/>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4、不提供的不得分。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pStyle w:val="760"/>
              <w:ind w:left="0"/>
              <w:jc w:val="center"/>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售后服务方案（5分）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根据投标人提供的售后服务方案综合评审，包括维保服务的内容和方案合理性、科学性、故障的处置措施等情况综合评审：</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根据方案的完整性、可行性等情况横向比较，方案完整且具体可行的得</w:t>
            </w:r>
            <w:r>
              <w:rPr>
                <w:rFonts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rPr>
              <w:t xml:space="preserve">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方案基本满足要求，可操作性一般的得3分；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方案稍有欠缺得1分；</w:t>
            </w:r>
            <w:r/>
          </w:p>
          <w:p>
            <w:pPr>
              <w:pStyle w:val="760"/>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方案欠缺较多，不利于操作或不能满足采购人要求，且没有具体可操作性或未提供本项不得分。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pStyle w:val="760"/>
              <w:ind w:left="0"/>
              <w:jc w:val="center"/>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培训方案</w:t>
            </w:r>
            <w:r/>
          </w:p>
          <w:p>
            <w:pPr>
              <w:pStyle w:val="760"/>
              <w:ind w:left="0"/>
              <w:jc w:val="center"/>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根据投标人提供的培训方案综合评审，包括培训内容、培训方法、培训师资等情况综合评审：</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根据方案的完整性、可行性等情况横向比较，方案完整且具体可行的得5分；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方案基本满足要求，可操作性一般的得3分；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方案稍有欠缺得1分；</w:t>
            </w:r>
            <w:r/>
          </w:p>
          <w:p>
            <w:pPr>
              <w:pStyle w:val="760"/>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方案欠缺较多，不利于操作或不能满足采购人要求，且没有具体可操作性或未提供本项不得分。</w:t>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pStyle w:val="760"/>
              <w:ind w:left="0"/>
              <w:jc w:val="center"/>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信息安全方案（5分）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根据投标人提供的信息安全方案综合评审，包括设计合理性、技术成熟度、内容全面性等情况综合评审：</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根据方案的完整性、可行性等情况横向比较，方案完整且具体可行的得5分；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方案基本满足要求，可操作性一般的得3分；</w:t>
            </w:r>
            <w:r/>
          </w:p>
          <w:p>
            <w:pPr>
              <w:pStyle w:val="760"/>
              <w:ind w:left="0"/>
              <w:spacing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方案稍有欠缺得1分；</w:t>
            </w:r>
            <w:r/>
          </w:p>
          <w:p>
            <w:pPr>
              <w:pStyle w:val="760"/>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方案欠缺较多，不利于操作或不能满足采购人要求，且没有具体可操作性或未提供本项不得分。</w:t>
            </w:r>
            <w:r/>
          </w:p>
        </w:tc>
      </w:tr>
      <w:tr>
        <w:trPr>
          <w:trHeight w:val="2040"/>
        </w:trPr>
        <w:tc>
          <w:tcPr>
            <w:tcBorders>
              <w:top w:val="single" w:color="000000" w:sz="4" w:space="0"/>
              <w:left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企业资质和技术能力</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、企业资质</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）投标人具有有效的质量管理体系证书的，通过认证的范围</w:t>
            </w:r>
            <w:r>
              <w:rPr>
                <w:rFonts w:hint="eastAsia"/>
                <w:color w:val="auto"/>
                <w:highlight w:val="none"/>
              </w:rPr>
              <w:t xml:space="preserve">需与医疗科技相关</w:t>
            </w:r>
            <w:r>
              <w:rPr>
                <w:rFonts w:hint="eastAsia" w:asciiTheme="minorEastAsia" w:hAnsiTheme="minorEastAsia" w:eastAsiaTheme="minorEastAsia" w:cstheme="minorEastAsia"/>
                <w:color w:val="auto"/>
                <w:szCs w:val="21"/>
                <w:highlight w:val="none"/>
              </w:rPr>
              <w:t xml:space="preserve">。</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rPr>
              <w:t xml:space="preserve">）投标人具有有效的隐私信息管理体系证书，通过认证范围需与人工智能相关</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rPr>
              <w:t xml:space="preserve">）投标人具有有效的信息安全管理体系证书的，通过认证范围需与人工智能相关。</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以上提供有效证书扫描件，每有一项得1分，满分3分。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2、产品资质</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本项目需投标人具备一定的研发能力实现履约。</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投标人具有与“病理智能辅助”等相关的计算机软件著作权证书。每有一种得0.5分，满分1分。提供证书扫描件，未提供不得分。</w:t>
            </w:r>
            <w:r/>
          </w:p>
          <w:p>
            <w:pPr>
              <w:pStyle w:val="755"/>
              <w:ind w:firstLine="0"/>
              <w:rPr>
                <w:rFonts w:hint="eastAsia"/>
                <w:color w:val="auto"/>
                <w:highlight w:val="none"/>
              </w:rPr>
            </w:pPr>
            <w:r>
              <w:rPr>
                <w:rFonts w:hint="eastAsia" w:asciiTheme="minorEastAsia" w:hAnsiTheme="minorEastAsia" w:eastAsiaTheme="minorEastAsia" w:cstheme="minorEastAsia"/>
                <w:b/>
                <w:bCs/>
                <w:color w:val="auto"/>
                <w:szCs w:val="21"/>
                <w:highlight w:val="none"/>
              </w:rPr>
              <w:t xml:space="preserve">（</w:t>
            </w:r>
            <w:r>
              <w:rPr>
                <w:rFonts w:asciiTheme="minorEastAsia" w:hAnsiTheme="minorEastAsia" w:eastAsiaTheme="minorEastAsia" w:cstheme="minorEastAsia"/>
                <w:b/>
                <w:bCs/>
                <w:color w:val="auto"/>
                <w:szCs w:val="21"/>
                <w:highlight w:val="none"/>
              </w:rPr>
              <w:t xml:space="preserve">如投标文件中提供的软件著作权证书名称表述与招标文件描述的关键字样不一致，而该投标文件中能证明</w:t>
            </w:r>
            <w:r>
              <w:rPr>
                <w:rFonts w:hint="eastAsia" w:asciiTheme="minorEastAsia" w:hAnsiTheme="minorEastAsia" w:eastAsiaTheme="minorEastAsia" w:cstheme="minorEastAsia"/>
                <w:b/>
                <w:bCs/>
                <w:color w:val="auto"/>
                <w:szCs w:val="21"/>
                <w:highlight w:val="none"/>
              </w:rPr>
              <w:t xml:space="preserve">投标人</w:t>
            </w:r>
            <w:r>
              <w:rPr>
                <w:rFonts w:asciiTheme="minorEastAsia" w:hAnsiTheme="minorEastAsia" w:eastAsiaTheme="minorEastAsia" w:cstheme="minorEastAsia"/>
                <w:b/>
                <w:bCs/>
                <w:color w:val="auto"/>
                <w:szCs w:val="21"/>
                <w:highlight w:val="none"/>
              </w:rPr>
              <w:t xml:space="preserve">拥有的软件著作权具有相同或相似功能和效果，且评标委员会认可的，视同符合要求</w:t>
            </w:r>
            <w:r>
              <w:rPr>
                <w:rFonts w:hint="eastAsia" w:asciiTheme="minorEastAsia" w:hAnsiTheme="minorEastAsia" w:eastAsiaTheme="minorEastAsia" w:cstheme="minorEastAsia"/>
                <w:b/>
                <w:bCs/>
                <w:color w:val="auto"/>
                <w:szCs w:val="21"/>
                <w:highlight w:val="none"/>
              </w:rPr>
              <w:t xml:space="preserve">）</w:t>
            </w:r>
            <w:r/>
          </w:p>
          <w:p>
            <w:pPr>
              <w:pStyle w:val="75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3、技术能力</w:t>
            </w:r>
            <w:r/>
          </w:p>
          <w:p>
            <w:pPr>
              <w:pStyle w:val="759"/>
              <w:rPr>
                <w:color w:val="auto"/>
                <w:highlight w:val="none"/>
              </w:rPr>
            </w:pPr>
            <w:r>
              <w:rPr>
                <w:rFonts w:hint="eastAsia" w:asciiTheme="minorEastAsia" w:hAnsiTheme="minorEastAsia" w:eastAsiaTheme="minorEastAsia" w:cstheme="minorEastAsia"/>
                <w:color w:val="auto"/>
                <w:szCs w:val="21"/>
                <w:highlight w:val="none"/>
              </w:rPr>
              <w:t xml:space="preserve">（1）项目实施负责人能力：</w:t>
            </w:r>
            <w:r>
              <w:rPr>
                <w:rFonts w:hint="eastAsia"/>
                <w:color w:val="auto"/>
                <w:highlight w:val="none"/>
              </w:rPr>
              <w:t xml:space="preserve">配备项目实施负责人1名，具有</w:t>
            </w:r>
            <w:r>
              <w:rPr>
                <w:color w:val="auto"/>
                <w:highlight w:val="none"/>
              </w:rPr>
              <w:t xml:space="preserve">人社部和工信部颁发</w:t>
            </w:r>
            <w:r>
              <w:rPr>
                <w:rFonts w:hint="eastAsia"/>
                <w:color w:val="auto"/>
                <w:highlight w:val="none"/>
              </w:rPr>
              <w:t xml:space="preserve">的信息系统项目管理师证书、数据库系统工程师证书、系统集成项目管理工程师证书，每有一项得1分，本项满分3分。未提供不得分。</w:t>
            </w:r>
            <w:r/>
          </w:p>
          <w:p>
            <w:pPr>
              <w:pStyle w:val="75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（2）项目技术负责人能力：投标人除项目实施负责人外需配备项目技术负责人1名，具有人工智能专业高级</w:t>
            </w:r>
            <w:r>
              <w:rPr>
                <w:rFonts w:hint="eastAsia" w:asciiTheme="minorEastAsia" w:hAnsiTheme="minorEastAsia" w:eastAsiaTheme="minorEastAsia" w:cstheme="minorEastAsia"/>
                <w:color w:val="auto"/>
                <w:szCs w:val="21"/>
                <w:highlight w:val="none"/>
                <w:lang w:val="en-US" w:eastAsia="zh-CN"/>
              </w:rPr>
              <w:t xml:space="preserve">工程师及以上</w:t>
            </w:r>
            <w:r>
              <w:rPr>
                <w:rFonts w:hint="eastAsia" w:asciiTheme="minorEastAsia" w:hAnsiTheme="minorEastAsia" w:eastAsiaTheme="minorEastAsia" w:cstheme="minorEastAsia"/>
                <w:color w:val="auto"/>
                <w:szCs w:val="21"/>
                <w:highlight w:val="none"/>
              </w:rPr>
              <w:t xml:space="preserve">职称证书得1分，未提供不得分。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注：上述人员须提供有效证书扫描件及近一年内任意一个月投标人为上述人员缴纳的社保证明材料扫描件，未提供或提供不全不得分。</w:t>
            </w:r>
            <w:r/>
          </w:p>
          <w:p>
            <w:pPr>
              <w:spacing w:line="360" w:lineRule="auto"/>
              <w:rPr>
                <w:rFonts w:eastAsiaTheme="minorEastAsia"/>
                <w:color w:val="auto"/>
                <w:highlight w:val="none"/>
              </w:rPr>
            </w:pPr>
            <w:r>
              <w:rPr>
                <w:rFonts w:eastAsiaTheme="minorEastAsia"/>
                <w:color w:val="auto"/>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类似业绩</w:t>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（3分）</w:t>
            </w:r>
            <w:r/>
          </w:p>
        </w:tc>
        <w:tc>
          <w:tcPr>
            <w:tcBorders>
              <w:top w:val="single" w:color="000000" w:sz="4" w:space="0"/>
              <w:left w:val="single" w:color="000000" w:sz="4" w:space="0"/>
              <w:bottom w:val="single" w:color="000000" w:sz="4" w:space="0"/>
              <w:right w:val="single" w:color="000000" w:sz="4" w:space="0"/>
            </w:tcBorders>
            <w:tcW w:w="4097" w:type="pct"/>
            <w:vAlign w:val="center"/>
            <w:textDirection w:val="lrTb"/>
            <w:noWrap w:val="false"/>
          </w:tcPr>
          <w:p>
            <w:pPr>
              <w:pStyle w:val="759"/>
              <w:spacing w:line="360" w:lineRule="auto"/>
              <w:rPr>
                <w:rFonts w:hint="eastAsia" w:asciiTheme="minorEastAsia" w:hAnsiTheme="minorEastAsia" w:eastAsiaTheme="minorEastAsia" w:cstheme="minorEastAsia"/>
                <w:color w:val="auto"/>
                <w:szCs w:val="21"/>
                <w:highlight w:val="none"/>
              </w:rPr>
            </w:pPr>
            <w:r/>
            <w:bookmarkStart w:id="100" w:name="_GoBack"/>
            <w:r>
              <w:rPr>
                <w:rFonts w:hint="eastAsia" w:asciiTheme="minorEastAsia" w:hAnsiTheme="minorEastAsia" w:eastAsiaTheme="minorEastAsia" w:cstheme="minorEastAsia"/>
                <w:color w:val="auto"/>
                <w:szCs w:val="21"/>
                <w:highlight w:val="none"/>
              </w:rPr>
              <w:t xml:space="preserve">投标人自2023年1月1日以来（以合同签订日期为准）具有与本项目需求类似的建设经验的业绩（如病理辅助分析系统、病理图像管理平台项目），每提供一份合同得1分，最高得3分，没有不得分。（</w:t>
            </w:r>
            <w:r>
              <w:rPr>
                <w:rFonts w:hint="eastAsia" w:asciiTheme="minorEastAsia" w:hAnsiTheme="minorEastAsia" w:eastAsiaTheme="minorEastAsia" w:cstheme="minorEastAsia"/>
                <w:color w:val="auto"/>
                <w:szCs w:val="21"/>
                <w:highlight w:val="none"/>
                <w:lang w:val="en-US" w:eastAsia="zh-CN"/>
              </w:rPr>
              <w:t xml:space="preserve">投标</w:t>
            </w:r>
            <w:r>
              <w:rPr>
                <w:rFonts w:hint="eastAsia" w:asciiTheme="minorEastAsia" w:hAnsiTheme="minorEastAsia" w:eastAsiaTheme="minorEastAsia" w:cstheme="minorEastAsia"/>
                <w:color w:val="auto"/>
                <w:szCs w:val="21"/>
                <w:highlight w:val="none"/>
              </w:rPr>
              <w:t xml:space="preserve">文件中提供合同扫描件，提供合同扫描件，合同要素至少包含签订时间、合同双方名称、合同内容、合同总价；材料不完整或者内容不清晰无法辨认或提供不全不得分）</w:t>
            </w:r>
            <w:bookmarkEnd w:id="100"/>
            <w:r/>
            <w:r/>
          </w:p>
        </w:tc>
      </w:tr>
    </w:tbl>
    <w:p>
      <w:pPr>
        <w:ind w:firstLine="422"/>
        <w:spacing w:line="360" w:lineRule="auto"/>
        <w:rPr>
          <w:rFonts w:hint="eastAsia" w:ascii="宋体" w:hAnsi="宋体" w:cs="宋体"/>
          <w:b/>
          <w:color w:val="auto"/>
          <w:szCs w:val="21"/>
          <w:highlight w:val="none"/>
        </w:rPr>
      </w:pPr>
      <w:r/>
      <w:bookmarkStart w:id="67" w:name="_Toc18779"/>
      <w:r>
        <w:rPr>
          <w:rFonts w:hint="eastAsia" w:ascii="宋体" w:hAnsi="宋体" w:cs="宋体"/>
          <w:b/>
          <w:color w:val="auto"/>
          <w:szCs w:val="21"/>
          <w:highlight w:val="none"/>
        </w:rPr>
        <w:t xml:space="preserve">25.9 异常低价投标审查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25.9.1 评标过程中出现下列情形之一的，评标委员会应当启动异常低价投标审查程序：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3.投标（响应）报价低于采购项目最高限价45%的，即投标（响应）报价&lt;采购项目最高限价×45%；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rPr>
          <w:color w:val="auto"/>
          <w:highlight w:val="none"/>
        </w:rPr>
      </w:pPr>
      <w:r>
        <w:rPr>
          <w:rFonts w:hint="eastAsia" w:ascii="宋体" w:hAnsi="宋体" w:cs="宋体"/>
          <w:b/>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highlight w:val="none"/>
        </w:rPr>
        <w:br w:type="page" w:clear="all"/>
      </w:r>
      <w:r/>
    </w:p>
    <w:p>
      <w:pPr>
        <w:pStyle w:val="744"/>
        <w:rPr>
          <w:color w:val="auto"/>
          <w:highlight w:val="none"/>
        </w:rPr>
      </w:pPr>
      <w:r>
        <w:rPr>
          <w:rFonts w:hint="eastAsia"/>
          <w:color w:val="auto"/>
          <w:highlight w:val="none"/>
        </w:rPr>
        <w:t xml:space="preserve">第六章 投标文件格式</w:t>
      </w:r>
      <w:bookmarkEnd w:id="67"/>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0"/>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一、资格审查</w:t>
      </w:r>
      <w:r>
        <w:rPr>
          <w:rFonts w:hint="eastAsia" w:ascii="宋体" w:hAnsi="宋体" w:cs="宋体"/>
          <w:color w:val="auto"/>
          <w:sz w:val="24"/>
          <w:highlight w:val="none"/>
          <w:lang w:val="en-US" w:eastAsia="zh-CN"/>
        </w:rPr>
        <w:t xml:space="preserve">内容</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52"/>
        <w:jc w:val="center"/>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8" w:name="_Toc20369"/>
      <w:r/>
      <w:bookmarkStart w:id="69" w:name="_Toc5792"/>
      <w:r/>
      <w:bookmarkStart w:id="70" w:name="_Toc7268"/>
      <w:r>
        <w:rPr>
          <w:rFonts w:hint="eastAsia" w:ascii="宋体" w:hAnsi="宋体" w:eastAsia="宋体" w:cs="宋体"/>
          <w:color w:val="auto"/>
          <w:sz w:val="32"/>
          <w:highlight w:val="none"/>
        </w:rPr>
        <w:t xml:space="preserve">一、资格审查</w:t>
      </w:r>
      <w:bookmarkEnd w:id="68"/>
      <w:r/>
      <w:bookmarkEnd w:id="69"/>
      <w:r/>
      <w:bookmarkEnd w:id="70"/>
      <w:r>
        <w:rPr>
          <w:rFonts w:hint="eastAsia" w:ascii="宋体" w:hAnsi="宋体" w:eastAsia="宋体" w:cs="宋体"/>
          <w:color w:val="auto"/>
          <w:sz w:val="32"/>
          <w:highlight w:val="none"/>
        </w:rPr>
        <w:t xml:space="preserve">内容</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法人或者其他组织的营业执照等证明文件，自然人的身份证明</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2024年度或2025年度的财务状况报告（成立不满一年无需提供）</w:t>
      </w:r>
      <w:r/>
    </w:p>
    <w:p>
      <w:p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依法缴纳税收和社会保障资金的相关材料（提供提交投标文件截止时间</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cs="宋体"/>
          <w:b w:val="0"/>
          <w:bCs w:val="0"/>
          <w:i w:val="0"/>
          <w:iCs w:val="0"/>
          <w:color w:val="auto"/>
          <w:szCs w:val="21"/>
          <w:highlight w:val="none"/>
          <w:u w:val="none"/>
        </w:rPr>
        <w:t xml:space="preserve">（新成立企业距投标截止日不足30日的，可不提供，以新办企业营业执照发放日期为准)</w:t>
      </w:r>
      <w:r/>
    </w:p>
    <w:p>
      <w:pPr>
        <w:numPr>
          <w:ilvl w:val="0"/>
          <w:numId w:val="15"/>
        </w:num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具备履行合同所必需的设备和专业技术能力的书面声明</w:t>
      </w:r>
      <w:r/>
    </w:p>
    <w:p>
      <w:pPr>
        <w:numPr>
          <w:ilvl w:val="0"/>
          <w:numId w:val="15"/>
        </w:numPr>
        <w:ind w:left="480"/>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 3 年内在经营活动中没有重大违法记录的书面声</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特定资格要求的证明文件（如果本项目对投标人做出特定资格要求的，必须提供）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法人授权书</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投标函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中小微企业声明函（如果本项目</w:t>
      </w:r>
      <w:r>
        <w:rPr>
          <w:rFonts w:ascii="宋体" w:hAnsi="宋体"/>
          <w:color w:val="auto"/>
          <w:szCs w:val="21"/>
          <w:highlight w:val="none"/>
        </w:rPr>
        <w:t xml:space="preserve">专门面向中小微型企业采购，则必须提供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残疾人福利性单位声明函（如果本项目</w:t>
      </w:r>
      <w:r>
        <w:rPr>
          <w:rFonts w:ascii="宋体" w:hAnsi="宋体"/>
          <w:color w:val="auto"/>
          <w:szCs w:val="21"/>
          <w:highlight w:val="none"/>
        </w:rPr>
        <w:t xml:space="preserve">专门面向中小微型企业采购，</w:t>
      </w:r>
      <w:r>
        <w:rPr>
          <w:rFonts w:hint="eastAsia" w:ascii="宋体" w:hAnsi="宋体"/>
          <w:color w:val="auto"/>
          <w:szCs w:val="21"/>
          <w:highlight w:val="none"/>
        </w:rPr>
        <w:t xml:space="preserve">供应商为</w:t>
      </w:r>
      <w:r>
        <w:rPr>
          <w:rFonts w:ascii="宋体" w:hAnsi="宋体"/>
          <w:color w:val="auto"/>
          <w:szCs w:val="21"/>
          <w:highlight w:val="none"/>
        </w:rPr>
        <w:t xml:space="preserve">残疾人福利性单位并</w:t>
      </w:r>
      <w:r>
        <w:rPr>
          <w:rFonts w:hint="eastAsia" w:ascii="宋体" w:hAnsi="宋体"/>
          <w:color w:val="auto"/>
          <w:szCs w:val="21"/>
          <w:highlight w:val="none"/>
        </w:rPr>
        <w:t xml:space="preserve">提供本单位制造的货物，或者提供其他残疾人福利性单位制造的货物，</w:t>
      </w:r>
      <w:r>
        <w:rPr>
          <w:rFonts w:ascii="宋体" w:hAnsi="宋体"/>
          <w:color w:val="auto"/>
          <w:szCs w:val="21"/>
          <w:highlight w:val="none"/>
        </w:rPr>
        <w:t xml:space="preserve">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2</w:t>
      </w:r>
      <w:r>
        <w:rPr>
          <w:rFonts w:hint="eastAsia" w:ascii="宋体" w:hAnsi="宋体"/>
          <w:color w:val="auto"/>
          <w:szCs w:val="21"/>
          <w:highlight w:val="none"/>
        </w:rPr>
        <w:t xml:space="preserve">.联合体协议（如果本项目接受联合体</w:t>
      </w:r>
      <w:r>
        <w:rPr>
          <w:rFonts w:ascii="宋体" w:hAnsi="宋体"/>
          <w:color w:val="auto"/>
          <w:szCs w:val="21"/>
          <w:highlight w:val="none"/>
        </w:rPr>
        <w:t xml:space="preserve">参加投标，</w:t>
      </w:r>
      <w:r>
        <w:rPr>
          <w:rFonts w:hint="eastAsia" w:ascii="宋体" w:hAnsi="宋体"/>
          <w:color w:val="auto"/>
          <w:szCs w:val="21"/>
          <w:highlight w:val="none"/>
        </w:rPr>
        <w:t xml:space="preserve">投标人是联合体的，</w:t>
      </w:r>
      <w:r>
        <w:rPr>
          <w:rFonts w:ascii="宋体" w:hAnsi="宋体"/>
          <w:color w:val="auto"/>
          <w:szCs w:val="21"/>
          <w:highlight w:val="none"/>
        </w:rPr>
        <w:t xml:space="preserve">则必须提供</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单位负责人为同一人或者存在直接控股、管理关系的不同供应商（包含法定代表人为同一个人的两个及两个以上法人，母公司、全资子公司及其控股公司），不得参加同一合同项下的政府采购活动（提供承诺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14.凡为采购项目提供整体设计、规范编制或者项目管理、监理、检测等服务的供应商，不得再参加本项目的采购活动（提供承诺函）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15.法人的分支机构不得参加投标（除银行、保险、石油石化、电力、电信等行业特殊情况外）（提供承诺函）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总备注：上述“资格审查内容”中1-5条、</w:t>
      </w:r>
      <w:r>
        <w:rPr>
          <w:rFonts w:ascii="宋体" w:hAnsi="宋体"/>
          <w:color w:val="auto"/>
          <w:szCs w:val="21"/>
          <w:highlight w:val="none"/>
        </w:rPr>
        <w:t xml:space="preserve">8</w:t>
      </w:r>
      <w:r>
        <w:rPr>
          <w:rFonts w:hint="eastAsia" w:ascii="宋体" w:hAnsi="宋体"/>
          <w:color w:val="auto"/>
          <w:szCs w:val="21"/>
          <w:highlight w:val="none"/>
        </w:rPr>
        <w:t xml:space="preserve">、9、13、14、15条投标人必须在投标文件中提供相关材料，否则作无效投标处理；6、10、11、12条如招标文件要求必须提供相关材料而未提供的，作无效投标处理。</w:t>
      </w:r>
      <w:r/>
    </w:p>
    <w:p>
      <w:pPr>
        <w:widowControl/>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br w:type="page" w:clear="all"/>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759"/>
        <w:rPr>
          <w:rFonts w:hint="eastAsia" w:ascii="宋体" w:hAnsi="宋体" w:cs="宋体"/>
          <w:bCs/>
          <w:color w:val="auto"/>
          <w:highlight w:val="none"/>
        </w:rPr>
      </w:pPr>
      <w:r>
        <w:rPr>
          <w:rFonts w:hint="eastAsia" w:ascii="宋体" w:hAnsi="宋体" w:cs="宋体"/>
          <w:bCs/>
          <w:color w:val="auto"/>
          <w:highlight w:val="none"/>
        </w:rPr>
        <w:t xml:space="preserve">                               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w:t>
      </w:r>
      <w:r>
        <w:rPr>
          <w:rFonts w:hint="eastAsia" w:ascii="宋体" w:hAnsi="宋体" w:cs="宋体"/>
          <w:color w:val="auto"/>
          <w:szCs w:val="21"/>
          <w:highlight w:val="none"/>
        </w:rPr>
        <w:t xml:space="preserve">：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988"/>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8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8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8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8"/>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8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9"/>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8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8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952"/>
        <w:rPr>
          <w:rFonts w:hint="eastAsia" w:ascii="宋体" w:hAnsi="宋体" w:eastAsia="宋体" w:cs="宋体"/>
          <w:color w:val="auto"/>
          <w:sz w:val="32"/>
          <w:highlight w:val="none"/>
        </w:rPr>
      </w:pPr>
      <w:r/>
      <w:bookmarkStart w:id="71" w:name="_Toc16911"/>
      <w:r/>
      <w:bookmarkStart w:id="72" w:name="_Toc9345"/>
      <w:r/>
      <w:bookmarkStart w:id="73" w:name="_Toc20616"/>
      <w:r>
        <w:rPr>
          <w:rFonts w:hint="eastAsia" w:ascii="宋体" w:hAnsi="宋体" w:eastAsia="宋体" w:cs="宋体"/>
          <w:color w:val="auto"/>
          <w:sz w:val="32"/>
          <w:highlight w:val="none"/>
        </w:rPr>
        <w:t xml:space="preserve">二、符合性审查响应对照表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contextualSpacing/>
        <w:spacing w:line="6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rPr>
        <w:t xml:space="preserve">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52"/>
        <w:rPr>
          <w:rFonts w:hint="eastAsia" w:ascii="宋体" w:hAnsi="宋体" w:eastAsia="宋体" w:cs="宋体"/>
          <w:color w:val="auto"/>
          <w:sz w:val="32"/>
          <w:highlight w:val="none"/>
        </w:rPr>
      </w:pPr>
      <w:r/>
      <w:bookmarkStart w:id="74" w:name="_Toc23068"/>
      <w:r/>
      <w:bookmarkStart w:id="75" w:name="_Toc29406"/>
      <w:r/>
      <w:bookmarkStart w:id="76" w:name="_Toc23420"/>
      <w:r>
        <w:rPr>
          <w:rFonts w:hint="eastAsia" w:ascii="宋体" w:hAnsi="宋体" w:eastAsia="宋体" w:cs="宋体"/>
          <w:color w:val="auto"/>
          <w:sz w:val="32"/>
          <w:highlight w:val="none"/>
        </w:rPr>
        <w:t xml:space="preserve">三、非实质性响应对照表</w:t>
      </w:r>
      <w:bookmarkEnd w:id="74"/>
      <w:r/>
      <w:bookmarkEnd w:id="75"/>
      <w:r/>
      <w:bookmarkEnd w:id="76"/>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5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《中小企业声明函》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pStyle w:val="759"/>
              <w:rPr>
                <w:color w:val="auto"/>
                <w:highlight w:val="none"/>
              </w:rPr>
            </w:pPr>
            <w:r>
              <w:rPr>
                <w:rFonts w:hint="eastAsia" w:ascii="宋体" w:hAnsi="宋体" w:cs="宋体"/>
                <w:iCs/>
                <w:color w:val="auto"/>
                <w:szCs w:val="21"/>
                <w:highlight w:val="none"/>
                <w:lang w:eastAsia="zh-CN"/>
              </w:rPr>
              <w:t xml:space="preserve">《关于符合本国产品标准的声明函》</w:t>
            </w:r>
            <w:r/>
          </w:p>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pStyle w:val="759"/>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（软件和信息技术服务业）行业（不得对行业类别修改）；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25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978"/>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3.供应商应对照《工业和信息化部、国家统计局、国家发展和改革委员会、</w:t>
      </w:r>
      <w:r/>
    </w:p>
    <w:p>
      <w:pPr>
        <w:ind w:firstLine="420"/>
        <w:jc w:val="left"/>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auto"/>
          <w:sz w:val="24"/>
          <w:szCs w:val="24"/>
          <w:highlight w:val="none"/>
        </w:rPr>
        <w:t xml:space="preserve">     </w:t>
      </w:r>
      <w:r>
        <w:rPr>
          <w:rStyle w:val="978"/>
          <w:rFonts w:hint="eastAsia" w:ascii="宋体" w:hAnsi="宋体" w:cs="宋体"/>
          <w:b w:val="0"/>
          <w:color w:val="auto"/>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单位的采购文件编号为</w:t>
      </w:r>
      <w:r>
        <w:rPr>
          <w:rFonts w:hint="eastAsia" w:ascii="宋体" w:hAnsi="宋体"/>
          <w:color w:val="auto"/>
          <w:sz w:val="24"/>
          <w:szCs w:val="21"/>
          <w:highlight w:val="none"/>
          <w:u w:val="single"/>
        </w:rPr>
        <w:t xml:space="preserve">JSZC-321000-SWGC-G2026-0048号</w:t>
      </w:r>
      <w:r>
        <w:rPr>
          <w:rFonts w:hint="eastAsia" w:ascii="宋体" w:hAnsi="宋体"/>
          <w:color w:val="auto"/>
          <w:sz w:val="24"/>
          <w:szCs w:val="21"/>
          <w:highlight w:val="none"/>
          <w:u w:val="single"/>
        </w:rPr>
        <w:tab/>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hint="eastAsia"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776"/>
        <w:ind w:firstLine="420"/>
        <w:spacing w:beforeAutospacing="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6"/>
        <w:ind w:firstLine="420"/>
        <w:spacing w:beforeAutospacing="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8255" b="1333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2065" b="1524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825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8255" b="825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Style w:val="78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Style w:val="78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80"/>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（规定</w:t>
      </w:r>
      <w:r>
        <w:rPr>
          <w:rStyle w:val="780"/>
          <w:rFonts w:ascii="方正魏碑_GBK" w:hAnsi="方正魏碑_GBK" w:eastAsia="方正魏碑_GBK" w:cs="方正魏碑_GBK"/>
          <w:i w:val="0"/>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w:t>
      </w:r>
      <w:r>
        <w:rPr>
          <w:rStyle w:val="780"/>
          <w:rFonts w:ascii="方正魏碑_GBK" w:hAnsi="方正魏碑_GBK" w:eastAsia="方正魏碑_GBK" w:cs="方正魏碑_GBK"/>
          <w:i w:val="0"/>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Style w:val="78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（关键工序）</w:t>
      </w:r>
      <w:r>
        <w:rPr>
          <w:rStyle w:val="78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6"/>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5715" b="1016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31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35" b="1524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6350" b="95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8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8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80"/>
          <w:rFonts w:hint="eastAsia" w:ascii="方正魏碑_GBK" w:hAnsi="方正魏碑_GBK" w:eastAsia="方正魏碑_GBK" w:cs="方正魏碑_GBK"/>
          <w:i w:val="0"/>
          <w:color w:val="auto"/>
          <w:highlight w:val="none"/>
          <w:u w:val="single"/>
          <w:shd w:val="clear" w:color="auto" w:fill="ffffff"/>
        </w:rPr>
        <w:t xml:space="preserve">（规定</w:t>
      </w:r>
      <w:r>
        <w:rPr>
          <w:rStyle w:val="780"/>
          <w:rFonts w:ascii="方正魏碑_GBK" w:hAnsi="方正魏碑_GBK" w:eastAsia="方正魏碑_GBK" w:cs="方正魏碑_GBK"/>
          <w:i w:val="0"/>
          <w:color w:val="auto"/>
          <w:highlight w:val="none"/>
          <w:u w:val="single"/>
          <w:shd w:val="clear" w:color="auto" w:fill="ffffff"/>
        </w:rPr>
        <w:t xml:space="preserve">比例</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8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w:t>
      </w:r>
      <w:r>
        <w:rPr>
          <w:rStyle w:val="780"/>
          <w:rFonts w:ascii="方正魏碑_GBK" w:hAnsi="方正魏碑_GBK" w:eastAsia="方正魏碑_GBK" w:cs="方正魏碑_GBK"/>
          <w:i w:val="0"/>
          <w:color w:val="auto"/>
          <w:highlight w:val="none"/>
          <w:u w:val="single"/>
          <w:shd w:val="clear" w:color="auto" w:fill="ffffff"/>
        </w:rPr>
        <w:t xml:space="preserve">组件</w:t>
      </w:r>
      <w:r>
        <w:rPr>
          <w:rStyle w:val="78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80"/>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80"/>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76"/>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76"/>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76"/>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76"/>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76"/>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76"/>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7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7" w:name="_Toc19910"/>
      <w:r/>
      <w:bookmarkStart w:id="78" w:name="_Toc25382"/>
      <w:r>
        <w:rPr>
          <w:rFonts w:hint="eastAsia" w:ascii="宋体" w:hAnsi="宋体" w:cs="宋体"/>
          <w:b/>
          <w:bCs/>
          <w:color w:val="auto"/>
          <w:sz w:val="32"/>
          <w:szCs w:val="44"/>
          <w:highlight w:val="none"/>
        </w:rPr>
        <w:t xml:space="preserve">四、开标一览表</w:t>
      </w:r>
      <w:bookmarkEnd w:id="77"/>
      <w:r/>
      <w:bookmarkEnd w:id="7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75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61"/>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61"/>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8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8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8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961"/>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c>
          <w:tcPr>
            <w:tcW w:w="3604" w:type="pct"/>
            <w:vAlign w:val="center"/>
            <w:textDirection w:val="lrTb"/>
            <w:noWrap w:val="false"/>
          </w:tcPr>
          <w:p>
            <w:pPr>
              <w:pStyle w:val="988"/>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58"/>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58"/>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9" w:name="_Toc17891"/>
      <w:r/>
      <w:bookmarkStart w:id="80" w:name="_Toc20323"/>
      <w:r>
        <w:rPr>
          <w:rFonts w:hint="eastAsia" w:ascii="宋体" w:hAnsi="宋体" w:cs="宋体"/>
          <w:b/>
          <w:bCs/>
          <w:color w:val="auto"/>
          <w:sz w:val="32"/>
          <w:szCs w:val="44"/>
          <w:highlight w:val="none"/>
        </w:rPr>
        <w:t xml:space="preserve">五、投标产品配置及分项报价表</w:t>
      </w:r>
      <w:bookmarkEnd w:id="79"/>
      <w:r/>
      <w:bookmarkEnd w:id="80"/>
      <w:r/>
      <w:r/>
    </w:p>
    <w:tbl>
      <w:tblPr>
        <w:tblStyle w:val="754"/>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9263" w:type="dxa"/>
            <w:textDirection w:val="lrTb"/>
            <w:noWrap w:val="false"/>
          </w:tcPr>
          <w:p>
            <w:pPr>
              <w:rPr>
                <w:rFonts w:hint="eastAsia"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trHeight w:val="767"/>
        </w:trPr>
        <w:tc>
          <w:tcPr>
            <w:gridSpan w:val="10"/>
            <w:tcW w:w="9263" w:type="dxa"/>
            <w:textDirection w:val="lrTb"/>
            <w:noWrap w:val="false"/>
          </w:tcPr>
          <w:p>
            <w:pPr>
              <w:pStyle w:val="776"/>
              <w:spacing w:beforeAutospacing="0" w:afterAutospacing="0" w:line="0" w:lineRule="atLeast"/>
              <w:rPr>
                <w:color w:val="auto"/>
                <w:highlight w:val="none"/>
              </w:rPr>
            </w:pPr>
            <w:r>
              <w:rPr>
                <w:rFonts w:hint="eastAsia" w:ascii="宋体" w:hAnsi="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）国内运输保险、报关清关（如果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）、开证（如果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）、办理全套免税手续费用（如果</w:t>
      </w:r>
      <w:r>
        <w:rPr>
          <w:rFonts w:ascii="宋体" w:hAnsi="宋体"/>
          <w:color w:val="auto"/>
          <w:sz w:val="24"/>
          <w:szCs w:val="24"/>
          <w:highlight w:val="none"/>
        </w:rPr>
        <w:t xml:space="preserve">有</w:t>
      </w:r>
      <w:r>
        <w:rPr>
          <w:rFonts w:hint="eastAsia" w:ascii="宋体" w:hAnsi="宋体"/>
          <w:color w:val="auto"/>
          <w:sz w:val="24"/>
          <w:szCs w:val="24"/>
          <w:highlight w:val="none"/>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szCs w:val="24"/>
          <w:highlight w:val="none"/>
        </w:rPr>
        <w:t xml:space="preserve">“</w:t>
      </w:r>
      <w:r>
        <w:rPr>
          <w:rFonts w:hint="eastAsia" w:ascii="宋体" w:hAnsi="宋体"/>
          <w:color w:val="auto"/>
          <w:sz w:val="24"/>
          <w:szCs w:val="24"/>
          <w:highlight w:val="none"/>
        </w:rPr>
        <w:t xml:space="preserve">投标分项报价表</w:t>
      </w:r>
      <w:r>
        <w:rPr>
          <w:rFonts w:hint="eastAsia"/>
          <w:color w:val="auto"/>
          <w:sz w:val="24"/>
          <w:szCs w:val="24"/>
          <w:highlight w:val="none"/>
        </w:rPr>
        <w:t xml:space="preserve">”</w:t>
      </w:r>
      <w:r>
        <w:rPr>
          <w:rFonts w:hint="eastAsia" w:ascii="宋体" w:hAnsi="宋体"/>
          <w:color w:val="auto"/>
          <w:sz w:val="24"/>
          <w:szCs w:val="24"/>
          <w:highlight w:val="none"/>
        </w:rPr>
        <w:t xml:space="preserve">中“投标总报价”数额应当与“开标一览表”中“投标总报价”数额一致。</w:t>
      </w:r>
      <w:r/>
    </w:p>
    <w:p>
      <w:pPr>
        <w:spacing w:line="400" w:lineRule="exact"/>
        <w:rPr>
          <w:rFonts w:hint="eastAsia" w:ascii="宋体" w:hAnsi="宋体"/>
          <w:color w:val="auto"/>
          <w:sz w:val="24"/>
          <w:szCs w:val="24"/>
          <w:highlight w:val="none"/>
        </w:rPr>
      </w:pPr>
      <w:r>
        <w:rPr>
          <w:rFonts w:hint="eastAsia" w:ascii="方正魏碑_GBK" w:hAnsi="方正魏碑_GBK" w:eastAsia="方正魏碑_GBK" w:cs="方正魏碑_GBK"/>
          <w:color w:val="auto"/>
          <w:sz w:val="24"/>
          <w:szCs w:val="24"/>
          <w:highlight w:val="none"/>
        </w:rPr>
        <w:t xml:space="preserve">3</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本项目招标代理服务费应包含在投标总价中，具体计算方式详见招标文件第二章4.2条要求。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pStyle w:val="952"/>
        <w:rPr>
          <w:rFonts w:hint="eastAsia" w:ascii="宋体" w:hAnsi="宋体" w:eastAsia="宋体" w:cs="宋体"/>
          <w:color w:val="auto"/>
          <w:sz w:val="32"/>
          <w:highlight w:val="none"/>
        </w:rPr>
      </w:pPr>
      <w:r/>
      <w:bookmarkStart w:id="81" w:name="_Toc5967"/>
      <w:r/>
      <w:bookmarkStart w:id="82" w:name="_Toc9678"/>
      <w:r/>
      <w:bookmarkStart w:id="83" w:name="_Toc16517"/>
      <w:r>
        <w:rPr>
          <w:rFonts w:hint="eastAsia" w:ascii="宋体" w:hAnsi="宋体" w:eastAsia="宋体" w:cs="宋体"/>
          <w:color w:val="auto"/>
          <w:sz w:val="32"/>
          <w:highlight w:val="none"/>
        </w:rPr>
        <w:t xml:space="preserve">六、技术参数响应及偏离表</w:t>
      </w:r>
      <w:bookmarkEnd w:id="81"/>
      <w:r/>
      <w:bookmarkEnd w:id="82"/>
      <w:r/>
      <w:bookmarkEnd w:id="83"/>
      <w:r/>
      <w:r/>
    </w:p>
    <w:tbl>
      <w:tblPr>
        <w:tblStyle w:val="754"/>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color w:val="auto"/>
          <w:highlight w:val="none"/>
        </w:rPr>
      </w:pPr>
      <w:r>
        <w:rPr>
          <w:color w:val="auto"/>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59"/>
        <w:rPr>
          <w:color w:val="auto"/>
          <w:highlight w:val="none"/>
        </w:rPr>
      </w:pPr>
      <w:r>
        <w:rPr>
          <w:rFonts w:hint="eastAsia" w:ascii="宋体" w:hAnsi="宋体" w:eastAsia="宋体" w:cs="宋体"/>
          <w:color w:val="auto"/>
          <w:sz w:val="21"/>
          <w:szCs w:val="21"/>
          <w:highlight w:val="none"/>
        </w:rPr>
        <w:t xml:space="preserve">日期：_____年______月______日  </w:t>
      </w:r>
      <w:r/>
    </w:p>
    <w:p>
      <w:pPr>
        <w:pStyle w:val="755"/>
        <w:rPr>
          <w:rFonts w:hint="eastAsia"/>
          <w:color w:val="auto"/>
          <w:highlight w:val="none"/>
        </w:rPr>
      </w:pPr>
      <w:r>
        <w:rPr>
          <w:rFonts w:hint="eastAsia"/>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84" w:name="_Hlt26955054"/>
      <w:r/>
      <w:bookmarkEnd w:id="84"/>
      <w:r/>
      <w:bookmarkStart w:id="85" w:name="_Toc32154"/>
      <w:r/>
      <w:bookmarkStart w:id="86" w:name="_Toc16820"/>
      <w:r>
        <w:rPr>
          <w:rFonts w:hint="eastAsia" w:ascii="宋体" w:hAnsi="宋体" w:cs="宋体"/>
          <w:b/>
          <w:bCs/>
          <w:color w:val="auto"/>
          <w:sz w:val="32"/>
          <w:szCs w:val="44"/>
          <w:highlight w:val="none"/>
        </w:rPr>
        <w:t xml:space="preserve">七、商务条款响应及偏离表</w:t>
      </w:r>
      <w:bookmarkEnd w:id="85"/>
      <w:r/>
      <w:bookmarkEnd w:id="86"/>
      <w:r/>
      <w:r/>
    </w:p>
    <w:tbl>
      <w:tblPr>
        <w:tblStyle w:val="754"/>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auto"/>
                <w:szCs w:val="21"/>
                <w:highlight w:val="none"/>
              </w:rPr>
            </w:pPr>
            <w:r/>
            <w:bookmarkStart w:id="87" w:name="_Hlt26671343"/>
            <w:r/>
            <w:bookmarkEnd w:id="87"/>
            <w:r/>
            <w:bookmarkStart w:id="88" w:name="_Hlt26955056"/>
            <w:r/>
            <w:bookmarkEnd w:id="88"/>
            <w:r/>
            <w:bookmarkStart w:id="89" w:name="_Hlt26671372"/>
            <w:r/>
            <w:bookmarkEnd w:id="89"/>
            <w:r/>
            <w:bookmarkStart w:id="90" w:name="_Hlt26580838"/>
            <w:r/>
            <w:bookmarkEnd w:id="90"/>
            <w:r/>
            <w:bookmarkStart w:id="91" w:name="_Hlt24879081"/>
            <w:r/>
            <w:bookmarkEnd w:id="91"/>
            <w:r/>
            <w:bookmarkStart w:id="92" w:name="_Hlt26782999"/>
            <w:r/>
            <w:bookmarkEnd w:id="92"/>
            <w:r/>
            <w:bookmarkStart w:id="93" w:name="_Hlt26609391"/>
            <w:r/>
            <w:bookmarkEnd w:id="93"/>
            <w:r/>
            <w:bookmarkStart w:id="94" w:name="_Hlt26955064"/>
            <w:r/>
            <w:bookmarkEnd w:id="94"/>
            <w:r>
              <w:rPr>
                <w:rFonts w:hint="eastAsia" w:ascii="宋体" w:hAnsi="宋体" w:cs="宋体"/>
                <w:color w:val="auto"/>
                <w:szCs w:val="21"/>
                <w:highlight w:val="none"/>
              </w:rPr>
              <w:t xml:space="preserve">项目</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50"/>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17"/>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6"/>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3"/>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59"/>
        <w:rPr>
          <w:color w:val="auto"/>
          <w:highlight w:val="none"/>
        </w:rPr>
      </w:pPr>
      <w:r>
        <w:rPr>
          <w:rFonts w:hint="eastAsia" w:ascii="宋体" w:hAnsi="宋体" w:eastAsia="宋体" w:cs="宋体"/>
          <w:color w:val="auto"/>
          <w:sz w:val="21"/>
          <w:szCs w:val="21"/>
          <w:highlight w:val="none"/>
        </w:rPr>
        <w:t xml:space="preserve">日期：_____年______月______日  </w:t>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958"/>
        <w:ind w:firstLine="480"/>
        <w:rPr>
          <w:rFonts w:hint="eastAsia" w:ascii="宋体" w:hAnsi="宋体" w:cs="宋体"/>
          <w:color w:val="auto"/>
          <w:sz w:val="24"/>
          <w:highlight w:val="none"/>
        </w:rPr>
      </w:pPr>
      <w:r/>
      <w:bookmarkStart w:id="95" w:name="_Hlt26671374"/>
      <w:r/>
      <w:bookmarkEnd w:id="95"/>
      <w:r/>
      <w:bookmarkStart w:id="96" w:name="_Hlt26609389"/>
      <w:r/>
      <w:bookmarkEnd w:id="96"/>
      <w:r/>
      <w:bookmarkStart w:id="97" w:name="_Hlt26955066"/>
      <w:r/>
      <w:bookmarkEnd w:id="97"/>
      <w:r/>
      <w:bookmarkStart w:id="98" w:name="_Toc462564146"/>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pStyle w:val="759"/>
        <w:rPr>
          <w:color w:val="auto"/>
          <w:highlight w:val="none"/>
        </w:rPr>
      </w:pPr>
      <w:r>
        <w:rPr>
          <w:rFonts w:hint="eastAsia" w:ascii="宋体" w:hAnsi="宋体" w:eastAsia="宋体" w:cs="宋体"/>
          <w:color w:val="auto"/>
          <w:sz w:val="21"/>
          <w:szCs w:val="21"/>
          <w:highlight w:val="none"/>
        </w:rPr>
        <w:t xml:space="preserve">日期：_____年______月______日  </w:t>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bookmarkEnd w:id="98"/>
      <w:r/>
      <w:r/>
    </w:p>
    <w:p>
      <w:pPr>
        <w:pStyle w:val="958"/>
        <w:ind w:firstLine="4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b/>
          <w:color w:val="auto"/>
          <w:highlight w:val="none"/>
        </w:rPr>
      </w:pPr>
      <w:r/>
      <w:bookmarkStart w:id="99" w:name="_格式2__法定代表人授权书"/>
      <w:r/>
      <w:bookmarkEnd w:id="99"/>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5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自愿组成联合体，参加江苏苏维工程管理有限公司组织的采购编号为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Pr>
    <w:r>
      <w:rPr>
        <w:rFonts w:hint="eastAsia"/>
      </w:rPr>
      <w:t xml:space="preserve">JSZC-321000-SWGC-G2026-0048号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pPr>
    <w:r>
      <w:rPr>
        <w:rFonts w:hint="eastAsia"/>
      </w:rPr>
      <w:t xml:space="preserve">JSZC-321000-SWGC-G2026-0048号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9"/>
  </w:num>
  <w:num w:numId="4">
    <w:abstractNumId w:val="13"/>
  </w:num>
  <w:num w:numId="5">
    <w:abstractNumId w:val="6"/>
  </w:num>
  <w:num w:numId="6">
    <w:abstractNumId w:val="10"/>
  </w:num>
  <w:num w:numId="7">
    <w:abstractNumId w:val="2"/>
  </w:num>
  <w:num w:numId="8">
    <w:abstractNumId w:val="5"/>
  </w:num>
  <w:num w:numId="9">
    <w:abstractNumId w:val="14"/>
  </w:num>
  <w:num w:numId="10">
    <w:abstractNumId w:val="12"/>
  </w:num>
  <w:num w:numId="11">
    <w:abstractNumId w:val="0"/>
  </w:num>
  <w:num w:numId="12">
    <w:abstractNumId w:val="7"/>
  </w:num>
  <w:num w:numId="13">
    <w:abstractNumId w:val="8"/>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3">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name w:val="TOC Heading"/>
    <w:uiPriority w:val="39"/>
    <w:unhideWhenUsed/>
  </w:style>
  <w:style w:type="paragraph" w:styleId="743" w:default="1">
    <w:name w:val="Normal"/>
    <w:next w:val="755"/>
    <w:uiPriority w:val="0"/>
    <w:qFormat/>
    <w:pPr>
      <w:jc w:val="both"/>
      <w:widowControl w:val="off"/>
    </w:pPr>
    <w:rPr>
      <w:rFonts w:ascii="Calibri" w:hAnsi="Calibri" w:eastAsia="宋体" w:cs="Times New Roman"/>
      <w:sz w:val="21"/>
      <w:szCs w:val="22"/>
      <w:lang w:val="en-US" w:eastAsia="zh-CN" w:bidi="ar-SA"/>
    </w:rPr>
  </w:style>
  <w:style w:type="paragraph" w:styleId="744">
    <w:name w:val="Heading 1"/>
    <w:basedOn w:val="743"/>
    <w:next w:val="743"/>
    <w:link w:val="822"/>
    <w:uiPriority w:val="9"/>
    <w:qFormat/>
    <w:pPr>
      <w:jc w:val="center"/>
      <w:keepLines/>
      <w:keepNext/>
      <w:spacing w:line="360" w:lineRule="auto"/>
      <w:outlineLvl w:val="0"/>
    </w:pPr>
    <w:rPr>
      <w:rFonts w:ascii="Arial" w:hAnsi="Arial" w:cs="Arial"/>
      <w:b/>
      <w:sz w:val="30"/>
      <w:szCs w:val="40"/>
    </w:rPr>
  </w:style>
  <w:style w:type="paragraph" w:styleId="745">
    <w:name w:val="Heading 2"/>
    <w:basedOn w:val="743"/>
    <w:next w:val="743"/>
    <w:link w:val="82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82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82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2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27"/>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828"/>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829"/>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830"/>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Body Text First Indent"/>
    <w:basedOn w:val="756"/>
    <w:uiPriority w:val="0"/>
    <w:unhideWhenUsed/>
    <w:qFormat/>
    <w:pPr>
      <w:ind w:firstLine="420"/>
    </w:pPr>
    <w:rPr>
      <w:szCs w:val="21"/>
    </w:rPr>
  </w:style>
  <w:style w:type="paragraph" w:styleId="756">
    <w:name w:val="Body Text"/>
    <w:basedOn w:val="743"/>
    <w:uiPriority w:val="0"/>
    <w:qFormat/>
    <w:pPr>
      <w:spacing w:after="120"/>
    </w:pPr>
    <w:rPr>
      <w:rFonts w:ascii="Times New Roman" w:hAnsi="Times New Roman"/>
    </w:rPr>
  </w:style>
  <w:style w:type="paragraph" w:styleId="757">
    <w:name w:val="toc 7"/>
    <w:basedOn w:val="743"/>
    <w:next w:val="743"/>
    <w:uiPriority w:val="39"/>
    <w:unhideWhenUsed/>
    <w:qFormat/>
    <w:pPr>
      <w:ind w:left="1701"/>
      <w:spacing w:after="57"/>
    </w:pPr>
  </w:style>
  <w:style w:type="paragraph" w:styleId="758">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3"/>
    <w:uiPriority w:val="99"/>
    <w:semiHidden/>
    <w:unhideWhenUsed/>
    <w:qFormat/>
    <w:pPr>
      <w:jc w:val="left"/>
    </w:pPr>
  </w:style>
  <w:style w:type="paragraph" w:styleId="760">
    <w:name w:val="Body Text Indent"/>
    <w:basedOn w:val="743"/>
    <w:next w:val="743"/>
    <w:uiPriority w:val="0"/>
    <w:qFormat/>
    <w:pPr>
      <w:ind w:left="420"/>
      <w:spacing w:after="120"/>
    </w:pPr>
    <w:rPr>
      <w:rFonts w:ascii="等线" w:hAnsi="等线" w:eastAsia="等线"/>
    </w:rPr>
  </w:style>
  <w:style w:type="paragraph" w:styleId="761">
    <w:name w:val="toc 5"/>
    <w:basedOn w:val="743"/>
    <w:next w:val="743"/>
    <w:uiPriority w:val="39"/>
    <w:unhideWhenUsed/>
    <w:qFormat/>
    <w:pPr>
      <w:ind w:left="1134"/>
      <w:spacing w:after="57"/>
    </w:pPr>
  </w:style>
  <w:style w:type="paragraph" w:styleId="762">
    <w:name w:val="toc 3"/>
    <w:basedOn w:val="743"/>
    <w:next w:val="743"/>
    <w:uiPriority w:val="39"/>
    <w:unhideWhenUsed/>
    <w:qFormat/>
    <w:pPr>
      <w:ind w:left="567"/>
      <w:spacing w:after="57"/>
    </w:pPr>
  </w:style>
  <w:style w:type="paragraph" w:styleId="763">
    <w:name w:val="Plain Text"/>
    <w:basedOn w:val="743"/>
    <w:uiPriority w:val="0"/>
    <w:qFormat/>
    <w:rPr>
      <w:rFonts w:ascii="宋体" w:hAnsi="Courier New"/>
      <w:sz w:val="20"/>
      <w:szCs w:val="21"/>
    </w:rPr>
  </w:style>
  <w:style w:type="paragraph" w:styleId="764">
    <w:name w:val="toc 8"/>
    <w:basedOn w:val="743"/>
    <w:next w:val="743"/>
    <w:uiPriority w:val="39"/>
    <w:unhideWhenUsed/>
    <w:qFormat/>
    <w:pPr>
      <w:ind w:left="1984"/>
      <w:spacing w:after="57"/>
    </w:pPr>
  </w:style>
  <w:style w:type="paragraph" w:styleId="765">
    <w:name w:val="endnote text"/>
    <w:basedOn w:val="743"/>
    <w:link w:val="949"/>
    <w:uiPriority w:val="99"/>
    <w:semiHidden/>
    <w:unhideWhenUsed/>
    <w:qFormat/>
    <w:rPr>
      <w:sz w:val="20"/>
    </w:rPr>
  </w:style>
  <w:style w:type="paragraph" w:styleId="766">
    <w:name w:val="Footer"/>
    <w:basedOn w:val="743"/>
    <w:link w:val="841"/>
    <w:uiPriority w:val="99"/>
    <w:unhideWhenUsed/>
    <w:qFormat/>
    <w:pPr>
      <w:tabs>
        <w:tab w:val="center" w:pos="7143" w:leader="none"/>
        <w:tab w:val="right" w:pos="14287" w:leader="none"/>
      </w:tabs>
    </w:pPr>
  </w:style>
  <w:style w:type="paragraph" w:styleId="767">
    <w:name w:val="Header"/>
    <w:basedOn w:val="743"/>
    <w:link w:val="839"/>
    <w:uiPriority w:val="99"/>
    <w:unhideWhenUsed/>
    <w:qFormat/>
    <w:pPr>
      <w:tabs>
        <w:tab w:val="center" w:pos="7143" w:leader="none"/>
        <w:tab w:val="right" w:pos="14287" w:leader="none"/>
      </w:tabs>
    </w:pPr>
  </w:style>
  <w:style w:type="paragraph" w:styleId="768">
    <w:name w:val="toc 1"/>
    <w:basedOn w:val="743"/>
    <w:next w:val="743"/>
    <w:uiPriority w:val="39"/>
    <w:unhideWhenUsed/>
    <w:qFormat/>
    <w:pPr>
      <w:spacing w:after="57"/>
    </w:pPr>
  </w:style>
  <w:style w:type="paragraph" w:styleId="769">
    <w:name w:val="toc 4"/>
    <w:basedOn w:val="743"/>
    <w:next w:val="743"/>
    <w:uiPriority w:val="39"/>
    <w:unhideWhenUsed/>
    <w:qFormat/>
    <w:pPr>
      <w:ind w:left="850"/>
      <w:spacing w:after="57"/>
    </w:pPr>
  </w:style>
  <w:style w:type="paragraph" w:styleId="770">
    <w:name w:val="Subtitle"/>
    <w:basedOn w:val="743"/>
    <w:next w:val="743"/>
    <w:link w:val="834"/>
    <w:uiPriority w:val="11"/>
    <w:qFormat/>
    <w:pPr>
      <w:spacing w:before="200" w:after="200"/>
    </w:pPr>
    <w:rPr>
      <w:sz w:val="24"/>
      <w:szCs w:val="24"/>
    </w:rPr>
  </w:style>
  <w:style w:type="paragraph" w:styleId="771">
    <w:name w:val="footnote text"/>
    <w:basedOn w:val="743"/>
    <w:link w:val="948"/>
    <w:uiPriority w:val="99"/>
    <w:semiHidden/>
    <w:unhideWhenUsed/>
    <w:qFormat/>
    <w:pPr>
      <w:spacing w:after="40"/>
    </w:pPr>
    <w:rPr>
      <w:sz w:val="18"/>
    </w:rPr>
  </w:style>
  <w:style w:type="paragraph" w:styleId="772">
    <w:name w:val="toc 6"/>
    <w:basedOn w:val="743"/>
    <w:next w:val="743"/>
    <w:uiPriority w:val="39"/>
    <w:unhideWhenUsed/>
    <w:qFormat/>
    <w:pPr>
      <w:ind w:left="1417"/>
      <w:spacing w:after="57"/>
    </w:pPr>
  </w:style>
  <w:style w:type="paragraph" w:styleId="773">
    <w:name w:val="table of figures"/>
    <w:basedOn w:val="743"/>
    <w:next w:val="743"/>
    <w:uiPriority w:val="99"/>
    <w:unhideWhenUsed/>
    <w:qFormat/>
  </w:style>
  <w:style w:type="paragraph" w:styleId="774">
    <w:name w:val="toc 2"/>
    <w:basedOn w:val="743"/>
    <w:next w:val="743"/>
    <w:uiPriority w:val="39"/>
    <w:unhideWhenUsed/>
    <w:qFormat/>
    <w:pPr>
      <w:ind w:left="283"/>
      <w:spacing w:after="57"/>
    </w:pPr>
  </w:style>
  <w:style w:type="paragraph" w:styleId="775">
    <w:name w:val="toc 9"/>
    <w:basedOn w:val="743"/>
    <w:next w:val="743"/>
    <w:uiPriority w:val="39"/>
    <w:unhideWhenUsed/>
    <w:qFormat/>
    <w:pPr>
      <w:ind w:left="2268"/>
      <w:spacing w:after="57"/>
    </w:pPr>
  </w:style>
  <w:style w:type="paragraph" w:styleId="776">
    <w:name w:val="Normal (Web)"/>
    <w:basedOn w:val="743"/>
    <w:uiPriority w:val="99"/>
    <w:semiHidden/>
    <w:unhideWhenUsed/>
    <w:qFormat/>
    <w:pPr>
      <w:jc w:val="left"/>
      <w:spacing w:beforeAutospacing="1" w:afterAutospacing="1"/>
    </w:pPr>
    <w:rPr>
      <w:sz w:val="24"/>
    </w:rPr>
  </w:style>
  <w:style w:type="paragraph" w:styleId="777">
    <w:name w:val="Title"/>
    <w:basedOn w:val="743"/>
    <w:next w:val="743"/>
    <w:link w:val="833"/>
    <w:uiPriority w:val="10"/>
    <w:qFormat/>
    <w:pPr>
      <w:contextualSpacing/>
      <w:spacing w:before="300" w:after="200"/>
    </w:pPr>
    <w:rPr>
      <w:sz w:val="48"/>
      <w:szCs w:val="48"/>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53"/>
    <w:uiPriority w:val="0"/>
    <w:qFormat/>
    <w:rPr>
      <w:sz w:val="21"/>
      <w:szCs w:val="21"/>
    </w:rPr>
  </w:style>
  <w:style w:type="character" w:styleId="783">
    <w:name w:val="footnote reference"/>
    <w:uiPriority w:val="99"/>
    <w:unhideWhenUsed/>
    <w:qFormat/>
    <w:rPr>
      <w:vertAlign w:val="superscript"/>
    </w:rPr>
  </w:style>
  <w:style w:type="character" w:styleId="784" w:customStyle="1">
    <w:name w:val="Heading 1 Char"/>
    <w:basedOn w:val="753"/>
    <w:uiPriority w:val="9"/>
    <w:qFormat/>
    <w:rPr>
      <w:rFonts w:ascii="Arial" w:hAnsi="Arial" w:eastAsia="Arial" w:cs="Arial"/>
      <w:sz w:val="40"/>
      <w:szCs w:val="40"/>
    </w:rPr>
  </w:style>
  <w:style w:type="character" w:styleId="785" w:customStyle="1">
    <w:name w:val="Heading 2 Char"/>
    <w:basedOn w:val="753"/>
    <w:uiPriority w:val="9"/>
    <w:qFormat/>
    <w:rPr>
      <w:rFonts w:ascii="Arial" w:hAnsi="Arial" w:eastAsia="Arial" w:cs="Arial"/>
      <w:sz w:val="34"/>
    </w:rPr>
  </w:style>
  <w:style w:type="character" w:styleId="786" w:customStyle="1">
    <w:name w:val="Heading 3 Char"/>
    <w:basedOn w:val="753"/>
    <w:uiPriority w:val="9"/>
    <w:qFormat/>
    <w:rPr>
      <w:rFonts w:ascii="Arial" w:hAnsi="Arial" w:eastAsia="Arial" w:cs="Arial"/>
      <w:sz w:val="30"/>
      <w:szCs w:val="30"/>
    </w:rPr>
  </w:style>
  <w:style w:type="character" w:styleId="787" w:customStyle="1">
    <w:name w:val="Heading 4 Char"/>
    <w:basedOn w:val="753"/>
    <w:uiPriority w:val="9"/>
    <w:qFormat/>
    <w:rPr>
      <w:rFonts w:ascii="Arial" w:hAnsi="Arial" w:eastAsia="Arial" w:cs="Arial"/>
      <w:b/>
      <w:bCs/>
      <w:sz w:val="26"/>
      <w:szCs w:val="26"/>
    </w:rPr>
  </w:style>
  <w:style w:type="character" w:styleId="788" w:customStyle="1">
    <w:name w:val="Heading 5 Char"/>
    <w:basedOn w:val="753"/>
    <w:uiPriority w:val="9"/>
    <w:qFormat/>
    <w:rPr>
      <w:rFonts w:ascii="Arial" w:hAnsi="Arial" w:eastAsia="Arial" w:cs="Arial"/>
      <w:b/>
      <w:bCs/>
      <w:sz w:val="24"/>
      <w:szCs w:val="24"/>
    </w:rPr>
  </w:style>
  <w:style w:type="character" w:styleId="789" w:customStyle="1">
    <w:name w:val="Heading 6 Char"/>
    <w:basedOn w:val="753"/>
    <w:uiPriority w:val="9"/>
    <w:qFormat/>
    <w:rPr>
      <w:rFonts w:ascii="Arial" w:hAnsi="Arial" w:eastAsia="Arial" w:cs="Arial"/>
      <w:b/>
      <w:bCs/>
      <w:sz w:val="22"/>
      <w:szCs w:val="22"/>
    </w:rPr>
  </w:style>
  <w:style w:type="character" w:styleId="790" w:customStyle="1">
    <w:name w:val="Heading 7 Char"/>
    <w:basedOn w:val="753"/>
    <w:uiPriority w:val="9"/>
    <w:qFormat/>
    <w:rPr>
      <w:rFonts w:ascii="Arial" w:hAnsi="Arial" w:eastAsia="Arial" w:cs="Arial"/>
      <w:b/>
      <w:bCs/>
      <w:i/>
      <w:iCs/>
      <w:sz w:val="22"/>
      <w:szCs w:val="22"/>
    </w:rPr>
  </w:style>
  <w:style w:type="character" w:styleId="791" w:customStyle="1">
    <w:name w:val="Heading 8 Char"/>
    <w:basedOn w:val="753"/>
    <w:uiPriority w:val="9"/>
    <w:qFormat/>
    <w:rPr>
      <w:rFonts w:ascii="Arial" w:hAnsi="Arial" w:eastAsia="Arial" w:cs="Arial"/>
      <w:i/>
      <w:iCs/>
      <w:sz w:val="22"/>
      <w:szCs w:val="22"/>
    </w:rPr>
  </w:style>
  <w:style w:type="character" w:styleId="792" w:customStyle="1">
    <w:name w:val="Heading 9 Char"/>
    <w:basedOn w:val="753"/>
    <w:uiPriority w:val="9"/>
    <w:qFormat/>
    <w:rPr>
      <w:rFonts w:ascii="Arial" w:hAnsi="Arial" w:eastAsia="Arial" w:cs="Arial"/>
      <w:i/>
      <w:iCs/>
      <w:sz w:val="21"/>
      <w:szCs w:val="21"/>
    </w:rPr>
  </w:style>
  <w:style w:type="character" w:styleId="793" w:customStyle="1">
    <w:name w:val="Title Char"/>
    <w:basedOn w:val="753"/>
    <w:uiPriority w:val="10"/>
    <w:qFormat/>
    <w:rPr>
      <w:sz w:val="48"/>
      <w:szCs w:val="48"/>
    </w:rPr>
  </w:style>
  <w:style w:type="character" w:styleId="794" w:customStyle="1">
    <w:name w:val="Subtitle Char"/>
    <w:basedOn w:val="753"/>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53"/>
    <w:uiPriority w:val="99"/>
    <w:qFormat/>
  </w:style>
  <w:style w:type="character" w:styleId="798" w:customStyle="1">
    <w:name w:val="Caption Char"/>
    <w:uiPriority w:val="99"/>
    <w:qFormat/>
  </w:style>
  <w:style w:type="table" w:styleId="799" w:customStyle="1">
    <w:name w:val="无格式表格 1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5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5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5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5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rPr>
      <w:rFonts w:ascii="Times New Roman" w:hAnsi="Times New Roman" w:eastAsia="宋体" w:cs="Times New Roman"/>
      <w:lang w:val="en-US" w:eastAsia="zh-CN" w:bidi="ar-SA"/>
    </w:rPr>
  </w:style>
  <w:style w:type="paragraph" w:styleId="821" w:customStyle="1">
    <w:name w:val="Default"/>
    <w:next w:val="743"/>
    <w:uiPriority w:val="0"/>
    <w:qFormat/>
    <w:pPr>
      <w:widowControl w:val="off"/>
    </w:pPr>
    <w:rPr>
      <w:rFonts w:ascii="黑体" w:hAnsi="Times New Roman" w:eastAsia="黑体" w:cs="Times New Roman"/>
      <w:lang w:val="en-US" w:eastAsia="zh-CN" w:bidi="ar-SA"/>
    </w:rPr>
  </w:style>
  <w:style w:type="character" w:styleId="822" w:customStyle="1">
    <w:name w:val="标题 1 字符"/>
    <w:link w:val="744"/>
    <w:uiPriority w:val="9"/>
    <w:qFormat/>
    <w:rPr>
      <w:rFonts w:ascii="Arial" w:hAnsi="Arial" w:eastAsia="宋体" w:cs="Arial"/>
      <w:b/>
      <w:sz w:val="30"/>
      <w:szCs w:val="40"/>
    </w:rPr>
  </w:style>
  <w:style w:type="character" w:styleId="823" w:customStyle="1">
    <w:name w:val="标题 2 字符"/>
    <w:link w:val="745"/>
    <w:uiPriority w:val="9"/>
    <w:qFormat/>
    <w:rPr>
      <w:rFonts w:ascii="Arial" w:hAnsi="Arial" w:eastAsia="Arial" w:cs="Arial"/>
      <w:sz w:val="34"/>
    </w:rPr>
  </w:style>
  <w:style w:type="character" w:styleId="824" w:customStyle="1">
    <w:name w:val="标题 3 字符"/>
    <w:link w:val="746"/>
    <w:uiPriority w:val="9"/>
    <w:qFormat/>
    <w:rPr>
      <w:rFonts w:ascii="Arial" w:hAnsi="Arial" w:eastAsia="Arial" w:cs="Arial"/>
      <w:sz w:val="30"/>
      <w:szCs w:val="30"/>
    </w:rPr>
  </w:style>
  <w:style w:type="character" w:styleId="825" w:customStyle="1">
    <w:name w:val="标题 4 字符"/>
    <w:link w:val="747"/>
    <w:uiPriority w:val="9"/>
    <w:qFormat/>
    <w:rPr>
      <w:rFonts w:ascii="Arial" w:hAnsi="Arial" w:eastAsia="Arial" w:cs="Arial"/>
      <w:b/>
      <w:bCs/>
      <w:sz w:val="26"/>
      <w:szCs w:val="26"/>
    </w:rPr>
  </w:style>
  <w:style w:type="character" w:styleId="826" w:customStyle="1">
    <w:name w:val="标题 5 字符"/>
    <w:link w:val="748"/>
    <w:uiPriority w:val="9"/>
    <w:qFormat/>
    <w:rPr>
      <w:rFonts w:ascii="Arial" w:hAnsi="Arial" w:eastAsia="Arial" w:cs="Arial"/>
      <w:b/>
      <w:bCs/>
      <w:sz w:val="24"/>
      <w:szCs w:val="24"/>
    </w:rPr>
  </w:style>
  <w:style w:type="character" w:styleId="827" w:customStyle="1">
    <w:name w:val="标题 6 字符"/>
    <w:link w:val="749"/>
    <w:uiPriority w:val="9"/>
    <w:qFormat/>
    <w:rPr>
      <w:rFonts w:ascii="Arial" w:hAnsi="Arial" w:eastAsia="Arial" w:cs="Arial"/>
      <w:b/>
      <w:bCs/>
      <w:sz w:val="22"/>
      <w:szCs w:val="22"/>
    </w:rPr>
  </w:style>
  <w:style w:type="character" w:styleId="828" w:customStyle="1">
    <w:name w:val="标题 7 字符"/>
    <w:link w:val="750"/>
    <w:uiPriority w:val="9"/>
    <w:qFormat/>
    <w:rPr>
      <w:rFonts w:ascii="Arial" w:hAnsi="Arial" w:eastAsia="Arial" w:cs="Arial"/>
      <w:b/>
      <w:bCs/>
      <w:i/>
      <w:iCs/>
      <w:sz w:val="22"/>
      <w:szCs w:val="22"/>
    </w:rPr>
  </w:style>
  <w:style w:type="character" w:styleId="829" w:customStyle="1">
    <w:name w:val="标题 8 字符"/>
    <w:link w:val="751"/>
    <w:uiPriority w:val="9"/>
    <w:qFormat/>
    <w:rPr>
      <w:rFonts w:ascii="Arial" w:hAnsi="Arial" w:eastAsia="Arial" w:cs="Arial"/>
      <w:i/>
      <w:iCs/>
      <w:sz w:val="22"/>
      <w:szCs w:val="22"/>
    </w:rPr>
  </w:style>
  <w:style w:type="character" w:styleId="830" w:customStyle="1">
    <w:name w:val="标题 9 字符"/>
    <w:link w:val="752"/>
    <w:uiPriority w:val="9"/>
    <w:qFormat/>
    <w:rPr>
      <w:rFonts w:ascii="Arial" w:hAnsi="Arial" w:eastAsia="Arial" w:cs="Arial"/>
      <w:i/>
      <w:iCs/>
      <w:sz w:val="21"/>
      <w:szCs w:val="21"/>
    </w:rPr>
  </w:style>
  <w:style w:type="paragraph" w:styleId="831">
    <w:name w:val="List Paragraph"/>
    <w:basedOn w:val="743"/>
    <w:uiPriority w:val="34"/>
    <w:qFormat/>
    <w:pPr>
      <w:contextualSpacing/>
      <w:ind w:left="720"/>
    </w:pPr>
  </w:style>
  <w:style w:type="paragraph" w:styleId="832">
    <w:name w:val="No Spacing"/>
    <w:uiPriority w:val="1"/>
    <w:qFormat/>
    <w:rPr>
      <w:rFonts w:ascii="Times New Roman" w:hAnsi="Times New Roman" w:eastAsia="宋体" w:cs="Times New Roman"/>
      <w:lang w:val="en-US" w:eastAsia="zh-CN" w:bidi="ar-SA"/>
    </w:rPr>
  </w:style>
  <w:style w:type="character" w:styleId="833" w:customStyle="1">
    <w:name w:val="标题 字符"/>
    <w:link w:val="777"/>
    <w:uiPriority w:val="10"/>
    <w:qFormat/>
    <w:rPr>
      <w:sz w:val="48"/>
      <w:szCs w:val="48"/>
    </w:rPr>
  </w:style>
  <w:style w:type="character" w:styleId="834" w:customStyle="1">
    <w:name w:val="副标题 字符"/>
    <w:link w:val="770"/>
    <w:uiPriority w:val="11"/>
    <w:qFormat/>
    <w:rPr>
      <w:sz w:val="24"/>
      <w:szCs w:val="24"/>
    </w:rPr>
  </w:style>
  <w:style w:type="paragraph" w:styleId="835">
    <w:name w:val="Quote"/>
    <w:basedOn w:val="743"/>
    <w:next w:val="743"/>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3"/>
    <w:next w:val="743"/>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眉 字符"/>
    <w:link w:val="767"/>
    <w:uiPriority w:val="99"/>
    <w:qFormat/>
  </w:style>
  <w:style w:type="character" w:styleId="840" w:customStyle="1">
    <w:name w:val="Footer Char"/>
    <w:uiPriority w:val="99"/>
    <w:qFormat/>
  </w:style>
  <w:style w:type="character" w:styleId="841" w:customStyle="1">
    <w:name w:val="页脚 字符"/>
    <w:link w:val="766"/>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71"/>
    <w:uiPriority w:val="99"/>
    <w:qFormat/>
    <w:rPr>
      <w:sz w:val="18"/>
    </w:rPr>
  </w:style>
  <w:style w:type="character" w:styleId="949" w:customStyle="1">
    <w:name w:val="尾注文本 字符"/>
    <w:link w:val="765"/>
    <w:uiPriority w:val="99"/>
    <w:qFormat/>
    <w:rPr>
      <w:sz w:val="20"/>
    </w:rPr>
  </w:style>
  <w:style w:type="paragraph" w:styleId="950" w:customStyle="1">
    <w:name w:val="TOC 标题11"/>
    <w:uiPriority w:val="39"/>
    <w:unhideWhenUsed/>
    <w:qFormat/>
    <w:rPr>
      <w:rFonts w:ascii="Times New Roman" w:hAnsi="Times New Roman" w:eastAsia="宋体" w:cs="Times New Roman"/>
      <w:lang w:val="en-US" w:eastAsia="zh-CN" w:bidi="ar-SA"/>
    </w:rPr>
  </w:style>
  <w:style w:type="paragraph" w:styleId="951" w:customStyle="1">
    <w:name w:val="标题 11"/>
    <w:basedOn w:val="743"/>
    <w:next w:val="743"/>
    <w:uiPriority w:val="9"/>
    <w:qFormat/>
    <w:pPr>
      <w:keepLines/>
      <w:keepNext/>
      <w:spacing w:before="340" w:after="330" w:line="578" w:lineRule="auto"/>
      <w:outlineLvl w:val="0"/>
    </w:pPr>
    <w:rPr>
      <w:b/>
      <w:bCs/>
      <w:sz w:val="44"/>
      <w:szCs w:val="44"/>
    </w:rPr>
  </w:style>
  <w:style w:type="paragraph" w:styleId="952" w:customStyle="1">
    <w:name w:val="标题 21"/>
    <w:basedOn w:val="743"/>
    <w:next w:val="7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customStyle="1">
    <w:name w:val="标题 31"/>
    <w:basedOn w:val="743"/>
    <w:next w:val="743"/>
    <w:uiPriority w:val="0"/>
    <w:qFormat/>
    <w:pPr>
      <w:keepLines/>
      <w:keepNext/>
      <w:spacing w:before="260" w:after="260" w:line="416" w:lineRule="auto"/>
      <w:outlineLvl w:val="2"/>
    </w:pPr>
    <w:rPr>
      <w:b/>
      <w:bCs/>
      <w:sz w:val="32"/>
      <w:szCs w:val="32"/>
    </w:rPr>
  </w:style>
  <w:style w:type="character" w:styleId="954" w:customStyle="1">
    <w:name w:val="默认段落字体1"/>
    <w:uiPriority w:val="1"/>
    <w:unhideWhenUsed/>
    <w:qFormat/>
  </w:style>
  <w:style w:type="table" w:styleId="955" w:customStyle="1">
    <w:name w:val="普通表格1"/>
    <w:uiPriority w:val="99"/>
    <w:unhideWhenUsed/>
    <w:qFormat/>
    <w:tblPr>
      <w:tblCellMar>
        <w:left w:w="0" w:type="dxa"/>
        <w:top w:w="0" w:type="dxa"/>
        <w:right w:w="0" w:type="dxa"/>
        <w:bottom w:w="0" w:type="dxa"/>
      </w:tblCellMar>
    </w:tblPr>
  </w:style>
  <w:style w:type="paragraph" w:styleId="956" w:customStyle="1">
    <w:name w:val="正文文本缩进1"/>
    <w:basedOn w:val="743"/>
    <w:next w:val="957"/>
    <w:uiPriority w:val="0"/>
    <w:qFormat/>
    <w:pPr>
      <w:ind w:left="420"/>
      <w:spacing w:after="120"/>
    </w:pPr>
    <w:rPr>
      <w:rFonts w:ascii="等线" w:hAnsi="等线" w:eastAsia="等线"/>
    </w:rPr>
  </w:style>
  <w:style w:type="paragraph" w:styleId="957" w:customStyle="1">
    <w:name w:val="寄信人地址1"/>
    <w:basedOn w:val="743"/>
    <w:uiPriority w:val="99"/>
    <w:unhideWhenUsed/>
    <w:qFormat/>
    <w:rPr>
      <w:rFonts w:ascii="Arial" w:hAnsi="Arial"/>
    </w:rPr>
  </w:style>
  <w:style w:type="paragraph" w:styleId="958" w:customStyle="1">
    <w:name w:val="正文缩进1"/>
    <w:basedOn w:val="743"/>
    <w:uiPriority w:val="0"/>
    <w:unhideWhenUsed/>
    <w:qFormat/>
    <w:pPr>
      <w:ind w:firstLine="420"/>
    </w:pPr>
  </w:style>
  <w:style w:type="paragraph" w:styleId="959" w:customStyle="1">
    <w:name w:val="批注文字1"/>
    <w:basedOn w:val="743"/>
    <w:link w:val="960"/>
    <w:uiPriority w:val="0"/>
    <w:qFormat/>
    <w:pPr>
      <w:jc w:val="left"/>
    </w:pPr>
  </w:style>
  <w:style w:type="character" w:styleId="960" w:customStyle="1">
    <w:name w:val="批注文字 Char"/>
    <w:link w:val="959"/>
    <w:uiPriority w:val="0"/>
    <w:qFormat/>
    <w:rPr>
      <w:rFonts w:ascii="Calibri" w:hAnsi="Calibri"/>
      <w:sz w:val="21"/>
      <w:szCs w:val="22"/>
    </w:rPr>
  </w:style>
  <w:style w:type="paragraph" w:styleId="961" w:customStyle="1">
    <w:name w:val="正文文本11"/>
    <w:basedOn w:val="743"/>
    <w:next w:val="962"/>
    <w:uiPriority w:val="0"/>
    <w:qFormat/>
    <w:rPr>
      <w:rFonts w:ascii="楷体_GB2312" w:hAnsi="Arial" w:eastAsia="楷体_GB2312"/>
      <w:sz w:val="28"/>
      <w:szCs w:val="28"/>
    </w:rPr>
  </w:style>
  <w:style w:type="paragraph" w:styleId="962" w:customStyle="1">
    <w:name w:val="标题1"/>
    <w:basedOn w:val="743"/>
    <w:next w:val="743"/>
    <w:uiPriority w:val="0"/>
    <w:qFormat/>
    <w:pPr>
      <w:jc w:val="center"/>
      <w:spacing w:before="240" w:after="60" w:line="360" w:lineRule="auto"/>
      <w:outlineLvl w:val="0"/>
    </w:pPr>
    <w:rPr>
      <w:rFonts w:ascii="宋体" w:hAnsi="宋体"/>
      <w:b/>
      <w:bCs/>
      <w:sz w:val="32"/>
      <w:szCs w:val="32"/>
    </w:rPr>
  </w:style>
  <w:style w:type="paragraph" w:styleId="963" w:customStyle="1">
    <w:name w:val="纯文本1"/>
    <w:basedOn w:val="743"/>
    <w:uiPriority w:val="99"/>
    <w:qFormat/>
    <w:rPr>
      <w:rFonts w:ascii="宋体" w:hAnsi="Courier New"/>
      <w:sz w:val="20"/>
      <w:szCs w:val="21"/>
    </w:rPr>
  </w:style>
  <w:style w:type="paragraph" w:styleId="964" w:customStyle="1">
    <w:name w:val="正文文本缩进 21"/>
    <w:basedOn w:val="743"/>
    <w:uiPriority w:val="0"/>
    <w:qFormat/>
    <w:pPr>
      <w:ind w:left="640"/>
      <w:spacing w:after="120" w:line="480" w:lineRule="auto"/>
    </w:pPr>
    <w:rPr>
      <w:rFonts w:eastAsia="仿宋_GB2312"/>
      <w:sz w:val="32"/>
      <w:szCs w:val="28"/>
    </w:rPr>
  </w:style>
  <w:style w:type="paragraph" w:styleId="965" w:customStyle="1">
    <w:name w:val="批注框文本1"/>
    <w:basedOn w:val="743"/>
    <w:link w:val="966"/>
    <w:uiPriority w:val="0"/>
    <w:qFormat/>
    <w:rPr>
      <w:sz w:val="18"/>
      <w:szCs w:val="18"/>
    </w:rPr>
  </w:style>
  <w:style w:type="character" w:styleId="966" w:customStyle="1">
    <w:name w:val="批注框文本 Char"/>
    <w:link w:val="965"/>
    <w:uiPriority w:val="0"/>
    <w:qFormat/>
    <w:rPr>
      <w:sz w:val="18"/>
      <w:szCs w:val="18"/>
    </w:rPr>
  </w:style>
  <w:style w:type="paragraph" w:styleId="967" w:customStyle="1">
    <w:name w:val="页脚1"/>
    <w:basedOn w:val="743"/>
    <w:uiPriority w:val="99"/>
    <w:unhideWhenUsed/>
    <w:qFormat/>
    <w:pPr>
      <w:jc w:val="left"/>
      <w:tabs>
        <w:tab w:val="center" w:pos="4153" w:leader="none"/>
        <w:tab w:val="right" w:pos="8306" w:leader="none"/>
      </w:tabs>
    </w:pPr>
    <w:rPr>
      <w:sz w:val="18"/>
      <w:szCs w:val="18"/>
    </w:rPr>
  </w:style>
  <w:style w:type="paragraph" w:styleId="968" w:customStyle="1">
    <w:name w:val="页眉1"/>
    <w:basedOn w:val="7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9" w:customStyle="1">
    <w:name w:val="目录 11"/>
    <w:basedOn w:val="743"/>
    <w:next w:val="743"/>
    <w:uiPriority w:val="39"/>
    <w:unhideWhenUsed/>
    <w:qFormat/>
  </w:style>
  <w:style w:type="paragraph" w:styleId="970" w:customStyle="1">
    <w:name w:val="目录 21"/>
    <w:basedOn w:val="743"/>
    <w:next w:val="743"/>
    <w:uiPriority w:val="0"/>
    <w:qFormat/>
    <w:pPr>
      <w:ind w:left="420"/>
    </w:pPr>
  </w:style>
  <w:style w:type="paragraph" w:styleId="971" w:customStyle="1">
    <w:name w:val="正文文本 21"/>
    <w:basedOn w:val="743"/>
    <w:uiPriority w:val="0"/>
    <w:qFormat/>
    <w:pPr>
      <w:spacing w:after="120" w:line="480" w:lineRule="auto"/>
    </w:pPr>
  </w:style>
  <w:style w:type="paragraph" w:styleId="972" w:customStyle="1">
    <w:name w:val="信息标题1"/>
    <w:basedOn w:val="74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3" w:customStyle="1">
    <w:name w:val="普通(网站)1"/>
    <w:basedOn w:val="743"/>
    <w:uiPriority w:val="0"/>
    <w:qFormat/>
    <w:rPr>
      <w:rFonts w:ascii="Times New Roman" w:hAnsi="Times New Roman"/>
      <w:sz w:val="24"/>
    </w:rPr>
  </w:style>
  <w:style w:type="paragraph" w:styleId="974" w:customStyle="1">
    <w:name w:val="批注主题1"/>
    <w:basedOn w:val="959"/>
    <w:next w:val="959"/>
    <w:link w:val="975"/>
    <w:uiPriority w:val="0"/>
    <w:qFormat/>
    <w:rPr>
      <w:b/>
      <w:bCs/>
    </w:rPr>
  </w:style>
  <w:style w:type="character" w:styleId="975" w:customStyle="1">
    <w:name w:val="批注主题 Char"/>
    <w:link w:val="974"/>
    <w:uiPriority w:val="0"/>
    <w:qFormat/>
    <w:rPr>
      <w:rFonts w:ascii="Calibri" w:hAnsi="Calibri"/>
      <w:b/>
      <w:bCs/>
      <w:sz w:val="21"/>
      <w:szCs w:val="22"/>
    </w:rPr>
  </w:style>
  <w:style w:type="paragraph" w:styleId="976" w:customStyle="1">
    <w:name w:val="正文首行缩进 21"/>
    <w:basedOn w:val="956"/>
    <w:next w:val="743"/>
    <w:uiPriority w:val="0"/>
    <w:qFormat/>
    <w:pPr>
      <w:ind w:firstLine="420"/>
      <w:spacing w:before="100" w:beforeAutospacing="1"/>
    </w:pPr>
    <w:rPr>
      <w:rFonts w:ascii="Times New Roman" w:hAnsi="Times New Roman" w:eastAsia="宋体"/>
      <w:sz w:val="20"/>
      <w:szCs w:val="21"/>
    </w:rPr>
  </w:style>
  <w:style w:type="table" w:styleId="977" w:customStyle="1">
    <w:name w:val="网格型1"/>
    <w:basedOn w:val="955"/>
    <w:uiPriority w:val="0"/>
    <w:qFormat/>
    <w:pPr>
      <w:jc w:val="both"/>
      <w:widowControl w:val="off"/>
    </w:pPr>
    <w:tblPr/>
  </w:style>
  <w:style w:type="character" w:styleId="978" w:customStyle="1">
    <w:name w:val="要点1"/>
    <w:uiPriority w:val="0"/>
    <w:qFormat/>
    <w:rPr>
      <w:b/>
    </w:rPr>
  </w:style>
  <w:style w:type="character" w:styleId="979" w:customStyle="1">
    <w:name w:val="强调1"/>
    <w:uiPriority w:val="0"/>
    <w:qFormat/>
    <w:rPr>
      <w:i/>
    </w:rPr>
  </w:style>
  <w:style w:type="character" w:styleId="980" w:customStyle="1">
    <w:name w:val="超链接1"/>
    <w:uiPriority w:val="0"/>
    <w:qFormat/>
    <w:rPr>
      <w:color w:val="0000ff"/>
      <w:u w:val="single"/>
    </w:rPr>
  </w:style>
  <w:style w:type="character" w:styleId="981" w:customStyle="1">
    <w:name w:val="批注引用1"/>
    <w:uiPriority w:val="0"/>
    <w:qFormat/>
    <w:rPr>
      <w:sz w:val="21"/>
      <w:szCs w:val="21"/>
    </w:rPr>
  </w:style>
  <w:style w:type="paragraph" w:styleId="982" w:customStyle="1">
    <w:name w:val="正文（缩进）"/>
    <w:basedOn w:val="743"/>
    <w:uiPriority w:val="0"/>
    <w:qFormat/>
    <w:pPr>
      <w:ind w:firstLine="480"/>
      <w:spacing w:before="156" w:after="156"/>
    </w:pPr>
  </w:style>
  <w:style w:type="paragraph" w:styleId="983" w:customStyle="1">
    <w:name w:val="正文1"/>
    <w:basedOn w:val="743"/>
    <w:next w:val="984"/>
    <w:uiPriority w:val="0"/>
    <w:qFormat/>
    <w:pPr>
      <w:jc w:val="left"/>
      <w:spacing w:line="360" w:lineRule="atLeast"/>
    </w:pPr>
    <w:rPr>
      <w:rFonts w:ascii="宋体" w:cs="Arial"/>
      <w:sz w:val="24"/>
      <w:szCs w:val="20"/>
    </w:rPr>
  </w:style>
  <w:style w:type="paragraph" w:styleId="984" w:customStyle="1">
    <w:name w:val="正文文本1"/>
    <w:basedOn w:val="983"/>
    <w:next w:val="985"/>
    <w:uiPriority w:val="0"/>
    <w:qFormat/>
    <w:pPr>
      <w:spacing w:after="120"/>
    </w:pPr>
    <w:rPr>
      <w:lang w:eastAsia="en-US"/>
    </w:rPr>
  </w:style>
  <w:style w:type="paragraph" w:styleId="985" w:customStyle="1">
    <w:name w:val="一级条标题"/>
    <w:basedOn w:val="986"/>
    <w:next w:val="9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customStyle="1">
    <w:name w:val="章标题"/>
    <w:next w:val="74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7" w:customStyle="1">
    <w:name w:val="段"/>
    <w:basedOn w:val="983"/>
    <w:next w:val="743"/>
    <w:uiPriority w:val="0"/>
    <w:qFormat/>
    <w:pPr>
      <w:ind w:firstLine="200"/>
      <w:widowControl/>
    </w:pPr>
    <w:rPr>
      <w:sz w:val="20"/>
    </w:rPr>
  </w:style>
  <w:style w:type="paragraph" w:styleId="988"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989" w:customStyle="1">
    <w:name w:val="Char"/>
    <w:basedOn w:val="743"/>
    <w:uiPriority w:val="0"/>
    <w:qFormat/>
    <w:pPr>
      <w:ind w:firstLine="200"/>
      <w:tabs>
        <w:tab w:val="left" w:pos="360" w:leader="none"/>
      </w:tabs>
    </w:pPr>
    <w:rPr>
      <w:rFonts w:ascii="Times New Roman" w:hAnsi="Times New Roman"/>
      <w:sz w:val="28"/>
      <w:szCs w:val="30"/>
    </w:rPr>
  </w:style>
  <w:style w:type="paragraph" w:styleId="990" w:customStyle="1">
    <w:name w:val="Table Paragraph"/>
    <w:basedOn w:val="743"/>
    <w:uiPriority w:val="1"/>
    <w:qFormat/>
    <w:rPr>
      <w:rFonts w:ascii="Noto Sans CJK JP Regular" w:hAnsi="Noto Sans CJK JP Regular" w:eastAsia="Noto Sans CJK JP Regular" w:cs="Noto Sans CJK JP Regular"/>
    </w:rPr>
  </w:style>
  <w:style w:type="paragraph" w:styleId="991" w:customStyle="1">
    <w:name w:val="正文（1）"/>
    <w:basedOn w:val="743"/>
    <w:uiPriority w:val="0"/>
    <w:qFormat/>
    <w:pPr>
      <w:numPr>
        <w:ilvl w:val="0"/>
        <w:numId w:val="1"/>
      </w:numPr>
      <w:ind w:firstLine="200"/>
    </w:pPr>
    <w:rPr>
      <w:szCs w:val="24"/>
    </w:rPr>
  </w:style>
  <w:style w:type="paragraph" w:styleId="992" w:customStyle="1">
    <w:name w:val="朱-正文"/>
    <w:basedOn w:val="743"/>
    <w:uiPriority w:val="0"/>
    <w:qFormat/>
    <w:pPr>
      <w:ind w:firstLine="200"/>
    </w:pPr>
    <w:rPr>
      <w:rFonts w:ascii="Times New Roman"/>
      <w:color w:val="000000"/>
      <w:szCs w:val="24"/>
      <w:lang w:val="en-GB"/>
    </w:rPr>
  </w:style>
  <w:style w:type="paragraph" w:styleId="993" w:customStyle="1">
    <w:name w:val="GP正文(首行缩进)"/>
    <w:basedOn w:val="743"/>
    <w:uiPriority w:val="0"/>
    <w:qFormat/>
    <w:pPr>
      <w:ind w:firstLine="480"/>
      <w:jc w:val="left"/>
    </w:pPr>
    <w:rPr>
      <w:rFonts w:ascii="Times New Roman" w:hAnsi="宋体"/>
      <w:sz w:val="24"/>
      <w:szCs w:val="24"/>
    </w:rPr>
  </w:style>
  <w:style w:type="character" w:styleId="994" w:customStyle="1">
    <w:name w:val="font71"/>
    <w:uiPriority w:val="0"/>
    <w:qFormat/>
    <w:rPr>
      <w:rFonts w:hint="eastAsia" w:ascii="宋体" w:hAnsi="宋体" w:eastAsia="宋体" w:cs="宋体"/>
      <w:color w:val="ff0000"/>
      <w:sz w:val="21"/>
      <w:szCs w:val="21"/>
      <w:u w:val="none"/>
    </w:rPr>
  </w:style>
  <w:style w:type="character" w:styleId="995" w:customStyle="1">
    <w:name w:val="font41"/>
    <w:uiPriority w:val="0"/>
    <w:qFormat/>
    <w:rPr>
      <w:rFonts w:hint="eastAsia" w:ascii="宋体" w:hAnsi="宋体" w:eastAsia="宋体" w:cs="宋体"/>
      <w:color w:val="000000"/>
      <w:sz w:val="21"/>
      <w:szCs w:val="21"/>
      <w:u w:val="none"/>
    </w:rPr>
  </w:style>
  <w:style w:type="paragraph" w:styleId="996" w:customStyle="1">
    <w:name w:val="列出段落"/>
    <w:basedOn w:val="743"/>
    <w:uiPriority w:val="0"/>
    <w:qFormat/>
    <w:pPr>
      <w:ind w:firstLine="420"/>
    </w:pPr>
  </w:style>
  <w:style w:type="paragraph" w:styleId="997" w:customStyle="1">
    <w:name w:val="列出段落2"/>
    <w:basedOn w:val="743"/>
    <w:uiPriority w:val="34"/>
    <w:qFormat/>
    <w:pPr>
      <w:ind w:firstLine="420"/>
    </w:pPr>
    <w:rPr>
      <w:rFonts w:ascii="宋体"/>
      <w:color w:val="404040"/>
    </w:rPr>
  </w:style>
  <w:style w:type="paragraph" w:styleId="998" w:customStyle="1">
    <w:name w:val="列表段落1"/>
    <w:basedOn w:val="743"/>
    <w:uiPriority w:val="0"/>
    <w:qFormat/>
    <w:pPr>
      <w:ind w:firstLine="200"/>
    </w:pPr>
    <w:rPr>
      <w:rFonts w:cs="宋体"/>
    </w:rPr>
  </w:style>
  <w:style w:type="character" w:styleId="999" w:customStyle="1">
    <w:name w:val="font51"/>
    <w:uiPriority w:val="0"/>
    <w:qFormat/>
    <w:rPr>
      <w:rFonts w:hint="eastAsia" w:ascii="宋体" w:hAnsi="宋体" w:eastAsia="宋体" w:cs="宋体"/>
      <w:color w:val="000000"/>
      <w:sz w:val="24"/>
      <w:szCs w:val="24"/>
      <w:u w:val="none"/>
      <w:vertAlign w:val="subscript"/>
    </w:rPr>
  </w:style>
  <w:style w:type="character" w:styleId="1000" w:customStyle="1">
    <w:name w:val="font61"/>
    <w:uiPriority w:val="0"/>
    <w:qFormat/>
    <w:rPr>
      <w:rFonts w:hint="eastAsia" w:ascii="宋体" w:hAnsi="宋体" w:eastAsia="宋体" w:cs="宋体"/>
      <w:color w:val="000000"/>
      <w:sz w:val="24"/>
      <w:szCs w:val="24"/>
      <w:u w:val="none"/>
    </w:rPr>
  </w:style>
  <w:style w:type="character" w:styleId="1001" w:customStyle="1">
    <w:name w:val="font01"/>
    <w:uiPriority w:val="0"/>
    <w:qFormat/>
    <w:rPr>
      <w:rFonts w:hint="eastAsia" w:ascii="宋体" w:hAnsi="宋体" w:eastAsia="宋体" w:cs="宋体"/>
      <w:color w:val="000000"/>
      <w:sz w:val="24"/>
      <w:szCs w:val="24"/>
      <w:u w:val="none"/>
    </w:rPr>
  </w:style>
  <w:style w:type="character" w:styleId="1002" w:customStyle="1">
    <w:name w:val="font81"/>
    <w:uiPriority w:val="0"/>
    <w:qFormat/>
    <w:rPr>
      <w:rFonts w:ascii="微软雅黑" w:hAnsi="微软雅黑" w:eastAsia="微软雅黑" w:cs="微软雅黑"/>
      <w:color w:val="000000"/>
      <w:sz w:val="24"/>
      <w:szCs w:val="24"/>
      <w:u w:val="none"/>
    </w:rPr>
  </w:style>
  <w:style w:type="character" w:styleId="1003" w:customStyle="1">
    <w:name w:val="font91"/>
    <w:uiPriority w:val="0"/>
    <w:qFormat/>
    <w:rPr>
      <w:rFonts w:ascii="Segoe UI Symbol" w:hAnsi="Segoe UI Symbol" w:eastAsia="Segoe UI Symbol" w:cs="Segoe UI Symbol"/>
      <w:color w:val="000000"/>
      <w:sz w:val="24"/>
      <w:szCs w:val="24"/>
      <w:u w:val="none"/>
    </w:rPr>
  </w:style>
  <w:style w:type="character" w:styleId="1004" w:customStyle="1">
    <w:name w:val="font101"/>
    <w:uiPriority w:val="0"/>
    <w:qFormat/>
    <w:rPr>
      <w:rFonts w:ascii="Calibri" w:hAnsi="Calibri" w:cs="Calibri"/>
      <w:color w:val="000000"/>
      <w:sz w:val="24"/>
      <w:szCs w:val="24"/>
      <w:u w:val="none"/>
    </w:rPr>
  </w:style>
  <w:style w:type="paragraph" w:styleId="1005" w:customStyle="1">
    <w:name w:val="TableItem"/>
    <w:uiPriority w:val="0"/>
    <w:qFormat/>
    <w:rPr>
      <w:rFonts w:ascii="Verdana" w:hAnsi="Verdana" w:eastAsia="宋体" w:cs="Verdana"/>
      <w:b/>
      <w:bCs/>
      <w:color w:val="538135"/>
      <w:spacing w:val="-10"/>
      <w:sz w:val="16"/>
      <w:szCs w:val="28"/>
      <w:lang w:val="en-US" w:eastAsia="zh-CN" w:bidi="ar-SA"/>
    </w:rPr>
  </w:style>
  <w:style w:type="paragraph" w:styleId="1006" w:customStyle="1">
    <w:name w:val="TableEmphasis"/>
    <w:basedOn w:val="743"/>
    <w:uiPriority w:val="0"/>
    <w:qFormat/>
    <w:rPr>
      <w:rFonts w:ascii="Times New Roman" w:hAnsi="Times New Roman" w:eastAsia="Times New Roman"/>
      <w:b/>
      <w:bCs/>
      <w:color w:val="3333ff"/>
      <w:sz w:val="16"/>
      <w:szCs w:val="18"/>
    </w:rPr>
  </w:style>
  <w:style w:type="paragraph" w:styleId="1007" w:customStyle="1">
    <w:name w:val="修订1"/>
    <w:uiPriority w:val="99"/>
    <w:unhideWhenUsed/>
    <w:qFormat/>
    <w:rPr>
      <w:rFonts w:ascii="Calibri" w:hAnsi="Calibri" w:eastAsia="宋体" w:cs="Times New Roman"/>
      <w:sz w:val="21"/>
      <w:szCs w:val="22"/>
      <w:lang w:val="en-US" w:eastAsia="zh-CN" w:bidi="ar-SA"/>
    </w:rPr>
  </w:style>
  <w:style w:type="paragraph" w:styleId="1008" w:customStyle="1">
    <w:name w:val="修订2"/>
    <w:uiPriority w:val="99"/>
    <w:semiHidden/>
    <w:qFormat/>
    <w:rPr>
      <w:rFonts w:ascii="Calibri" w:hAnsi="Calibri" w:eastAsia="宋体" w:cs="Times New Roman"/>
      <w:sz w:val="21"/>
      <w:szCs w:val="22"/>
      <w:lang w:val="en-US" w:eastAsia="zh-CN" w:bidi="ar-SA"/>
    </w:rPr>
  </w:style>
  <w:style w:type="character" w:styleId="1009" w:customStyle="1">
    <w:name w:val="font11"/>
    <w:uiPriority w:val="0"/>
    <w:qFormat/>
    <w:rPr>
      <w:rFonts w:hint="eastAsia" w:ascii="宋体" w:hAnsi="宋体" w:eastAsia="宋体" w:cs="宋体"/>
      <w:color w:val="000000"/>
      <w:sz w:val="24"/>
      <w:szCs w:val="24"/>
      <w:u w:val="none"/>
    </w:rPr>
  </w:style>
  <w:style w:type="character" w:styleId="1010" w:customStyle="1">
    <w:name w:val="font21"/>
    <w:uiPriority w:val="0"/>
    <w:qFormat/>
    <w:rPr>
      <w:rFonts w:ascii="Segoe UI Symbol" w:hAnsi="Segoe UI Symbol" w:eastAsia="Segoe UI Symbol" w:cs="Segoe UI Symbol"/>
      <w:color w:val="000000"/>
      <w:sz w:val="24"/>
      <w:szCs w:val="24"/>
      <w:u w:val="none"/>
    </w:rPr>
  </w:style>
  <w:style w:type="character" w:styleId="1011" w:customStyle="1">
    <w:name w:val="NormalCharacter1"/>
    <w:uiPriority w:val="0"/>
    <w:semiHidden/>
    <w:qFormat/>
  </w:style>
  <w:style w:type="character" w:styleId="1012" w:customStyle="1">
    <w:name w:val="font31"/>
    <w:uiPriority w:val="0"/>
    <w:qFormat/>
    <w:rPr>
      <w:rFonts w:hint="eastAsia" w:ascii="宋体" w:hAnsi="宋体" w:eastAsia="宋体" w:cs="宋体"/>
      <w:color w:val="000000"/>
      <w:sz w:val="21"/>
      <w:szCs w:val="21"/>
      <w:u w:val="none"/>
    </w:rPr>
  </w:style>
  <w:style w:type="paragraph" w:styleId="1013" w:customStyle="1">
    <w:name w:val="无间隔1"/>
    <w:uiPriority w:val="1"/>
    <w:qFormat/>
    <w:rPr>
      <w:rFonts w:ascii="Times New Roman" w:hAnsi="Times New Roman" w:eastAsia="宋体" w:cs="Times New Roman"/>
      <w:lang w:val="en-US" w:eastAsia="zh-CN" w:bidi="ar-SA"/>
    </w:rPr>
  </w:style>
  <w:style w:type="paragraph" w:styleId="1014" w:customStyle="1">
    <w:name w:val="索引 41"/>
    <w:basedOn w:val="743"/>
    <w:next w:val="743"/>
    <w:uiPriority w:val="99"/>
    <w:unhideWhenUsed/>
    <w:qFormat/>
    <w:pPr>
      <w:ind w:left="600"/>
    </w:pPr>
    <w:rPr>
      <w:rFonts w:ascii="Verdana" w:hAnsi="Verdana" w:eastAsia="微软雅黑"/>
      <w:szCs w:val="20"/>
    </w:rPr>
  </w:style>
  <w:style w:type="paragraph" w:styleId="1015" w:customStyle="1">
    <w:name w:val="首行缩进"/>
    <w:basedOn w:val="743"/>
    <w:uiPriority w:val="0"/>
    <w:qFormat/>
    <w:pPr>
      <w:ind w:firstLine="420"/>
      <w:spacing w:line="360" w:lineRule="auto"/>
    </w:pPr>
  </w:style>
  <w:style w:type="paragraph" w:styleId="1016" w:customStyle="1">
    <w:name w:val="修订3"/>
    <w:hidden/>
    <w:uiPriority w:val="99"/>
    <w:unhideWhenUsed/>
    <w:qFormat/>
    <w:rPr>
      <w:rFonts w:ascii="Calibri" w:hAnsi="Calibri" w:eastAsia="宋体" w:cs="Times New Roman"/>
      <w:sz w:val="21"/>
      <w:szCs w:val="22"/>
      <w:lang w:val="en-US" w:eastAsia="zh-CN" w:bidi="ar-SA"/>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阮玉婷</cp:lastModifiedBy>
  <cp:revision>3</cp:revision>
  <dcterms:created xsi:type="dcterms:W3CDTF">2026-04-18T10:04:00Z</dcterms:created>
  <dcterms:modified xsi:type="dcterms:W3CDTF">2026-04-27T09:32:28Z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27AFB6DAE5C0416C8688161F00B37A66_13</vt:lpwstr>
  </property>
  <property fmtid="{D5CDD505-2E9C-101B-9397-08002B2CF9AE}" pid="4" name="KSOTemplateDocerSaveRecord">
    <vt:lpwstr>eyJoZGlkIjoiMTY0MDU0ZTNhNjIyODJlZjM0NjA3YWYxYTMxMWQ0ZjMiLCJ1c2VySWQiOiIxOTI0NjExMTkifQ==</vt:lpwstr>
  </property>
</Properties>
</file>