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ascii="宋体" w:hAnsi="宋体" w:cs="宋体"/>
          <w:b/>
          <w:bCs/>
          <w:color w:val="auto"/>
          <w:sz w:val="36"/>
          <w:highlight w:val="none"/>
        </w:rPr>
      </w:pPr>
      <w:r>
        <w:rPr>
          <w:rFonts w:hint="eastAsia" w:ascii="宋体" w:hAnsi="宋体" w:cs="宋体"/>
          <w:b/>
          <w:bCs/>
          <w:color w:val="auto"/>
          <w:sz w:val="36"/>
          <w:highlight w:val="none"/>
          <w:lang w:val="en-US" w:eastAsia="zh-CN"/>
        </w:rPr>
        <w:t xml:space="preserve">JSZC-321000-JSWC-G2026-0015</w:t>
      </w:r>
      <w:r>
        <w:rPr>
          <w:rFonts w:hint="eastAsia" w:ascii="宋体" w:hAnsi="宋体" w:cs="宋体"/>
          <w:b/>
          <w:bCs/>
          <w:color w:val="auto"/>
          <w:sz w:val="36"/>
          <w:highlight w:val="none"/>
        </w:rPr>
        <w:t xml:space="preserve">号</w:t>
      </w:r>
      <w:r/>
    </w:p>
    <w:p>
      <w:pPr>
        <w:jc w:val="right"/>
        <w:rPr>
          <w:rFonts w:ascii="宋体" w:hAnsi="宋体" w:cs="宋体"/>
          <w:color w:val="auto"/>
          <w:sz w:val="36"/>
          <w:highlight w:val="none"/>
        </w:rPr>
      </w:pPr>
      <w:r>
        <w:rPr>
          <w:rFonts w:ascii="宋体" w:hAnsi="宋体" w:cs="宋体"/>
          <w:color w:val="auto"/>
          <w:sz w:val="36"/>
          <w:highlight w:val="none"/>
        </w:rPr>
      </w:r>
      <w:r/>
    </w:p>
    <w:p>
      <w:pPr>
        <w:jc w:val="center"/>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r>
      <w:r/>
    </w:p>
    <w:p>
      <w:pPr>
        <w:jc w:val="center"/>
        <w:keepLines w:val="0"/>
        <w:keepNext w:val="0"/>
        <w:pageBreakBefore w:val="0"/>
        <w:spacing w:line="360" w:lineRule="auto"/>
        <w:widowControl w:val="off"/>
        <w:rPr>
          <w:rFonts w:ascii="宋体" w:hAnsi="宋体" w:cs="宋体"/>
          <w:b/>
          <w:bCs/>
          <w:color w:val="auto"/>
          <w:sz w:val="36"/>
          <w:highlight w:val="none"/>
        </w:rPr>
      </w:pPr>
      <w:r>
        <w:rPr>
          <w:rFonts w:hint="eastAsia" w:ascii="宋体" w:hAnsi="宋体" w:cs="宋体"/>
          <w:b/>
          <w:bCs/>
          <w:color w:val="auto"/>
          <w:sz w:val="36"/>
          <w:highlight w:val="none"/>
          <w:lang w:eastAsia="zh-CN"/>
        </w:rPr>
        <w:t xml:space="preserve">扬州市妇幼保健院托育综合服务中心智慧托育系统项目</w:t>
      </w:r>
      <w:r>
        <w:rPr>
          <w:rFonts w:hint="eastAsia" w:ascii="宋体" w:hAnsi="宋体" w:cs="宋体"/>
          <w:b/>
          <w:bCs/>
          <w:color w:val="auto"/>
          <w:sz w:val="36"/>
          <w:highlight w:val="none"/>
        </w:rPr>
        <w:t xml:space="preserve">公开招标文件</w:t>
      </w:r>
      <w:r/>
    </w:p>
    <w:p>
      <w:pPr>
        <w:jc w:val="center"/>
        <w:tabs>
          <w:tab w:val="left" w:pos="4620" w:leader="none"/>
        </w:tabs>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left"/>
        <w:rPr>
          <w:rFonts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91810" cy="3686810"/>
                <wp:effectExtent l="0" t="0" r="14604"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591810" cy="3686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3pt;height:290.3pt;mso-wrap-distance-left:0.0pt;mso-wrap-distance-top:0.0pt;mso-wrap-distance-right:0.0pt;mso-wrap-distance-bottom:0.0pt;" stroked="f">
                <v:path textboxrect="0,0,0,0"/>
                <v:imagedata r:id="rId16" o:title=""/>
              </v:shape>
            </w:pict>
          </mc:Fallback>
        </mc:AlternateContent>
      </w:r>
      <w:r/>
    </w:p>
    <w:p>
      <w:pPr>
        <w:jc w:val="center"/>
        <w:rPr>
          <w:rFonts w:ascii="宋体" w:hAnsi="宋体" w:cs="宋体"/>
          <w:color w:val="auto"/>
          <w:sz w:val="36"/>
          <w:highlight w:val="none"/>
        </w:rPr>
      </w:pPr>
      <w:r>
        <w:rPr>
          <w:rFonts w:ascii="宋体" w:hAnsi="宋体" w:cs="宋体"/>
          <w:color w:val="auto"/>
          <w:sz w:val="36"/>
          <w:highlight w:val="none"/>
        </w:rPr>
      </w:r>
      <w:r/>
    </w:p>
    <w:p>
      <w:pPr>
        <w:pStyle w:val="855"/>
        <w:rPr>
          <w:color w:val="auto"/>
          <w:highlight w:val="none"/>
        </w:rPr>
      </w:pPr>
      <w:r>
        <w:rPr>
          <w:color w:val="auto"/>
          <w:highlight w:val="none"/>
        </w:rPr>
      </w:r>
      <w:r/>
    </w:p>
    <w:p>
      <w:pPr>
        <w:ind w:firstLine="1134"/>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扬州市妇幼保健院</w:t>
      </w:r>
      <w:r/>
    </w:p>
    <w:p>
      <w:pPr>
        <w:ind w:firstLine="1134"/>
        <w:keepLines w:val="0"/>
        <w:keepNext w:val="0"/>
        <w:pageBreakBefore w:val="0"/>
        <w:spacing w:line="360" w:lineRule="auto"/>
        <w:widowControl w:val="off"/>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keepLines w:val="0"/>
        <w:keepNext w:val="0"/>
        <w:pageBreakBefore w:val="0"/>
        <w:spacing w:line="360" w:lineRule="auto"/>
        <w:widowControl w:val="off"/>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21</w:t>
      </w:r>
      <w:r>
        <w:rPr>
          <w:rFonts w:hint="eastAsia" w:ascii="宋体" w:hAnsi="宋体" w:cs="宋体"/>
          <w:b/>
          <w:bCs/>
          <w:color w:val="auto"/>
          <w:sz w:val="32"/>
          <w:szCs w:val="32"/>
          <w:highlight w:val="none"/>
        </w:rPr>
        <w:t xml:space="preserve">日</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841"/>
        <w:spacing w:line="360" w:lineRule="auto"/>
        <w:tabs>
          <w:tab w:val="right" w:pos="8296" w:leader="dot"/>
        </w:tabs>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41"/>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841"/>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841"/>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841"/>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841"/>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rPr>
          <w:rFonts w:ascii="宋体" w:hAnsi="宋体" w:cs="宋体"/>
          <w:color w:val="auto"/>
          <w:sz w:val="28"/>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08"/>
        <w:jc w:val="center"/>
        <w:spacing w:line="360" w:lineRule="auto"/>
        <w:rPr>
          <w:rFonts w:ascii="宋体" w:hAnsi="宋体" w:cs="宋体"/>
          <w:color w:val="auto"/>
          <w:sz w:val="36"/>
          <w:highlight w:val="none"/>
        </w:rPr>
      </w:pPr>
      <w:r/>
      <w:bookmarkStart w:id="1" w:name="OLE_LINK1"/>
      <w:r/>
      <w:bookmarkStart w:id="2" w:name="_Toc497133090"/>
      <w:r>
        <w:rPr>
          <w:rFonts w:hint="eastAsia" w:ascii="宋体" w:hAnsi="宋体" w:cs="宋体"/>
          <w:color w:val="auto"/>
          <w:sz w:val="36"/>
          <w:highlight w:val="none"/>
        </w:rPr>
        <w:t xml:space="preserve">第一章 招标公告</w:t>
      </w:r>
      <w:bookmarkEnd w:id="1"/>
      <w:r/>
      <w:bookmarkEnd w:id="2"/>
      <w:r/>
      <w:r/>
    </w:p>
    <w:p>
      <w:pPr>
        <w:ind w:firstLine="420"/>
        <w:keepLines w:val="0"/>
        <w:keepNext w:val="0"/>
        <w:pageBreakBefore w:val="0"/>
        <w:spacing w:line="360" w:lineRule="auto"/>
        <w:widowControl w:val="off"/>
        <w:tabs>
          <w:tab w:val="left" w:pos="266" w:leader="none"/>
        </w:tabs>
        <w:rPr>
          <w:rFonts w:ascii="宋体" w:hAnsi="宋体" w:cs="宋体"/>
          <w:color w:val="auto"/>
          <w:szCs w:val="21"/>
          <w:highlight w:val="none"/>
        </w:rPr>
      </w:pPr>
      <w:r/>
      <w:bookmarkStart w:id="3"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扬州市妇幼保健院</w:t>
      </w:r>
      <w:r>
        <w:rPr>
          <w:rFonts w:hint="eastAsia" w:ascii="宋体" w:hAnsi="宋体" w:cs="宋体"/>
          <w:color w:val="auto"/>
          <w:highlight w:val="none"/>
        </w:rPr>
        <w:t xml:space="preserve">的委托，江苏唯诚建设咨询有限公司就</w:t>
      </w:r>
      <w:r>
        <w:rPr>
          <w:rFonts w:hint="eastAsia" w:ascii="宋体" w:hAnsi="宋体" w:cs="宋体"/>
          <w:color w:val="auto"/>
          <w:highlight w:val="none"/>
          <w:lang w:eastAsia="zh-CN"/>
        </w:rPr>
        <w:t xml:space="preserve">扬州市妇幼保健院托育综合服务中心智慧托育系统项目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扬州市妇幼保健院托育综合服务中心智慧托育系统项目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中国政府采购网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JSZC-321000-JSWC-G2026-0015</w:t>
      </w:r>
      <w:r>
        <w:rPr>
          <w:rFonts w:hint="eastAsia" w:ascii="宋体" w:hAnsi="宋体" w:cs="宋体"/>
          <w:color w:val="auto"/>
          <w:highlight w:val="none"/>
          <w:lang w:val="en-US" w:eastAsia="zh-CN"/>
        </w:rPr>
        <w:t xml:space="preserve"> </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扬州市妇幼保健院托育综合服务中心智慧托育系统项目</w:t>
      </w:r>
      <w:r/>
    </w:p>
    <w:p>
      <w:pPr>
        <w:ind w:firstLine="42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highlight w:val="none"/>
        </w:rPr>
        <w:t xml:space="preserve">3.预算金额：</w:t>
      </w:r>
      <w:r>
        <w:rPr>
          <w:rFonts w:hint="eastAsia" w:ascii="宋体" w:hAnsi="宋体" w:cs="宋体"/>
          <w:color w:val="auto"/>
          <w:highlight w:val="none"/>
          <w:u w:val="single"/>
          <w:lang w:val="en-US" w:eastAsia="zh-CN"/>
        </w:rPr>
        <w:t xml:space="preserve"> 129 </w:t>
      </w:r>
      <w:r>
        <w:rPr>
          <w:rFonts w:hint="eastAsia" w:ascii="宋体" w:hAnsi="宋体" w:eastAsia="宋体" w:cs="宋体"/>
          <w:color w:val="auto"/>
          <w:highlight w:val="none"/>
        </w:rPr>
        <w:t xml:space="preserve">万元</w:t>
      </w:r>
      <w:r/>
    </w:p>
    <w:p>
      <w:pPr>
        <w:ind w:firstLine="420"/>
        <w:keepLines w:val="0"/>
        <w:keepNext w:val="0"/>
        <w:pageBreakBefore w:val="0"/>
        <w:spacing w:line="360" w:lineRule="auto"/>
        <w:rPr>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u w:val="single"/>
          <w:lang w:val="en-US" w:eastAsia="zh-CN"/>
        </w:rPr>
        <w:t xml:space="preserve"> 129 </w:t>
      </w:r>
      <w:r>
        <w:rPr>
          <w:rFonts w:hint="eastAsia" w:ascii="宋体" w:hAnsi="宋体" w:cs="宋体"/>
          <w:color w:val="auto"/>
          <w:highlight w:val="none"/>
          <w:lang w:val="en-US" w:eastAsia="zh-CN"/>
        </w:rPr>
        <w:t xml:space="preserve">万元，</w:t>
      </w:r>
      <w:r>
        <w:rPr>
          <w:rFonts w:hint="eastAsia" w:ascii="宋体" w:hAnsi="宋体" w:cs="宋体"/>
          <w:color w:val="auto"/>
          <w:highlight w:val="none"/>
        </w:rPr>
        <w:t xml:space="preserve">投标报价高于最高限价的作废标处理。</w:t>
      </w:r>
      <w:r/>
    </w:p>
    <w:p>
      <w:pPr>
        <w:numPr>
          <w:ilvl w:val="0"/>
          <w:numId w:val="0"/>
        </w:numPr>
        <w:ind w:firstLine="420"/>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5.</w:t>
      </w:r>
      <w:r>
        <w:rPr>
          <w:rFonts w:hint="eastAsia" w:ascii="宋体" w:hAnsi="宋体" w:cs="宋体"/>
          <w:color w:val="auto"/>
          <w:highlight w:val="none"/>
        </w:rPr>
        <w:t xml:space="preserve">采购需求：</w:t>
      </w:r>
      <w:r>
        <w:rPr>
          <w:rFonts w:hint="eastAsia" w:ascii="宋体" w:hAnsi="宋体" w:cs="宋体"/>
          <w:color w:val="auto"/>
          <w:highlight w:val="none"/>
          <w:lang w:val="en-US" w:eastAsia="zh-CN"/>
        </w:rPr>
        <w:t xml:space="preserve">详见招标文件第四章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.供货期：</w:t>
      </w:r>
      <w:bookmarkStart w:id="5" w:name="_Toc38985264"/>
      <w:r>
        <w:rPr>
          <w:rFonts w:hint="eastAsia" w:ascii="宋体" w:hAnsi="宋体" w:cs="宋体"/>
          <w:color w:val="auto"/>
          <w:highlight w:val="none"/>
          <w:lang w:val="en-US" w:eastAsia="zh-CN"/>
        </w:rPr>
        <w:t xml:space="preserve">详见招标文件第四章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keepLines w:val="0"/>
        <w:keepNext w:val="0"/>
        <w:pageBreakBefore w:val="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8.本项目</w:t>
      </w:r>
      <w:r>
        <w:rPr>
          <w:rFonts w:hint="eastAsia" w:ascii="宋体" w:hAnsi="宋体" w:cs="宋体"/>
          <w:color w:val="auto"/>
          <w:highlight w:val="none"/>
          <w:u w:val="single"/>
          <w:lang w:val="en-US" w:eastAsia="zh-CN"/>
        </w:rPr>
        <w:t xml:space="preserve">不接受</w:t>
      </w:r>
      <w:r>
        <w:rPr>
          <w:rFonts w:hint="eastAsia" w:ascii="宋体" w:hAnsi="宋体" w:cs="宋体"/>
          <w:color w:val="auto"/>
          <w:highlight w:val="none"/>
          <w:lang w:val="en-US" w:eastAsia="zh-CN"/>
        </w:rPr>
        <w:t xml:space="preserve">进口产品投标。</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w:t>
      </w:r>
      <w:r>
        <w:rPr>
          <w:rFonts w:hint="eastAsia" w:ascii="宋体" w:hAnsi="宋体" w:cs="宋体"/>
          <w:b/>
          <w:bCs/>
          <w:i/>
          <w:iCs/>
          <w:color w:val="auto"/>
          <w:szCs w:val="21"/>
          <w:highlight w:val="none"/>
          <w:u w:val="single"/>
          <w:lang w:val="en-US" w:eastAsia="zh-CN"/>
        </w:rPr>
        <w:t xml:space="preserve">一年内</w:t>
      </w:r>
      <w:r>
        <w:rPr>
          <w:rFonts w:hint="eastAsia" w:ascii="宋体" w:hAnsi="宋体" w:cs="宋体"/>
          <w:b/>
          <w:bCs/>
          <w:i/>
          <w:iCs/>
          <w:color w:val="auto"/>
          <w:szCs w:val="21"/>
          <w:highlight w:val="none"/>
          <w:u w:val="single"/>
        </w:rPr>
        <w:t xml:space="preserve">内任意一个月缴纳职工社会保障资金的缴款凭证或缴款证明)（投标人依法享受缓缴、免缴的提供证明材料）</w:t>
      </w:r>
      <w:r/>
    </w:p>
    <w:p>
      <w:pPr>
        <w:ind w:firstLine="420"/>
        <w:keepLines w:val="0"/>
        <w:keepNext w:val="0"/>
        <w:pageBreakBefore w:val="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w:t>
      </w:r>
      <w:r>
        <w:rPr>
          <w:rFonts w:hint="eastAsia" w:ascii="宋体" w:hAnsi="宋体" w:cs="宋体"/>
          <w:i/>
          <w:iCs/>
          <w:color w:val="auto"/>
          <w:szCs w:val="21"/>
          <w:highlight w:val="none"/>
          <w:u w:val="single"/>
          <w:lang w:eastAsia="zh-CN"/>
        </w:rPr>
        <w:t xml:space="preserve">近一年内</w:t>
      </w:r>
      <w:r>
        <w:rPr>
          <w:rFonts w:hint="eastAsia" w:ascii="宋体" w:hAnsi="宋体" w:cs="宋体"/>
          <w:i/>
          <w:iCs/>
          <w:color w:val="auto"/>
          <w:szCs w:val="21"/>
          <w:highlight w:val="none"/>
          <w:u w:val="single"/>
        </w:rPr>
        <w:t xml:space="preserve">任意一</w:t>
      </w:r>
      <w:r>
        <w:rPr>
          <w:rFonts w:hint="eastAsia" w:ascii="宋体" w:hAnsi="宋体" w:cs="宋体"/>
          <w:i/>
          <w:iCs/>
          <w:color w:val="auto"/>
          <w:szCs w:val="21"/>
          <w:highlight w:val="none"/>
          <w:u w:val="single"/>
          <w:lang w:val="en-US" w:eastAsia="zh-CN"/>
        </w:rPr>
        <w:t xml:space="preserve">个月</w:t>
      </w:r>
      <w:r>
        <w:rPr>
          <w:rFonts w:hint="eastAsia" w:ascii="宋体" w:hAnsi="宋体" w:cs="宋体"/>
          <w:i/>
          <w:iCs/>
          <w:color w:val="auto"/>
          <w:szCs w:val="21"/>
          <w:highlight w:val="none"/>
          <w:u w:val="single"/>
        </w:rPr>
        <w:t xml:space="preserve">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keepLines w:val="0"/>
        <w:keepNext w:val="0"/>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keepLines w:val="0"/>
        <w:keepNext w:val="0"/>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numPr>
          <w:ilvl w:val="0"/>
          <w:numId w:val="0"/>
        </w:numPr>
        <w:ind w:firstLine="420"/>
        <w:keepLines w:val="0"/>
        <w:keepNext w:val="0"/>
        <w:pageBreakBefore w:val="0"/>
        <w:spacing w:line="360" w:lineRule="auto"/>
        <w:rPr>
          <w:rFonts w:hint="eastAsia" w:ascii="宋体" w:hAnsi="宋体" w:cs="宋体"/>
          <w:bCs/>
          <w:i/>
          <w:color w:val="auto"/>
          <w:highlight w:val="none"/>
          <w:u w:val="single"/>
          <w:lang w:eastAsia="zh-CN"/>
        </w:rPr>
      </w:pPr>
      <w:r>
        <w:rPr>
          <w:rFonts w:hint="eastAsia" w:ascii="宋体" w:hAnsi="宋体" w:eastAsia="宋体" w:cs="宋体"/>
          <w:bCs/>
          <w:i/>
          <w:color w:val="auto"/>
          <w:sz w:val="21"/>
          <w:szCs w:val="22"/>
          <w:highlight w:val="none"/>
          <w:lang w:val="en-US" w:eastAsia="zh-CN" w:bidi="ar-SA"/>
        </w:rPr>
        <w:t xml:space="preserve">2.</w:t>
      </w:r>
      <w:r>
        <w:rPr>
          <w:rFonts w:hint="eastAsia" w:ascii="宋体" w:hAnsi="宋体" w:cs="宋体"/>
          <w:color w:val="auto"/>
          <w:szCs w:val="21"/>
          <w:highlight w:val="none"/>
        </w:rPr>
        <w:t xml:space="preserve">落实政府采购政策需满足的资格要求：</w:t>
      </w:r>
      <w:r>
        <w:rPr>
          <w:rFonts w:hint="eastAsia" w:ascii="宋体" w:hAnsi="宋体" w:eastAsia="宋体" w:cs="宋体"/>
          <w:b w:val="0"/>
          <w:bCs/>
          <w:i w:val="0"/>
          <w:iCs/>
          <w:color w:val="auto"/>
          <w:highlight w:val="none"/>
          <w:u w:val="none"/>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i/>
          <w:color w:val="auto"/>
          <w:highlight w:val="none"/>
          <w:u w:val="singl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r/>
    </w:p>
    <w:p>
      <w:pPr>
        <w:ind w:firstLine="422"/>
        <w:keepLines w:val="0"/>
        <w:keepNext w:val="0"/>
        <w:pageBreakBefore w:val="0"/>
        <w:spacing w:line="360" w:lineRule="auto"/>
        <w:widowControl w:val="off"/>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keepLines w:val="0"/>
        <w:keepNext w:val="0"/>
        <w:pageBreakBefore w:val="0"/>
        <w:spacing w:line="360" w:lineRule="auto"/>
        <w:widowControl w:val="off"/>
        <w:rPr>
          <w:rFonts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360" w:lineRule="auto"/>
        <w:widowControl w:val="off"/>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（3）“CA数字证书”的办理材料以及供应商操作手册详见：http</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//zfcg.yangzhou.gov.cn/zfcg/xzzx/202309/4d7de1f7865f4a2894fc22bc452f94d8.shtml。</w:t>
      </w:r>
      <w:r/>
    </w:p>
    <w:p>
      <w:pPr>
        <w:ind w:firstLine="422"/>
        <w:jc w:val="left"/>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//jszfcg.jsczt.cn/。</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keepLines w:val="0"/>
        <w:keepNext w:val="0"/>
        <w:pageBreakBefore w:val="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11</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hint="eastAsia"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keepLines w:val="0"/>
        <w:keepNext w:val="0"/>
        <w:pageBreakBefore w:val="0"/>
        <w:spacing w:line="360" w:lineRule="auto"/>
        <w:rPr>
          <w:rFonts w:ascii="宋体" w:hAnsi="宋体" w:cs="宋体"/>
          <w:b w:val="0"/>
          <w:bCs/>
          <w:color w:val="auto"/>
          <w:highlight w:val="none"/>
          <w:u w:val="single"/>
        </w:rPr>
      </w:pPr>
      <w:r>
        <w:rPr>
          <w:rFonts w:hint="eastAsia" w:ascii="宋体" w:hAnsi="宋体" w:cs="宋体"/>
          <w:color w:val="auto"/>
          <w:highlight w:val="none"/>
        </w:rPr>
        <w:t xml:space="preserve">2.开标地点：</w:t>
      </w:r>
      <w:r>
        <w:rPr>
          <w:rFonts w:hint="eastAsia" w:ascii="宋体" w:hAnsi="宋体"/>
          <w:b w:val="0"/>
          <w:bCs/>
          <w:color w:val="auto"/>
          <w:szCs w:val="21"/>
          <w:highlight w:val="none"/>
        </w:rPr>
        <w:t xml:space="preserve">“苏采云”系统（网址：http</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//jszfcg.jsczt.cn/）“开标大厅”</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7" w:name="_Toc38985267"/>
      <w:r>
        <w:rPr>
          <w:rFonts w:hint="eastAsia" w:ascii="宋体" w:hAnsi="宋体" w:cs="宋体"/>
          <w:b/>
          <w:bCs/>
          <w:color w:val="auto"/>
          <w:highlight w:val="none"/>
        </w:rPr>
        <w:t xml:space="preserve">五、公告期限</w:t>
      </w:r>
      <w:bookmarkEnd w:id="7"/>
      <w:r/>
      <w:r/>
    </w:p>
    <w:p>
      <w:pPr>
        <w:ind w:firstLine="420"/>
        <w:keepLines w:val="0"/>
        <w:keepNext w:val="0"/>
        <w:pageBreakBefore w:val="0"/>
        <w:spacing w:line="360" w:lineRule="auto"/>
        <w:rPr>
          <w:rFonts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9" w:name="_Toc28359087"/>
      <w:r/>
      <w:bookmarkStart w:id="10" w:name="_Toc28359010"/>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//www.crcrfsp.com）”向参与政府采购融资业务的金融机构申请线上融资，相关事宜可向市人民银行咨询，联系电话：0514-87936653。</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ind w:firstLine="422"/>
        <w:keepLines w:val="0"/>
        <w:keepNext w:val="0"/>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keepLines w:val="0"/>
        <w:keepNext w:val="0"/>
        <w:pageBreakBefore w:val="0"/>
        <w:spacing w:line="360" w:lineRule="auto"/>
        <w:rPr>
          <w:rFonts w:ascii="宋体" w:hAnsi="宋体" w:cs="宋体"/>
          <w:b/>
          <w:bCs/>
          <w:color w:val="auto"/>
          <w:szCs w:val="21"/>
          <w:highlight w:val="none"/>
        </w:rPr>
      </w:pPr>
      <w:r/>
      <w:bookmarkStart w:id="11"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keepLines w:val="0"/>
        <w:keepNext w:val="0"/>
        <w:pageBreakBefore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keepLines w:val="0"/>
        <w:keepNext w:val="0"/>
        <w:pageBreakBefore w:val="0"/>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keepLines w:val="0"/>
        <w:keepNext w:val="0"/>
        <w:pageBreakBefore w:val="0"/>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keepLines w:val="0"/>
        <w:keepNext w:val="0"/>
        <w:pageBreakBefore w:val="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keepLines w:val="0"/>
        <w:keepNext w:val="0"/>
        <w:pageBreakBefore w:val="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发布的信息。</w:t>
      </w:r>
      <w:r/>
    </w:p>
    <w:p>
      <w:pPr>
        <w:ind w:firstLine="422"/>
        <w:jc w:val="left"/>
        <w:keepLines w:val="0"/>
        <w:keepNext w:val="0"/>
        <w:pageBreakBefore w:val="0"/>
        <w:spacing w:line="360" w:lineRule="auto"/>
        <w:widowControl w:val="off"/>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keepLines w:val="0"/>
        <w:keepNext w:val="0"/>
        <w:pageBreakBefore w:val="0"/>
        <w:spacing w:line="360" w:lineRule="auto"/>
        <w:widowControl w:val="off"/>
        <w:rPr>
          <w:rFonts w:ascii="宋体" w:hAnsi="宋体" w:eastAsia="宋体" w:cs="宋体"/>
          <w:bCs/>
          <w:color w:val="auto"/>
          <w:szCs w:val="21"/>
          <w:highlight w:val="none"/>
        </w:rPr>
      </w:pPr>
      <w:r>
        <w:rPr>
          <w:rFonts w:ascii="宋体" w:hAnsi="宋体" w:eastAsia="宋体" w:cs="宋体"/>
          <w:bCs/>
          <w:color w:val="auto"/>
          <w:szCs w:val="21"/>
          <w:highlight w:val="none"/>
        </w:rPr>
        <w:t xml:space="preserve">9</w:t>
      </w:r>
      <w:r>
        <w:rPr>
          <w:rFonts w:hint="eastAsia" w:ascii="宋体" w:hAnsi="宋体" w:eastAsia="宋体" w:cs="宋体"/>
          <w:bCs/>
          <w:color w:val="auto"/>
          <w:szCs w:val="21"/>
          <w:highlight w:val="none"/>
        </w:rPr>
        <w:t xml:space="preserve">.如在开标时间发生系统崩溃等不可预见的情况，造成开评标活动无法正常进行的，</w:t>
      </w:r>
      <w:r>
        <w:rPr>
          <w:rFonts w:hint="eastAsia" w:ascii="宋体" w:hAnsi="宋体" w:eastAsia="宋体" w:cs="宋体"/>
          <w:bCs/>
          <w:color w:val="auto"/>
          <w:szCs w:val="21"/>
          <w:highlight w:val="none"/>
          <w:lang w:val="en-US" w:eastAsia="zh-CN"/>
        </w:rPr>
        <w:t xml:space="preserve">将</w:t>
      </w:r>
      <w:r>
        <w:rPr>
          <w:rFonts w:hint="eastAsia" w:ascii="宋体" w:hAnsi="宋体" w:eastAsia="宋体" w:cs="宋体"/>
          <w:bCs/>
          <w:color w:val="auto"/>
          <w:szCs w:val="21"/>
          <w:highlight w:val="none"/>
        </w:rPr>
        <w:t xml:space="preserve">延迟开评标，具体开评标时间另行通知。</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1"/>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pStyle w:val="1053"/>
        <w:ind w:firstLine="420"/>
        <w:jc w:val="left"/>
        <w:keepLines w:val="0"/>
        <w:keepNext w:val="0"/>
        <w:pageBreakBefore w:val="0"/>
        <w:spacing w:line="360" w:lineRule="auto"/>
        <w:rPr>
          <w:rFonts w:hint="eastAsia" w:ascii="宋体" w:hAnsi="宋体" w:eastAsia="宋体" w:cs="宋体"/>
          <w:color w:val="auto"/>
          <w:szCs w:val="21"/>
          <w:highlight w:val="none"/>
          <w:lang w:eastAsia="zh-CN"/>
        </w:rPr>
      </w:pPr>
      <w:r/>
      <w:bookmarkStart w:id="12" w:name="_Toc28359009"/>
      <w:r/>
      <w:bookmarkStart w:id="13" w:name="_Toc28359086"/>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称：</w:t>
      </w:r>
      <w:r>
        <w:rPr>
          <w:rFonts w:hint="eastAsia" w:ascii="宋体" w:hAnsi="宋体" w:cs="宋体"/>
          <w:color w:val="auto"/>
          <w:szCs w:val="21"/>
          <w:highlight w:val="none"/>
          <w:lang w:eastAsia="zh-CN"/>
        </w:rPr>
        <w:t xml:space="preserve">扬州市妇幼保健院</w:t>
      </w:r>
      <w:r/>
    </w:p>
    <w:p>
      <w:pPr>
        <w:pStyle w:val="1053"/>
        <w:ind w:firstLine="420"/>
        <w:jc w:val="left"/>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址：扬州市</w:t>
      </w:r>
      <w:r>
        <w:rPr>
          <w:rFonts w:hint="eastAsia" w:ascii="宋体" w:hAnsi="宋体" w:cs="宋体"/>
          <w:color w:val="auto"/>
          <w:szCs w:val="21"/>
          <w:highlight w:val="none"/>
          <w:lang w:val="en-US" w:eastAsia="zh-CN"/>
        </w:rPr>
        <w:t xml:space="preserve">京杭北路50号</w:t>
      </w:r>
      <w:r/>
    </w:p>
    <w:p>
      <w:pPr>
        <w:pStyle w:val="1053"/>
        <w:ind w:firstLine="420"/>
        <w:jc w:val="left"/>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人：</w:t>
      </w:r>
      <w:r>
        <w:rPr>
          <w:rFonts w:hint="eastAsia" w:ascii="宋体" w:hAnsi="宋体" w:cs="宋体"/>
          <w:color w:val="auto"/>
          <w:szCs w:val="21"/>
          <w:highlight w:val="none"/>
          <w:lang w:val="en-US" w:eastAsia="zh-CN"/>
        </w:rPr>
        <w:t xml:space="preserve">徐佳慧</w:t>
      </w:r>
      <w:r/>
    </w:p>
    <w:p>
      <w:pPr>
        <w:pStyle w:val="1053"/>
        <w:ind w:firstLine="420"/>
        <w:jc w:val="left"/>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联系方式：0514-80828096</w:t>
      </w:r>
      <w:r>
        <w:rPr>
          <w:rFonts w:hint="eastAsia" w:ascii="宋体" w:hAnsi="宋体" w:cs="宋体"/>
          <w:color w:val="auto"/>
          <w:szCs w:val="21"/>
          <w:highlight w:val="none"/>
          <w:lang w:val="en-US" w:eastAsia="zh-CN"/>
        </w:rPr>
        <w:t xml:space="preserve"> </w:t>
      </w:r>
      <w:r/>
    </w:p>
    <w:p>
      <w:pPr>
        <w:ind w:firstLine="420"/>
        <w:jc w:val="left"/>
        <w:keepLines w:val="0"/>
        <w:keepNext w:val="0"/>
        <w:pageBreakBefore w:val="0"/>
        <w:spacing w:line="360" w:lineRule="auto"/>
        <w:rPr>
          <w:rFonts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keepLines w:val="0"/>
        <w:keepNext w:val="0"/>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keepLines w:val="0"/>
        <w:keepNext w:val="0"/>
        <w:pageBreakBefore w:val="0"/>
        <w:spacing w:line="360" w:lineRule="auto"/>
        <w:rPr>
          <w:rFonts w:ascii="宋体" w:hAnsi="宋体" w:cs="宋体"/>
          <w:color w:val="auto"/>
          <w:highlight w:val="none"/>
        </w:rPr>
      </w:pPr>
      <w:r>
        <w:rPr>
          <w:rFonts w:hint="eastAsia" w:ascii="宋体" w:hAnsi="宋体" w:cs="宋体"/>
          <w:color w:val="auto"/>
          <w:highlight w:val="none"/>
        </w:rPr>
        <w:t xml:space="preserve">地　  址：扬州市维扬路106-1#扬州商城国际大厦19F</w:t>
      </w:r>
      <w:r/>
    </w:p>
    <w:p>
      <w:pPr>
        <w:ind w:firstLine="420"/>
        <w:jc w:val="left"/>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 系 人：林祖超</w:t>
      </w:r>
      <w:r/>
    </w:p>
    <w:p>
      <w:pPr>
        <w:ind w:firstLine="420"/>
        <w:jc w:val="left"/>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联系方式：18652401357</w:t>
      </w:r>
      <w:r/>
    </w:p>
    <w:p>
      <w:pPr>
        <w:pStyle w:val="1049"/>
        <w:rPr>
          <w:color w:val="auto"/>
          <w:highlight w:val="none"/>
        </w:rPr>
      </w:pPr>
      <w:r>
        <w:rPr>
          <w:color w:val="auto"/>
          <w:highlight w:val="none"/>
        </w:rPr>
      </w:r>
      <w:r/>
    </w:p>
    <w:p>
      <w:pPr>
        <w:pStyle w:val="808"/>
        <w:jc w:val="center"/>
        <w:keepLines/>
        <w:keepNext/>
        <w:pageBreakBefore w:val="0"/>
        <w:spacing w:line="240" w:lineRule="auto"/>
        <w:widowControl w:val="off"/>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left="0" w:firstLine="422"/>
        <w:keepLines w:val="0"/>
        <w:keepNext w:val="0"/>
        <w:pageBreakBefore w:val="0"/>
        <w:spacing w:line="360" w:lineRule="auto"/>
        <w:widowControl w:val="off"/>
        <w:rPr>
          <w:rFonts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val="en-US" w:eastAsia="zh-CN"/>
        </w:rPr>
        <w:t xml:space="preserve">JSZC-321000-JSWC-G2026-0015</w:t>
      </w:r>
      <w:r>
        <w:rPr>
          <w:rFonts w:hint="eastAsia" w:ascii="宋体" w:hAnsi="宋体"/>
          <w:bCs/>
          <w:color w:val="auto"/>
          <w:szCs w:val="21"/>
          <w:highlight w:val="none"/>
        </w:rPr>
        <w:t xml:space="preserve">号项目。</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2、投标人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3、适用法律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4、投标费用</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4.2本次采购由中标人在领取中标通知书前按《招标代理服务收费管理暂行办法》(计价格【2002】1980 号文)货物类</w:t>
      </w:r>
      <w:r>
        <w:rPr>
          <w:rFonts w:hint="eastAsia" w:ascii="宋体" w:hAnsi="宋体" w:cs="宋体"/>
          <w:color w:val="auto"/>
          <w:highlight w:val="none"/>
          <w:lang w:val="en-US" w:eastAsia="zh-CN"/>
        </w:rPr>
        <w:t xml:space="preserve">标准70%</w:t>
      </w:r>
      <w:r>
        <w:rPr>
          <w:rFonts w:hint="eastAsia" w:ascii="宋体" w:hAnsi="宋体" w:cs="宋体"/>
          <w:color w:val="auto"/>
          <w:highlight w:val="none"/>
        </w:rPr>
        <w:t xml:space="preserve">一次性支付给代理机构代理服务费。 </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（1）代理服务费以人民币支付； </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（3）招标代理服务费不在投标报价中单列，包含在投标总价中，由中标单位支付给代理机构。 </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left="0"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开户帐号：05000140900000685</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6、招标文件构成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（1）招标公告</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（4）项目需求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公布，补充文件将作为招标文件的组成部分，并对投标人具有约束力。</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12、分项报价表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12.2 标的物</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12.3其它费用处理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12.4投标货币</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16、投标有效期</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360" w:lineRule="auto"/>
        <w:widowControl w:val="off"/>
        <w:rPr>
          <w:rFonts w:ascii="宋体" w:hAnsi="宋体"/>
          <w:b/>
          <w:color w:val="auto"/>
          <w:szCs w:val="21"/>
          <w:highlight w:val="none"/>
        </w:rPr>
      </w:pPr>
      <w:r/>
      <w:bookmarkStart w:id="15" w:name="_Toc513029225"/>
      <w:r/>
      <w:bookmarkStart w:id="16" w:name="_Toc462564084"/>
      <w:r/>
      <w:bookmarkStart w:id="17" w:name="_Toc16938541"/>
      <w:r/>
      <w:bookmarkStart w:id="18" w:name="_Toc20823297"/>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16938542"/>
      <w:r/>
      <w:bookmarkStart w:id="20" w:name="_Toc20823298"/>
      <w:r/>
      <w:bookmarkStart w:id="21" w:name="_Toc513029226"/>
      <w:r/>
      <w:r/>
    </w:p>
    <w:p>
      <w:pPr>
        <w:ind w:left="0" w:firstLine="422"/>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17.2政府采购管理交易系统（苏采云）相关要求是本招标文件的组成部分。</w:t>
      </w:r>
      <w:r/>
    </w:p>
    <w:p>
      <w:pPr>
        <w:ind w:left="0" w:firstLine="422"/>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17.3投标人应对 CA 证书妥善保管，如被他人盗用投标，因此带来的结果均由投标人自行承担。</w:t>
      </w:r>
      <w:r/>
    </w:p>
    <w:p>
      <w:pPr>
        <w:ind w:left="0" w:firstLine="422"/>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17.4投标人应当对招标文件提出的要求和条件作出实质性响应，并在电子投标系统逐条应答。</w:t>
      </w:r>
      <w:r/>
    </w:p>
    <w:p>
      <w:pPr>
        <w:ind w:left="0" w:firstLine="422"/>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17.5投标人应对要求提供的资格证明文件（如资质证书、资格证书）、技术资料（如白皮书、彩页、手册、检测报告等）扫描上传至投标系统。</w:t>
      </w:r>
      <w:r/>
    </w:p>
    <w:p>
      <w:pPr>
        <w:ind w:left="0" w:firstLine="422"/>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keepLines w:val="0"/>
        <w:keepNext w:val="0"/>
        <w:pageBreakBefore w:val="0"/>
        <w:spacing w:line="360" w:lineRule="auto"/>
        <w:widowControl w:val="off"/>
        <w:rPr>
          <w:b w:val="0"/>
          <w:bCs/>
          <w:color w:val="auto"/>
          <w:highlight w:val="none"/>
        </w:rPr>
      </w:pPr>
      <w:r>
        <w:rPr>
          <w:rFonts w:hint="eastAsia" w:ascii="宋体" w:hAnsi="宋体"/>
          <w:b w:val="0"/>
          <w:bCs/>
          <w:color w:val="auto"/>
          <w:szCs w:val="21"/>
          <w:highlight w:val="none"/>
        </w:rPr>
        <w:t xml:space="preserve">17.7各投标人应在规定时间内凭CA证书进行网上解密。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left="0" w:firstLine="420"/>
        <w:keepLines w:val="0"/>
        <w:keepNext w:val="0"/>
        <w:pageBreakBefore w:val="0"/>
        <w:spacing w:line="360" w:lineRule="auto"/>
        <w:widowControl w:val="off"/>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360" w:lineRule="auto"/>
        <w:widowControl w:val="off"/>
        <w:rPr>
          <w:rFonts w:ascii="宋体" w:hAnsi="宋体"/>
          <w:b/>
          <w:color w:val="auto"/>
          <w:szCs w:val="21"/>
          <w:highlight w:val="none"/>
        </w:rPr>
      </w:pPr>
      <w:r/>
      <w:bookmarkStart w:id="22" w:name="_Toc16938543"/>
      <w:r/>
      <w:bookmarkStart w:id="23" w:name="_Toc20823299"/>
      <w:r/>
      <w:bookmarkStart w:id="24" w:name="_Toc513029227"/>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left="0" w:firstLine="422"/>
        <w:keepLines w:val="0"/>
        <w:keepNext w:val="0"/>
        <w:pageBreakBefore w:val="0"/>
        <w:spacing w:line="360" w:lineRule="auto"/>
        <w:widowControl w:val="off"/>
        <w:rPr>
          <w:rFonts w:ascii="宋体" w:hAnsi="宋体"/>
          <w:b/>
          <w:color w:val="auto"/>
          <w:szCs w:val="21"/>
          <w:highlight w:val="none"/>
        </w:rPr>
      </w:pPr>
      <w:r/>
      <w:bookmarkStart w:id="25" w:name="_Toc16938544"/>
      <w:r/>
      <w:bookmarkStart w:id="26" w:name="_Toc513029228"/>
      <w:r/>
      <w:bookmarkStart w:id="27" w:name="_Toc20823300"/>
      <w:r>
        <w:rPr>
          <w:rFonts w:hint="eastAsia" w:ascii="宋体" w:hAnsi="宋体"/>
          <w:b/>
          <w:color w:val="auto"/>
          <w:szCs w:val="21"/>
          <w:highlight w:val="none"/>
        </w:rPr>
        <w:t xml:space="preserve">20、投标文件的撤回和修改</w:t>
      </w:r>
      <w:bookmarkEnd w:id="25"/>
      <w:r/>
      <w:bookmarkEnd w:id="26"/>
      <w:r/>
      <w:bookmarkEnd w:id="27"/>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21、开标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left="0" w:firstLine="422"/>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22、评标委员会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开标后，代理机构将立即组织评标委员会（以下简称评委会）进行评标。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评委会由采购人代表和有关技术、经济等方面的专家组成，且人员构成符合政府采购有关规定。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22.3评委会独立工作，负责评审所有投标文件并确定中标候选人。</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24、投标的澄清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24.3 接到评委会澄清要求的投标人如未按规定做出澄清，其风险由投标人自行承担。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2"/>
        <w:spacing w:line="85" w:lineRule="atLeast"/>
        <w:rPr>
          <w:rFonts w:hint="eastAsia" w:ascii="宋体" w:hAnsi="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 异常低价投标（响应）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.3投标（响应）报价低于采购项目最高限价45%的，即投标（响应）报价&lt;采购项目最高限价×45%； </w:t>
      </w:r>
      <w:r/>
    </w:p>
    <w:p>
      <w:pPr>
        <w:ind w:firstLine="420"/>
        <w:spacing w:line="360" w:lineRule="auto"/>
        <w:rPr>
          <w:color w:val="auto"/>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.4 评审委员会认定的供应商报价过低、有可能影响产品质量或者不能诚信履约的其他情形。</w:t>
      </w:r>
      <w:r/>
    </w:p>
    <w:p>
      <w:pPr>
        <w:ind w:firstLine="420"/>
        <w:spacing w:line="360" w:lineRule="auto"/>
        <w:rPr>
          <w:rFonts w:hint="eastAsia" w:ascii="宋体" w:hAnsi="宋体"/>
          <w:color w:val="auto"/>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.5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其他法律、法规及本招标文件规定的属无效投标的情形。</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发布中标公告，公告期限为1个工作日。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28、质疑处理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29、中标通知书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30、 签订合同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left="0"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08"/>
        <w:jc w:val="center"/>
        <w:keepLines/>
        <w:keepNext/>
        <w:pageBreakBefore w:val="0"/>
        <w:spacing w:line="360" w:lineRule="auto"/>
        <w:widowControl w:val="off"/>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833"/>
        <w:ind w:firstLine="420"/>
        <w:spacing w:line="360" w:lineRule="auto"/>
        <w:rPr>
          <w:rFonts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33"/>
        <w:rPr>
          <w:rFonts w:hAnsi="宋体" w:cs="宋体"/>
          <w:color w:val="auto"/>
          <w:highlight w:val="none"/>
        </w:rPr>
      </w:pPr>
      <w:r>
        <w:rPr>
          <w:rFonts w:hAnsi="宋体" w:cs="宋体"/>
          <w:color w:val="auto"/>
          <w:highlight w:val="none"/>
        </w:rPr>
      </w:r>
      <w:r/>
    </w:p>
    <w:p>
      <w:pPr>
        <w:pStyle w:val="833"/>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政府采购合同</w:t>
      </w:r>
      <w:r>
        <w:rPr>
          <w:rFonts w:hAnsi="宋体"/>
          <w:b/>
          <w:bCs/>
          <w:color w:val="auto"/>
          <w:sz w:val="21"/>
          <w:highlight w:val="none"/>
        </w:rPr>
        <w:t xml:space="preserve"> </w:t>
      </w:r>
      <w:r/>
    </w:p>
    <w:p>
      <w:pPr>
        <w:pStyle w:val="833"/>
        <w:spacing w:before="120" w:after="120" w:line="360" w:lineRule="auto"/>
        <w:rPr>
          <w:rFonts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扬州市妇幼保健院托育综合服务中心智慧托育系统项目</w:t>
      </w:r>
      <w:r>
        <w:rPr>
          <w:rFonts w:hint="eastAsia" w:hAnsi="宋体" w:cs="宋体"/>
          <w:color w:val="auto"/>
          <w:sz w:val="21"/>
          <w:highlight w:val="none"/>
        </w:rPr>
        <w:t xml:space="preserve">                       </w:t>
      </w:r>
      <w:r/>
    </w:p>
    <w:p>
      <w:pPr>
        <w:pStyle w:val="833"/>
        <w:spacing w:before="120" w:after="120" w:line="360" w:lineRule="auto"/>
        <w:rPr>
          <w:rFonts w:hAnsi="宋体" w:cs="宋体"/>
          <w:color w:val="auto"/>
          <w:sz w:val="21"/>
          <w:highlight w:val="none"/>
        </w:rPr>
      </w:pPr>
      <w:r>
        <w:rPr>
          <w:rFonts w:hint="eastAsia" w:hAnsi="宋体" w:cs="宋体"/>
          <w:color w:val="auto"/>
          <w:sz w:val="21"/>
          <w:highlight w:val="none"/>
        </w:rPr>
        <w:t xml:space="preserve">编号：</w:t>
      </w:r>
      <w:r>
        <w:rPr>
          <w:rFonts w:hint="eastAsia" w:hAnsi="宋体" w:cs="宋体"/>
          <w:color w:val="auto"/>
          <w:sz w:val="21"/>
          <w:szCs w:val="22"/>
          <w:highlight w:val="none"/>
          <w:lang w:val="en-US" w:eastAsia="zh-CN"/>
        </w:rPr>
        <w:t xml:space="preserve">JSZC-321000-JSWC-G2026-0015</w:t>
      </w:r>
      <w:r>
        <w:rPr>
          <w:rFonts w:hint="eastAsia" w:hAnsi="宋体" w:cs="宋体"/>
          <w:color w:val="auto"/>
          <w:sz w:val="22"/>
          <w:szCs w:val="22"/>
          <w:highlight w:val="none"/>
        </w:rPr>
        <w:t xml:space="preserve">号</w:t>
      </w:r>
      <w:r/>
    </w:p>
    <w:p>
      <w:pPr>
        <w:pStyle w:val="833"/>
        <w:spacing w:before="120" w:after="120" w:line="360" w:lineRule="auto"/>
        <w:rPr>
          <w:rFonts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扬州市妇幼保健院</w:t>
      </w:r>
      <w:r>
        <w:rPr>
          <w:rFonts w:hint="eastAsia" w:hAnsi="宋体" w:cs="宋体"/>
          <w:color w:val="auto"/>
          <w:sz w:val="21"/>
          <w:highlight w:val="none"/>
        </w:rPr>
        <w:t xml:space="preserve">       </w:t>
      </w:r>
      <w:r/>
    </w:p>
    <w:p>
      <w:pPr>
        <w:pStyle w:val="833"/>
        <w:spacing w:before="120" w:after="120" w:line="360" w:lineRule="auto"/>
        <w:rPr>
          <w:rFonts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833"/>
        <w:spacing w:before="120" w:after="120" w:line="360" w:lineRule="auto"/>
        <w:rPr>
          <w:rFonts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根据《中华人民共和国政府采购法》、《中华人民共和国民法典》等法律法规的规定，甲乙双方按照江苏唯诚建设咨询有限公司关于本项目招标结果签订本合同。</w:t>
      </w:r>
      <w:r/>
    </w:p>
    <w:p>
      <w:pPr>
        <w:pStyle w:val="833"/>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1、合同标的</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833"/>
        <w:ind w:firstLine="420"/>
        <w:spacing w:before="120" w:after="120" w:line="360" w:lineRule="auto"/>
        <w:rPr>
          <w:rFonts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833"/>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2、合同总金额</w:t>
      </w:r>
      <w:r/>
    </w:p>
    <w:p>
      <w:pPr>
        <w:pStyle w:val="833"/>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2.1 本合同金额为（大写）：______________元人民币（¥_____元）。</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33"/>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33"/>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833"/>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33"/>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833"/>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（3）供货一览表；                 （4）技术参数响应表；</w:t>
      </w:r>
      <w:r/>
    </w:p>
    <w:p>
      <w:pPr>
        <w:pStyle w:val="833"/>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（5）服务承诺；                   （6）中标通知书；</w:t>
      </w:r>
      <w:r/>
    </w:p>
    <w:p>
      <w:pPr>
        <w:pStyle w:val="833"/>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33"/>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6、履约保证金</w:t>
      </w:r>
      <w:r/>
    </w:p>
    <w:p>
      <w:pPr>
        <w:pStyle w:val="833"/>
        <w:ind w:firstLine="420"/>
        <w:spacing w:line="360" w:lineRule="auto"/>
        <w:rPr>
          <w:rFonts w:hint="eastAsia"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rPr>
        <w:t xml:space="preserve">6.1</w:t>
      </w:r>
      <w:r>
        <w:rPr>
          <w:rFonts w:hint="eastAsia" w:ascii="宋体" w:hAnsi="宋体" w:eastAsia="宋体" w:cs="宋体"/>
          <w:color w:val="auto"/>
          <w:sz w:val="21"/>
          <w:highlight w:val="none"/>
          <w:u w:val="none"/>
          <w:lang w:val="en-US" w:eastAsia="zh-CN"/>
        </w:rPr>
        <w:t xml:space="preserve">本项目收取履约保证金，收取履约保证金形式:以支票、汇票、本票、保函、保险保单等非现金形式缴纳或提交。</w:t>
      </w:r>
      <w:r/>
    </w:p>
    <w:p>
      <w:pPr>
        <w:pStyle w:val="833"/>
        <w:ind w:firstLine="420"/>
        <w:spacing w:line="360" w:lineRule="auto"/>
        <w:rPr>
          <w:rFonts w:hint="eastAsia"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lang w:val="en-US" w:eastAsia="zh-CN"/>
        </w:rPr>
        <w:t xml:space="preserve">6.2收取履约保证金金额:合同价款的10%。</w:t>
      </w:r>
      <w:r/>
    </w:p>
    <w:p>
      <w:pPr>
        <w:pStyle w:val="833"/>
        <w:ind w:firstLine="420"/>
        <w:spacing w:line="360" w:lineRule="auto"/>
        <w:rPr>
          <w:rFonts w:hint="default"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lang w:val="en-US" w:eastAsia="zh-CN"/>
        </w:rPr>
        <w:t xml:space="preserve">6.3</w:t>
      </w:r>
      <w:r>
        <w:rPr>
          <w:rFonts w:hint="default" w:ascii="宋体" w:hAnsi="宋体" w:eastAsia="宋体" w:cs="宋体"/>
          <w:color w:val="auto"/>
          <w:sz w:val="21"/>
          <w:highlight w:val="none"/>
          <w:u w:val="none"/>
          <w:lang w:val="en-US" w:eastAsia="zh-CN"/>
        </w:rPr>
        <w:t xml:space="preserve">履约保证金的缴纳时间：乙方在收到</w:t>
      </w:r>
      <w:r>
        <w:rPr>
          <w:rFonts w:hint="eastAsia" w:ascii="宋体" w:hAnsi="宋体" w:eastAsia="宋体" w:cs="宋体"/>
          <w:color w:val="auto"/>
          <w:sz w:val="21"/>
          <w:highlight w:val="none"/>
          <w:u w:val="none"/>
          <w:lang w:val="en-US" w:eastAsia="zh-CN"/>
        </w:rPr>
        <w:t xml:space="preserve">中标</w:t>
      </w:r>
      <w:r>
        <w:rPr>
          <w:rFonts w:hint="default" w:ascii="宋体" w:hAnsi="宋体" w:eastAsia="宋体" w:cs="宋体"/>
          <w:color w:val="auto"/>
          <w:sz w:val="21"/>
          <w:highlight w:val="none"/>
          <w:u w:val="none"/>
          <w:lang w:val="en-US" w:eastAsia="zh-CN"/>
        </w:rPr>
        <w:t xml:space="preserve">通知书后</w:t>
      </w:r>
      <w:r>
        <w:rPr>
          <w:rFonts w:hint="eastAsia" w:ascii="宋体" w:hAnsi="宋体" w:eastAsia="宋体" w:cs="宋体"/>
          <w:color w:val="auto"/>
          <w:sz w:val="21"/>
          <w:highlight w:val="none"/>
          <w:u w:val="none"/>
          <w:lang w:val="en-US" w:eastAsia="zh-CN"/>
        </w:rPr>
        <w:t xml:space="preserve">5个工作日内</w:t>
      </w:r>
      <w:r>
        <w:rPr>
          <w:rFonts w:hint="default" w:ascii="宋体" w:hAnsi="宋体" w:eastAsia="宋体" w:cs="宋体"/>
          <w:color w:val="auto"/>
          <w:sz w:val="21"/>
          <w:highlight w:val="none"/>
          <w:u w:val="none"/>
          <w:lang w:val="en-US" w:eastAsia="zh-CN"/>
        </w:rPr>
        <w:t xml:space="preserve">向甲方提交履约保证金。</w:t>
      </w:r>
      <w:r/>
    </w:p>
    <w:p>
      <w:pPr>
        <w:pStyle w:val="833"/>
        <w:ind w:firstLine="420"/>
        <w:spacing w:line="360" w:lineRule="auto"/>
        <w:rPr>
          <w:rFonts w:hint="default" w:ascii="宋体" w:hAnsi="宋体" w:eastAsia="宋体" w:cs="宋体"/>
          <w:color w:val="auto"/>
          <w:sz w:val="21"/>
          <w:highlight w:val="none"/>
          <w:u w:val="none"/>
          <w:shd w:val="clear" w:color="auto" w:fill="auto"/>
          <w:lang w:val="en-US" w:eastAsia="zh-CN"/>
        </w:rPr>
      </w:pPr>
      <w:r>
        <w:rPr>
          <w:rFonts w:hint="eastAsia" w:ascii="宋体" w:hAnsi="宋体" w:eastAsia="宋体" w:cs="宋体"/>
          <w:color w:val="auto"/>
          <w:sz w:val="21"/>
          <w:highlight w:val="none"/>
          <w:u w:val="none"/>
          <w:shd w:val="clear" w:color="auto" w:fill="auto"/>
          <w:lang w:val="en-US" w:eastAsia="zh-CN"/>
        </w:rPr>
        <w:t xml:space="preserve">6.4</w:t>
      </w:r>
      <w:r>
        <w:rPr>
          <w:rFonts w:hint="default" w:ascii="宋体" w:hAnsi="宋体" w:eastAsia="宋体" w:cs="宋体"/>
          <w:color w:val="auto"/>
          <w:sz w:val="21"/>
          <w:highlight w:val="none"/>
          <w:u w:val="none"/>
          <w:shd w:val="clear" w:color="auto" w:fill="auto"/>
          <w:lang w:val="en-US" w:eastAsia="zh-CN"/>
        </w:rPr>
        <w:t xml:space="preserve">履约保证金退还的方式:以银行电汇、网上银行、数字人民币形式缴纳履约保证金的,退回至</w:t>
      </w:r>
      <w:r>
        <w:rPr>
          <w:rFonts w:hint="eastAsia" w:ascii="宋体" w:hAnsi="宋体" w:eastAsia="宋体" w:cs="宋体"/>
          <w:color w:val="auto"/>
          <w:sz w:val="21"/>
          <w:highlight w:val="none"/>
          <w:u w:val="none"/>
          <w:shd w:val="clear" w:color="auto" w:fill="auto"/>
          <w:lang w:val="en-US" w:eastAsia="zh-CN"/>
        </w:rPr>
        <w:t xml:space="preserve">乙方</w:t>
      </w:r>
      <w:r>
        <w:rPr>
          <w:rFonts w:hint="default" w:ascii="宋体" w:hAnsi="宋体" w:eastAsia="宋体" w:cs="宋体"/>
          <w:color w:val="auto"/>
          <w:sz w:val="21"/>
          <w:highlight w:val="none"/>
          <w:u w:val="none"/>
          <w:shd w:val="clear" w:color="auto" w:fill="auto"/>
          <w:lang w:val="en-US" w:eastAsia="zh-CN"/>
        </w:rPr>
        <w:t xml:space="preserve">存款账户或</w:t>
      </w:r>
      <w:r>
        <w:rPr>
          <w:rFonts w:hint="eastAsia" w:ascii="宋体" w:hAnsi="宋体" w:eastAsia="宋体" w:cs="宋体"/>
          <w:color w:val="auto"/>
          <w:sz w:val="21"/>
          <w:highlight w:val="none"/>
          <w:u w:val="none"/>
          <w:shd w:val="clear" w:color="auto" w:fill="auto"/>
          <w:lang w:val="en-US" w:eastAsia="zh-CN"/>
        </w:rPr>
        <w:t xml:space="preserve">乙方</w:t>
      </w:r>
      <w:r>
        <w:rPr>
          <w:rFonts w:hint="default" w:ascii="宋体" w:hAnsi="宋体" w:eastAsia="宋体" w:cs="宋体"/>
          <w:color w:val="auto"/>
          <w:sz w:val="21"/>
          <w:highlight w:val="none"/>
          <w:u w:val="none"/>
          <w:shd w:val="clear" w:color="auto" w:fill="auto"/>
          <w:lang w:val="en-US" w:eastAsia="zh-CN"/>
        </w:rPr>
        <w:t xml:space="preserve">数字人民币账户</w:t>
      </w:r>
      <w:r>
        <w:rPr>
          <w:rFonts w:hint="eastAsia" w:ascii="宋体" w:hAnsi="宋体" w:eastAsia="宋体" w:cs="宋体"/>
          <w:color w:val="auto"/>
          <w:sz w:val="21"/>
          <w:highlight w:val="none"/>
          <w:u w:val="none"/>
          <w:shd w:val="clear" w:color="auto" w:fill="auto"/>
          <w:lang w:val="en-US" w:eastAsia="zh-CN"/>
        </w:rPr>
        <w:t xml:space="preserve">；</w:t>
      </w:r>
      <w:r>
        <w:rPr>
          <w:rFonts w:hint="default" w:ascii="宋体" w:hAnsi="宋体" w:eastAsia="宋体" w:cs="宋体"/>
          <w:color w:val="auto"/>
          <w:sz w:val="21"/>
          <w:highlight w:val="none"/>
          <w:u w:val="none"/>
          <w:shd w:val="clear" w:color="auto" w:fill="auto"/>
          <w:lang w:val="en-US" w:eastAsia="zh-CN"/>
        </w:rPr>
        <w:t xml:space="preserve">以保函、担保、保险等形式缴纳履约保证金的，在保函、担保、保险约定的保证期限届满之日起自行失效</w:t>
      </w:r>
      <w:r>
        <w:rPr>
          <w:rFonts w:hint="eastAsia" w:ascii="宋体" w:hAnsi="宋体" w:eastAsia="宋体" w:cs="宋体"/>
          <w:color w:val="auto"/>
          <w:sz w:val="21"/>
          <w:highlight w:val="none"/>
          <w:u w:val="none"/>
          <w:shd w:val="clear" w:color="auto" w:fill="auto"/>
          <w:lang w:val="en-US" w:eastAsia="zh-CN"/>
        </w:rPr>
        <w:t xml:space="preserve">。</w:t>
      </w:r>
      <w:r>
        <w:rPr>
          <w:rFonts w:hint="default" w:ascii="宋体" w:hAnsi="宋体" w:eastAsia="宋体" w:cs="宋体"/>
          <w:color w:val="auto"/>
          <w:sz w:val="21"/>
          <w:highlight w:val="none"/>
          <w:u w:val="none"/>
          <w:shd w:val="clear" w:color="auto" w:fill="auto"/>
          <w:lang w:val="en-US" w:eastAsia="zh-CN"/>
        </w:rPr>
        <w:t xml:space="preserve"> </w:t>
      </w:r>
      <w:r/>
    </w:p>
    <w:p>
      <w:pPr>
        <w:pStyle w:val="833"/>
        <w:ind w:firstLine="420"/>
        <w:spacing w:line="360" w:lineRule="auto"/>
        <w:rPr>
          <w:rFonts w:hint="eastAsia" w:ascii="宋体" w:hAnsi="宋体" w:eastAsia="宋体" w:cs="宋体"/>
          <w:color w:val="auto"/>
          <w:sz w:val="21"/>
          <w:highlight w:val="none"/>
          <w:u w:val="none"/>
          <w:shd w:val="clear" w:color="auto" w:fill="auto"/>
          <w:lang w:val="en-US" w:eastAsia="zh-CN"/>
        </w:rPr>
      </w:pPr>
      <w:r>
        <w:rPr>
          <w:rFonts w:hint="eastAsia" w:ascii="宋体" w:hAnsi="宋体" w:eastAsia="宋体" w:cs="宋体"/>
          <w:color w:val="auto"/>
          <w:sz w:val="21"/>
          <w:highlight w:val="none"/>
          <w:u w:val="none"/>
          <w:shd w:val="clear" w:color="auto" w:fill="auto"/>
          <w:lang w:val="en-US" w:eastAsia="zh-CN"/>
        </w:rPr>
        <w:t xml:space="preserve">6.5</w:t>
      </w:r>
      <w:r>
        <w:rPr>
          <w:rFonts w:hint="default" w:ascii="宋体" w:hAnsi="宋体" w:eastAsia="宋体" w:cs="宋体"/>
          <w:color w:val="auto"/>
          <w:sz w:val="21"/>
          <w:highlight w:val="none"/>
          <w:u w:val="none"/>
          <w:shd w:val="clear" w:color="auto" w:fill="auto"/>
          <w:lang w:val="en-US" w:eastAsia="zh-CN"/>
        </w:rPr>
        <w:t xml:space="preserve">履约担保期限：</w:t>
      </w:r>
      <w:r>
        <w:rPr>
          <w:rFonts w:hint="eastAsia" w:ascii="宋体" w:hAnsi="宋体" w:eastAsia="宋体" w:cs="宋体"/>
          <w:color w:val="auto"/>
          <w:sz w:val="21"/>
          <w:highlight w:val="none"/>
          <w:u w:val="none"/>
          <w:shd w:val="clear" w:color="auto" w:fill="auto"/>
          <w:lang w:val="en-US" w:eastAsia="zh-CN"/>
        </w:rPr>
        <w:t xml:space="preserve">系统上线并</w:t>
      </w:r>
      <w:r>
        <w:rPr>
          <w:rFonts w:hint="default" w:ascii="宋体" w:hAnsi="宋体" w:eastAsia="宋体" w:cs="宋体"/>
          <w:color w:val="auto"/>
          <w:sz w:val="21"/>
          <w:highlight w:val="none"/>
          <w:u w:val="none"/>
          <w:shd w:val="clear" w:color="auto" w:fill="auto"/>
          <w:lang w:val="en-US" w:eastAsia="zh-CN"/>
        </w:rPr>
        <w:t xml:space="preserve">验收合格</w:t>
      </w:r>
      <w:r>
        <w:rPr>
          <w:rFonts w:hint="eastAsia" w:ascii="宋体" w:hAnsi="宋体" w:eastAsia="宋体" w:cs="宋体"/>
          <w:color w:val="auto"/>
          <w:sz w:val="21"/>
          <w:highlight w:val="none"/>
          <w:u w:val="none"/>
          <w:shd w:val="clear" w:color="auto" w:fill="auto"/>
          <w:lang w:val="en-US" w:eastAsia="zh-CN"/>
        </w:rPr>
        <w:t xml:space="preserve">满五年后20</w:t>
      </w:r>
      <w:r>
        <w:rPr>
          <w:rFonts w:hint="default" w:ascii="宋体" w:hAnsi="宋体" w:eastAsia="宋体" w:cs="宋体"/>
          <w:color w:val="auto"/>
          <w:sz w:val="21"/>
          <w:highlight w:val="none"/>
          <w:u w:val="none"/>
          <w:shd w:val="clear" w:color="auto" w:fill="auto"/>
          <w:lang w:val="en-US" w:eastAsia="zh-CN"/>
        </w:rPr>
        <w:t xml:space="preserve">个工作日内退还</w:t>
      </w:r>
      <w:r>
        <w:rPr>
          <w:rFonts w:hint="eastAsia" w:ascii="宋体" w:hAnsi="宋体" w:eastAsia="宋体" w:cs="宋体"/>
          <w:color w:val="auto"/>
          <w:sz w:val="21"/>
          <w:highlight w:val="none"/>
          <w:u w:val="none"/>
          <w:shd w:val="clear" w:color="auto" w:fill="auto"/>
          <w:lang w:val="en-US" w:eastAsia="zh-CN"/>
        </w:rPr>
        <w:t xml:space="preserve">（不计利息）；</w:t>
      </w:r>
      <w:r/>
    </w:p>
    <w:p>
      <w:pPr>
        <w:pStyle w:val="833"/>
        <w:ind w:firstLine="420"/>
        <w:spacing w:line="360" w:lineRule="auto"/>
        <w:rPr>
          <w:rFonts w:hint="eastAsia" w:ascii="宋体" w:hAnsi="宋体" w:eastAsia="宋体" w:cs="宋体"/>
          <w:color w:val="auto"/>
          <w:sz w:val="21"/>
          <w:highlight w:val="none"/>
          <w:u w:val="none"/>
          <w:shd w:val="clear" w:color="auto" w:fill="auto"/>
          <w:lang w:val="en-US" w:eastAsia="zh-CN"/>
        </w:rPr>
      </w:pPr>
      <w:r>
        <w:rPr>
          <w:rFonts w:hint="default" w:ascii="宋体" w:hAnsi="宋体" w:eastAsia="宋体" w:cs="宋体"/>
          <w:color w:val="auto"/>
          <w:sz w:val="21"/>
          <w:highlight w:val="none"/>
          <w:u w:val="none"/>
          <w:shd w:val="clear" w:color="auto" w:fill="auto"/>
          <w:lang w:val="en-US" w:eastAsia="zh-CN"/>
        </w:rPr>
        <w:t xml:space="preserve">履约保证金退还的条件:项目验收合格，出具验收报告及履约保证金收据申请退付</w:t>
      </w:r>
      <w:r>
        <w:rPr>
          <w:rFonts w:hint="eastAsia" w:ascii="宋体" w:hAnsi="宋体" w:eastAsia="宋体" w:cs="宋体"/>
          <w:color w:val="auto"/>
          <w:sz w:val="21"/>
          <w:highlight w:val="none"/>
          <w:u w:val="none"/>
          <w:shd w:val="clear" w:color="auto" w:fill="auto"/>
          <w:lang w:val="en-US" w:eastAsia="zh-CN"/>
        </w:rPr>
        <w:t xml:space="preserve">；</w:t>
      </w:r>
      <w:r/>
    </w:p>
    <w:p>
      <w:pPr>
        <w:pStyle w:val="833"/>
        <w:ind w:firstLine="420"/>
        <w:spacing w:line="360" w:lineRule="auto"/>
        <w:rPr>
          <w:rFonts w:hint="eastAsia" w:ascii="宋体" w:hAnsi="宋体" w:eastAsia="宋体" w:cs="宋体"/>
          <w:color w:val="auto"/>
          <w:sz w:val="21"/>
          <w:highlight w:val="none"/>
          <w:u w:val="none"/>
          <w:lang w:val="en-US" w:eastAsia="zh-CN"/>
        </w:rPr>
      </w:pPr>
      <w:r>
        <w:rPr>
          <w:rFonts w:hint="default" w:ascii="宋体" w:hAnsi="宋体" w:eastAsia="宋体" w:cs="宋体"/>
          <w:color w:val="auto"/>
          <w:sz w:val="21"/>
          <w:highlight w:val="none"/>
          <w:u w:val="none"/>
          <w:lang w:val="en-US" w:eastAsia="zh-CN"/>
        </w:rPr>
        <w:t xml:space="preserve">履约保证金不予退还情形:除不可抗力外，</w:t>
      </w:r>
      <w:r>
        <w:rPr>
          <w:rFonts w:hint="eastAsia" w:ascii="宋体" w:hAnsi="宋体" w:eastAsia="宋体" w:cs="宋体"/>
          <w:color w:val="auto"/>
          <w:sz w:val="21"/>
          <w:highlight w:val="none"/>
          <w:u w:val="none"/>
          <w:lang w:val="en-US" w:eastAsia="zh-CN"/>
        </w:rPr>
        <w:t xml:space="preserve">乙方</w:t>
      </w:r>
      <w:r>
        <w:rPr>
          <w:rFonts w:hint="default" w:ascii="宋体" w:hAnsi="宋体" w:eastAsia="宋体" w:cs="宋体"/>
          <w:color w:val="auto"/>
          <w:sz w:val="21"/>
          <w:highlight w:val="none"/>
          <w:u w:val="none"/>
          <w:lang w:val="en-US" w:eastAsia="zh-CN"/>
        </w:rPr>
        <w:t xml:space="preserve">不履行与</w:t>
      </w:r>
      <w:r>
        <w:rPr>
          <w:rFonts w:hint="eastAsia" w:ascii="宋体" w:hAnsi="宋体" w:eastAsia="宋体" w:cs="宋体"/>
          <w:color w:val="auto"/>
          <w:sz w:val="21"/>
          <w:highlight w:val="none"/>
          <w:u w:val="none"/>
          <w:lang w:val="en-US" w:eastAsia="zh-CN"/>
        </w:rPr>
        <w:t xml:space="preserve">甲方</w:t>
      </w:r>
      <w:r>
        <w:rPr>
          <w:rFonts w:hint="default" w:ascii="宋体" w:hAnsi="宋体" w:eastAsia="宋体" w:cs="宋体"/>
          <w:color w:val="auto"/>
          <w:sz w:val="21"/>
          <w:highlight w:val="none"/>
          <w:u w:val="none"/>
          <w:lang w:val="en-US" w:eastAsia="zh-CN"/>
        </w:rPr>
        <w:t xml:space="preserve">订立的合同的，履约保证金不予退还，给</w:t>
      </w:r>
      <w:r>
        <w:rPr>
          <w:rFonts w:hint="eastAsia" w:ascii="宋体" w:hAnsi="宋体" w:eastAsia="宋体" w:cs="宋体"/>
          <w:color w:val="auto"/>
          <w:sz w:val="21"/>
          <w:highlight w:val="none"/>
          <w:u w:val="none"/>
          <w:lang w:val="en-US" w:eastAsia="zh-CN"/>
        </w:rPr>
        <w:t xml:space="preserve">甲方</w:t>
      </w:r>
      <w:r>
        <w:rPr>
          <w:rFonts w:hint="default" w:ascii="宋体" w:hAnsi="宋体" w:eastAsia="宋体" w:cs="宋体"/>
          <w:color w:val="auto"/>
          <w:sz w:val="21"/>
          <w:highlight w:val="none"/>
          <w:u w:val="none"/>
          <w:lang w:val="en-US" w:eastAsia="zh-CN"/>
        </w:rPr>
        <w:t xml:space="preserve">造成的损失超过履约保证金数额的，还应当对超过部分予以赔偿</w:t>
      </w:r>
      <w:r>
        <w:rPr>
          <w:rFonts w:hint="eastAsia" w:ascii="宋体" w:hAnsi="宋体" w:eastAsia="宋体" w:cs="宋体"/>
          <w:color w:val="auto"/>
          <w:sz w:val="21"/>
          <w:highlight w:val="none"/>
          <w:u w:val="none"/>
          <w:lang w:val="en-US" w:eastAsia="zh-CN"/>
        </w:rPr>
        <w:t xml:space="preserve">。</w:t>
      </w:r>
      <w:r/>
    </w:p>
    <w:p>
      <w:pPr>
        <w:pStyle w:val="833"/>
        <w:ind w:left="0" w:firstLine="420"/>
        <w:keepLines w:val="0"/>
        <w:keepNext w:val="0"/>
        <w:pageBreakBefore w:val="0"/>
        <w:spacing w:line="360" w:lineRule="auto"/>
        <w:widowControl w:val="off"/>
        <w:rPr>
          <w:rFonts w:hint="eastAsia"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lang w:val="en-US" w:eastAsia="zh-CN"/>
        </w:rPr>
        <w:t xml:space="preserve">6.6逾期退还履约保证金的甲方承担违约责任，按照中国人民银行同期贷款基准利率支付超期资金占用费。</w:t>
      </w:r>
      <w:r/>
    </w:p>
    <w:p>
      <w:pPr>
        <w:pStyle w:val="833"/>
        <w:ind w:left="0" w:firstLine="420"/>
        <w:keepLines w:val="0"/>
        <w:keepNext w:val="0"/>
        <w:pageBreakBefore w:val="0"/>
        <w:spacing w:line="360" w:lineRule="auto"/>
        <w:widowControl w:val="off"/>
        <w:rPr>
          <w:rFonts w:hint="eastAsia" w:ascii="宋体" w:hAnsi="宋体" w:eastAsia="宋体" w:cs="宋体"/>
          <w:color w:val="auto"/>
          <w:sz w:val="21"/>
          <w:highlight w:val="none"/>
          <w:u w:val="none"/>
        </w:rPr>
      </w:pPr>
      <w:r>
        <w:rPr>
          <w:rFonts w:hint="eastAsia" w:ascii="宋体" w:hAnsi="宋体" w:eastAsia="宋体" w:cs="宋体"/>
          <w:color w:val="auto"/>
          <w:sz w:val="21"/>
          <w:highlight w:val="none"/>
          <w:u w:val="none"/>
          <w:lang w:val="en-US" w:eastAsia="zh-CN"/>
        </w:rPr>
        <w:t xml:space="preserve">6.7</w:t>
      </w:r>
      <w:r>
        <w:rPr>
          <w:rFonts w:hint="eastAsia" w:ascii="宋体" w:hAnsi="宋体" w:eastAsia="宋体" w:cs="宋体"/>
          <w:color w:val="auto"/>
          <w:sz w:val="21"/>
          <w:highlight w:val="none"/>
          <w:u w:val="none"/>
        </w:rPr>
        <w:t xml:space="preserve">履约保证金用以约束乙方在合同履行中的行为，以及弥补合同履行中由于乙方自身行为可能给甲方带来的各种损失；若保证金额不足以弥补乙方违约造成甲方损失的，甲方可继续向乙方主张索赔。</w:t>
      </w:r>
      <w:r/>
    </w:p>
    <w:p>
      <w:pPr>
        <w:pStyle w:val="833"/>
        <w:ind w:left="0" w:firstLine="420"/>
        <w:keepLines w:val="0"/>
        <w:keepNext w:val="0"/>
        <w:pageBreakBefore w:val="0"/>
        <w:spacing w:before="120" w:after="120" w:line="360" w:lineRule="auto"/>
        <w:widowControl w:val="off"/>
        <w:rPr>
          <w:rFonts w:hint="eastAsia" w:ascii="宋体" w:hAnsi="宋体" w:eastAsia="宋体" w:cs="宋体"/>
          <w:color w:val="auto"/>
          <w:sz w:val="21"/>
          <w:highlight w:val="none"/>
          <w:u w:val="none"/>
        </w:rPr>
      </w:pPr>
      <w:r>
        <w:rPr>
          <w:rFonts w:hint="eastAsia" w:ascii="宋体" w:hAnsi="宋体" w:eastAsia="宋体" w:cs="宋体"/>
          <w:color w:val="auto"/>
          <w:sz w:val="21"/>
          <w:highlight w:val="none"/>
          <w:u w:val="none"/>
        </w:rPr>
        <w:t xml:space="preserve">6.</w:t>
      </w:r>
      <w:r>
        <w:rPr>
          <w:rFonts w:hint="eastAsia" w:ascii="宋体" w:hAnsi="宋体" w:eastAsia="宋体" w:cs="宋体"/>
          <w:color w:val="auto"/>
          <w:sz w:val="21"/>
          <w:highlight w:val="none"/>
          <w:u w:val="none"/>
          <w:lang w:val="en-US" w:eastAsia="zh-CN"/>
        </w:rPr>
        <w:t xml:space="preserve">8</w:t>
      </w:r>
      <w:r>
        <w:rPr>
          <w:rFonts w:hint="eastAsia" w:ascii="宋体" w:hAnsi="宋体" w:eastAsia="宋体" w:cs="宋体"/>
          <w:color w:val="auto"/>
          <w:sz w:val="21"/>
          <w:highlight w:val="none"/>
          <w:u w:val="none"/>
        </w:rPr>
        <w:t xml:space="preserve">履约保证金扣除甲方应得的补偿后的余额，在本合同履行结束后7个工作日由乙方向</w:t>
      </w:r>
      <w:r>
        <w:rPr>
          <w:rFonts w:hint="eastAsia" w:ascii="宋体" w:hAnsi="宋体" w:eastAsia="宋体" w:cs="宋体"/>
          <w:color w:val="auto"/>
          <w:sz w:val="21"/>
          <w:highlight w:val="none"/>
          <w:u w:val="none"/>
          <w:lang w:val="en-US" w:eastAsia="zh-CN"/>
        </w:rPr>
        <w:t xml:space="preserve">甲方</w:t>
      </w:r>
      <w:r>
        <w:rPr>
          <w:rFonts w:hint="eastAsia" w:ascii="宋体" w:hAnsi="宋体" w:eastAsia="宋体" w:cs="宋体"/>
          <w:color w:val="auto"/>
          <w:sz w:val="21"/>
          <w:highlight w:val="none"/>
          <w:u w:val="none"/>
        </w:rPr>
        <w:t xml:space="preserve">申请退还，</w:t>
      </w:r>
      <w:r>
        <w:rPr>
          <w:rFonts w:hint="eastAsia" w:ascii="宋体" w:hAnsi="宋体" w:eastAsia="宋体" w:cs="宋体"/>
          <w:color w:val="auto"/>
          <w:sz w:val="21"/>
          <w:highlight w:val="none"/>
          <w:u w:val="none"/>
          <w:lang w:val="en-US" w:eastAsia="zh-CN"/>
        </w:rPr>
        <w:t xml:space="preserve">甲方</w:t>
      </w:r>
      <w:r>
        <w:rPr>
          <w:rFonts w:hint="eastAsia" w:ascii="宋体" w:hAnsi="宋体" w:eastAsia="宋体" w:cs="宋体"/>
          <w:color w:val="auto"/>
          <w:sz w:val="21"/>
          <w:highlight w:val="none"/>
          <w:u w:val="none"/>
        </w:rPr>
        <w:t xml:space="preserve">无息退还。 </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7、转包或分包</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rPr>
          <w:rFonts w:hint="eastAsia" w:hAnsi="宋体" w:cs="宋体"/>
          <w:color w:val="auto"/>
          <w:sz w:val="21"/>
          <w:highlight w:val="none"/>
        </w:rPr>
        <w:tab/>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8、质保期</w:t>
      </w:r>
      <w:r/>
    </w:p>
    <w:p>
      <w:pPr>
        <w:pStyle w:val="833"/>
        <w:ind w:firstLine="420"/>
        <w:spacing w:before="120" w:after="120" w:line="360" w:lineRule="auto"/>
        <w:tabs>
          <w:tab w:val="left" w:pos="2100" w:leader="none"/>
        </w:tabs>
        <w:rPr>
          <w:rFonts w:hAnsi="宋体" w:cs="宋体"/>
          <w:bCs/>
          <w:color w:val="auto"/>
          <w:sz w:val="21"/>
          <w:highlight w:val="none"/>
        </w:rPr>
      </w:pPr>
      <w:r>
        <w:rPr>
          <w:rFonts w:hint="eastAsia" w:hAnsi="宋体" w:cs="宋体"/>
          <w:bCs/>
          <w:color w:val="auto"/>
          <w:sz w:val="21"/>
          <w:highlight w:val="none"/>
        </w:rPr>
        <w:t xml:space="preserve">质保期：</w:t>
      </w:r>
      <w:r>
        <w:rPr>
          <w:rFonts w:hint="eastAsia" w:hAnsi="宋体" w:cs="宋体"/>
          <w:bCs/>
          <w:color w:val="auto"/>
          <w:sz w:val="21"/>
          <w:highlight w:val="none"/>
          <w:u w:val="single"/>
          <w:lang w:val="en-US" w:eastAsia="zh-CN"/>
        </w:rPr>
        <w:t xml:space="preserve">软、硬件免费质保5年</w:t>
      </w:r>
      <w:r>
        <w:rPr>
          <w:rFonts w:hint="eastAsia" w:hAnsi="宋体" w:cs="宋体"/>
          <w:bCs/>
          <w:color w:val="auto"/>
          <w:sz w:val="21"/>
          <w:highlight w:val="none"/>
        </w:rPr>
        <w:t xml:space="preserve">（自交货验收合格之日起计）</w:t>
      </w:r>
      <w:r/>
    </w:p>
    <w:p>
      <w:pPr>
        <w:pStyle w:val="833"/>
        <w:ind w:firstLine="420"/>
        <w:spacing w:before="120" w:after="120" w:line="360" w:lineRule="auto"/>
        <w:rPr>
          <w:rFonts w:hAnsi="宋体" w:cs="宋体"/>
          <w:b/>
          <w:bCs w:val="0"/>
          <w:color w:val="auto"/>
          <w:sz w:val="21"/>
          <w:highlight w:val="none"/>
        </w:rPr>
      </w:pPr>
      <w:r>
        <w:rPr>
          <w:rFonts w:hint="eastAsia" w:hAnsi="宋体" w:cs="宋体"/>
          <w:b/>
          <w:bCs w:val="0"/>
          <w:color w:val="auto"/>
          <w:sz w:val="21"/>
          <w:highlight w:val="none"/>
        </w:rPr>
        <w:t xml:space="preserve">9、交货期、交货方式及交货地点</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9.1 交货期：合同签订后60日历天内系统上线</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9.2 交货方式：甲方指定方式</w:t>
      </w:r>
      <w:r/>
    </w:p>
    <w:p>
      <w:pPr>
        <w:pStyle w:val="833"/>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9.3 交货地点：甲方指定地点</w:t>
      </w:r>
      <w:r/>
    </w:p>
    <w:p>
      <w:pPr>
        <w:pStyle w:val="833"/>
        <w:ind w:firstLine="420"/>
        <w:spacing w:before="120" w:after="120" w:line="360" w:lineRule="auto"/>
        <w:rPr>
          <w:rFonts w:hAnsi="宋体" w:cs="宋体"/>
          <w:b/>
          <w:bCs w:val="0"/>
          <w:color w:val="auto"/>
          <w:sz w:val="21"/>
          <w:highlight w:val="none"/>
        </w:rPr>
      </w:pPr>
      <w:r>
        <w:rPr>
          <w:rFonts w:hint="eastAsia" w:hAnsi="宋体" w:cs="宋体"/>
          <w:b/>
          <w:bCs w:val="0"/>
          <w:color w:val="auto"/>
          <w:sz w:val="21"/>
          <w:highlight w:val="none"/>
        </w:rPr>
        <w:t xml:space="preserve">10、货款支付</w:t>
      </w:r>
      <w:r/>
    </w:p>
    <w:p>
      <w:pPr>
        <w:pStyle w:val="833"/>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10.1 本合同项下所有款项均以人民币支付。 </w:t>
      </w:r>
      <w:r/>
    </w:p>
    <w:p>
      <w:pPr>
        <w:pStyle w:val="833"/>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10.2 本合同项下的采购资金由甲方支付，付款前乙方向甲方开具发票。</w:t>
      </w:r>
      <w:r/>
    </w:p>
    <w:p>
      <w:pPr>
        <w:pStyle w:val="833"/>
        <w:ind w:firstLine="420"/>
        <w:spacing w:before="120" w:after="120" w:line="360" w:lineRule="auto"/>
        <w:rPr>
          <w:rFonts w:hAnsi="宋体" w:cs="宋体"/>
          <w:b w:val="0"/>
          <w:bCs/>
          <w:strike/>
          <w:color w:val="auto"/>
          <w:sz w:val="21"/>
          <w:highlight w:val="none"/>
        </w:rPr>
      </w:pPr>
      <w:r>
        <w:rPr>
          <w:rFonts w:hint="eastAsia" w:hAnsi="宋体" w:cs="宋体"/>
          <w:bCs/>
          <w:color w:val="auto"/>
          <w:sz w:val="21"/>
          <w:highlight w:val="none"/>
        </w:rPr>
        <w:t xml:space="preserve">10.3 付款方式：</w:t>
      </w:r>
      <w:r>
        <w:rPr>
          <w:rFonts w:hint="eastAsia" w:hAnsi="宋体" w:cs="宋体"/>
          <w:b w:val="0"/>
          <w:bCs/>
          <w:color w:val="auto"/>
          <w:sz w:val="21"/>
          <w:highlight w:val="none"/>
        </w:rPr>
        <w:t xml:space="preserve">合同签订，工程师进场实施，制定实施计划后支付</w:t>
      </w:r>
      <w:r>
        <w:rPr>
          <w:rFonts w:hint="eastAsia" w:hAnsi="宋体" w:cs="宋体"/>
          <w:b w:val="0"/>
          <w:bCs/>
          <w:color w:val="auto"/>
          <w:sz w:val="21"/>
          <w:highlight w:val="none"/>
          <w:lang w:val="en-US" w:eastAsia="zh-CN"/>
        </w:rPr>
        <w:t xml:space="preserve">合同价的</w:t>
      </w:r>
      <w:r>
        <w:rPr>
          <w:rFonts w:hint="eastAsia" w:hAnsi="宋体" w:cs="宋体"/>
          <w:b w:val="0"/>
          <w:bCs/>
          <w:color w:val="auto"/>
          <w:sz w:val="21"/>
          <w:highlight w:val="none"/>
        </w:rPr>
        <w:t xml:space="preserve">30%，项目验收合格，签署验收报告后，支付</w:t>
      </w:r>
      <w:r>
        <w:rPr>
          <w:rFonts w:hint="eastAsia" w:hAnsi="宋体" w:cs="宋体"/>
          <w:b w:val="0"/>
          <w:bCs/>
          <w:color w:val="auto"/>
          <w:sz w:val="21"/>
          <w:highlight w:val="none"/>
          <w:lang w:val="en-US" w:eastAsia="zh-CN"/>
        </w:rPr>
        <w:t xml:space="preserve">合同价的</w:t>
      </w:r>
      <w:r>
        <w:rPr>
          <w:rFonts w:hint="eastAsia" w:hAnsi="宋体" w:cs="宋体"/>
          <w:b w:val="0"/>
          <w:bCs/>
          <w:color w:val="auto"/>
          <w:sz w:val="21"/>
          <w:highlight w:val="none"/>
        </w:rPr>
        <w:t xml:space="preserve">60%，验收合格满一年，公司提供服务报告后支付</w:t>
      </w:r>
      <w:r>
        <w:rPr>
          <w:rFonts w:hint="eastAsia" w:hAnsi="宋体" w:cs="宋体"/>
          <w:b w:val="0"/>
          <w:bCs/>
          <w:color w:val="auto"/>
          <w:sz w:val="21"/>
          <w:highlight w:val="none"/>
          <w:lang w:val="en-US" w:eastAsia="zh-CN"/>
        </w:rPr>
        <w:t xml:space="preserve">合同价的</w:t>
      </w:r>
      <w:r>
        <w:rPr>
          <w:rFonts w:hint="eastAsia" w:hAnsi="宋体" w:cs="宋体"/>
          <w:b w:val="0"/>
          <w:bCs/>
          <w:color w:val="auto"/>
          <w:sz w:val="21"/>
          <w:highlight w:val="none"/>
        </w:rPr>
        <w:t xml:space="preserve">10%。</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11、税费</w:t>
      </w:r>
      <w:r/>
    </w:p>
    <w:p>
      <w:pPr>
        <w:pStyle w:val="833"/>
        <w:ind w:firstLine="420"/>
        <w:spacing w:before="120" w:after="120" w:line="360" w:lineRule="auto"/>
        <w:rPr>
          <w:rFonts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spacing w:before="156" w:after="156" w:line="360" w:lineRule="auto"/>
        <w:rPr>
          <w:rFonts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⑵贬值处理：由甲乙双方合议定价。</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⑶退货处理：乙方应退还甲方支付的合同款，同时应承担该货物的直接费用（运输、保险、检验、货款利息及银行手续费等）。</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12.4 如在使用过程中发生质量问题，乙方在接到甲方通知后在24小时内到达甲方现场，48小时内完成维修。</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12.5 在质保期内，乙方应对货物出现的质量及安全问题负责处理解决并承担一切费用。</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12.6上述的货物免费保修期为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工作日</w:t>
      </w:r>
      <w:r>
        <w:rPr>
          <w:rFonts w:hint="eastAsia" w:ascii="宋体" w:hAnsi="宋体" w:cs="宋体"/>
          <w:color w:val="auto"/>
          <w:szCs w:val="21"/>
          <w:highlight w:val="none"/>
        </w:rPr>
        <w:t xml:space="preserve">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w:t>
      </w:r>
      <w:r>
        <w:rPr>
          <w:rFonts w:hint="eastAsia" w:ascii="宋体" w:hAnsi="宋体" w:cs="宋体"/>
          <w:color w:val="auto"/>
          <w:highlight w:val="none"/>
        </w:rPr>
        <w:t xml:space="preserve">乙方按照招标文件要求负责</w:t>
      </w:r>
      <w:r>
        <w:rPr>
          <w:rFonts w:hint="eastAsia" w:ascii="宋体" w:hAnsi="宋体" w:cs="宋体"/>
          <w:bCs/>
          <w:color w:val="auto"/>
          <w:highlight w:val="none"/>
        </w:rPr>
        <w:t xml:space="preserve">系统集成、联通完毕</w:t>
      </w:r>
      <w:r>
        <w:rPr>
          <w:rFonts w:hint="eastAsia" w:ascii="宋体" w:hAnsi="宋体" w:cs="宋体"/>
          <w:color w:val="auto"/>
          <w:highlight w:val="none"/>
        </w:rPr>
        <w:t xml:space="preserve">并培训甲方的使用操作人员，乙方在甲方使用前进行调试，调试直到符合技术要求的甲方才做最终验收</w:t>
      </w:r>
      <w:r>
        <w:rPr>
          <w:rFonts w:hint="eastAsia" w:ascii="宋体" w:hAnsi="宋体" w:cs="宋体"/>
          <w:color w:val="auto"/>
          <w:szCs w:val="21"/>
          <w:highlight w:val="none"/>
        </w:rPr>
        <w:t xml:space="preserve">，初步验收不合格的不予签收。</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color w:val="auto"/>
          <w:sz w:val="18"/>
          <w:szCs w:val="18"/>
          <w:highlight w:val="none"/>
        </w:rPr>
      </w:pPr>
      <w:r>
        <w:rPr>
          <w:rFonts w:hint="eastAsia" w:ascii="宋体" w:hAnsi="宋体" w:cs="宋体"/>
          <w:color w:val="auto"/>
          <w:szCs w:val="21"/>
          <w:highlight w:val="none"/>
        </w:rPr>
        <w:t xml:space="preserve">13.4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15、违约责任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w:t>
      </w:r>
      <w:r>
        <w:rPr>
          <w:rFonts w:hint="eastAsia" w:ascii="宋体" w:hAnsi="宋体" w:cs="宋体"/>
          <w:color w:val="auto"/>
          <w:szCs w:val="21"/>
          <w:highlight w:val="none"/>
          <w:lang w:val="en-US" w:eastAsia="zh-CN"/>
        </w:rPr>
        <w:t xml:space="preserve">LPR利率计算</w:t>
      </w:r>
      <w:r>
        <w:rPr>
          <w:rFonts w:hint="eastAsia" w:ascii="宋体" w:hAnsi="宋体" w:cs="宋体"/>
          <w:color w:val="auto"/>
          <w:szCs w:val="21"/>
          <w:highlight w:val="none"/>
        </w:rPr>
        <w:t xml:space="preserve">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w:t>
      </w:r>
      <w:r>
        <w:rPr>
          <w:rFonts w:hint="eastAsia" w:ascii="宋体" w:hAnsi="宋体" w:cs="宋体"/>
          <w:color w:val="auto"/>
          <w:szCs w:val="21"/>
          <w:highlight w:val="none"/>
          <w:lang w:val="en-US" w:eastAsia="zh-CN"/>
        </w:rPr>
        <w:t xml:space="preserve">LPR利率计算</w:t>
      </w:r>
      <w:r>
        <w:rPr>
          <w:rFonts w:hint="eastAsia" w:ascii="宋体" w:hAnsi="宋体" w:cs="宋体"/>
          <w:color w:val="auto"/>
          <w:szCs w:val="21"/>
          <w:highlight w:val="none"/>
        </w:rPr>
        <w:t xml:space="preserve">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16、不可抗力事件处理</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17、争议解决</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833"/>
        <w:ind w:firstLine="315"/>
        <w:spacing w:before="120" w:after="120" w:line="360" w:lineRule="auto"/>
        <w:rPr>
          <w:rFonts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833"/>
        <w:ind w:left="420" w:hanging="105"/>
        <w:spacing w:before="120" w:after="120" w:line="360" w:lineRule="auto"/>
        <w:rPr>
          <w:rFonts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83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18、合同其它</w:t>
      </w:r>
      <w:r/>
    </w:p>
    <w:p>
      <w:pPr>
        <w:pStyle w:val="83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833"/>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合同经双方法定代表人或授权代表签字并加盖单位公章，并经江苏唯诚建设咨询有限公司见证盖章后生效。</w:t>
      </w:r>
      <w:r/>
    </w:p>
    <w:p>
      <w:pPr>
        <w:pStyle w:val="833"/>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18.2本合同未尽事宜，遵照《</w:t>
      </w:r>
      <w:r>
        <w:rPr>
          <w:rFonts w:hint="eastAsia" w:hAnsi="宋体" w:cs="宋体"/>
          <w:color w:val="auto"/>
          <w:sz w:val="21"/>
          <w:highlight w:val="none"/>
          <w:lang w:val="en-US" w:eastAsia="zh-CN"/>
        </w:rPr>
        <w:t xml:space="preserve">中华人民共和国</w:t>
      </w:r>
      <w:r>
        <w:rPr>
          <w:rFonts w:hint="eastAsia" w:hAnsi="宋体" w:cs="宋体"/>
          <w:color w:val="auto"/>
          <w:sz w:val="21"/>
          <w:highlight w:val="none"/>
        </w:rPr>
        <w:t xml:space="preserve">民法典》有关条文执行。</w:t>
      </w:r>
      <w:r/>
    </w:p>
    <w:p>
      <w:pPr>
        <w:pStyle w:val="833"/>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w:t>
      </w:r>
      <w:r>
        <w:rPr>
          <w:rFonts w:hint="eastAsia" w:hAnsi="宋体" w:cs="宋体"/>
          <w:color w:val="auto"/>
          <w:sz w:val="21"/>
          <w:highlight w:val="none"/>
          <w:lang w:val="zh-CN"/>
        </w:rPr>
        <w:t xml:space="preserve">本合同正本一式</w:t>
      </w:r>
      <w:r>
        <w:rPr>
          <w:rFonts w:hint="eastAsia" w:hAnsi="宋体" w:cs="宋体"/>
          <w:color w:val="auto"/>
          <w:sz w:val="21"/>
          <w:highlight w:val="none"/>
          <w:lang w:val="en-US" w:eastAsia="zh-CN"/>
        </w:rPr>
        <w:t xml:space="preserve">肆</w:t>
      </w:r>
      <w:r>
        <w:rPr>
          <w:rFonts w:hint="eastAsia" w:hAnsi="宋体" w:cs="宋体"/>
          <w:color w:val="auto"/>
          <w:sz w:val="21"/>
          <w:highlight w:val="none"/>
          <w:lang w:val="zh-CN"/>
        </w:rPr>
        <w:t xml:space="preserve">份，具有同等法律效力，甲方</w:t>
      </w:r>
      <w:r>
        <w:rPr>
          <w:rFonts w:hint="eastAsia" w:hAnsi="宋体" w:cs="宋体"/>
          <w:color w:val="auto"/>
          <w:sz w:val="21"/>
          <w:highlight w:val="none"/>
          <w:lang w:val="en-US" w:eastAsia="zh-CN"/>
        </w:rPr>
        <w:t xml:space="preserve">贰</w:t>
      </w:r>
      <w:r>
        <w:rPr>
          <w:rFonts w:hint="eastAsia" w:hAnsi="宋体" w:cs="宋体"/>
          <w:color w:val="auto"/>
          <w:sz w:val="21"/>
          <w:highlight w:val="none"/>
          <w:lang w:val="zh-CN"/>
        </w:rPr>
        <w:t xml:space="preserve">份，乙方壹份，见证方壹份。</w:t>
      </w:r>
      <w:r/>
    </w:p>
    <w:p>
      <w:pPr>
        <w:pStyle w:val="833"/>
        <w:ind w:left="420" w:hanging="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833"/>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扬州市妇幼保健院</w:t>
      </w:r>
      <w:r>
        <w:rPr>
          <w:rFonts w:hint="eastAsia" w:hAnsi="宋体" w:cs="宋体"/>
          <w:color w:val="auto"/>
          <w:sz w:val="21"/>
          <w:highlight w:val="none"/>
        </w:rPr>
        <w:t xml:space="preserve">             </w:t>
      </w:r>
      <w:r>
        <w:rPr>
          <w:rFonts w:hint="eastAsia" w:hAnsi="宋体" w:cs="宋体"/>
          <w:color w:val="auto"/>
          <w:sz w:val="21"/>
          <w:highlight w:val="none"/>
          <w:lang w:val="en-US" w:eastAsia="zh-CN"/>
        </w:rPr>
        <w:t xml:space="preserve">      </w:t>
      </w:r>
      <w:r>
        <w:rPr>
          <w:rFonts w:hint="eastAsia" w:hAnsi="宋体" w:cs="宋体"/>
          <w:color w:val="auto"/>
          <w:sz w:val="21"/>
          <w:highlight w:val="none"/>
        </w:rPr>
        <w:t xml:space="preserve">乙方： </w:t>
      </w:r>
      <w:r/>
    </w:p>
    <w:p>
      <w:pPr>
        <w:pStyle w:val="833"/>
        <w:spacing w:before="120" w:after="120" w:line="360" w:lineRule="auto"/>
        <w:rPr>
          <w:rFonts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83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法定代表人或授权代表：                   法定代表人或授权代表：</w:t>
      </w:r>
      <w:r/>
    </w:p>
    <w:p>
      <w:pPr>
        <w:pStyle w:val="83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联系电话：                               联系电话：</w:t>
      </w:r>
      <w:r/>
    </w:p>
    <w:p>
      <w:pPr>
        <w:pStyle w:val="83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  </w:t>
      </w:r>
      <w:r/>
    </w:p>
    <w:p>
      <w:pPr>
        <w:pStyle w:val="83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见证方：江苏唯诚建设咨询有限公司</w:t>
      </w:r>
      <w:r/>
    </w:p>
    <w:p>
      <w:pPr>
        <w:pStyle w:val="83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项目经办人：</w:t>
      </w:r>
      <w:r/>
    </w:p>
    <w:p>
      <w:pPr>
        <w:pStyle w:val="83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日期：     年   月   日</w:t>
      </w:r>
      <w:r/>
    </w:p>
    <w:p>
      <w:pPr>
        <w:pStyle w:val="833"/>
        <w:ind w:left="420" w:hanging="210"/>
        <w:spacing w:before="120" w:after="120" w:line="360" w:lineRule="auto"/>
        <w:rPr>
          <w:rFonts w:hint="eastAsia" w:hAnsi="宋体" w:cs="宋体"/>
          <w:color w:val="auto"/>
          <w:sz w:val="21"/>
          <w:highlight w:val="none"/>
          <w:lang w:eastAsia="zh-CN"/>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color w:val="auto"/>
          <w:sz w:val="21"/>
          <w:highlight w:val="none"/>
          <w:lang w:eastAsia="zh-CN"/>
        </w:rPr>
      </w:r>
      <w:r/>
    </w:p>
    <w:p>
      <w:pPr>
        <w:pStyle w:val="808"/>
        <w:numPr>
          <w:ilvl w:val="0"/>
          <w:numId w:val="0"/>
        </w:numPr>
        <w:jc w:val="center"/>
        <w:keepLines/>
        <w:keepNext/>
        <w:pageBreakBefore w:val="0"/>
        <w:spacing w:line="360" w:lineRule="auto"/>
        <w:widowControl w:val="off"/>
        <w:rPr>
          <w:rFonts w:ascii="宋体" w:hAnsi="宋体"/>
          <w:color w:val="auto"/>
          <w:sz w:val="36"/>
          <w:highlight w:val="none"/>
        </w:rPr>
      </w:pPr>
      <w:r>
        <w:rPr>
          <w:rFonts w:hint="eastAsia" w:ascii="宋体" w:hAnsi="宋体" w:eastAsia="宋体" w:cs="Times New Roman"/>
          <w:b/>
          <w:bCs/>
          <w:color w:val="auto"/>
          <w:sz w:val="36"/>
          <w:szCs w:val="44"/>
          <w:highlight w:val="none"/>
          <w:lang w:val="en-US" w:eastAsia="zh-CN" w:bidi="ar-SA"/>
        </w:rPr>
        <w:t xml:space="preserve">第四章</w:t>
      </w:r>
      <w:r>
        <w:rPr>
          <w:rFonts w:hint="eastAsia" w:ascii="宋体" w:hAnsi="宋体" w:cs="Times New Roman"/>
          <w:b/>
          <w:bCs/>
          <w:color w:val="auto"/>
          <w:sz w:val="36"/>
          <w:szCs w:val="44"/>
          <w:highlight w:val="none"/>
          <w:lang w:val="en-US" w:eastAsia="zh-CN" w:bidi="ar-SA"/>
        </w:rPr>
        <w:t xml:space="preserve"> </w:t>
      </w:r>
      <w:r>
        <w:rPr>
          <w:rFonts w:hint="eastAsia" w:ascii="宋体" w:hAnsi="宋体"/>
          <w:color w:val="auto"/>
          <w:sz w:val="36"/>
          <w:highlight w:val="none"/>
        </w:rPr>
        <w:t xml:space="preserve">项目需求</w:t>
      </w:r>
      <w:r/>
    </w:p>
    <w:p>
      <w:pPr>
        <w:numPr>
          <w:ilvl w:val="0"/>
          <w:numId w:val="7"/>
        </w:numPr>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bookmarkStart w:id="29" w:name="_Toc497133122"/>
      <w:r>
        <w:rPr>
          <w:rFonts w:hint="eastAsia" w:ascii="宋体" w:hAnsi="宋体" w:eastAsia="宋体" w:cs="宋体"/>
          <w:b/>
          <w:bCs/>
          <w:color w:val="auto"/>
          <w:sz w:val="21"/>
          <w:szCs w:val="21"/>
          <w:highlight w:val="none"/>
          <w:lang w:val="en-US" w:eastAsia="zh-CN"/>
        </w:rPr>
        <w:t xml:space="preserve">项目概况</w:t>
      </w:r>
      <w:r/>
    </w:p>
    <w:p>
      <w:pPr>
        <w:pStyle w:val="851"/>
        <w:ind w:left="0" w:right="0" w:firstLine="422"/>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项目名称：</w:t>
      </w:r>
      <w:r>
        <w:rPr>
          <w:rFonts w:hint="eastAsia" w:ascii="宋体" w:hAnsi="宋体" w:eastAsia="宋体" w:cs="宋体"/>
          <w:b w:val="0"/>
          <w:bCs w:val="0"/>
          <w:color w:val="auto"/>
          <w:sz w:val="21"/>
          <w:szCs w:val="21"/>
          <w:highlight w:val="none"/>
          <w:lang w:val="en-US" w:eastAsia="zh-CN"/>
        </w:rPr>
        <w:t xml:space="preserve">扬州市妇幼保健院托育综合服务中心智慧托育系统项目</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shd w:val="clear" w:color="auto" w:fill="ffffff"/>
        </w:rPr>
        <w:t xml:space="preserve">采购预算：</w:t>
      </w:r>
      <w:r>
        <w:rPr>
          <w:rFonts w:hint="eastAsia" w:ascii="宋体" w:hAnsi="宋体" w:eastAsia="宋体" w:cs="宋体"/>
          <w:bCs/>
          <w:color w:val="auto"/>
          <w:sz w:val="21"/>
          <w:szCs w:val="21"/>
          <w:highlight w:val="none"/>
          <w:shd w:val="clear" w:color="auto" w:fill="ffffff"/>
        </w:rPr>
        <w:t xml:space="preserve">人民币</w:t>
      </w:r>
      <w:r>
        <w:rPr>
          <w:rFonts w:hint="eastAsia" w:ascii="宋体" w:hAnsi="宋体" w:eastAsia="宋体" w:cs="宋体"/>
          <w:bCs/>
          <w:color w:val="auto"/>
          <w:sz w:val="21"/>
          <w:szCs w:val="21"/>
          <w:highlight w:val="none"/>
          <w:shd w:val="clear" w:color="auto" w:fill="ffffff"/>
          <w:lang w:val="en-US" w:eastAsia="zh-CN"/>
        </w:rPr>
        <w:t xml:space="preserve">129</w:t>
      </w:r>
      <w:r>
        <w:rPr>
          <w:rFonts w:hint="eastAsia" w:ascii="宋体" w:hAnsi="宋体" w:eastAsia="宋体" w:cs="宋体"/>
          <w:bCs/>
          <w:color w:val="auto"/>
          <w:sz w:val="21"/>
          <w:szCs w:val="21"/>
          <w:highlight w:val="none"/>
          <w:shd w:val="clear" w:color="auto" w:fill="ffffff"/>
        </w:rPr>
        <w:t xml:space="preserve">万元，本项目设定最高限价人民币</w:t>
      </w:r>
      <w:r>
        <w:rPr>
          <w:rFonts w:hint="eastAsia" w:ascii="宋体" w:hAnsi="宋体" w:eastAsia="宋体" w:cs="宋体"/>
          <w:bCs/>
          <w:color w:val="auto"/>
          <w:sz w:val="21"/>
          <w:szCs w:val="21"/>
          <w:highlight w:val="none"/>
          <w:shd w:val="clear" w:color="auto" w:fill="ffffff"/>
          <w:lang w:val="en-US" w:eastAsia="zh-CN"/>
        </w:rPr>
        <w:t xml:space="preserve">129</w:t>
      </w:r>
      <w:r>
        <w:rPr>
          <w:rFonts w:hint="eastAsia" w:ascii="宋体" w:hAnsi="宋体" w:eastAsia="宋体" w:cs="宋体"/>
          <w:bCs/>
          <w:color w:val="auto"/>
          <w:sz w:val="21"/>
          <w:szCs w:val="21"/>
          <w:highlight w:val="none"/>
          <w:shd w:val="clear" w:color="auto" w:fill="ffffff"/>
        </w:rPr>
        <w:t xml:space="preserve">万元</w:t>
      </w:r>
      <w:r>
        <w:rPr>
          <w:rFonts w:hint="eastAsia" w:ascii="宋体" w:hAnsi="宋体" w:eastAsia="宋体" w:cs="宋体"/>
          <w:bCs/>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rPr>
        <w:t xml:space="preserve">投标报价超过最高限价的为无效报价，按无效响应处理。</w:t>
      </w:r>
      <w:r/>
    </w:p>
    <w:p>
      <w:p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项目属性：</w:t>
      </w:r>
      <w:r>
        <w:rPr>
          <w:rFonts w:hint="eastAsia" w:ascii="宋体" w:hAnsi="宋体" w:eastAsia="宋体" w:cs="宋体"/>
          <w:b w:val="0"/>
          <w:bCs w:val="0"/>
          <w:color w:val="auto"/>
          <w:sz w:val="21"/>
          <w:szCs w:val="21"/>
          <w:highlight w:val="none"/>
          <w:lang w:val="en-US" w:eastAsia="zh-CN"/>
        </w:rPr>
        <w:t xml:space="preserve">货物类</w:t>
      </w:r>
      <w:r/>
    </w:p>
    <w:p>
      <w:p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核心产品：</w:t>
      </w:r>
      <w:r>
        <w:rPr>
          <w:rFonts w:hint="eastAsia" w:ascii="宋体" w:hAnsi="宋体" w:eastAsia="宋体" w:cs="宋体"/>
          <w:b w:val="0"/>
          <w:bCs w:val="0"/>
          <w:color w:val="auto"/>
          <w:sz w:val="21"/>
          <w:szCs w:val="21"/>
          <w:highlight w:val="none"/>
          <w:lang w:val="en-US" w:eastAsia="zh-CN"/>
        </w:rPr>
        <w:t xml:space="preserve">智慧托育系统</w:t>
      </w:r>
      <w:r/>
    </w:p>
    <w:p>
      <w:pPr>
        <w:numPr>
          <w:ilvl w:val="-1"/>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二、采购清单</w:t>
      </w:r>
      <w:r/>
    </w:p>
    <w:tbl>
      <w:tblPr>
        <w:tblStyle w:val="856"/>
        <w:tblW w:w="49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1667"/>
        <w:gridCol w:w="3171"/>
        <w:gridCol w:w="1457"/>
        <w:gridCol w:w="1055"/>
      </w:tblGrid>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序号</w:t>
            </w:r>
            <w:r/>
          </w:p>
        </w:tc>
        <w:tc>
          <w:tcPr>
            <w:gridSpan w:val="2"/>
            <w:tcW w:w="288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采购项目</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数量</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w:t>
            </w:r>
            <w:r/>
          </w:p>
        </w:tc>
      </w:tr>
      <w:tr>
        <w:trPr>
          <w:trHeight w:val="397"/>
        </w:trPr>
        <w:tc>
          <w:tcPr>
            <w:tcW w:w="61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994" w:type="pct"/>
            <w:vAlign w:val="center"/>
            <w:vMerge w:val="restart"/>
            <w:textDirection w:val="lrTb"/>
            <w:noWrap w:val="false"/>
          </w:tcPr>
          <w:p>
            <w:pPr>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智慧托育系统</w:t>
            </w:r>
            <w:r/>
          </w:p>
          <w:p>
            <w:pPr>
              <w:jc w:val="both"/>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（核心产品）</w:t>
            </w:r>
            <w:r/>
          </w:p>
        </w:tc>
        <w:tc>
          <w:tcPr>
            <w:tcW w:w="1891" w:type="pct"/>
            <w:vAlign w:val="center"/>
            <w:textDirection w:val="lrTb"/>
            <w:noWrap w:val="false"/>
          </w:tcPr>
          <w:p>
            <w:pPr>
              <w:jc w:val="left"/>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人员管理系统（HRMS）</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94" w:type="pct"/>
            <w:vAlign w:val="center"/>
            <w:vMerge w:val="continue"/>
            <w:textDirection w:val="lrTb"/>
            <w:noWrap w:val="false"/>
          </w:tcPr>
          <w:p>
            <w:pPr>
              <w:jc w:val="both"/>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891"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经营数据分析系统</w:t>
            </w:r>
            <w:r/>
          </w:p>
        </w:tc>
        <w:tc>
          <w:tcPr>
            <w:shd w:val="clear" w:color="auto" w:fill="auto"/>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94" w:type="pct"/>
            <w:vAlign w:val="center"/>
            <w:vMerge w:val="continue"/>
            <w:textDirection w:val="lrTb"/>
            <w:noWrap w:val="false"/>
          </w:tcPr>
          <w:p>
            <w:pPr>
              <w:jc w:val="both"/>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891"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预算全面管理系统</w:t>
            </w:r>
            <w:r/>
          </w:p>
        </w:tc>
        <w:tc>
          <w:tcPr>
            <w:shd w:val="clear" w:color="auto" w:fill="auto"/>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94" w:type="pct"/>
            <w:vAlign w:val="center"/>
            <w:vMerge w:val="continue"/>
            <w:textDirection w:val="lrTb"/>
            <w:noWrap w:val="false"/>
          </w:tcPr>
          <w:p>
            <w:pPr>
              <w:jc w:val="both"/>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891"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智慧营销系统</w:t>
            </w:r>
            <w:r/>
          </w:p>
        </w:tc>
        <w:tc>
          <w:tcPr>
            <w:shd w:val="clear" w:color="auto" w:fill="auto"/>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994" w:type="pct"/>
            <w:vAlign w:val="center"/>
            <w:vMerge w:val="continue"/>
            <w:textDirection w:val="lrTb"/>
            <w:noWrap w:val="false"/>
          </w:tcPr>
          <w:p>
            <w:pPr>
              <w:jc w:val="both"/>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891"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集团园所管理平台</w:t>
            </w:r>
            <w:r/>
          </w:p>
        </w:tc>
        <w:tc>
          <w:tcPr>
            <w:shd w:val="clear" w:color="auto" w:fill="auto"/>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智能晨检机器人</w:t>
            </w:r>
            <w:r/>
          </w:p>
        </w:tc>
        <w:tc>
          <w:tcPr>
            <w:shd w:val="clear" w:color="auto" w:fill="auto"/>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 xml:space="preserve">智能扫码接送机</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定制安全接送卡</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150</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机构内班级智能操作平台</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智能班牌</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智能网关</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智能移动三检枪(测温/咳嗽/红眼/流涕/电筒等)</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智能空气监测仪</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智能儿童睡眠监测垫</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智能成长交互一体机</w:t>
            </w:r>
            <w:r/>
          </w:p>
        </w:tc>
        <w:tc>
          <w:tcPr>
            <w:shd w:val="clear" w:color="auto" w:fill="auto"/>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12</w:t>
            </w:r>
            <w:r/>
          </w:p>
        </w:tc>
        <w:tc>
          <w:tcPr>
            <w:gridSpan w:val="2"/>
            <w:shd w:val="clear" w:color="auto" w:fill="auto"/>
            <w:tcW w:w="2885"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移动式智能消毒机器人</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w:t>
            </w:r>
            <w:r/>
          </w:p>
        </w:tc>
        <w:tc>
          <w:tcPr>
            <w:gridSpan w:val="2"/>
            <w:shd w:val="clear" w:color="auto" w:fill="auto"/>
            <w:tcW w:w="2885"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智能紫外线徽章/校徽</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sz w:val="21"/>
                <w:szCs w:val="21"/>
                <w:highlight w:val="none"/>
                <w:u w:val="none"/>
                <w:lang w:val="en-US" w:eastAsia="zh-CN" w:bidi="ar"/>
              </w:rPr>
              <w:t xml:space="preserve">150</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个</w:t>
            </w:r>
            <w:r/>
          </w:p>
        </w:tc>
      </w:tr>
      <w:tr>
        <w:trPr>
          <w:trHeight w:val="397"/>
        </w:trPr>
        <w:tc>
          <w:tcPr>
            <w:tcW w:w="6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14</w:t>
            </w:r>
            <w:r/>
          </w:p>
        </w:tc>
        <w:tc>
          <w:tcPr>
            <w:gridSpan w:val="2"/>
            <w:tcW w:w="2885" w:type="pct"/>
            <w:vAlign w:val="center"/>
            <w:textDirection w:val="lrTb"/>
            <w:noWrap w:val="false"/>
          </w:tcPr>
          <w:p>
            <w:pPr>
              <w:jc w:val="both"/>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系统建设服务</w:t>
            </w:r>
            <w:r/>
          </w:p>
        </w:tc>
        <w:tc>
          <w:tcPr>
            <w:tcW w:w="86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629"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套</w:t>
            </w:r>
            <w:r/>
          </w:p>
        </w:tc>
      </w:tr>
    </w:tbl>
    <w:p>
      <w:pPr>
        <w:numPr>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三、技术要求</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1、平台参数要求</w:t>
      </w:r>
      <w:r/>
    </w:p>
    <w:tbl>
      <w:tblPr>
        <w:tblStyle w:val="818"/>
        <w:tblW w:w="527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3"/>
        <w:gridCol w:w="1121"/>
        <w:gridCol w:w="973"/>
        <w:gridCol w:w="1284"/>
        <w:gridCol w:w="5048"/>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人员管理系统（HRMS）</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员工信息管理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档案维护</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存储员工基本信息、教育背景、工作经历及证件文档（如身份证、学历证书），支持动态更新与权限控制。</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合同与异动管理</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电子化存储劳动合同，到期自动提醒续签；记录入职、转正、调动、离职全流程，更新员工状态与历史轨迹。</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合规与审计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自动校验劳动法规（如试用期长度、社保基数），生成合规报告，降低用工风险。</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培训与发展</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在线学习平台</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集成播单、考试等功能，支持移动端学习，记录学习时长。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个性化培训计划</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基于岗位能力模型与绩效缺口，定制培训路径（如新员工入职培训、管理者领导力课程）。支持与扬州市托育管理系统人员信息对接。</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机构儿童档案管理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在托档案</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建立儿童个性化档案，确保信息准确性与完整性，为后续服务提供数据基础。</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出勤记录</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准确记录每日入园/离园时间，避免儿童滞留或走失风险。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自动化统计出勤率、迟到早退次数，减少人工核对与纸质登记的工作量。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满足教育部门对儿童安全管理的监管要求，留存可追溯的电子记录。</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退学记录</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规范退学流程：确保退学手续合规、透明，避免因流程混乱引发纠纷。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数据可追溯性：完整记录退学原因、时间及后续跟进，支持机构分析与改进服务。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调班记录</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确保儿童调班流程透明、合规，避免因手动操作导致的信息错漏。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完整记录调班历史，支持后续查询、统计与分析（如班级人数变化、调班原因分析）。</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毕业生展示</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展示历届学员学习记录，为园所招生提供有力支持</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请假管理</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规范请假流程，数据信息化，保证园所家长双方的利益，避免流程混乱引发纠纷</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考勤与假期管理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多样化考勤方式</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支持移动打卡，适配办公室、外勤、异地办公场景。</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智能排班与统计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根据业务需求生成排班表，统计出勤率、加班时长、迟到早退记录，自动生成报表。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假期额度管理</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自动计算年假、事假、病假额度，支持在线申请与审批，避免超额使用。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节假日管理</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支持自定义节假日，方便园所自定义工作时间，使流程规范化</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数据分析与报表</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多维度分析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生成员工流动率、出勤率、绩效分布等关键指标，支持按部门、岗位、时间筛选。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可视化报告</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通过图表、仪表盘展示数据趋势，支持自定义模板与导出（如PDF、Excel）。</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战略决策支持</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分析人才储备现状、成本结构、培训效果，为管理层提供优化建议（如调整招聘策略、优化福利方案）。</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移动端支持</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oa审批</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支持移动端审批员工所提交的申请（具有审批权限的角色）</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考勤打卡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支持手机打开，按照打卡规则及员工打卡位置设置</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工作安排</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一件查看我的工作任务，可根据实际情况更改任务完成状态</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报销申请</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手机端提交报销申请，满足园所日常运营的所有报销类别模版</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支付申请</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手机端发起向第三方支付的申请</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消息</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支持手机端查看系统消息</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在线学习</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支持随时随地学习，满足碎片化、个性化需求。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跟踪学习行为，为教师和学生提供精准反馈。</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物资领用</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实现领用申请、审批、发放、归还的全流程线上化，避免手工操作导致的错漏或滥用。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记录领用人、审批人、发放人信息，实现物资流向可追溯，降低丢失风险。</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任务管理</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展示任务状态（待办/进行中/已完成），避免重复劳动或遗漏。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通过任务完成率、耗时统计等数据，分析团队效率瓶颈，优化管理策略。</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绘本借阅</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监控绘本库存、借阅状态及损坏情况，减少资源闲置或丢失。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通过借阅频次、偏好分析等数据，优化绘本采购计划与活动策划。</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业绩查看</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通过可视化业绩对比，激发员工积极性，确保团队目标与个人目标一致。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提供客观数据支持绩效评估，减少主观评价偏差，提升员工信任感。</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业绩提醒</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通过智能化、个性化的提醒机制，帮助团队/个人掌握业绩进度，及时采取行动，确保目标达成，同时减少人工干预成本。</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紧急事件管理</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通过全流程数字化管理，实现紧急事件的快速上报、智能分级、协同处置、追踪与复盘优化，最大限度降低损失并提升组织应急响应能力。</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在线直播</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支持在线直播分享学习</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经营数据分析系统</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收入能效</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收入统计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统计当前机构内收入总数，可按照年，月，日分别统计，维度按照确认收入总金额，托班学员确认收入，兴趣课学员确认收入，消课人数，到园人数等。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确认收入总额趋势图</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以日期为横轴，确认收入金额为纵轴生成折线统计图，支持按年，月切换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未消课总额</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以日期为横轴，未消课金额为纵轴生成折线统计图，支持按年，月切换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合约均价趋势图</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以日期为横轴，平均合约单价为纵轴生成折线统计图，支持按年，月切换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托班新签量</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以日期为横轴，托班新签约件为纵轴生成折线统计图，支持按年，月切换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兴趣课新签量</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以日期为横轴，兴趣课新签约件数为纵轴生成折线统计图，支持按年，月切换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托班均价趋势图</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以日期为横轴，平均托班收费金额为纵轴生成折线统计图，支持按年，月切换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兴趣班均节趋势图</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以日期为横轴，平均兴趣班单节收费金额为纵轴生成折线统计图，支持按年，月切换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托班均贡献收入趋势图</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以日期为横轴，托班平均学员总体贡献收入金额为纵轴生成折线统计图，支持按年，月切换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兴趣课均贡献收入趋势图</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以日期为横轴，兴趣课平均学员总体贡献收入金额为纵轴生成折线统计图，支持按年，月切换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托班学员均消费趋势图</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以日期为横轴，托班平均学员消费金额为纵轴生成折线统计图，支持按年，月切换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兴趣课学员均消费趋势图</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以日期为横轴，兴趣课平均学员消费金额为纵轴生成折线统计图，支持按年，月切换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渠道收入趋势图</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以日期为横轴，渠道收入金额为纵轴生成折线统计图，支持按年，月切换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销售能效</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日销额</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统计今日销售金额，并按照托班，兴趣课分别统计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日销量</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统计今日销售件数，并按照托班，兴趣课分别统计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月销额</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统计今月销售金额，并按照托班，兴趣课分别统计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月销量</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统计今月销售件数，并按照托班，兴趣课分别统计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本月新客签约量</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统计本月新客户签约数，并统计今日新客户数，今日到店客户数</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本年新客签约量</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统计本年新客户签约数，并统计今日新客户数，今日到店客户数</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托班收入分析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按照总收入为100%，托班类型为分类，生成饼状图，直观展现托班收入构成比例</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兴趣课收入分析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按照总收入为100%，兴趣课类型为分类，生成饼状图，直观展现兴趣课收入构成比例</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新客签约量分析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以日期为横轴，新客户件数为纵轴生成折线统计图，支持按年，月，员工切换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新客计划达成率</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以日期为横轴，计划完成率为纵轴生成折线统计图，支持按年，月，员工切换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总销额分析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以日期为横轴，销售金额总数为纵轴生成折线统计图，支持按年，月，员工切换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销售计划分析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以日期为横轴，销售金额计划完成率为纵轴生成折线统计图，支持按年，月切换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续约及新签金额</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以日期为横轴，金额为纵轴生成续约金额，新客户签约金双折线统计图，支持按年，月，员工切换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leads转化分析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以日期为横轴，金额为纵轴生成约访率，面谈成功率，leads转化率三折线统计图，支持按年，月，员工切换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签约均价</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以日期为横轴，平均签约单价为纵轴生成折线统计图，支持按年，月，员工切换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关单用时分析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以日期为横轴，平均关单时间为纵轴生成折线统计图，支持按年，月，员工切换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客均现金贡献</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以日期为横轴，平均客户收现为纵轴生成折线统计图，支持按年，月，员工切换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人力资源能效</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在职人数</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通过动态追踪在职员工数量及结构，为人力资源决策提供数据支持，监控组织规模变化，评估人力成本合理性</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人效统计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支持多维度人效指标统计，如人均工资，人均能效，薪资能效对比等；可年，月进行分类统计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部门人力拟算</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能够准确核算建议成本和实际成本，支持不同成本类型的区分；提供成本对比分析图表，精度到小数点后两位</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各模块收支分析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自动计算各模块支出与收入的建议百分比和实际百分比；支持自定义模块划分；提供百分比趋势分析，数据更新周期为月，年。</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人均成本分析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能够准确核算建议成本和实际成本，支持不同成本类型的区分；提供成本对比分析图表，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人均产出分析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成本产出比分析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能够准确核算建议成本和实际成本，支持不同成本类型的区分；提供成本对比分析图表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托班教师能效</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综合考虑教师课时、学员评价、转介绍率等因素计算能效；支持教师能效排名；</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兴趣课教师能效</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综合考虑教师课时、学员评价、转介绍率等因素计算能效；</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人力资源分析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托班教师转介率</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兴趣课教师转绍率</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教师课时统计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学员能效</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学员数据统计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日均在托分析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统计各类学员数量，包括日均、总数等；支持不同学员类型的区分统计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学员总数分析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在约学员总数分析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在校学员总数分析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在约到校学员分析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日均在校分析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异常学员数量分析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托班学员成本分析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能够准确核算建议成本和实际成本，支持不同成本类型的区分；提供成本对比分析图表，精度到小数点后两位；数据存储可追溯至过去三年。</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兴趣课学员成本分析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能够准确核算建议成本和实际成本，支持不同成本类型的区分；提供成本对比分析图表，精度到小数点后两位；数据存储可追溯至过去三年。</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在校注册家长分析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统计在校注册家长数量和每个孩子关联家长数量；支持家长信息的分类管理；数据更新周期为每周。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孩均关联家长数量</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统计在校注册家长数量和每个孩子关联家长数量；支持家长信息的分类管理；数据更新周期为每周。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月均消课分析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自动记录兴趣课学员月均消课节数；支持按课程、班级等维度统计；消课数据每日更新。</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在托到访分析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准确记录学员到访情况，包括到访时间、时长等；可按学员类型、课程类型分析到访规律；到访数据更新。</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兴趣课到访分析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准确记录学员到访情况，包括到访时间、时长等；可按学员类型、课程类型分析到访规律；到访数据更新。</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预算执行能效</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预算使用</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生成预算使用进度条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已用预算类型分析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可生成多种趋势图，如折线图等；支持按不同时间周期（月、年）展示趋势；</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本月预算执行</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监控预算执行情况，计算预算使用率；支持已使用预算类型的分类统计；提供预算执行概览和趋势分析，数据更新频率为每日。</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本年预算执行</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监控预算执行情况，计算预算使用率；支持已使用预算类型的分类统计；提供预算执行概览和趋势分析，数据更新频率为每日。</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本年预算分析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按照每月预算使用金额生成折线图</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预算统计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按照总预算，已使用预算，剩余预算进行预算统计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岗位sop标准化</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系统任务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一键初始化系统内置的岗位sop任务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建立规则</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自定义发布按照岗位定制的任务规则</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发布任务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制定给具体员工发布任务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岗位操作手册</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系统内置的岗位sop文件</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园区规章制度</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自定义发布园所规章制度</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园区规章制度分类</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自定义维护园所规章制度分类</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预算全面管理系统</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ai投资预测</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ai预测主要结论</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ai按照系统内置模型，根据用户输入参数分析得出净利润月份，利润为正所需最少学生数量，完全收回投资月份股权价值等数据</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ai模型预测</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采用深度神经网络算法，至少包含5层隐藏层；历史预测准确率在相似场景下不低于75%；</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财务预测结论</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涵盖资产负债表、利润表、现金流量表的预测；预测时间跨度支持未来1-5年；预测误差率控制在±8%以内；提供可视化的预测结果展示。</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单场地模型月报</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基于大数据分析技术，数据源涵盖场地运营的各项指标；报告包含关键绩效指标分析、趋势分析和风险评估；</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单场地模型年报</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基于大数据分析技术，数据源涵盖场地运营的各项指标；报告包含关键绩效指标分析、趋势分析和风险评估；</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ai实际经营财务分析</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运行和预估对比</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根据用户使用系统运行数据与预测数据分析对比</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货币效率结论</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分析货币周转率、资金回报率等货币效率指标；结合行业基准数据进行对比分析；提供优化货币效率的具体建议和方案。</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财务流水分析</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财务流水</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分析整理园所日常运营收入支出流水明细</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财务统计</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支持对多种格式的财务流水文件导入，如CSV、Excel等；自动识别和分类财务流水项目；提供按时间、金额、业务类型等多维度的统计分析功能。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机构账单</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机构账单列表</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存储容量可支持10万条以上的机构账单数据；具备快速搜索功能，搜索响应时间不超过3秒；支持模糊搜索和组合条件搜索。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机构账单详情</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存储容量可支持10万条以上的机构账单数据；具备快速搜索功能，搜索响应时间不超过3秒；支持模糊搜索和组合条件搜索。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账单搜索</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存储容量可支持10万条以上的机构账单数据；具备快速搜索功能，搜索响应时间不超过3秒；支持模糊搜索和组合条件搜索。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收入现金目标</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目标列表</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制定收入目标计划，可按照金额，托班人数，兴趣课人数等维度</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目标明细</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完成目标的明细数据</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确认收入目标</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确认收入计划</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制定确认收入目标计划，可按照金额，托班人数，兴趣课人数等维度</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确认收入明细</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确认收入的明细数据，包括托班出勤人数，兴趣课消课人数等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AI预测分析结果</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ai模型根据当前完成数据进行分析，预测得出是否能完成计划</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招生目标</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招生计划</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根据财务模型得出的结论，制定招生计划</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bottom"/>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招生完成情况</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招生新生数的数据统计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AI预判结论</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可设定招生人数、招生区域等多维度招生目标；实时统计招生完成情况，包括报名人数、录取人数等；提供招生效果分析报告。</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日均到园目标</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到园目标计划</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根据财务模型得出的结论，制定到园目标计划</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ai预测到园结果</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ai模型根据当前完成数据进行分析，预测得出是否能完成计划</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支出预算目标</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支出预算计划</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制定预算执行计划</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ai预测结果</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ai模型根据当前完成数据进行分析，预测得出预算是否够用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主动leads目标</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主动leads目标计划</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设定主动线索获取目标数量和质量标准；实时跟踪线索获取情况和转化情况；提供线索来源分析和优化建议。</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智能预测成果</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设定主动线索获取目标数量和质量标准；实时跟踪线索获取情况和转化情况；提供线索来源分析和优化建议。</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兴趣课排消课目标</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排消课计划</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对班级进行排课管理，支持周期性排课、指定日期排课，灵活管理课表。支持按课程、班级、时间段设置消课计划；实时跟踪消课完成进度，自动更新剩余课程数量；提供消课进度报表。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bottom"/>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消课完成情况</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兴趣课消课明细数据</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ai预测结果(兴趣课)</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ai模型根据当前完成数据进行分析，预测得出是否能完成计划</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销售目标</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目标计划</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可设定销售额、客户拜访量、客户转化率等多维度销售员目标；实时跟踪销售员目标完成情况，进行排名和绩效评估；提供目标调整和激励方案设置功能。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ai预测结果</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可设定销售额、客户拜访量、客户转化率等多维度销售员目标；实时跟踪销售员目标完成情况，进行排名和绩效评估；提供目标调整和激励方案设置功能。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智慧营销系统</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营销信息设置</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支持多渠道营销信息录入与编辑，可自定义品牌展示信息；具备信息审核与发布功能，支持定时发布；数据存储容量可支持10000条以上营销信息。</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营销品牌设置</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支持多渠道营销信息录入与编辑，可自定义品牌展示信息；具备信息审核与发布功能，支持定时发布；数据存储容量可支持10000条以上营销信息。</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活动设置</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可创建多种类型活动，如抽奖、打卡等；支持活动时间、规则、奖励等自定义设置；具备活动数据统计与分析功能，实时监控活动参与情况。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教师资源维护</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支持教师信息的添加、修改、删除操作，包括基本信息、授课信息等；具备教师权限管理功能；数据备份周期为每周，确保教师信息安全。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微信群活码设置</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支持生成多个微信群活码，活码有效期可自定义；具备活码扫描数据统计功能，如扫码次数、进群人数等；活码可关联不同的微信群组。</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商城管理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课程列表</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支持课程/服务信息的批量导入与编辑，包括名称、价格、简介等；具备课程/服务分类管理功能；可设置课程/服务的上下架状态。</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服务列表</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支持课程/服务信息的批量导入与编辑，包括名称、价格、简介等；具备课程/服务分类管理功能；可设置课程/服务的上下架状态。</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地推评测管理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核心评测报告</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支持多种评测指标自定义设置，如评分、排名等；具备报告生成功能，可导出为PDF、Excel等格式；报告数据来源可追溯，确保数据准确性。</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综合评测报告</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支持多种评测指标自定义设置，如评分、排名等；具备报告生成功能，可导出为PDF、Excel等格式；报告数据来源可追溯，确保数据准确性。</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海报管理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海报图分类</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支持海报图片的上传、分类、管理，图片格式支持JPEG、PNG等；具备海报搜索功能，可按关键词、分类等搜索；图库存储容量可支持5000张以上海报图片。</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海报列表</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支持海报图片的上传、分类、管理，图片格式支持JPEG、PNG等；具备海报搜索功能，可按关键词、分类等搜索；图库存储容量可支持5000张以上海报图片。</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海报logo图库</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支持海报图片的上传、分类、管理，图片格式支持JPEG、PNG等；具备海报搜索功能，可按关键词、分类等搜索；图库存储容量可支持5000张以上海报图片。</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活动管理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拼团活动</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具备活动防刷机制，确保活动公平公正。</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支持活动规则自定义设置，如成团人数、砍价幅度、秒杀时间等；实时监控活动参与人数、成交金额等数据，</w:t>
            </w:r>
            <w:r>
              <w:rPr>
                <w:rFonts w:hint="eastAsia" w:ascii="宋体" w:hAnsi="宋体" w:eastAsia="宋体" w:cs="宋体"/>
                <w:i w:val="0"/>
                <w:iCs w:val="0"/>
                <w:color w:val="auto"/>
                <w:sz w:val="21"/>
                <w:szCs w:val="21"/>
                <w:highlight w:val="none"/>
                <w:u w:val="none"/>
                <w:lang w:val="en-US" w:eastAsia="zh-CN" w:bidi="ar"/>
              </w:rPr>
              <w:t xml:space="preserve">系统默认提供</w:t>
            </w:r>
            <w:r>
              <w:rPr>
                <w:rFonts w:hint="eastAsia" w:ascii="宋体" w:hAnsi="宋体" w:eastAsia="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个预置精美招生模版。</w:t>
            </w:r>
            <w:r>
              <w:rPr>
                <w:rFonts w:hint="eastAsia" w:ascii="宋体" w:hAnsi="宋体" w:eastAsia="宋体" w:cs="宋体"/>
                <w:b/>
                <w:bCs/>
                <w:i w:val="0"/>
                <w:iCs w:val="0"/>
                <w:color w:val="auto"/>
                <w:sz w:val="21"/>
                <w:szCs w:val="21"/>
                <w:highlight w:val="none"/>
                <w:u w:val="none"/>
                <w:lang w:val="en-US" w:eastAsia="zh-CN" w:bidi="ar"/>
              </w:rPr>
              <w:t xml:space="preserve">（提供系统功能演示）</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砍一刀活动</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支持活动规则自定义设置，如成团人数、砍价幅度、秒杀时间等；具备活动防刷机制，确保活动公平公正；实时监控活动参与人数、成交金额等数据。</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秒杀活动</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支持活动规则自定义设置，如成团人数、砍价幅度、秒杀时间等；具备活动防刷机制，确保活动公平公正；实时监控活动参与人数、成交金额等数据。</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评测海报</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支持评测海报的设计模板选择与自定义编辑；具备海报发布功能，可选择发布渠道；支持海报效果统计，如点击量、转化率等。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订单管理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订单管理</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支持订单的创建、查询、修改、删除操作，包括订单状态、金额、商品信息等；具备订单跟踪功能，实时更新订单物流信息；支持订单批量导出功能。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客户管理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支持客户信息的添加、修改、删除操作，包括基本信息、联系方式等；具备客户权限管理功能；可设置客户标签，进行精准营销。</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客户申请</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支持客户信息的添加、修改、删除操作，包括基本信息、联系方式等；具备客户权限管理功能；可设置客户标签，进行精准营销。</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对账中心</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我的账户</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支持账户信息查看与修改，如密码、联系方式等；具备账户安全验证功能，如短信验证码、密码强度检测等；支持账户交易记录查询。</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机构收入</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自动统计机构收入数据，按时间、业务类型等维度进行分类统计；具备收入数据分析功能，如趋势分析、占比分析等；数据可导出为报表形式。</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续费信息</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支持续费信息的录入与管理，包括续费时间、金额、服务类型等；具备续费提醒功能，可提前自定义天数提醒；支持续费数据分析，预测客户续费意向。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提现申请</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支持提现申请的提交、审核、处理操作；具备提现记录查询功能；可设置提现规则，如提现金额限制、手续费等。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支付记录</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支持评测支付记录的查询与管理，包括支付时间、金额、支付方式等；具备支付数据分析功能，如支付成功率、支付渠道偏好等；数据可与评测报告关联。</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发票申请</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bottom"/>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支持发票申请的提交、审核、开具操作，发票类型支持普通发票、专用发票等；具备发票申请记录查询功能；可设置发票开具规则，如开票金额限制、开票时间等。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集团园所管理平台</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健康管理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晨午检记录</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展示晨检机器人晨检信息</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食谱排餐</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按照园所需求，自定义创建食谱，保健医生可选择食谱排餐。可内置</w:t>
            </w:r>
            <w:r>
              <w:rPr>
                <w:rFonts w:hint="eastAsia" w:ascii="宋体" w:hAnsi="宋体" w:eastAsia="宋体" w:cs="宋体"/>
                <w:i w:val="0"/>
                <w:iCs w:val="0"/>
                <w:strike w:val="0"/>
                <w:color w:val="auto"/>
                <w:sz w:val="21"/>
                <w:szCs w:val="21"/>
                <w:highlight w:val="none"/>
                <w:u w:val="none"/>
                <w:lang w:val="en-US" w:eastAsia="zh-CN" w:bidi="ar"/>
              </w:rPr>
              <w:t xml:space="preserve">带量食谱组套</w:t>
            </w:r>
            <w:r>
              <w:rPr>
                <w:rFonts w:hint="eastAsia" w:ascii="宋体" w:hAnsi="宋体" w:eastAsia="宋体" w:cs="宋体"/>
                <w:i w:val="0"/>
                <w:iCs w:val="0"/>
                <w:color w:val="auto"/>
                <w:sz w:val="21"/>
                <w:szCs w:val="21"/>
                <w:highlight w:val="none"/>
                <w:u w:val="none"/>
                <w:lang w:val="en-US" w:eastAsia="zh-CN" w:bidi="ar"/>
              </w:rPr>
              <w:t xml:space="preserve">，定期更新食谱库。</w:t>
            </w:r>
            <w:r>
              <w:rPr>
                <w:rFonts w:hint="eastAsia" w:ascii="宋体" w:hAnsi="宋体" w:eastAsia="宋体" w:cs="宋体"/>
                <w:b/>
                <w:bCs/>
                <w:i w:val="0"/>
                <w:iCs w:val="0"/>
                <w:color w:val="auto"/>
                <w:sz w:val="21"/>
                <w:szCs w:val="21"/>
                <w:highlight w:val="none"/>
                <w:u w:val="none"/>
                <w:lang w:val="en-US" w:eastAsia="zh-CN" w:bidi="ar"/>
              </w:rPr>
              <w:t xml:space="preserve">（提供系统功能演示）</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出入园记录</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展示接送机采集的出入园数据信息</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8"/>
        </w:numPr>
        <w:keepLines w:val="0"/>
        <w:keepNext w:val="0"/>
        <w:pageBreakBefore w:val="0"/>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硬件技术要求</w:t>
      </w:r>
      <w:r/>
    </w:p>
    <w:tbl>
      <w:tblPr>
        <w:tblStyle w:val="818"/>
        <w:tblW w:w="52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4"/>
        <w:gridCol w:w="1074"/>
        <w:gridCol w:w="6800"/>
      </w:tblGrid>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序号</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设备名称</w:t>
            </w:r>
            <w:r/>
          </w:p>
        </w:tc>
        <w:tc>
          <w:tcPr>
            <w:shd w:val="clear" w:color="auto" w:fill="auto"/>
            <w:tcW w:w="379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智能晨检机器人</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婴幼儿每日晨检功能，包括学员的手部红疹、手部疮疹、指甲、手部伤口、上颚红疹、上颚疹、喉咙发红、蛀牙、眼睛发红、温度监测等多项异常体征。与系统对接：支持与扬州市托育管理系统对接，完成检查后实时发送检查结果给对应的幼儿家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、主要规格参数：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1、显示屏：≥10.1寸电容屏触摸屏，分辨率≥1280*800；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2、处理器、操作系统不低于当下主流配置；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3、支持IC和ID卡；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4、支持断电断网使用，有不低于6个小时的待机时间，带滚轮可移动；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5、具备电机模组，人脸识别功能；</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▲6、检测移动模组最低离地高度：≤55cm</w:t>
            </w:r>
            <w:r>
              <w:rPr>
                <w:rFonts w:hint="eastAsia" w:ascii="宋体" w:hAnsi="宋体" w:eastAsia="宋体" w:cs="宋体"/>
                <w:b/>
                <w:bCs/>
                <w:i w:val="0"/>
                <w:iCs w:val="0"/>
                <w:color w:val="auto"/>
                <w:sz w:val="21"/>
                <w:szCs w:val="21"/>
                <w:highlight w:val="none"/>
                <w:u w:val="none"/>
                <w:lang w:val="en-US" w:eastAsia="zh-CN" w:bidi="ar"/>
              </w:rPr>
              <w:t xml:space="preserve">（提供技术白皮书、说明书、或官网截图、产品彩页或鉴定证书等技术佐证文件）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▲7、安全性能符合GB4943.1-2022《音视频、信息技术和通信技术设备第第1部分：安全要求》标准的要求。</w:t>
            </w:r>
            <w:r>
              <w:rPr>
                <w:rFonts w:hint="eastAsia" w:ascii="宋体" w:hAnsi="宋体" w:eastAsia="宋体" w:cs="宋体"/>
                <w:b/>
                <w:bCs/>
                <w:i w:val="0"/>
                <w:iCs w:val="0"/>
                <w:color w:val="auto"/>
                <w:sz w:val="21"/>
                <w:szCs w:val="21"/>
                <w:highlight w:val="none"/>
                <w:u w:val="none"/>
                <w:lang w:val="en-US" w:eastAsia="zh-CN" w:bidi="ar"/>
              </w:rPr>
              <w:t xml:space="preserve">（提供国家认可的三方机构出具的检测报告并加盖供应商公章）</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智能扫码接送机</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家长接送孩子时，用于身份识别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1、识读码制：支持常见手机二维码规格，能与安全接送卡配套使用；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2、读取距离：识别灵敏度高，范围0mm-76mm；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3、支持扫二维码、读卡方式；</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定制安全接送卡</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家长接送门禁卡/环/挂件，环保材质，识别灵敏</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机构内班级智能操作平台</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用于教师记录儿童一日生活安排，可内置软件功能，包含班级照护信息、晨检信息、课程信息查看和操作等。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1、显示屏：≥21.5"高清屏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2、分辨率：≥1920*1080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3、操作方式：触摸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4、CPU：≥四核1.8GHz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5、摄像头：≥200W，1080P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6、内存：≥4G+64G；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7、尺寸：≥高356mm*宽515mm*厚30mm</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rPr>
              <w:t xml:space="preserve">功能参数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照护信息：以班级为单位呈现所有班级宝贝的日间照护信息，带班老师可操作日间照护其中包括记录晨检、精神情绪、早餐、早点、午餐、午点、奶粉、饮水、如厕、清洁、午检、睡觉、尿布检查、晚检、晚餐、今日观察、周报，支持配置可操作项、支持</w:t>
            </w:r>
            <w:r>
              <w:rPr>
                <w:rFonts w:hint="eastAsia" w:ascii="宋体" w:hAnsi="宋体" w:eastAsia="宋体" w:cs="宋体"/>
                <w:color w:val="auto"/>
                <w:sz w:val="21"/>
                <w:szCs w:val="21"/>
                <w:highlight w:val="none"/>
                <w:lang w:eastAsia="zh-CN"/>
              </w:rPr>
              <w:t xml:space="preserve">“一次性批量完成全天照护记录”</w:t>
            </w:r>
            <w:r>
              <w:rPr>
                <w:rFonts w:hint="eastAsia" w:ascii="宋体" w:hAnsi="宋体" w:eastAsia="宋体" w:cs="宋体"/>
                <w:color w:val="auto"/>
                <w:sz w:val="21"/>
                <w:szCs w:val="21"/>
                <w:highlight w:val="none"/>
              </w:rPr>
              <w:t xml:space="preserve">与</w:t>
            </w:r>
            <w:r>
              <w:rPr>
                <w:rFonts w:hint="eastAsia" w:ascii="宋体" w:hAnsi="宋体" w:eastAsia="宋体" w:cs="宋体"/>
                <w:color w:val="auto"/>
                <w:sz w:val="21"/>
                <w:szCs w:val="21"/>
                <w:highlight w:val="none"/>
                <w:lang w:eastAsia="zh-CN"/>
              </w:rPr>
              <w:t xml:space="preserve">“逐项分时段录入即时的照护记录”</w:t>
            </w:r>
            <w:r>
              <w:rPr>
                <w:rFonts w:hint="eastAsia" w:ascii="宋体" w:hAnsi="宋体" w:eastAsia="宋体" w:cs="宋体"/>
                <w:color w:val="auto"/>
                <w:sz w:val="21"/>
                <w:szCs w:val="21"/>
                <w:highlight w:val="none"/>
              </w:rPr>
              <w:t xml:space="preserve">的切换</w:t>
            </w:r>
            <w:r>
              <w:rPr>
                <w:rFonts w:hint="eastAsia" w:ascii="宋体" w:hAnsi="宋体" w:eastAsia="宋体" w:cs="宋体"/>
                <w:b/>
                <w:bCs/>
                <w:color w:val="auto"/>
                <w:sz w:val="21"/>
                <w:szCs w:val="21"/>
                <w:highlight w:val="none"/>
              </w:rPr>
              <w:t xml:space="preserve">（提供系统演示视频）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▲2、晨检信息：以班级为单位呈现所有班级宝贝的晨检信息，可操作晨检体温、口腔、精神、手部、记录人、上传照片</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提供系统功能截图</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3、一日流程：呈现园所一日流程，包括时间段、流程名称、流程背景图、流程详情，支持多模版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▲4、课件信息：支持查看园所课件，以目录为维度查看图片、视频、文档类课件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提供系统功能截图</w:t>
            </w:r>
            <w:r>
              <w:rPr>
                <w:rFonts w:hint="eastAsia" w:ascii="宋体" w:hAnsi="宋体" w:eastAsia="宋体" w:cs="宋体"/>
                <w:b/>
                <w:bCs/>
                <w:color w:val="auto"/>
                <w:sz w:val="21"/>
                <w:szCs w:val="21"/>
                <w:highlight w:val="none"/>
                <w:lang w:eastAsia="zh-CN"/>
              </w:rPr>
              <w:t xml:space="preserve">）</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智能班牌</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搭载班级管理系统，支持无线联网，优先选择电池+固定供电模式，可以展示班级动态、出勤等；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1、显示屏：≥10.1"高清屏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2、分辨率：≥1920*1080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3、操作方式：触摸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4、刷卡器：IC读写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5、CPU：不少于四核及不低于1.8GHz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6、摄像头：≥200W，1080P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7、内存：≥4G+32G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8、尺寸：≥249*171*13mm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9、电源：支持POE供电</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rPr>
              <w:t xml:space="preserve">功能参数：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班级今日动态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今日餐食及营养成分结构</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提供系统功能截图</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今日出勤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照护详情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班级精彩动态</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智能网关</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智能无线网关，全方位解决园所信号覆盖弱、差、不稳定等问题，助力园所智能升级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1.产品尺寸：直径≥150mm，高≥36mm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2.特点描述：双向通信，远程访问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3.WPA-EAP/WPA2-EAP企业级加密，支持HTTP/MQTT/TCP协议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4.支持蓝牙协议：Bluetooth®5.0以上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5.扫描范围：≥300米覆盖半径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6.发射功率：≥18dBm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7.接收带宽：≥1Mbps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8.数据速率：Uncoded：≥1Mbps/2Mbps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9.并发量：≥400包/秒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10.WiFi协议标准：IEEE802.11b/g/n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11.WiFi频段：2.4-2.4835GHz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12.传输速率：2T2R≥300Mbps，支持配置多个WiFi热点并自适应选择信号最强的WiFi进行数据传输。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13.无线加密：WPA-EAP/WPA2-EAP，WPA-PSK/WPA2-PSK,andTKIP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14.网络协议：HTTP(SSL/TLS)/MQTT(SSL/TLS&amp;Proxy)/TCP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15.供电：DC5V/1A，802.3afPOE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16.外部接口：1*10/100MRJ45，1*USB，1*Reset键，1*电源口，1*开关，无TF卡槽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17.工作温湿度：-10~50℃，5%~95%RH，无冷凝</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智能移动三检枪(测温/咳嗽/红眼/流涕/电筒等)</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移动三检(咳嗽、指甲、红眼、流涕、测温、电筒)一体枪，数据自动同步助力园所智慧升级</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智能空气监测仪</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空气质量管家，甲醛、TVOC、PM2.5、CO2、温湿度捕捉，精准预测报警，助力园所智慧升级；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园所的温度、湿度、PM2.5、co2、tVoc等多种环境，指标实时检测家长可实时了解园所环境质量可与空气净化设备联动。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与系统对接：支持数据与托育系统完全对接，互操作，助力园所智慧升级。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1、室内环境采集主机，采集和分析监测数据，支持WIFI/RS485传输，支持86盒式安装，支持DC24V/AC220V供电多种方式供电。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2、温度量程：-20~80℃，分辨率：0.1℃湿度量程：0~</w:t>
            </w:r>
            <w:r>
              <w:rPr>
                <w:rFonts w:hint="eastAsia" w:ascii="宋体" w:hAnsi="宋体" w:eastAsia="宋体" w:cs="宋体"/>
                <w:color w:val="auto"/>
                <w:sz w:val="21"/>
                <w:szCs w:val="21"/>
                <w:highlight w:val="none"/>
              </w:rPr>
              <w:t xml:space="preserve">100%RH</w:t>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b/>
                <w:bCs/>
                <w:color w:val="auto"/>
                <w:sz w:val="21"/>
                <w:szCs w:val="21"/>
                <w:highlight w:val="none"/>
              </w:rPr>
              <w:t xml:space="preserve">（提供技术白皮书、或官网截图、产品彩页或鉴定证书等技术佐证文件。）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3、温度示值误差：≤±0.5℃湿度示值误差：≤±3%（</w:t>
            </w:r>
            <w:r>
              <w:rPr>
                <w:rFonts w:hint="eastAsia" w:ascii="宋体" w:hAnsi="宋体" w:eastAsia="宋体" w:cs="宋体"/>
                <w:b/>
                <w:bCs/>
                <w:i w:val="0"/>
                <w:iCs w:val="0"/>
                <w:color w:val="auto"/>
                <w:sz w:val="21"/>
                <w:szCs w:val="21"/>
                <w:highlight w:val="none"/>
                <w:u w:val="none"/>
                <w:lang w:val="en-US" w:eastAsia="zh-CN" w:bidi="ar"/>
              </w:rPr>
              <w:t xml:space="preserve">提供具有国家认可的第三方机构出具的检验报告或校准证书扫描件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4、PM2.5量程：0～1000ug/m3，分辨率：0.1ug/m3PM10量程：0～2000ug/m3，分辨率：0.1ug/m3</w:t>
            </w:r>
            <w:r>
              <w:rPr>
                <w:rFonts w:hint="eastAsia" w:ascii="宋体" w:hAnsi="宋体" w:eastAsia="宋体" w:cs="宋体"/>
                <w:b/>
                <w:bCs/>
                <w:color w:val="auto"/>
                <w:sz w:val="21"/>
                <w:szCs w:val="21"/>
                <w:highlight w:val="none"/>
              </w:rPr>
              <w:t xml:space="preserve">（提供技术白皮书、或官网截图、产品彩页或鉴定证书等技术佐证文件。）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5、甲醛传感器量程：0～5mg/m3，分辨率：0.001mg/m3，示值误差：≤±0.5，响应时间：≤25s，（</w:t>
            </w:r>
            <w:r>
              <w:rPr>
                <w:rFonts w:hint="eastAsia" w:ascii="宋体" w:hAnsi="宋体" w:eastAsia="宋体" w:cs="宋体"/>
                <w:b/>
                <w:bCs/>
                <w:i w:val="0"/>
                <w:iCs w:val="0"/>
                <w:color w:val="auto"/>
                <w:sz w:val="21"/>
                <w:szCs w:val="21"/>
                <w:highlight w:val="none"/>
                <w:u w:val="none"/>
                <w:lang w:val="en-US" w:eastAsia="zh-CN" w:bidi="ar"/>
              </w:rPr>
              <w:t xml:space="preserve">提供具有国家认可的第三方机构出具的检验报告或校准证书扫描件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6、二氧化碳传感器：量程：400～2000PPM，分辨率：0.1PPM，示值误差：≤±1.5%FS</w:t>
            </w:r>
            <w:r>
              <w:rPr>
                <w:rFonts w:hint="eastAsia" w:ascii="宋体" w:hAnsi="宋体" w:eastAsia="宋体" w:cs="宋体"/>
                <w:b/>
                <w:bCs/>
                <w:i w:val="0"/>
                <w:iCs w:val="0"/>
                <w:color w:val="auto"/>
                <w:sz w:val="21"/>
                <w:szCs w:val="21"/>
                <w:highlight w:val="none"/>
                <w:u w:val="none"/>
                <w:lang w:val="en-US" w:eastAsia="zh-CN" w:bidi="ar"/>
              </w:rPr>
              <w:t xml:space="preserve">（提供具有国家认可的第三方机构出具的检验报告或校准证书扫描件）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7、TVOC：量程：0～6mg/m3，分辨率：0.001mg/m3，示值误差：≤±3%FS，重复性：≤±0.4%，响应时间：≤10s。</w:t>
            </w:r>
            <w:r/>
          </w:p>
        </w:tc>
      </w:tr>
      <w:tr>
        <w:trPr>
          <w:jc w:val="center"/>
          <w:trHeight w:val="3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智能儿童睡眠监测垫</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用于儿童睡眠时的心跳、呼吸、体动、睡觉时长、睡眠质量等检测分析,助力园所智慧升级可折叠、使用时长、蓝牙辐射信号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1、尺寸：监测垫长≤85cm，宽≤35cm，高≤0.6cm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2、传感器：PVDF压力传感器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3、过压保护：支持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4、静电保护：支持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5、工作温度：0℃~60℃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6、储存温度：-30℃~70℃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7、WIFI射频发射频谱模板：符合802.11信号模板要求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8、支持监测数据类型：主要包括呼吸监测、心率监测、在床离床监测、睡眠质量监测等</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rPr>
              <w:t xml:space="preserve">功能参数：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睡眠监测，实时监测心率、温度、睡眠质量：支持在管理系统中集中展示各个睡眠床垫实时数据，包括心率、睡眠状态等。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提供系统功能截图）</w:t>
            </w:r>
            <w:r>
              <w:rPr>
                <w:rFonts w:hint="eastAsia" w:ascii="宋体" w:hAnsi="宋体" w:eastAsia="宋体" w:cs="宋体"/>
                <w:b/>
                <w:bCs/>
                <w:color w:val="auto"/>
                <w:sz w:val="21"/>
                <w:szCs w:val="21"/>
                <w:highlight w:val="none"/>
              </w:rPr>
              <w:br/>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发生意外时及时预警：</w:t>
            </w:r>
            <w:r>
              <w:rPr>
                <w:rFonts w:hint="eastAsia" w:ascii="宋体" w:hAnsi="宋体" w:eastAsia="宋体" w:cs="宋体"/>
                <w:color w:val="auto"/>
                <w:sz w:val="21"/>
                <w:szCs w:val="21"/>
                <w:highlight w:val="none"/>
                <w:lang w:val="en-US" w:eastAsia="zh-CN"/>
              </w:rPr>
              <w:t xml:space="preserve">如果</w:t>
            </w:r>
            <w:r>
              <w:rPr>
                <w:rFonts w:hint="eastAsia" w:ascii="宋体" w:hAnsi="宋体" w:eastAsia="宋体" w:cs="宋体"/>
                <w:color w:val="auto"/>
                <w:sz w:val="21"/>
                <w:szCs w:val="21"/>
                <w:highlight w:val="none"/>
              </w:rPr>
              <w:t xml:space="preserve">出现心率异常等情形支持通过管理系统显示具体的婴幼儿床位并高亮显示。</w:t>
            </w:r>
            <w:r>
              <w:rPr>
                <w:rFonts w:hint="eastAsia" w:ascii="宋体" w:hAnsi="宋体" w:eastAsia="宋体" w:cs="宋体"/>
                <w:b/>
                <w:bCs/>
                <w:color w:val="auto"/>
                <w:sz w:val="21"/>
                <w:szCs w:val="21"/>
                <w:highlight w:val="none"/>
              </w:rPr>
              <w:t xml:space="preserve">（提供系统演示视频）</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智能成长交互一体机</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采用3D全息互动裸眼技术，课程内容用寓教于乐的游戏互动模式实现沉浸式场景教学助力园所智慧升级，显示系统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1、待机功耗：＜0.5W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2、亮度：≥5300流明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3、对比度：≥1500000：1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4、分辨率：≥WUXGA(1920×1200)(16：10宽高比)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5、画面均匀度：≧90%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6、光源类型：≥激光二极管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7、投影尺寸：60""-150""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8、光源寿命：正常模式：≥20000小时，经济模式：≥25000小时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9、镜头：≥F1.8，f=6.08mm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10、镜头投射比：≥0.43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11、投影距离：0.54m~1.40m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12、数字梯形校正：垂直：±40º(自动+手动）水平：±15º（手动）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13、中心色域面积：比值(NTSC色域)≥120%</w:t>
            </w:r>
            <w:r>
              <w:rPr>
                <w:rFonts w:hint="eastAsia" w:ascii="宋体" w:hAnsi="宋体" w:eastAsia="宋体" w:cs="宋体"/>
                <w:i w:val="0"/>
                <w:iCs w:val="0"/>
                <w:color w:val="auto"/>
                <w:sz w:val="21"/>
                <w:szCs w:val="21"/>
                <w:highlight w:val="none"/>
                <w:u w:val="none"/>
                <w:lang w:val="en-US" w:eastAsia="zh-CN" w:bidi="ar"/>
              </w:rPr>
              <w:t xml:space="preserve">(符合SJ/T11346标准)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14、扬声器：1*10W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15、外观尺寸：≥445×350×100mm(不含突出部分)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16、处理器操作系统：满足当下主流配置，GPU：不低于ARMG610MP4配置，CPU：≥四核A76+四核A55八核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17、内存≥4G+32G；</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移动式智能消毒机器人</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搭配有空气消毒，加湿，紫外线消毒功能，可无线移动且智能化。</w:t>
            </w:r>
            <w:r/>
          </w:p>
        </w:tc>
      </w:tr>
      <w:tr>
        <w:trPr>
          <w:jc w:val="center"/>
          <w:trHeight w:val="567"/>
        </w:trPr>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6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智能紫外线徽章/校徽</w:t>
            </w:r>
            <w:r/>
          </w:p>
        </w:tc>
        <w:tc>
          <w:tcPr>
            <w:shd w:val="clear" w:color="auto" w:fill="auto"/>
            <w:tcW w:w="3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监测并统计儿童户外活动时间，支持推送手机端查询，达到预防近视目的；可磁吸充电，内置电池；有开机单独按键；别针式穿戴</w:t>
            </w:r>
            <w:r/>
          </w:p>
        </w:tc>
      </w:tr>
    </w:tbl>
    <w:p>
      <w:pPr>
        <w:numPr>
          <w:ilvl w:val="0"/>
          <w:numId w:val="8"/>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建设要求</w:t>
      </w:r>
      <w:r/>
    </w:p>
    <w:p>
      <w:pPr>
        <w:numPr>
          <w:ilvl w:val="0"/>
          <w:numId w:val="9"/>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需满足医院国家电子病历六级标准（新老标准兼顾）建设要求，协助医院完成国家电子病历六级建设及改造需求、文审材料准备及现场评审技术支持等；</w:t>
      </w:r>
      <w:r/>
    </w:p>
    <w:p>
      <w:pPr>
        <w:numPr>
          <w:ilvl w:val="0"/>
          <w:numId w:val="9"/>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需满足国家智慧服务三级、信息安全三级等保要求；</w:t>
      </w:r>
      <w:r/>
    </w:p>
    <w:p>
      <w:pPr>
        <w:numPr>
          <w:ilvl w:val="0"/>
          <w:numId w:val="9"/>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支持本地化部署实施，支持国产数据库或开源数据库，支持国产服务器服务端软件部署，支持国产操作系统PC端进行安装；</w:t>
      </w:r>
      <w:r/>
    </w:p>
    <w:p>
      <w:pPr>
        <w:numPr>
          <w:ilvl w:val="0"/>
          <w:numId w:val="9"/>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包括但不限于与HIS、微信小程序、互联网医院、集成平台、市托育平台、专病管理平台接口的对接与改造。</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四、项目实施要求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结合</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实际情况，制定详细的系统实施方案，包括但不限于实施进度计划、实施体系、质量保障措施、安装调测方案。保证在合同规定时间内上线及上线系统的基本平稳</w:t>
      </w:r>
      <w:r>
        <w:rPr>
          <w:rFonts w:hint="eastAsia" w:ascii="宋体" w:hAnsi="宋体" w:eastAsia="宋体" w:cs="宋体"/>
          <w:bCs/>
          <w:color w:val="auto"/>
          <w:sz w:val="21"/>
          <w:szCs w:val="21"/>
          <w:highlight w:val="none"/>
          <w:lang w:eastAsia="zh-CN"/>
        </w:rPr>
        <w:t xml:space="preserve">。</w:t>
      </w:r>
      <w:r/>
    </w:p>
    <w:p>
      <w:pPr>
        <w:numPr>
          <w:ilvl w:val="0"/>
          <w:numId w:val="1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项目工期：合同签订后60日历天内系统上线</w:t>
      </w:r>
      <w:r/>
    </w:p>
    <w:p>
      <w:pPr>
        <w:numPr>
          <w:ilvl w:val="0"/>
          <w:numId w:val="1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实施体系</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w:t>
      </w:r>
      <w:r>
        <w:rPr>
          <w:rFonts w:hint="eastAsia" w:ascii="宋体" w:hAnsi="宋体" w:eastAsia="宋体" w:cs="宋体"/>
          <w:color w:val="auto"/>
          <w:sz w:val="21"/>
          <w:szCs w:val="21"/>
          <w:highlight w:val="none"/>
        </w:rPr>
        <w:t xml:space="preserve">标人</w:t>
      </w:r>
      <w:r>
        <w:rPr>
          <w:rFonts w:hint="eastAsia" w:ascii="宋体" w:hAnsi="宋体" w:eastAsia="宋体" w:cs="宋体"/>
          <w:color w:val="auto"/>
          <w:sz w:val="21"/>
          <w:szCs w:val="21"/>
          <w:highlight w:val="none"/>
          <w:lang w:val="en-US" w:eastAsia="zh-CN"/>
        </w:rPr>
        <w:t xml:space="preserve">应具备专业的实施管理体系，并</w:t>
      </w:r>
      <w:r>
        <w:rPr>
          <w:rFonts w:hint="eastAsia" w:ascii="宋体" w:hAnsi="宋体" w:eastAsia="宋体" w:cs="宋体"/>
          <w:color w:val="auto"/>
          <w:sz w:val="21"/>
          <w:szCs w:val="21"/>
          <w:highlight w:val="none"/>
        </w:rPr>
        <w:t xml:space="preserve">为本项目组建专业实施团队，专业分配合理，至少包括项目经理、技术负责人、设计、开发、设备安装、安全保障等</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eastAsia="zh-CN"/>
        </w:rPr>
        <w:t xml:space="preserve">。</w:t>
      </w:r>
      <w:r/>
    </w:p>
    <w:p>
      <w:pPr>
        <w:numPr>
          <w:ilvl w:val="0"/>
          <w:numId w:val="1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质量保障</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为保障项目顺利实施，投标人需要提供项目质量保障措施，确保最终项目满足产品需求并遵循系统设计，以保障交付给</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的是完整、稳定、可靠的产品</w:t>
      </w:r>
      <w:r>
        <w:rPr>
          <w:rFonts w:hint="eastAsia" w:ascii="宋体" w:hAnsi="宋体" w:eastAsia="宋体" w:cs="宋体"/>
          <w:color w:val="auto"/>
          <w:sz w:val="21"/>
          <w:szCs w:val="21"/>
          <w:highlight w:val="none"/>
          <w:lang w:eastAsia="zh-CN"/>
        </w:rPr>
        <w:t xml:space="preserve">。</w:t>
      </w:r>
      <w:r/>
    </w:p>
    <w:p>
      <w:pPr>
        <w:numPr>
          <w:ilvl w:val="0"/>
          <w:numId w:val="1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安装调测方案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投标人需制定详细的系统调试和验收方案，内容包括不限于调试内容、方法、验收标准等</w:t>
      </w:r>
      <w:r>
        <w:rPr>
          <w:rFonts w:hint="eastAsia" w:ascii="宋体" w:hAnsi="宋体" w:eastAsia="宋体" w:cs="宋体"/>
          <w:bCs/>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五、售后服务要求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1、项目质保期：</w:t>
      </w:r>
      <w:r>
        <w:rPr>
          <w:rFonts w:hint="eastAsia" w:ascii="宋体" w:hAnsi="宋体" w:eastAsia="宋体" w:cs="宋体"/>
          <w:bCs/>
          <w:color w:val="auto"/>
          <w:sz w:val="21"/>
          <w:szCs w:val="21"/>
          <w:highlight w:val="none"/>
        </w:rPr>
        <w:t xml:space="preserve">提供自验收合格之日起</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lang w:val="en-US" w:eastAsia="zh-CN"/>
        </w:rPr>
        <w:t xml:space="preserve">软、硬件的</w:t>
      </w:r>
      <w:r>
        <w:rPr>
          <w:rFonts w:hint="eastAsia" w:ascii="宋体" w:hAnsi="宋体" w:eastAsia="宋体" w:cs="宋体"/>
          <w:bCs/>
          <w:color w:val="auto"/>
          <w:sz w:val="21"/>
          <w:szCs w:val="21"/>
          <w:highlight w:val="none"/>
        </w:rPr>
        <w:t xml:space="preserve">免费质保与技术支持。免费维护期内，按照合同维保要求进行系统巡检。免费维护期满后，</w:t>
      </w:r>
      <w:r>
        <w:rPr>
          <w:rFonts w:hint="eastAsia" w:ascii="宋体" w:hAnsi="宋体" w:eastAsia="宋体" w:cs="宋体"/>
          <w:bCs/>
          <w:color w:val="auto"/>
          <w:sz w:val="21"/>
          <w:szCs w:val="21"/>
          <w:highlight w:val="none"/>
          <w:lang w:val="en-US" w:eastAsia="zh-CN"/>
        </w:rPr>
        <w:t xml:space="preserve">软件每年维保费不得高于软件报价的4.5%</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需提供承诺函</w:t>
      </w:r>
      <w:r>
        <w:rPr>
          <w:rFonts w:hint="eastAsia" w:ascii="宋体" w:hAnsi="宋体" w:eastAsia="宋体" w:cs="宋体"/>
          <w:bCs/>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2、服务体系：投标人应具备完善的售后服务体系，在项目质保期内提供全方位技术支持。</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3、服务响应要求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质保期内，对采购人提出的合理服务要求，投标人须即时进行电话、邮件及远程网络支持，并在2小时内到场服务。如不到场，采购人有权自行处理，相关费用由投标人负责</w:t>
      </w:r>
      <w:r>
        <w:rPr>
          <w:rFonts w:hint="eastAsia" w:ascii="宋体" w:hAnsi="宋体" w:eastAsia="宋体" w:cs="宋体"/>
          <w:bCs/>
          <w:color w:val="auto"/>
          <w:sz w:val="21"/>
          <w:szCs w:val="21"/>
          <w:highlight w:val="none"/>
          <w:lang w:eastAsia="zh-CN"/>
        </w:rPr>
        <w:t xml:space="preserve">。</w:t>
      </w:r>
      <w:r/>
    </w:p>
    <w:p>
      <w:pPr>
        <w:numPr>
          <w:ilvl w:val="0"/>
          <w:numId w:val="0"/>
        </w:numPr>
        <w:ind w:left="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4、售后</w:t>
      </w:r>
      <w:r>
        <w:rPr>
          <w:rFonts w:hint="eastAsia" w:ascii="宋体" w:hAnsi="宋体" w:eastAsia="宋体" w:cs="宋体"/>
          <w:color w:val="auto"/>
          <w:sz w:val="21"/>
          <w:szCs w:val="21"/>
          <w:highlight w:val="none"/>
          <w:lang w:val="en-US" w:eastAsia="zh-CN"/>
        </w:rPr>
        <w:t xml:space="preserve">服务内容要求</w:t>
      </w:r>
      <w:r/>
    </w:p>
    <w:p>
      <w:pPr>
        <w:numPr>
          <w:ilvl w:val="0"/>
          <w:numId w:val="11"/>
        </w:numPr>
        <w:ind w:lef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在项目质保期内，中标人需免费负责系统软、硬件的安装、运行、维护和升级服务，对系统运行进行定期巡检，根据巡检情况进行系统分析和优化。</w:t>
      </w:r>
      <w:r/>
    </w:p>
    <w:p>
      <w:pPr>
        <w:numPr>
          <w:ilvl w:val="0"/>
          <w:numId w:val="11"/>
        </w:numPr>
        <w:ind w:lef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在项目质保期内，中标人需负责对其提供的硬件设备、软件系统进行现场维修服务，不收取额外费用。系统和设备由于实施质量或产品本身质量原因造成的损伤或损坏，中标人须免费修理或更换，由此产生的费用由中标人承担。</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5、运维及应急响应服务</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投标人应具备成熟的应急响应服务体系</w:t>
      </w:r>
      <w:r>
        <w:rPr>
          <w:rFonts w:hint="eastAsia" w:ascii="宋体" w:hAnsi="宋体" w:eastAsia="宋体" w:cs="宋体"/>
          <w:color w:val="auto"/>
          <w:sz w:val="21"/>
          <w:szCs w:val="21"/>
          <w:highlight w:val="none"/>
          <w:lang w:val="en-US" w:eastAsia="zh-CN"/>
        </w:rPr>
        <w:t xml:space="preserve">，能针对系统出现的突发情况给予技术支持和应急响应服务，并提供针对重大节日活动、会议期间的技术保障。</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（2）应急响应时间：全年7×24小时。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（3）响应方式：远程支持或现场支持。远程支持可以采用电话、E-mail，远程加密登录等方式。当远程支持无法解决问题时，中标人需派遣专业的紧急响应服务人员在第一时间到达现场提供服务。</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六、培训服务</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投标人需根据项目相关交付内容提供有针对性的培训方案，包括但不限于培训计划、培训方式、培训对象、培训内容等。</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培训的具体时间根据采购人要求进行。培训场地应可以提供系统运行所需网络环境进行实操学习</w:t>
      </w:r>
      <w:r>
        <w:rPr>
          <w:rFonts w:hint="eastAsia" w:ascii="宋体" w:hAnsi="宋体" w:eastAsia="宋体" w:cs="宋体"/>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投标人为所有被培训人员提供培训使用的教材讲义、操作指南等相关材料</w:t>
      </w:r>
      <w:r>
        <w:rPr>
          <w:rFonts w:hint="eastAsia" w:ascii="宋体" w:hAnsi="宋体" w:eastAsia="宋体" w:cs="宋体"/>
          <w:bCs/>
          <w:color w:val="auto"/>
          <w:sz w:val="21"/>
          <w:szCs w:val="21"/>
          <w:highlight w:val="none"/>
          <w:lang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七、报价说明</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投标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2、投标人的任何错漏、优惠、竞争性报价不得作为减轻责任、减少服务、增加收费、降低服务质量的理由。</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3、投标人报价除包含招标文件中列明的项目外还应包括保障服务正常运行应当具有的物资和服务，对项目正常运行应当具有的物资和服务理解不一致的以采购人理解为准。</w:t>
      </w:r>
      <w:r/>
    </w:p>
    <w:p>
      <w:pPr>
        <w:pStyle w:val="1131"/>
        <w:ind w:left="0" w:firstLine="420"/>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outlineLvl w:val="0"/>
      </w:pPr>
      <w:r>
        <w:rPr>
          <w:rFonts w:hint="eastAsia" w:ascii="宋体" w:hAnsi="宋体" w:cs="宋体"/>
          <w:color w:val="auto"/>
          <w:sz w:val="21"/>
          <w:szCs w:val="21"/>
          <w:highlight w:val="none"/>
          <w:lang w:val="en-US" w:eastAsia="zh-CN"/>
        </w:rPr>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clear="all"/>
      </w:r>
      <w:bookmarkEnd w:id="29"/>
      <w:r/>
      <w:r/>
    </w:p>
    <w:p>
      <w:pPr>
        <w:pStyle w:val="1131"/>
        <w:ind w:left="0" w:firstLine="0"/>
        <w:jc w:val="center"/>
        <w:keepLines w:val="0"/>
        <w:keepNext w:val="0"/>
        <w:pageBreakBefore w:val="0"/>
        <w:spacing w:line="360" w:lineRule="auto"/>
        <w:widowControl w:val="off"/>
        <w:rPr>
          <w:rFonts w:ascii="宋体" w:hAnsi="宋体"/>
          <w:color w:val="auto"/>
          <w:highlight w:val="none"/>
        </w:rPr>
        <w:outlineLvl w:val="0"/>
      </w:pPr>
      <w:r/>
      <w:bookmarkStart w:id="30" w:name="_Toc497133123"/>
      <w:r>
        <w:rPr>
          <w:rFonts w:hint="eastAsia" w:ascii="宋体" w:hAnsi="宋体"/>
          <w:b/>
          <w:bCs/>
          <w:color w:val="auto"/>
          <w:sz w:val="36"/>
          <w:highlight w:val="none"/>
        </w:rPr>
        <w:t xml:space="preserve">第五章 评标方法及评标标准</w:t>
      </w:r>
      <w:r/>
    </w:p>
    <w:p>
      <w:pPr>
        <w:pStyle w:val="1132"/>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31" w:name="_Toc449017024"/>
      <w:r/>
      <w:bookmarkStart w:id="32" w:name="_Toc449016388"/>
      <w:r>
        <w:rPr>
          <w:rFonts w:hint="eastAsia" w:ascii="宋体" w:hAnsi="宋体"/>
          <w:b/>
          <w:color w:val="auto"/>
          <w:szCs w:val="21"/>
          <w:highlight w:val="none"/>
        </w:rPr>
        <w:t xml:space="preserve">二、政府采购政策功能落实</w:t>
      </w:r>
      <w:bookmarkEnd w:id="31"/>
      <w:r/>
      <w:bookmarkEnd w:id="32"/>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3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3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13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大中型企业向小型、微型企业分包的，分包意向协议约定小型、微型企业合同份额占到合同总金额30%以上的，给予6%的价格扣除，用扣除后的价格参与评审。</w:t>
      </w:r>
      <w:r/>
    </w:p>
    <w:p>
      <w:pPr>
        <w:pStyle w:val="113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采购本国产品的支持政策</w:t>
      </w:r>
      <w:r/>
    </w:p>
    <w:p>
      <w:pPr>
        <w:pStyle w:val="113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pStyle w:val="113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供应商需按照招标文件的要求提供《关于符合本国产品标准的声明函》（以下简称《声明函》），如不提供将不享受本国产品价格评审优惠。</w:t>
      </w:r>
      <w:r/>
    </w:p>
    <w:p>
      <w:pPr>
        <w:pStyle w:val="113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2"/>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bookmarkEnd w:id="30"/>
      <w:r/>
      <w:r/>
    </w:p>
    <w:tbl>
      <w:tblPr>
        <w:tblStyle w:val="8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95"/>
        <w:gridCol w:w="6491"/>
        <w:gridCol w:w="833"/>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采用低价优先法计算，即满足招标文件要求且评审价格最低的报价为评标基准价，其价格分为满分。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其他投标人的价格分统一按照下列公式计算（小数点后保留二位）：价格分=（评标基准价/供应商报价）×30分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评标委员会认为投标投标人的报价是明显低于其他通过符合性审查投标投标人的报价，有可能影响产品质量或者不能诚信履约的，应当要求其在规定的时间内提供说明，必要时提交相关证明材料；投标投标人不能证明报价合理性的，评标委员会应当将其作为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技术参数响应</w:t>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对项目需求中“二、技术要求”的响应状况进行评审。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1、全部满足招标技术要求的得满分</w:t>
            </w:r>
            <w:r>
              <w:rPr>
                <w:rFonts w:hint="eastAsia" w:ascii="宋体" w:hAnsi="宋体" w:cs="宋体"/>
                <w:i w:val="0"/>
                <w:iCs w:val="0"/>
                <w:color w:val="auto"/>
                <w:sz w:val="21"/>
                <w:szCs w:val="21"/>
                <w:highlight w:val="none"/>
                <w:u w:val="none"/>
                <w:lang w:val="en-US" w:eastAsia="zh-CN" w:bidi="ar"/>
              </w:rPr>
              <w:t xml:space="preserve">22</w:t>
            </w:r>
            <w:r>
              <w:rPr>
                <w:rFonts w:hint="eastAsia" w:ascii="宋体" w:hAnsi="宋体" w:eastAsia="宋体" w:cs="宋体"/>
                <w:i w:val="0"/>
                <w:iCs w:val="0"/>
                <w:color w:val="auto"/>
                <w:sz w:val="21"/>
                <w:szCs w:val="21"/>
                <w:highlight w:val="none"/>
                <w:u w:val="none"/>
                <w:lang w:val="en-US" w:eastAsia="zh-CN" w:bidi="ar"/>
              </w:rPr>
              <w:t xml:space="preserve">分；每有加“▲”号条款有一项不满足扣2分，其余普通条款一项负偏离扣1分，扣完为止。说明：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1.须在《技术参数响应及偏离表》中逐条应答，未按要求提供证明材料并逐条应答的视为负偏离。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2.若发现提供虚假的证明材料或虚假应答技术偏离表的，视为无效投标，并追究相关责任。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（投标人须按采购文件要求提供相关证明材料扫描件加盖投标人公章）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22</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项目方案</w:t>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1、项目建设方案（6分）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投标人根据项目需求提供项目整体建设方案，方案包括但不限于整体架构设计、系统建设方案等。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（1）方案科学严谨、逻辑严密、完全贴合项目实际需求，描述详尽且针对性强，完全具备可实施性的，得6分；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（2）方案基本合理，描述较为完整，具备可操作性，但细节或针对性略有不足的，得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（3）方案存在明显不合理之处，或描述过于简略、内容欠缺，导致实施存在一定难度的，得1分；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2、项目实施方案（6分）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投标人根据项目需求提供项目实施方案，方案包括但不限于实施进度计划、实施体系、质量保障措施、安装调测方案等。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（1）方案科学严谨、逻辑严密、完全贴合项目实际需求，描述详尽且针对性强，完全具备可实施性的，得6分；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（2）方案基本合理，描述较为完整，具备可操作性，但细节或针对性略有不足的，得3分；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（3）方案存在明显不合理之处，或描述过于简略、内容欠缺，导致实施存在一定难度的，得1分；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3、售后服务方案（5分）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投标人根据项目需求提供售后服务方案，方案包括但不限于售后服务体系、服务响应、服务内容、运维及应急响应服务等。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（1）方案科学严谨、逻辑严密、完全贴合项目实际需求，描述详尽且针对性强，完全具备可实施性的，得5分；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（2）方案基本合理，描述较为完整，具备可操作性，但细节或针对性略有不足的，得3分；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（3）方案存在明显不合理之处，或描述过于简略、内容欠缺，导致实施存在一定难度的，得1分；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4、培训方案（4分）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投标人根据项目需求提供培训方案，包括但不限于培训计划、培训方式、培训对象、培训内容等。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（1）方案详细、全面，可操作性强，得4分；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（2）详细程度和全面性、可操作性有瑕疵，得2分；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系统演示</w:t>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20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演示内容：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1、拼团活动（</w:t>
            </w:r>
            <w:r>
              <w:rPr>
                <w:rFonts w:hint="eastAsia" w:ascii="宋体" w:hAnsi="宋体" w:cs="宋体"/>
                <w:i w:val="0"/>
                <w:iCs w:val="0"/>
                <w:color w:val="auto"/>
                <w:sz w:val="21"/>
                <w:szCs w:val="21"/>
                <w:highlight w:val="none"/>
                <w:u w:val="none"/>
                <w:lang w:val="en-US" w:eastAsia="zh-CN" w:bidi="ar"/>
              </w:rPr>
              <w:t xml:space="preserve">4.5</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演示：①支持活动规则自定义设置，如成团人数、砍价幅度、秒杀时间等；②实时监控活动参与人数、成交金额等数据；③系统默认提供多个预置精美招生模版。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2、食谱排餐（</w:t>
            </w:r>
            <w:r>
              <w:rPr>
                <w:rFonts w:hint="eastAsia" w:ascii="宋体" w:hAnsi="宋体" w:cs="宋体"/>
                <w:i w:val="0"/>
                <w:iCs w:val="0"/>
                <w:color w:val="auto"/>
                <w:sz w:val="21"/>
                <w:szCs w:val="21"/>
                <w:highlight w:val="none"/>
                <w:u w:val="none"/>
                <w:lang w:val="en-US" w:eastAsia="zh-CN" w:bidi="ar"/>
              </w:rPr>
              <w:t xml:space="preserve">4.5</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演示：①按照园所需求，自定义创建食谱，保健医生可选择食谱排餐；②可内置</w:t>
            </w:r>
            <w:r>
              <w:rPr>
                <w:rFonts w:hint="eastAsia" w:ascii="宋体" w:hAnsi="宋体" w:eastAsia="宋体" w:cs="宋体"/>
                <w:i w:val="0"/>
                <w:iCs w:val="0"/>
                <w:strike w:val="0"/>
                <w:color w:val="auto"/>
                <w:sz w:val="21"/>
                <w:szCs w:val="21"/>
                <w:highlight w:val="none"/>
                <w:u w:val="none"/>
                <w:lang w:val="en-US" w:eastAsia="zh-CN" w:bidi="ar"/>
              </w:rPr>
              <w:t xml:space="preserve">带量食谱组套</w:t>
            </w:r>
            <w:r>
              <w:rPr>
                <w:rFonts w:hint="eastAsia" w:ascii="宋体" w:hAnsi="宋体" w:eastAsia="宋体" w:cs="宋体"/>
                <w:i w:val="0"/>
                <w:iCs w:val="0"/>
                <w:color w:val="auto"/>
                <w:sz w:val="21"/>
                <w:szCs w:val="21"/>
                <w:highlight w:val="none"/>
                <w:u w:val="none"/>
                <w:lang w:val="en-US" w:eastAsia="zh-CN" w:bidi="ar"/>
              </w:rPr>
              <w:t xml:space="preserve">；③定期更新食谱库。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3、照护信息（</w:t>
            </w:r>
            <w:r>
              <w:rPr>
                <w:rFonts w:hint="eastAsia" w:ascii="宋体" w:hAnsi="宋体" w:cs="宋体"/>
                <w:i w:val="0"/>
                <w:iCs w:val="0"/>
                <w:color w:val="auto"/>
                <w:sz w:val="21"/>
                <w:szCs w:val="21"/>
                <w:highlight w:val="none"/>
                <w:u w:val="none"/>
                <w:lang w:val="en-US" w:eastAsia="zh-CN" w:bidi="ar"/>
              </w:rPr>
              <w:t xml:space="preserve">4.5</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演示：①以班级为单位呈现所有班级宝贝的日间照护信息，带班老师可操作日间照护其中包括：记录晨检、精神情绪、早餐、早点、午餐、午点、奶粉、饮水、如厕、清洁、午检、睡觉、尿布检查、晚检、晚餐、今日观察、周报；②支持配置可操作项；③支持“一次性批量完成全天照护记录”与“逐项分时段录入即时的照护记录”的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4、发生意外时及时预警（1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演示：出现心率异常等情形支持通过管理系统显示具体的婴幼儿床位并高亮显示。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以上内容每个演示点，基于真实系统演示系数为1</w:t>
            </w:r>
            <w:r>
              <w:rPr>
                <w:rFonts w:hint="eastAsia" w:ascii="宋体" w:hAnsi="宋体" w:cs="宋体"/>
                <w:b/>
                <w:bCs/>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；采用系统原型（DEMO）演示系数为0.5；采用PPT等方式演示系数为0.25。</w:t>
            </w: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15</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企业实力</w:t>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投标人需具备以下资质（</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Style w:val="1067"/>
                <w:rFonts w:hint="eastAsia" w:ascii="宋体" w:hAnsi="宋体" w:eastAsia="宋体" w:cs="宋体"/>
                <w:color w:val="auto"/>
                <w:sz w:val="21"/>
                <w:szCs w:val="21"/>
                <w:highlight w:val="none"/>
                <w:lang w:val="en-US" w:eastAsia="zh-CN" w:bidi="ar"/>
              </w:rPr>
              <w:t xml:space="preserve">1、投标人具有有效的ITSS信息技术服务标准证书（智能运维）得2分，不提供不得分。</w:t>
            </w:r>
            <w:r>
              <w:rPr>
                <w:rStyle w:val="1098"/>
                <w:rFonts w:hint="eastAsia" w:ascii="宋体" w:hAnsi="宋体" w:eastAsia="宋体" w:cs="宋体"/>
                <w:color w:val="auto"/>
                <w:sz w:val="21"/>
                <w:szCs w:val="21"/>
                <w:highlight w:val="none"/>
                <w:lang w:val="en-US" w:eastAsia="zh-CN" w:bidi="ar"/>
              </w:rPr>
              <w:br/>
            </w:r>
            <w:r>
              <w:rPr>
                <w:rStyle w:val="1098"/>
                <w:rFonts w:hint="eastAsia" w:ascii="宋体" w:hAnsi="宋体" w:cs="宋体"/>
                <w:color w:val="auto"/>
                <w:sz w:val="21"/>
                <w:szCs w:val="21"/>
                <w:highlight w:val="none"/>
                <w:lang w:val="en-US" w:eastAsia="zh-CN" w:bidi="ar"/>
              </w:rPr>
              <w:t xml:space="preserve">2</w:t>
            </w:r>
            <w:r>
              <w:rPr>
                <w:rStyle w:val="1098"/>
                <w:rFonts w:hint="eastAsia" w:ascii="宋体" w:hAnsi="宋体" w:eastAsia="宋体" w:cs="宋体"/>
                <w:color w:val="auto"/>
                <w:sz w:val="21"/>
                <w:szCs w:val="21"/>
                <w:highlight w:val="none"/>
                <w:lang w:val="en-US" w:eastAsia="zh-CN" w:bidi="ar"/>
              </w:rPr>
              <w:t xml:space="preserve">、投标人具有ISO38505数据治理安全管理体系认证证书，得1分，满分1分。</w:t>
            </w:r>
            <w:r>
              <w:rPr>
                <w:rStyle w:val="1098"/>
                <w:rFonts w:hint="eastAsia" w:ascii="宋体" w:hAnsi="宋体" w:eastAsia="宋体" w:cs="宋体"/>
                <w:color w:val="auto"/>
                <w:sz w:val="21"/>
                <w:szCs w:val="21"/>
                <w:highlight w:val="none"/>
                <w:lang w:val="en-US" w:eastAsia="zh-CN" w:bidi="ar"/>
              </w:rPr>
              <w:br/>
            </w:r>
            <w:r>
              <w:rPr>
                <w:rStyle w:val="1098"/>
                <w:rFonts w:hint="eastAsia" w:ascii="宋体" w:hAnsi="宋体" w:eastAsia="宋体" w:cs="宋体"/>
                <w:color w:val="auto"/>
                <w:sz w:val="21"/>
                <w:szCs w:val="21"/>
                <w:highlight w:val="none"/>
                <w:lang w:val="en-US" w:eastAsia="zh-CN" w:bidi="ar"/>
              </w:rPr>
              <w:t xml:space="preserve">（以上证书需提供扫描件并加盖投标人公章）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团队能力（</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1、项目经理，须具备系统架构设计师证书、CISP（注册信息安全专业人员）证书、软件测试工程师证书，每提供一个证书得1分，满分3分。</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2、技术负责人，须具备信息系统项目管理师证书、高级工程师</w:t>
            </w:r>
            <w:r>
              <w:rPr>
                <w:rFonts w:hint="eastAsia" w:ascii="宋体" w:hAnsi="宋体" w:eastAsia="宋体" w:cs="宋体"/>
                <w:i w:val="0"/>
                <w:iCs w:val="0"/>
                <w:color w:val="auto"/>
                <w:sz w:val="21"/>
                <w:szCs w:val="21"/>
                <w:highlight w:val="none"/>
                <w:u w:val="none"/>
                <w:lang w:val="en-US" w:eastAsia="zh-CN" w:bidi="ar"/>
              </w:rPr>
              <w:t xml:space="preserve">（电子信息、计算机相关专业）</w:t>
            </w:r>
            <w:r>
              <w:rPr>
                <w:rFonts w:hint="eastAsia" w:ascii="宋体" w:hAnsi="宋体" w:eastAsia="宋体" w:cs="宋体"/>
                <w:i w:val="0"/>
                <w:iCs w:val="0"/>
                <w:color w:val="auto"/>
                <w:sz w:val="21"/>
                <w:szCs w:val="21"/>
                <w:highlight w:val="none"/>
                <w:u w:val="none"/>
                <w:lang w:val="en-US" w:eastAsia="zh-CN" w:bidi="ar"/>
              </w:rPr>
              <w:t xml:space="preserve">证书，每提供一个证书得1分，满分2分</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3、团队成员（除项目经理、技术负责人外），团队成员至少具备系统集成项目管理工程师证书、网络工程师证书，一人多证不可兼得，每提供一个证书得0.5分，满分1分。</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（注：须提供以上人员证书原件扫描件上传及投标人为其缴纳的近一年内任意一个月的社保缴纳证明）。</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软件著作权</w:t>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val="false"/>
          </w:tcPr>
          <w:p>
            <w:pPr>
              <w:jc w:val="left"/>
              <w:keepLines w:val="0"/>
              <w:keepNext w:val="0"/>
              <w:pageBreakBefore w:val="0"/>
              <w:spacing w:line="240" w:lineRule="auto"/>
              <w:widowControl/>
              <w:rPr>
                <w:rStyle w:val="1098"/>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投标人具备拟投入本项目的相关产品的软件著作权证书（如“智慧托育、实训系统、医育结合”等），每提供一个得1分，最高得3分。（提供有效的证书扫描件并加盖投标人公章）。</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color w:val="auto"/>
                <w:sz w:val="21"/>
                <w:szCs w:val="21"/>
                <w:highlight w:val="none"/>
                <w:lang w:val="en-US" w:eastAsia="zh-CN"/>
              </w:rPr>
              <w:t xml:space="preserve">注：如投标文件中提供的著作权证书名称表述与招标文件描述的关键字样不一致，而该投标文件中能证明投标人拥有的软件著作权具有相同或相似功能和效果，且评标委员会认可的，视同符合要求。</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809" w:type="pct"/>
            <w:vAlign w:val="center"/>
            <w:textDirection w:val="lrTb"/>
            <w:noWrap/>
          </w:tcPr>
          <w:p>
            <w:pP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bl>
    <w:p>
      <w:pPr>
        <w:rPr>
          <w:rFonts w:hint="eastAsia" w:ascii="宋体" w:hAnsi="宋体"/>
          <w:color w:val="auto"/>
          <w:highlight w:val="none"/>
        </w:rPr>
      </w:pPr>
      <w:r>
        <w:rPr>
          <w:rFonts w:hint="eastAsia" w:ascii="宋体" w:hAnsi="宋体"/>
          <w:color w:val="auto"/>
          <w:highlight w:val="none"/>
        </w:rPr>
        <w:br w:type="page" w:clear="all"/>
      </w:r>
      <w:r/>
    </w:p>
    <w:p>
      <w:pPr>
        <w:pStyle w:val="808"/>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09"/>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18"/>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法人或者其他组织的营业执照等证明文件，自然人的身份证明</w:t>
            </w:r>
            <w:r/>
          </w:p>
        </w:tc>
        <w:tc>
          <w:tcPr>
            <w:tcW w:w="2158" w:type="dxa"/>
            <w:vAlign w:val="center"/>
            <w:textDirection w:val="lrTb"/>
            <w:noWrap w:val="false"/>
          </w:tcPr>
          <w:p>
            <w:pPr>
              <w:keepLines w:val="0"/>
              <w:keepNext w:val="0"/>
              <w:pageBreakBefore w:val="0"/>
              <w:spacing w:line="240" w:lineRule="auto"/>
              <w:widowControl w:val="off"/>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依法缴纳职工社会保障资金的证明材料(税务、银行或社会保险基金管理部门出具的近</w:t>
            </w:r>
            <w:r>
              <w:rPr>
                <w:rFonts w:hint="eastAsia" w:ascii="宋体" w:hAnsi="宋体" w:eastAsia="宋体" w:cs="宋体"/>
                <w:bCs/>
                <w:i w:val="0"/>
                <w:iCs/>
                <w:color w:val="auto"/>
                <w:highlight w:val="none"/>
                <w:u w:val="none"/>
                <w:lang w:val="en-US" w:eastAsia="zh-CN"/>
              </w:rPr>
              <w:t xml:space="preserve">一年内</w:t>
            </w:r>
            <w:r>
              <w:rPr>
                <w:rFonts w:hint="eastAsia" w:ascii="宋体" w:hAnsi="宋体" w:eastAsia="宋体" w:cs="宋体"/>
                <w:bCs/>
                <w:i w:val="0"/>
                <w:iCs/>
                <w:color w:val="auto"/>
                <w:highlight w:val="none"/>
                <w:u w:val="none"/>
                <w:lang w:eastAsia="zh-CN"/>
              </w:rPr>
              <w:t xml:space="preserve">内任意一个月缴纳职工社会保障资金的缴款凭证或缴款证明)（投标人依法享受缓缴、免缴的提供证明材料）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投标人近一年内任意一</w:t>
            </w:r>
            <w:r>
              <w:rPr>
                <w:rFonts w:hint="eastAsia" w:ascii="宋体" w:hAnsi="宋体" w:eastAsia="宋体" w:cs="宋体"/>
                <w:bCs/>
                <w:i w:val="0"/>
                <w:iCs/>
                <w:color w:val="auto"/>
                <w:highlight w:val="none"/>
                <w:u w:val="none"/>
                <w:lang w:val="en-US" w:eastAsia="zh-CN"/>
              </w:rPr>
              <w:t xml:space="preserve">个月</w:t>
            </w:r>
            <w:r>
              <w:rPr>
                <w:rFonts w:hint="eastAsia" w:ascii="宋体" w:hAnsi="宋体" w:eastAsia="宋体" w:cs="宋体"/>
                <w:bCs/>
                <w:i w:val="0"/>
                <w:iCs/>
                <w:color w:val="auto"/>
                <w:highlight w:val="none"/>
                <w:u w:val="none"/>
                <w:lang w:eastAsia="zh-CN"/>
              </w:rPr>
              <w:t xml:space="preserve">依法纳税的缴款凭证（投标人依法享受缓缴、免缴的提供证明材料）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上一年度的财务报告情况（成立不满一年不需提供）</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具备履行合同所必需的设备和专业技术能力的证明材料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参加本次政府采购活动前3年内在经营活动中没有重大违法记录的书面声明</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供应商信用承诺函</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9</w:t>
            </w:r>
            <w:r/>
          </w:p>
        </w:tc>
        <w:tc>
          <w:tcPr>
            <w:tcW w:w="5447" w:type="dxa"/>
            <w:vAlign w:val="center"/>
            <w:textDirection w:val="lrTb"/>
            <w:noWrap w:val="false"/>
          </w:tcPr>
          <w:p>
            <w:pPr>
              <w:keepLines w:val="0"/>
              <w:keepNext w:val="0"/>
              <w:pageBreakBefore w:val="0"/>
              <w:spacing w:line="240" w:lineRule="auto"/>
              <w:widowControl w:val="off"/>
              <w:rPr>
                <w:rFonts w:ascii="宋体" w:hAnsi="宋体" w:cs="宋体"/>
                <w:i w:val="0"/>
                <w:iCs w:val="0"/>
                <w:color w:val="auto"/>
                <w:szCs w:val="21"/>
                <w:highlight w:val="none"/>
                <w:u w:val="none"/>
              </w:rPr>
            </w:pPr>
            <w:r>
              <w:rPr>
                <w:rFonts w:hint="eastAsia" w:ascii="宋体" w:hAnsi="宋体" w:cs="宋体"/>
                <w:bCs/>
                <w:i w:val="0"/>
                <w:iCs/>
                <w:color w:val="auto"/>
                <w:highlight w:val="none"/>
                <w:u w:val="none"/>
                <w:lang w:eastAsia="zh-CN"/>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jc w:val="both"/>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无</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其他</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447" w:type="dxa"/>
            <w:vAlign w:val="center"/>
            <w:textDirection w:val="lrTb"/>
            <w:noWrap w:val="false"/>
          </w:tcPr>
          <w:p>
            <w:pPr>
              <w:jc w:val="left"/>
              <w:keepLines w:val="0"/>
              <w:keepNext w:val="0"/>
              <w:pageBreakBefore w:val="0"/>
              <w:spacing w:line="240" w:lineRule="auto"/>
              <w:widowControl w:val="off"/>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5447" w:type="dxa"/>
            <w:vAlign w:val="center"/>
            <w:textDirection w:val="lrTb"/>
            <w:noWrap w:val="false"/>
          </w:tcPr>
          <w:p>
            <w:pPr>
              <w:jc w:val="left"/>
              <w:keepLines w:val="0"/>
              <w:keepNext w:val="0"/>
              <w:pageBreakBefore w:val="0"/>
              <w:spacing w:line="240" w:lineRule="auto"/>
              <w:widowControl w:val="off"/>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32"/>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致：江苏唯诚建设咨询有限公司</w:t>
      </w:r>
      <w:r/>
    </w:p>
    <w:p>
      <w:pPr>
        <w:pStyle w:val="11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eastAsia="zh-CN"/>
        </w:rPr>
        <w:t xml:space="preserve">JSZC-321000-JSWC-G2026-0015</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11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32"/>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3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3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3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3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3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3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3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39"/>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w:t>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lang w:val="en-US" w:eastAsia="zh-CN"/>
        </w:rPr>
        <w:t xml:space="preserve">法定代表人</w:t>
      </w:r>
      <w:bookmarkStart w:id="40" w:name="_GoBack"/>
      <w:r/>
      <w:bookmarkEnd w:id="40"/>
      <w:r>
        <w:rPr>
          <w:rFonts w:hint="eastAsia" w:ascii="宋体" w:hAnsi="宋体"/>
          <w:bCs/>
          <w:color w:val="auto"/>
          <w:highlight w:val="none"/>
        </w:rPr>
        <w:t xml:space="preserve">身份证复印</w:t>
      </w:r>
      <w:r/>
    </w:p>
    <w:p>
      <w:pPr>
        <w:pStyle w:val="809"/>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tbl>
      <w:tblPr>
        <w:tblStyle w:val="81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jc w:val="cente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2"/>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09"/>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tbl>
      <w:tblPr>
        <w:tblStyle w:val="81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jc w:val="cente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780"/>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lang w:val="en-US" w:eastAsia="zh-CN"/>
        </w:rPr>
        <w:t xml:space="preserve">软件和信息技术服务业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lang w:val="en-US" w:eastAsia="zh-CN"/>
        </w:rPr>
        <w:t xml:space="preserve">  </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日 期：</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center"/>
        <w:spacing w:before="312" w:after="312" w:line="360" w:lineRule="auto"/>
        <w:rPr>
          <w:color w:val="auto"/>
          <w:highlight w:val="none"/>
        </w:rPr>
      </w:pPr>
      <w:r>
        <w:rPr>
          <w:color w:val="auto"/>
          <w:highlight w:val="none"/>
        </w:rPr>
        <w:t xml:space="preserve"> </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809"/>
        <w:numPr>
          <w:ilvl w:val="0"/>
          <w:numId w:val="0"/>
        </w:numPr>
        <w:jc w:val="center"/>
        <w:spacing w:line="360" w:lineRule="auto"/>
        <w:widowControl/>
        <w:rPr>
          <w:rFonts w:ascii="宋体" w:hAnsi="宋体" w:cs="微软雅黑"/>
          <w:bCs w:val="0"/>
          <w:color w:val="auto"/>
          <w:sz w:val="21"/>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809"/>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51"/>
        <w:ind w:firstLine="420"/>
        <w:spacing w:before="300" w:after="452" w:line="360" w:lineRule="auto"/>
        <w:widowControl/>
        <w:rPr>
          <w:rFonts w:ascii="宋体" w:hAnsi="宋体"/>
          <w:color w:val="auto"/>
          <w:sz w:val="21"/>
          <w:szCs w:val="21"/>
          <w:highlight w:val="none"/>
        </w:rPr>
      </w:pPr>
      <w:r>
        <w:rPr>
          <w:rStyle w:val="857"/>
          <w:rFonts w:hint="eastAsia" w:ascii="宋体" w:hAnsi="宋体" w:cs="仿宋"/>
          <w:color w:val="auto"/>
          <w:sz w:val="21"/>
          <w:szCs w:val="21"/>
          <w:highlight w:val="none"/>
        </w:rPr>
        <w:t xml:space="preserve">中小微企业划型标准如下：</w:t>
      </w:r>
      <w:r/>
    </w:p>
    <w:tbl>
      <w:tblPr>
        <w:tblStyle w:val="818"/>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51"/>
              <w:jc w:val="center"/>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51"/>
              <w:spacing w:line="360" w:lineRule="auto"/>
              <w:widowControl/>
              <w:rPr>
                <w:rFonts w:ascii="宋体" w:hAnsi="宋体"/>
                <w:b/>
                <w:bCs/>
                <w:color w:val="auto"/>
                <w:sz w:val="21"/>
                <w:szCs w:val="21"/>
                <w:highlight w:val="none"/>
              </w:rPr>
            </w:pPr>
            <w:r>
              <w:rPr>
                <w:rStyle w:val="857"/>
                <w:rFonts w:hint="eastAsia" w:ascii="宋体" w:hAnsi="宋体" w:cs="仿宋"/>
                <w:b/>
                <w:bCs/>
                <w:color w:val="auto"/>
                <w:sz w:val="21"/>
                <w:szCs w:val="21"/>
                <w:highlight w:val="none"/>
              </w:rPr>
              <w:t xml:space="preserve">X＜10</w:t>
            </w:r>
            <w:r/>
          </w:p>
        </w:tc>
      </w:tr>
    </w:tbl>
    <w:p>
      <w:pPr>
        <w:pStyle w:val="851"/>
        <w:ind w:firstLine="462"/>
        <w:spacing w:before="300" w:after="452" w:line="360" w:lineRule="auto"/>
        <w:widowControl/>
        <w:rPr>
          <w:rStyle w:val="857"/>
          <w:rFonts w:ascii="宋体" w:hAnsi="宋体" w:cs="仿宋"/>
          <w:color w:val="auto"/>
          <w:sz w:val="21"/>
          <w:szCs w:val="21"/>
          <w:highlight w:val="none"/>
        </w:rPr>
      </w:pPr>
      <w:r>
        <w:rPr>
          <w:rStyle w:val="857"/>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cs="Arial"/>
          <w:b/>
          <w:bCs/>
          <w:color w:val="auto"/>
          <w:highlight w:val="none"/>
        </w:rPr>
      </w:pPr>
      <w:r>
        <w:rPr>
          <w:rFonts w:ascii="宋体" w:hAnsi="宋体" w:cs="Arial"/>
          <w:b/>
          <w:bCs/>
          <w:color w:val="auto"/>
          <w:highlight w:val="none"/>
        </w:rPr>
        <w:br w:type="page" w:clear="all"/>
      </w:r>
      <w:r/>
    </w:p>
    <w:p>
      <w:pPr>
        <w:jc w:val="center"/>
        <w:shd w:val="clear" w:color="auto"/>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51"/>
        <w:ind w:firstLine="420"/>
        <w:spacing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51"/>
        <w:ind w:firstLine="420"/>
        <w:spacing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shd w:val="clear" w:color="auto" w:fill="ffffff"/>
        </w:rPr>
        <w:t xml:space="preserve">1.</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Style w:val="861"/>
          <w:rFonts w:hint="eastAsia" w:ascii="方正魏碑_GBK" w:hAnsi="方正魏碑_GBK" w:eastAsia="方正魏碑_GBK" w:cs="方正魏碑_GBK"/>
          <w:i w:val="0"/>
          <w:color w:val="auto"/>
          <w:sz w:val="24"/>
          <w:szCs w:val="24"/>
          <w:highlight w:val="none"/>
          <w:shd w:val="clear" w:color="auto" w:fill="ffffff"/>
          <w:vertAlign w:val="superscript"/>
        </w:rPr>
        <w:t xml:space="preserve">1</w:t>
      </w:r>
      <w:r>
        <w:rPr>
          <w:rFonts w:hint="eastAsia" w:ascii="方正魏碑_GBK" w:hAnsi="方正魏碑_GBK" w:eastAsia="方正魏碑_GBK" w:cs="方正魏碑_GBK"/>
          <w:color w:val="auto"/>
          <w:szCs w:val="24"/>
          <w:highlight w:val="none"/>
          <w:shd w:val="clear" w:color="auto" w:fill="ffffff"/>
        </w:rPr>
        <w:t xml:space="preserve">，生产厂为</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Style w:val="861"/>
          <w:rFonts w:hint="eastAsia" w:ascii="方正魏碑_GBK" w:hAnsi="方正魏碑_GBK" w:eastAsia="方正魏碑_GBK" w:cs="方正魏碑_GBK"/>
          <w:i w:val="0"/>
          <w:color w:val="auto"/>
          <w:sz w:val="24"/>
          <w:szCs w:val="24"/>
          <w:highlight w:val="none"/>
          <w:shd w:val="clear" w:color="auto" w:fill="ffffff"/>
          <w:vertAlign w:val="superscript"/>
        </w:rPr>
        <w:t xml:space="preserve">2</w:t>
      </w:r>
      <w:r>
        <w:rPr>
          <w:rFonts w:hint="eastAsia" w:ascii="方正魏碑_GBK" w:hAnsi="方正魏碑_GBK" w:eastAsia="方正魏碑_GBK" w:cs="方正魏碑_GBK"/>
          <w:color w:val="auto"/>
          <w:szCs w:val="24"/>
          <w:highlight w:val="none"/>
          <w:shd w:val="clear" w:color="auto" w:fill="ffffff"/>
        </w:rPr>
        <w:t xml:space="preserve">，厂址为</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Cs w:val="24"/>
          <w:highlight w:val="none"/>
          <w:shd w:val="clear" w:color="auto" w:fill="ffffff"/>
        </w:rPr>
        <w:t xml:space="preserve">。</w:t>
      </w:r>
      <w:r>
        <w:rPr>
          <w:rFonts w:hint="eastAsia" w:ascii="方正魏碑_GBK" w:hAnsi="方正魏碑_GBK" w:eastAsia="方正魏碑_GBK" w:cs="方正魏碑_GBK"/>
          <w:color w:val="auto"/>
          <w:szCs w:val="24"/>
          <w:highlight w:val="none"/>
          <w:u w:val="single"/>
          <w:shd w:val="clear" w:color="auto" w:fill="ffffff"/>
        </w:rPr>
        <w:t xml:space="preserve"> </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（产品名称1） </w:t>
      </w:r>
      <w:r>
        <w:rPr>
          <w:rFonts w:hint="eastAsia" w:ascii="方正魏碑_GBK" w:hAnsi="方正魏碑_GBK" w:eastAsia="方正魏碑_GBK" w:cs="方正魏碑_GBK"/>
          <w:color w:val="auto"/>
          <w:szCs w:val="24"/>
          <w:highlight w:val="none"/>
          <w:shd w:val="clear" w:color="auto" w:fill="ffffff"/>
        </w:rPr>
        <w:t xml:space="preserve">的中国境内生产的组件成本占比≥</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（规定</w:t>
      </w:r>
      <w:r>
        <w:rPr>
          <w:rStyle w:val="861"/>
          <w:rFonts w:ascii="方正魏碑_GBK" w:hAnsi="方正魏碑_GBK" w:eastAsia="方正魏碑_GBK" w:cs="方正魏碑_GBK"/>
          <w:i w:val="0"/>
          <w:color w:val="auto"/>
          <w:sz w:val="24"/>
          <w:szCs w:val="24"/>
          <w:highlight w:val="none"/>
          <w:u w:val="single"/>
          <w:shd w:val="clear" w:color="auto" w:fill="ffffff"/>
        </w:rPr>
        <w:t xml:space="preserve">比例</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w:t>
      </w:r>
      <w:r>
        <w:rPr>
          <w:rStyle w:val="861"/>
          <w:rFonts w:hint="eastAsia" w:ascii="方正魏碑_GBK" w:hAnsi="方正魏碑_GBK" w:eastAsia="方正魏碑_GBK" w:cs="方正魏碑_GBK"/>
          <w:i w:val="0"/>
          <w:color w:val="auto"/>
          <w:sz w:val="24"/>
          <w:szCs w:val="24"/>
          <w:highlight w:val="none"/>
          <w:shd w:val="clear" w:color="auto" w:fill="ffffff"/>
          <w:vertAlign w:val="superscript"/>
        </w:rPr>
        <w:t xml:space="preserve">3</w:t>
      </w:r>
      <w:r>
        <w:rPr>
          <w:rFonts w:hint="eastAsia" w:ascii="方正魏碑_GBK" w:hAnsi="方正魏碑_GBK" w:eastAsia="方正魏碑_GBK" w:cs="方正魏碑_GBK"/>
          <w:color w:val="auto"/>
          <w:szCs w:val="24"/>
          <w:highlight w:val="none"/>
          <w:shd w:val="clear" w:color="auto" w:fill="ffffff"/>
        </w:rPr>
        <w:t xml:space="preserve">。</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（关键</w:t>
      </w:r>
      <w:r>
        <w:rPr>
          <w:rStyle w:val="861"/>
          <w:rFonts w:ascii="方正魏碑_GBK" w:hAnsi="方正魏碑_GBK" w:eastAsia="方正魏碑_GBK" w:cs="方正魏碑_GBK"/>
          <w:i w:val="0"/>
          <w:color w:val="auto"/>
          <w:sz w:val="24"/>
          <w:szCs w:val="24"/>
          <w:highlight w:val="none"/>
          <w:u w:val="single"/>
          <w:shd w:val="clear" w:color="auto" w:fill="ffffff"/>
        </w:rPr>
        <w:t xml:space="preserve">组件</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w:t>
      </w:r>
      <w:r>
        <w:rPr>
          <w:rStyle w:val="861"/>
          <w:rFonts w:hint="eastAsia" w:ascii="方正魏碑_GBK" w:hAnsi="方正魏碑_GBK" w:eastAsia="方正魏碑_GBK" w:cs="方正魏碑_GBK"/>
          <w:i w:val="0"/>
          <w:color w:val="auto"/>
          <w:sz w:val="24"/>
          <w:szCs w:val="24"/>
          <w:highlight w:val="none"/>
          <w:shd w:val="clear" w:color="auto" w:fill="ffffff"/>
          <w:vertAlign w:val="superscript"/>
        </w:rPr>
        <w:t xml:space="preserve">4</w:t>
      </w:r>
      <w:r>
        <w:rPr>
          <w:rFonts w:hint="eastAsia" w:ascii="方正魏碑_GBK" w:hAnsi="方正魏碑_GBK" w:eastAsia="方正魏碑_GBK" w:cs="方正魏碑_GBK"/>
          <w:color w:val="auto"/>
          <w:szCs w:val="24"/>
          <w:highlight w:val="none"/>
          <w:shd w:val="clear" w:color="auto" w:fill="ffffff"/>
        </w:rPr>
        <w:t xml:space="preserve">在中国境内生产。</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Style w:val="861"/>
          <w:rFonts w:hint="eastAsia" w:ascii="方正魏碑_GBK" w:hAnsi="方正魏碑_GBK" w:eastAsia="方正魏碑_GBK" w:cs="方正魏碑_GBK"/>
          <w:i w:val="0"/>
          <w:color w:val="auto"/>
          <w:sz w:val="24"/>
          <w:szCs w:val="24"/>
          <w:highlight w:val="none"/>
          <w:shd w:val="clear" w:color="auto" w:fill="ffffff"/>
          <w:vertAlign w:val="superscript"/>
        </w:rPr>
        <w:t xml:space="preserve">5</w:t>
      </w:r>
      <w:r>
        <w:rPr>
          <w:rFonts w:hint="eastAsia" w:ascii="方正魏碑_GBK" w:hAnsi="方正魏碑_GBK" w:eastAsia="方正魏碑_GBK" w:cs="方正魏碑_GBK"/>
          <w:color w:val="auto"/>
          <w:szCs w:val="24"/>
          <w:highlight w:val="none"/>
          <w:shd w:val="clear" w:color="auto" w:fill="ffffff"/>
        </w:rPr>
        <w:t xml:space="preserve">在中国境内完成。</w:t>
      </w:r>
      <w:r/>
    </w:p>
    <w:p>
      <w:pPr>
        <w:pStyle w:val="851"/>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926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926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5926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5926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5926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5926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5926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Cs w:val="24"/>
          <w:highlight w:val="none"/>
          <w:shd w:val="clear" w:color="auto" w:fill="ffffff"/>
        </w:rPr>
        <w:t xml:space="preserve">2.</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，生产厂为</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Fonts w:hint="eastAsia" w:ascii="方正魏碑_GBK" w:hAnsi="方正魏碑_GBK" w:eastAsia="方正魏碑_GBK" w:cs="方正魏碑_GBK"/>
          <w:color w:val="auto"/>
          <w:szCs w:val="24"/>
          <w:highlight w:val="none"/>
          <w:shd w:val="clear" w:color="auto" w:fill="ffffff"/>
        </w:rPr>
        <w:t xml:space="preserve">，厂址为</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Cs w:val="24"/>
          <w:highlight w:val="none"/>
          <w:shd w:val="clear" w:color="auto" w:fill="ffffff"/>
        </w:rPr>
        <w:t xml:space="preserve">。</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的中国境内生产的组件成本占比≥</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（规定</w:t>
      </w:r>
      <w:r>
        <w:rPr>
          <w:rStyle w:val="861"/>
          <w:rFonts w:ascii="方正魏碑_GBK" w:hAnsi="方正魏碑_GBK" w:eastAsia="方正魏碑_GBK" w:cs="方正魏碑_GBK"/>
          <w:i w:val="0"/>
          <w:color w:val="auto"/>
          <w:sz w:val="24"/>
          <w:szCs w:val="24"/>
          <w:highlight w:val="none"/>
          <w:u w:val="single"/>
          <w:shd w:val="clear" w:color="auto" w:fill="ffffff"/>
        </w:rPr>
        <w:t xml:space="preserve">比例</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w:t>
      </w:r>
      <w:r>
        <w:rPr>
          <w:rFonts w:hint="eastAsia" w:ascii="方正魏碑_GBK" w:hAnsi="方正魏碑_GBK" w:eastAsia="方正魏碑_GBK" w:cs="方正魏碑_GBK"/>
          <w:color w:val="auto"/>
          <w:szCs w:val="24"/>
          <w:highlight w:val="none"/>
          <w:shd w:val="clear" w:color="auto" w:fill="ffffff"/>
        </w:rPr>
        <w:t xml:space="preserve">。</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Cs w:val="24"/>
          <w:highlight w:val="none"/>
          <w:shd w:val="clear" w:color="auto" w:fill="ffffff"/>
        </w:rPr>
        <w:t xml:space="preserve">的</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（关键</w:t>
      </w:r>
      <w:r>
        <w:rPr>
          <w:rStyle w:val="861"/>
          <w:rFonts w:ascii="方正魏碑_GBK" w:hAnsi="方正魏碑_GBK" w:eastAsia="方正魏碑_GBK" w:cs="方正魏碑_GBK"/>
          <w:i w:val="0"/>
          <w:color w:val="auto"/>
          <w:sz w:val="24"/>
          <w:szCs w:val="24"/>
          <w:highlight w:val="none"/>
          <w:u w:val="single"/>
          <w:shd w:val="clear" w:color="auto" w:fill="ffffff"/>
        </w:rPr>
        <w:t xml:space="preserve">组件</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w:t>
      </w:r>
      <w:r>
        <w:rPr>
          <w:rFonts w:hint="eastAsia" w:ascii="方正魏碑_GBK" w:hAnsi="方正魏碑_GBK" w:eastAsia="方正魏碑_GBK" w:cs="方正魏碑_GBK"/>
          <w:color w:val="auto"/>
          <w:szCs w:val="24"/>
          <w:highlight w:val="none"/>
          <w:shd w:val="clear" w:color="auto" w:fill="ffffff"/>
        </w:rPr>
        <w:t xml:space="preserve">在中国境内生产。</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Cs w:val="24"/>
          <w:highlight w:val="none"/>
          <w:shd w:val="clear" w:color="auto" w:fill="ffffff"/>
        </w:rPr>
        <w:t xml:space="preserve">的</w:t>
      </w:r>
      <w:r>
        <w:rPr>
          <w:rStyle w:val="861"/>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Fonts w:hint="eastAsia" w:ascii="方正魏碑_GBK" w:hAnsi="方正魏碑_GBK" w:eastAsia="方正魏碑_GBK" w:cs="方正魏碑_GBK"/>
          <w:color w:val="auto"/>
          <w:szCs w:val="24"/>
          <w:highlight w:val="none"/>
          <w:shd w:val="clear" w:color="auto" w:fill="ffffff"/>
        </w:rPr>
        <w:t xml:space="preserve">在中国境内完成。</w:t>
      </w:r>
      <w:r/>
    </w:p>
    <w:p>
      <w:pPr>
        <w:pStyle w:val="851"/>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w:t>
      </w:r>
      <w:r/>
    </w:p>
    <w:p>
      <w:pPr>
        <w:pStyle w:val="851"/>
        <w:ind w:firstLine="4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本公司（单位）对上述声明内容的真实性负责。如有虚假，愿承担相应法律责任。</w:t>
      </w:r>
      <w:r/>
    </w:p>
    <w:p>
      <w:pPr>
        <w:pStyle w:val="851"/>
        <w:spacing w:before="30" w:after="30" w:line="0" w:lineRule="atLeast"/>
        <w:shd w:val="clear" w:color="auto"/>
        <w:rPr>
          <w:rFonts w:ascii="方正魏碑_GBK" w:hAnsi="方正魏碑_GBK" w:eastAsia="方正魏碑_GBK" w:cs="方正魏碑_GBK"/>
          <w:color w:val="auto"/>
          <w:szCs w:val="24"/>
          <w:highlight w:val="none"/>
        </w:rPr>
      </w:pPr>
      <w:r>
        <w:rPr>
          <w:rFonts w:ascii="方正魏碑_GBK" w:hAnsi="方正魏碑_GBK" w:eastAsia="方正魏碑_GBK" w:cs="方正魏碑_GBK"/>
          <w:color w:val="auto"/>
          <w:szCs w:val="24"/>
          <w:highlight w:val="none"/>
        </w:rPr>
      </w:r>
      <w:r/>
    </w:p>
    <w:p>
      <w:pPr>
        <w:pStyle w:val="851"/>
        <w:ind w:right="480" w:firstLine="3720"/>
        <w:spacing w:before="30" w:after="30" w:line="0" w:lineRule="atLeast"/>
        <w:shd w:val="clear" w:color="auto"/>
        <w:rPr>
          <w:rFonts w:ascii="方正魏碑_GBK" w:hAnsi="方正魏碑_GBK" w:eastAsia="方正魏碑_GBK" w:cs="方正魏碑_GBK"/>
          <w:color w:val="auto"/>
          <w:szCs w:val="24"/>
          <w:highlight w:val="none"/>
        </w:rPr>
      </w:pPr>
      <w:r>
        <w:rPr>
          <w:rFonts w:hint="eastAsia" w:ascii="方正魏碑_GBK" w:hAnsi="方正魏碑_GBK" w:eastAsia="方正魏碑_GBK" w:cs="方正魏碑_GBK"/>
          <w:color w:val="auto"/>
          <w:szCs w:val="24"/>
          <w:highlight w:val="none"/>
          <w:shd w:val="clear" w:color="auto" w:fill="ffffff"/>
        </w:rPr>
        <w:t xml:space="preserve">公司（单位）名称（盖章）：　        </w:t>
      </w:r>
      <w:r/>
    </w:p>
    <w:p>
      <w:pPr>
        <w:pStyle w:val="851"/>
        <w:jc w:val="center"/>
        <w:spacing w:before="30" w:after="30" w:line="0" w:lineRule="atLeas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szCs w:val="24"/>
          <w:highlight w:val="none"/>
          <w:shd w:val="clear" w:color="auto" w:fill="ffffff"/>
        </w:rPr>
        <w:t xml:space="preserve">                    </w:t>
      </w:r>
      <w:r>
        <w:rPr>
          <w:rFonts w:ascii="方正魏碑_GBK" w:hAnsi="方正魏碑_GBK" w:eastAsia="方正魏碑_GBK" w:cs="方正魏碑_GBK"/>
          <w:color w:val="auto"/>
          <w:szCs w:val="24"/>
          <w:highlight w:val="none"/>
          <w:shd w:val="clear" w:color="auto" w:fill="ffffff"/>
        </w:rPr>
        <w:t xml:space="preserve">            </w:t>
      </w:r>
      <w:r>
        <w:rPr>
          <w:rFonts w:hint="eastAsia" w:ascii="方正魏碑_GBK" w:hAnsi="方正魏碑_GBK" w:eastAsia="方正魏碑_GBK" w:cs="方正魏碑_GBK"/>
          <w:color w:val="auto"/>
          <w:szCs w:val="24"/>
          <w:highlight w:val="none"/>
          <w:shd w:val="clear" w:color="auto" w:fill="ffffff"/>
        </w:rPr>
        <w:t xml:space="preserve">日期：　   年　  月　  日    </w:t>
      </w:r>
      <w:r>
        <w:rPr>
          <w:rFonts w:hint="eastAsia" w:ascii="方正魏碑_GBK" w:hAnsi="方正魏碑_GBK" w:eastAsia="方正魏碑_GBK" w:cs="方正魏碑_GBK"/>
          <w:color w:val="auto"/>
          <w:highlight w:val="none"/>
          <w:shd w:val="clear" w:color="auto" w:fill="ffffff"/>
        </w:rPr>
        <w:t xml:space="preserve">     </w:t>
      </w:r>
      <w:r/>
    </w:p>
    <w:p>
      <w:pPr>
        <w:pStyle w:val="851"/>
        <w:spacing w:before="30" w:after="30" w:line="0" w:lineRule="atLeast"/>
        <w:shd w:val="clear" w:color="auto"/>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51"/>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51"/>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51"/>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51"/>
        <w:spacing w:before="30" w:after="30" w:line="0" w:lineRule="atLeast"/>
        <w:shd w:val="clear" w:color="auto"/>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51"/>
        <w:spacing w:before="30" w:after="3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51"/>
        <w:spacing w:before="30" w:after="3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10"/>
        <w:numPr>
          <w:ilvl w:val="0"/>
          <w:numId w:val="0"/>
        </w:numPr>
        <w:jc w:val="center"/>
        <w:rPr>
          <w:rFonts w:ascii="宋体" w:hAnsi="宋体"/>
          <w:b w:val="0"/>
          <w:color w:val="auto"/>
          <w:sz w:val="32"/>
          <w:highlight w:val="none"/>
        </w:rPr>
      </w:pPr>
      <w:r>
        <w:rPr>
          <w:rStyle w:val="857"/>
          <w:rFonts w:cs="仿宋"/>
          <w:b w:val="0"/>
          <w:bCs w:val="0"/>
          <w:color w:val="auto"/>
          <w:sz w:val="21"/>
          <w:szCs w:val="21"/>
          <w:highlight w:val="none"/>
        </w:rPr>
        <w:br w:type="page" w:clear="all"/>
      </w:r>
      <w:r>
        <w:rPr>
          <w:rFonts w:hint="eastAsia" w:ascii="宋体" w:hAnsi="宋体" w:eastAsia="宋体" w:cs="Arial"/>
          <w:b/>
          <w:bCs/>
          <w:color w:val="auto"/>
          <w:sz w:val="32"/>
          <w:szCs w:val="44"/>
          <w:highlight w:val="none"/>
          <w:lang w:val="en-US" w:eastAsia="zh-CN" w:bidi="ar-SA"/>
        </w:rPr>
        <w:t xml:space="preserve">四、开标一览表</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818"/>
        <w:tblW w:w="8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7"/>
        <w:gridCol w:w="6272"/>
      </w:tblGrid>
      <w:tr>
        <w:trPr>
          <w:cantSplit/>
          <w:trHeight w:val="1460"/>
        </w:trPr>
        <w:tc>
          <w:tcPr>
            <w:tcW w:w="2427" w:type="dxa"/>
            <w:vAlign w:val="center"/>
            <w:textDirection w:val="lrTb"/>
            <w:noWrap w:val="false"/>
          </w:tcPr>
          <w:p>
            <w:pPr>
              <w:pStyle w:val="825"/>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272"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2264"/>
        </w:trPr>
        <w:tc>
          <w:tcPr>
            <w:tcW w:w="2427" w:type="dxa"/>
            <w:vAlign w:val="center"/>
            <w:textDirection w:val="lrTb"/>
            <w:noWrap w:val="false"/>
          </w:tcPr>
          <w:p>
            <w:pPr>
              <w:pStyle w:val="825"/>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72" w:type="dxa"/>
            <w:vAlign w:val="center"/>
            <w:textDirection w:val="lrTb"/>
            <w:noWrap w:val="false"/>
          </w:tcPr>
          <w:p>
            <w:pPr>
              <w:pStyle w:val="1132"/>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32"/>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r>
        <w:trPr>
          <w:cantSplit/>
          <w:trHeight w:val="1787"/>
        </w:trPr>
        <w:tc>
          <w:tcPr>
            <w:tcW w:w="2427" w:type="dxa"/>
            <w:vAlign w:val="center"/>
            <w:textDirection w:val="lrTb"/>
            <w:noWrap w:val="false"/>
          </w:tcPr>
          <w:p>
            <w:pPr>
              <w:pStyle w:val="825"/>
              <w:jc w:val="center"/>
              <w:spacing w:line="30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272" w:type="dxa"/>
            <w:vAlign w:val="center"/>
            <w:textDirection w:val="lrTb"/>
            <w:noWrap w:val="false"/>
          </w:tcPr>
          <w:p>
            <w:pPr>
              <w:pStyle w:val="825"/>
              <w:jc w:val="center"/>
              <w:spacing w:line="300" w:lineRule="auto"/>
              <w:shd w:val="clear" w:color="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09"/>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19"/>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12"/>
        </w:numPr>
        <w:jc w:val="center"/>
        <w:spacing w:line="360" w:lineRule="auto"/>
        <w:rPr>
          <w:rFonts w:hint="eastAsia" w:ascii="宋体" w:hAnsi="宋体" w:cs="Arial"/>
          <w:b/>
          <w:bCs/>
          <w:color w:val="auto"/>
          <w:sz w:val="32"/>
          <w:szCs w:val="44"/>
          <w:highlight w:val="none"/>
        </w:rPr>
      </w:pPr>
      <w:r>
        <w:rPr>
          <w:rFonts w:hint="eastAsia" w:ascii="宋体" w:hAnsi="宋体"/>
          <w:color w:val="auto"/>
          <w:sz w:val="32"/>
          <w:szCs w:val="32"/>
          <w:highlight w:val="none"/>
        </w:rPr>
        <w:br w:type="page" w:clear="all"/>
      </w:r>
      <w:r>
        <w:rPr>
          <w:rFonts w:hint="eastAsia" w:ascii="宋体" w:hAnsi="宋体" w:cs="Arial"/>
          <w:b/>
          <w:bCs/>
          <w:color w:val="auto"/>
          <w:sz w:val="32"/>
          <w:szCs w:val="44"/>
          <w:highlight w:val="none"/>
        </w:rPr>
        <w:t xml:space="preserve">投标产品配置及分项报价表</w:t>
      </w:r>
      <w:r/>
    </w:p>
    <w:p>
      <w:pPr>
        <w:pStyle w:val="855"/>
        <w:numPr>
          <w:ilvl w:val="0"/>
          <w:numId w:val="0"/>
        </w:numPr>
        <w:ind w:left="840"/>
        <w:rPr>
          <w:color w:val="auto"/>
          <w:highlight w:val="none"/>
        </w:rPr>
      </w:pPr>
      <w:r>
        <w:rPr>
          <w:color w:val="auto"/>
          <w:highlight w:val="none"/>
        </w:rPr>
      </w:r>
      <w:r/>
    </w:p>
    <w:tbl>
      <w:tblPr>
        <w:tblStyle w:val="81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3"/>
        <w:gridCol w:w="1701"/>
        <w:gridCol w:w="1563"/>
        <w:gridCol w:w="1722"/>
      </w:tblGrid>
      <w:tr>
        <w:trPr>
          <w:cantSplit/>
          <w:trHeight w:val="712"/>
        </w:trPr>
        <w:tc>
          <w:tcPr>
            <w:tcW w:w="2073"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998"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1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010" w:type="pct"/>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备注</w:t>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olor w:val="auto"/>
                <w:szCs w:val="21"/>
                <w:highlight w:val="none"/>
              </w:rPr>
              <w:t xml:space="preserve">合计</w:t>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809"/>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818"/>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outlineLvl w:val="1"/>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818"/>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19"/>
        <w:ind w:firstLine="480"/>
        <w:rPr>
          <w:rFonts w:ascii="宋体" w:hAnsi="宋体"/>
          <w:color w:val="auto"/>
          <w:sz w:val="24"/>
          <w:highlight w:val="none"/>
        </w:rPr>
      </w:pPr>
      <w:r/>
      <w:bookmarkStart w:id="35" w:name="_Hlt26609389"/>
      <w:r/>
      <w:bookmarkEnd w:id="35"/>
      <w:r/>
      <w:bookmarkStart w:id="36" w:name="_Hlt26671374"/>
      <w:r/>
      <w:bookmarkEnd w:id="36"/>
      <w:r/>
      <w:bookmarkStart w:id="37" w:name="_Hlt26955066"/>
      <w:r/>
      <w:bookmarkEnd w:id="37"/>
      <w:r/>
      <w:bookmarkStart w:id="38" w:name="_Toc462564146"/>
      <w:r/>
      <w:r/>
    </w:p>
    <w:p>
      <w:pPr>
        <w:pStyle w:val="819"/>
        <w:ind w:firstLine="480"/>
        <w:rPr>
          <w:rFonts w:ascii="宋体" w:hAnsi="宋体"/>
          <w:color w:val="auto"/>
          <w:sz w:val="24"/>
          <w:highlight w:val="none"/>
        </w:rPr>
      </w:pPr>
      <w:r>
        <w:rPr>
          <w:rFonts w:ascii="宋体" w:hAnsi="宋体"/>
          <w:color w:val="auto"/>
          <w:sz w:val="24"/>
          <w:highlight w:val="none"/>
        </w:rPr>
      </w:r>
      <w:r/>
    </w:p>
    <w:p>
      <w:pPr>
        <w:pStyle w:val="819"/>
        <w:ind w:firstLine="480"/>
        <w:rPr>
          <w:rFonts w:ascii="宋体" w:hAnsi="宋体"/>
          <w:color w:val="auto"/>
          <w:sz w:val="24"/>
          <w:highlight w:val="none"/>
        </w:rPr>
      </w:pPr>
      <w:r>
        <w:rPr>
          <w:rFonts w:ascii="宋体" w:hAnsi="宋体"/>
          <w:color w:val="auto"/>
          <w:sz w:val="24"/>
          <w:highlight w:val="none"/>
        </w:rPr>
      </w:r>
      <w:r/>
    </w:p>
    <w:p>
      <w:pPr>
        <w:pStyle w:val="819"/>
        <w:ind w:firstLine="480"/>
        <w:rPr>
          <w:rFonts w:ascii="宋体" w:hAnsi="宋体"/>
          <w:color w:val="auto"/>
          <w:sz w:val="24"/>
          <w:highlight w:val="none"/>
        </w:rPr>
      </w:pPr>
      <w:r>
        <w:rPr>
          <w:rFonts w:ascii="宋体" w:hAnsi="宋体"/>
          <w:color w:val="auto"/>
          <w:sz w:val="24"/>
          <w:highlight w:val="none"/>
        </w:rPr>
      </w:r>
      <w:r/>
    </w:p>
    <w:p>
      <w:pPr>
        <w:pStyle w:val="819"/>
        <w:ind w:firstLine="480"/>
        <w:rPr>
          <w:rFonts w:ascii="宋体" w:hAnsi="宋体"/>
          <w:color w:val="auto"/>
          <w:sz w:val="24"/>
          <w:highlight w:val="none"/>
        </w:rPr>
      </w:pPr>
      <w:r>
        <w:rPr>
          <w:rFonts w:hint="eastAsia" w:ascii="宋体" w:hAnsi="宋体"/>
          <w:color w:val="auto"/>
          <w:sz w:val="24"/>
          <w:highlight w:val="none"/>
        </w:rPr>
        <w:t xml:space="preserve">.</w:t>
      </w:r>
      <w:r/>
    </w:p>
    <w:p>
      <w:pPr>
        <w:pStyle w:val="819"/>
        <w:ind w:firstLine="480"/>
        <w:rPr>
          <w:rFonts w:ascii="宋体" w:hAnsi="宋体"/>
          <w:color w:val="auto"/>
          <w:sz w:val="24"/>
          <w:highlight w:val="none"/>
        </w:rPr>
      </w:pPr>
      <w:r>
        <w:rPr>
          <w:rFonts w:ascii="宋体" w:hAnsi="宋体"/>
          <w:color w:val="auto"/>
          <w:sz w:val="24"/>
          <w:highlight w:val="none"/>
        </w:rPr>
      </w:r>
      <w:r/>
    </w:p>
    <w:p>
      <w:pPr>
        <w:pStyle w:val="819"/>
        <w:ind w:firstLine="643"/>
        <w:rPr>
          <w:rFonts w:ascii="宋体" w:hAnsi="宋体"/>
          <w:b/>
          <w:color w:val="auto"/>
          <w:sz w:val="32"/>
          <w:szCs w:val="32"/>
          <w:highlight w:val="none"/>
        </w:rPr>
      </w:pPr>
      <w:r>
        <w:rPr>
          <w:rFonts w:ascii="宋体" w:hAnsi="宋体"/>
          <w:b/>
          <w:color w:val="auto"/>
          <w:sz w:val="32"/>
          <w:szCs w:val="32"/>
          <w:highlight w:val="none"/>
        </w:rPr>
      </w:r>
      <w:r/>
    </w:p>
    <w:p>
      <w:pPr>
        <w:pStyle w:val="819"/>
        <w:ind w:firstLine="480"/>
        <w:rPr>
          <w:rFonts w:ascii="宋体" w:hAnsi="宋体"/>
          <w:color w:val="auto"/>
          <w:sz w:val="24"/>
          <w:highlight w:val="none"/>
        </w:rPr>
      </w:pPr>
      <w:r>
        <w:rPr>
          <w:rFonts w:hint="eastAsia" w:ascii="宋体" w:hAnsi="宋体"/>
          <w:b/>
          <w:color w:val="auto"/>
          <w:sz w:val="32"/>
          <w:szCs w:val="32"/>
          <w:highlight w:val="none"/>
        </w:rPr>
        <w:br w:type="page" w:clear="all"/>
      </w:r>
      <w:bookmarkEnd w:id="38"/>
      <w:r/>
      <w:r/>
    </w:p>
    <w:p>
      <w:pPr>
        <w:pStyle w:val="819"/>
        <w:ind w:firstLine="480"/>
        <w:rPr>
          <w:rFonts w:ascii="宋体" w:hAnsi="宋体"/>
          <w:color w:val="auto"/>
          <w:sz w:val="24"/>
          <w:highlight w:val="none"/>
        </w:rPr>
      </w:pPr>
      <w:r>
        <w:rPr>
          <w:rFonts w:ascii="宋体" w:hAnsi="宋体"/>
          <w:color w:val="auto"/>
          <w:sz w:val="24"/>
          <w:highlight w:val="none"/>
        </w:rPr>
      </w:r>
      <w:r/>
    </w:p>
    <w:p>
      <w:pPr>
        <w:jc w:val="center"/>
        <w:widowControl/>
        <w:rPr>
          <w:rFonts w:ascii="宋体" w:hAnsi="宋体"/>
          <w:b/>
          <w:color w:val="auto"/>
          <w:highlight w:val="none"/>
        </w:rPr>
      </w:pPr>
      <w:r/>
      <w:bookmarkStart w:id="39" w:name="_格式2__法定代表人授权书"/>
      <w:r/>
      <w:bookmarkEnd w:id="39"/>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18"/>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rFonts w:hint="eastAsia" w:ascii="宋体" w:hAnsi="宋体" w:cs="宋体"/>
        <w:highlight w:val="none"/>
        <w:lang w:val="en-US" w:eastAsia="zh-CN"/>
      </w:rPr>
      <w:t xml:space="preserve">JSZC-321000-JSWC-G2026-0015</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rFonts w:hint="eastAsia" w:ascii="宋体" w:hAnsi="宋体" w:cs="宋体"/>
        <w:highlight w:val="none"/>
        <w:lang w:val="en-US" w:eastAsia="zh-CN"/>
      </w:rPr>
      <w:t xml:space="preserve">JSZC-321000-JSWC-G2026-0015</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single" w:color="auto" w:sz="4" w:space="1"/>
      </w:pBdr>
    </w:pPr>
    <w:r>
      <w:rPr>
        <w:rFonts w:hint="eastAsia"/>
      </w:rPr>
      <w:t xml:space="preserve">JSZC-321000-JSWC-</w:t>
    </w:r>
    <w:r>
      <w:rPr>
        <w:rFonts w:hint="eastAsia"/>
        <w:lang w:eastAsia="zh-CN"/>
      </w:rPr>
      <w:t xml:space="preserve">G2026</w:t>
    </w:r>
    <w:r>
      <w:rPr>
        <w:rFonts w:hint="eastAsia"/>
      </w:rPr>
      <w:t xml:space="preserve">-</w:t>
    </w:r>
    <w:r>
      <w:rPr>
        <w:rFonts w:hint="eastAsia"/>
        <w:lang w:eastAsia="zh-CN"/>
      </w:rPr>
      <w:t xml:space="preserve">0054</w:t>
    </w:r>
    <w:r>
      <w:rPr>
        <w:rFonts w:hint="eastAsia"/>
      </w:rPr>
      <w:t xml:space="preserve">号                                      江苏唯诚建设咨询有限公司</w:t>
    </w:r>
    <w:r/>
  </w:p>
  <w:p>
    <w:pPr>
      <w:pStyle w:val="84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33"/>
      <w:isLgl/>
      <w:suff w:val="tab"/>
      <w:lvlText w:val="%1.%2"/>
      <w:lvlJc w:val="left"/>
      <w:pPr>
        <w:ind w:left="0" w:firstLine="0"/>
        <w:tabs>
          <w:tab w:val="left" w:pos="851" w:leader="none"/>
        </w:tabs>
      </w:pPr>
    </w:lvl>
    <w:lvl w:ilvl="2">
      <w:start w:val="1"/>
      <w:numFmt w:val="decimal"/>
      <w:pStyle w:val="1117"/>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bullet"/>
      <w:pStyle w:val="1113"/>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bullet"/>
      <w:pStyle w:val="86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09"/>
      <w:isLgl w:val="false"/>
      <w:suff w:val="space"/>
      <w:lvlText w:val="%1.%2"/>
      <w:lvlJc w:val="left"/>
      <w:pPr>
        <w:ind w:left="851" w:hanging="567"/>
      </w:pPr>
      <w:rPr>
        <w:rFonts w:hint="default" w:ascii="Arial" w:hAnsi="Arial" w:eastAsia="黑体"/>
        <w:b/>
        <w:i w:val="0"/>
        <w:sz w:val="28"/>
        <w:szCs w:val="28"/>
      </w:rPr>
    </w:lvl>
    <w:lvl w:ilvl="2">
      <w:start w:val="1"/>
      <w:numFmt w:val="decimal"/>
      <w:pStyle w:val="810"/>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12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87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2"/>
  </w:num>
  <w:num w:numId="5">
    <w:abstractNumId w:val="1"/>
  </w:num>
  <w:num w:numId="6">
    <w:abstractNumId w:val="6"/>
  </w:num>
  <w:num w:numId="7">
    <w:abstractNumId w:val="0"/>
  </w:num>
  <w:num w:numId="8">
    <w:abstractNumId w:val="8"/>
  </w:num>
  <w:num w:numId="9">
    <w:abstractNumId w:val="4"/>
  </w:num>
  <w:num w:numId="10">
    <w:abstractNumId w:val="11"/>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8">
    <w:name w:val="Heading 1"/>
    <w:basedOn w:val="807"/>
    <w:next w:val="807"/>
    <w:link w:val="1027"/>
    <w:uiPriority w:val="9"/>
    <w:qFormat/>
    <w:pPr>
      <w:keepLines/>
      <w:keepNext/>
      <w:spacing w:before="340" w:after="330" w:line="578" w:lineRule="auto"/>
      <w:outlineLvl w:val="0"/>
    </w:pPr>
    <w:rPr>
      <w:b/>
      <w:bCs/>
      <w:sz w:val="44"/>
      <w:szCs w:val="44"/>
    </w:rPr>
  </w:style>
  <w:style w:type="paragraph" w:styleId="809">
    <w:name w:val="Heading 2"/>
    <w:basedOn w:val="807"/>
    <w:next w:val="819"/>
    <w:link w:val="1028"/>
    <w:uiPriority w:val="9"/>
    <w:qFormat/>
    <w:pPr>
      <w:numPr>
        <w:ilvl w:val="1"/>
        <w:numId w:val="1"/>
      </w:numPr>
      <w:jc w:val="left"/>
      <w:keepLines/>
      <w:keepNext/>
      <w:spacing w:before="312" w:after="312"/>
      <w:outlineLvl w:val="1"/>
    </w:pPr>
    <w:rPr>
      <w:rFonts w:ascii="Arial" w:hAnsi="Arial"/>
      <w:b/>
      <w:bCs/>
      <w:sz w:val="28"/>
      <w:szCs w:val="36"/>
    </w:rPr>
  </w:style>
  <w:style w:type="paragraph" w:styleId="810">
    <w:name w:val="Heading 3"/>
    <w:basedOn w:val="807"/>
    <w:next w:val="807"/>
    <w:link w:val="1030"/>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11">
    <w:name w:val="Heading 4"/>
    <w:basedOn w:val="807"/>
    <w:next w:val="819"/>
    <w:link w:val="1031"/>
    <w:uiPriority w:val="0"/>
    <w:qFormat/>
    <w:pPr>
      <w:spacing w:before="280" w:after="290" w:line="377" w:lineRule="auto"/>
      <w:outlineLvl w:val="3"/>
    </w:pPr>
    <w:rPr>
      <w:rFonts w:ascii="Arial" w:hAnsi="Arial" w:eastAsia="黑体"/>
      <w:b/>
      <w:bCs/>
      <w:sz w:val="28"/>
      <w:szCs w:val="28"/>
    </w:rPr>
  </w:style>
  <w:style w:type="paragraph" w:styleId="812">
    <w:name w:val="Heading 5"/>
    <w:basedOn w:val="807"/>
    <w:next w:val="807"/>
    <w:link w:val="1032"/>
    <w:uiPriority w:val="0"/>
    <w:qFormat/>
    <w:pPr>
      <w:keepLines/>
      <w:keepNext/>
      <w:spacing w:before="280" w:after="290" w:line="376" w:lineRule="auto"/>
      <w:outlineLvl w:val="4"/>
    </w:pPr>
    <w:rPr>
      <w:rFonts w:ascii="Calibri" w:hAnsi="Calibri"/>
      <w:b/>
      <w:bCs/>
      <w:sz w:val="28"/>
      <w:szCs w:val="28"/>
    </w:rPr>
  </w:style>
  <w:style w:type="paragraph" w:styleId="813">
    <w:name w:val="Heading 6"/>
    <w:basedOn w:val="807"/>
    <w:next w:val="807"/>
    <w:link w:val="1033"/>
    <w:uiPriority w:val="0"/>
    <w:qFormat/>
    <w:pPr>
      <w:ind w:left="1152" w:hanging="1152"/>
      <w:keepLines/>
      <w:keepNext/>
      <w:spacing w:before="240" w:after="64" w:line="320" w:lineRule="auto"/>
      <w:outlineLvl w:val="5"/>
    </w:pPr>
    <w:rPr>
      <w:rFonts w:ascii="Cambria" w:hAnsi="Cambria"/>
      <w:b/>
      <w:bCs/>
      <w:sz w:val="24"/>
      <w:szCs w:val="24"/>
    </w:rPr>
  </w:style>
  <w:style w:type="paragraph" w:styleId="814">
    <w:name w:val="Heading 7"/>
    <w:basedOn w:val="807"/>
    <w:next w:val="807"/>
    <w:link w:val="1034"/>
    <w:uiPriority w:val="0"/>
    <w:qFormat/>
    <w:pPr>
      <w:ind w:left="1296" w:hanging="1296"/>
      <w:keepLines/>
      <w:keepNext/>
      <w:spacing w:before="240" w:after="64" w:line="320" w:lineRule="auto"/>
      <w:outlineLvl w:val="6"/>
    </w:pPr>
    <w:rPr>
      <w:b/>
      <w:bCs/>
      <w:sz w:val="24"/>
      <w:szCs w:val="24"/>
    </w:rPr>
  </w:style>
  <w:style w:type="paragraph" w:styleId="815">
    <w:name w:val="Heading 8"/>
    <w:basedOn w:val="807"/>
    <w:next w:val="807"/>
    <w:link w:val="1035"/>
    <w:uiPriority w:val="0"/>
    <w:qFormat/>
    <w:pPr>
      <w:ind w:left="1440" w:hanging="1440"/>
      <w:keepLines/>
      <w:keepNext/>
      <w:spacing w:before="240" w:after="64" w:line="320" w:lineRule="auto"/>
      <w:outlineLvl w:val="7"/>
    </w:pPr>
    <w:rPr>
      <w:rFonts w:ascii="Cambria" w:hAnsi="Cambria"/>
      <w:sz w:val="24"/>
      <w:szCs w:val="24"/>
    </w:rPr>
  </w:style>
  <w:style w:type="paragraph" w:styleId="816">
    <w:name w:val="Heading 9"/>
    <w:basedOn w:val="807"/>
    <w:next w:val="807"/>
    <w:link w:val="1036"/>
    <w:uiPriority w:val="0"/>
    <w:qFormat/>
    <w:pPr>
      <w:ind w:left="1584" w:hanging="1584"/>
      <w:keepLines/>
      <w:keepNext/>
      <w:spacing w:before="240" w:after="64" w:line="320" w:lineRule="auto"/>
      <w:outlineLvl w:val="8"/>
    </w:pPr>
    <w:rPr>
      <w:rFonts w:ascii="Cambria" w:hAnsi="Cambria"/>
      <w:sz w:val="20"/>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Normal Indent"/>
    <w:basedOn w:val="807"/>
    <w:link w:val="1029"/>
    <w:uiPriority w:val="0"/>
    <w:unhideWhenUsed/>
    <w:qFormat/>
    <w:pPr>
      <w:ind w:firstLine="420"/>
    </w:pPr>
  </w:style>
  <w:style w:type="paragraph" w:styleId="820">
    <w:name w:val="toc 7"/>
    <w:basedOn w:val="807"/>
    <w:next w:val="807"/>
    <w:uiPriority w:val="39"/>
    <w:unhideWhenUsed/>
    <w:qFormat/>
    <w:pPr>
      <w:ind w:left="1701" w:right="0" w:firstLine="0"/>
      <w:spacing w:after="57"/>
    </w:pPr>
  </w:style>
  <w:style w:type="paragraph" w:styleId="821">
    <w:name w:val="Caption"/>
    <w:basedOn w:val="807"/>
    <w:next w:val="807"/>
    <w:uiPriority w:val="0"/>
    <w:qFormat/>
    <w:rPr>
      <w:rFonts w:ascii="Arial" w:hAnsi="Arial" w:eastAsia="黑体"/>
      <w:sz w:val="20"/>
    </w:rPr>
  </w:style>
  <w:style w:type="paragraph" w:styleId="822">
    <w:name w:val="Document Map"/>
    <w:basedOn w:val="807"/>
    <w:link w:val="1037"/>
    <w:uiPriority w:val="0"/>
    <w:qFormat/>
    <w:rPr>
      <w:rFonts w:ascii="宋体"/>
      <w:sz w:val="18"/>
      <w:szCs w:val="18"/>
    </w:rPr>
  </w:style>
  <w:style w:type="paragraph" w:styleId="823">
    <w:name w:val="annotation text"/>
    <w:basedOn w:val="807"/>
    <w:link w:val="1038"/>
    <w:uiPriority w:val="99"/>
    <w:unhideWhenUsed/>
    <w:qFormat/>
    <w:pPr>
      <w:jc w:val="left"/>
    </w:pPr>
    <w:rPr>
      <w:sz w:val="20"/>
      <w:szCs w:val="24"/>
    </w:rPr>
  </w:style>
  <w:style w:type="paragraph" w:styleId="824">
    <w:name w:val="Body Text 3"/>
    <w:basedOn w:val="807"/>
    <w:link w:val="1039"/>
    <w:uiPriority w:val="0"/>
    <w:qFormat/>
    <w:rPr>
      <w:rFonts w:ascii="宋体"/>
      <w:sz w:val="24"/>
      <w:szCs w:val="20"/>
    </w:rPr>
  </w:style>
  <w:style w:type="paragraph" w:styleId="825">
    <w:name w:val="Body Text"/>
    <w:basedOn w:val="807"/>
    <w:link w:val="1040"/>
    <w:uiPriority w:val="0"/>
    <w:qFormat/>
    <w:rPr>
      <w:rFonts w:ascii="楷体_GB2312" w:hAnsi="Arial" w:eastAsia="楷体_GB2312"/>
      <w:sz w:val="28"/>
      <w:szCs w:val="28"/>
    </w:rPr>
  </w:style>
  <w:style w:type="paragraph" w:styleId="826">
    <w:name w:val="Body Text Indent"/>
    <w:basedOn w:val="807"/>
    <w:next w:val="827"/>
    <w:link w:val="1041"/>
    <w:uiPriority w:val="99"/>
    <w:qFormat/>
    <w:pPr>
      <w:ind w:left="420"/>
      <w:spacing w:after="120"/>
    </w:pPr>
    <w:rPr>
      <w:sz w:val="20"/>
      <w:szCs w:val="24"/>
    </w:rPr>
  </w:style>
  <w:style w:type="paragraph" w:styleId="827">
    <w:name w:val="envelope return"/>
    <w:basedOn w:val="807"/>
    <w:uiPriority w:val="0"/>
    <w:qFormat/>
    <w:rPr>
      <w:rFonts w:ascii="Arial" w:hAnsi="Arial"/>
    </w:rPr>
  </w:style>
  <w:style w:type="paragraph" w:styleId="828">
    <w:name w:val="Block Text"/>
    <w:basedOn w:val="807"/>
    <w:uiPriority w:val="0"/>
    <w:qFormat/>
    <w:pPr>
      <w:spacing w:line="856" w:lineRule="atLeast"/>
      <w:widowControl/>
    </w:pPr>
    <w:rPr>
      <w:color w:val="000000"/>
      <w:szCs w:val="20"/>
    </w:rPr>
  </w:style>
  <w:style w:type="paragraph" w:styleId="829">
    <w:name w:val="List Bullet 2"/>
    <w:basedOn w:val="807"/>
    <w:uiPriority w:val="99"/>
    <w:unhideWhenUsed/>
    <w:qFormat/>
    <w:pPr>
      <w:ind w:left="780" w:hanging="360"/>
      <w:tabs>
        <w:tab w:val="left" w:pos="780" w:leader="none"/>
      </w:tabs>
    </w:pPr>
  </w:style>
  <w:style w:type="paragraph" w:styleId="830">
    <w:name w:val="index 4"/>
    <w:next w:val="807"/>
    <w:uiPriority w:val="0"/>
    <w:qFormat/>
    <w:pPr>
      <w:ind w:left="600"/>
      <w:jc w:val="both"/>
      <w:widowControl w:val="off"/>
    </w:pPr>
    <w:rPr>
      <w:rFonts w:hint="default" w:ascii="Times New Roman" w:hAnsi="Times New Roman" w:eastAsia="宋体" w:cs="Times New Roman"/>
      <w:sz w:val="21"/>
      <w:szCs w:val="21"/>
      <w:lang w:val="en-US" w:eastAsia="zh-CN" w:bidi="ar-SA"/>
    </w:rPr>
  </w:style>
  <w:style w:type="paragraph" w:styleId="831">
    <w:name w:val="toc 5"/>
    <w:basedOn w:val="807"/>
    <w:next w:val="807"/>
    <w:uiPriority w:val="39"/>
    <w:unhideWhenUsed/>
    <w:qFormat/>
    <w:pPr>
      <w:ind w:left="1134" w:right="0" w:firstLine="0"/>
      <w:spacing w:after="57"/>
    </w:pPr>
  </w:style>
  <w:style w:type="paragraph" w:styleId="832">
    <w:name w:val="toc 3"/>
    <w:basedOn w:val="807"/>
    <w:next w:val="807"/>
    <w:uiPriority w:val="39"/>
    <w:unhideWhenUsed/>
    <w:qFormat/>
    <w:pPr>
      <w:ind w:left="840"/>
    </w:pPr>
    <w:rPr>
      <w:rFonts w:ascii="Calibri" w:hAnsi="Calibri"/>
    </w:rPr>
  </w:style>
  <w:style w:type="paragraph" w:styleId="833">
    <w:name w:val="Plain Text"/>
    <w:basedOn w:val="807"/>
    <w:link w:val="1042"/>
    <w:uiPriority w:val="0"/>
    <w:qFormat/>
    <w:rPr>
      <w:rFonts w:ascii="宋体" w:hAnsi="Courier New"/>
      <w:sz w:val="20"/>
      <w:szCs w:val="21"/>
    </w:rPr>
  </w:style>
  <w:style w:type="paragraph" w:styleId="834">
    <w:name w:val="toc 8"/>
    <w:basedOn w:val="807"/>
    <w:next w:val="807"/>
    <w:uiPriority w:val="39"/>
    <w:unhideWhenUsed/>
    <w:qFormat/>
    <w:pPr>
      <w:ind w:left="1984" w:right="0" w:firstLine="0"/>
      <w:spacing w:after="57"/>
    </w:pPr>
  </w:style>
  <w:style w:type="paragraph" w:styleId="835">
    <w:name w:val="Date"/>
    <w:basedOn w:val="807"/>
    <w:next w:val="807"/>
    <w:uiPriority w:val="0"/>
    <w:semiHidden/>
    <w:qFormat/>
    <w:rPr>
      <w:szCs w:val="20"/>
    </w:rPr>
  </w:style>
  <w:style w:type="paragraph" w:styleId="836">
    <w:name w:val="Body Text Indent 2"/>
    <w:basedOn w:val="807"/>
    <w:link w:val="1043"/>
    <w:uiPriority w:val="0"/>
    <w:qFormat/>
    <w:pPr>
      <w:ind w:firstLine="562"/>
      <w:spacing w:line="480" w:lineRule="exact"/>
    </w:pPr>
    <w:rPr>
      <w:rFonts w:ascii="楷体_GB2312" w:eastAsia="楷体_GB2312"/>
      <w:b/>
      <w:bCs/>
      <w:sz w:val="28"/>
      <w:szCs w:val="24"/>
    </w:rPr>
  </w:style>
  <w:style w:type="paragraph" w:styleId="837">
    <w:name w:val="endnote text"/>
    <w:basedOn w:val="807"/>
    <w:link w:val="1018"/>
    <w:uiPriority w:val="99"/>
    <w:semiHidden/>
    <w:unhideWhenUsed/>
    <w:qFormat/>
    <w:pPr>
      <w:spacing w:after="0" w:line="240" w:lineRule="auto"/>
    </w:pPr>
    <w:rPr>
      <w:sz w:val="20"/>
    </w:rPr>
  </w:style>
  <w:style w:type="paragraph" w:styleId="838">
    <w:name w:val="Balloon Text"/>
    <w:basedOn w:val="807"/>
    <w:link w:val="1044"/>
    <w:uiPriority w:val="99"/>
    <w:unhideWhenUsed/>
    <w:qFormat/>
    <w:rPr>
      <w:sz w:val="18"/>
      <w:szCs w:val="18"/>
    </w:rPr>
  </w:style>
  <w:style w:type="paragraph" w:styleId="839">
    <w:name w:val="Footer"/>
    <w:basedOn w:val="807"/>
    <w:link w:val="1045"/>
    <w:uiPriority w:val="99"/>
    <w:unhideWhenUsed/>
    <w:qFormat/>
    <w:pPr>
      <w:jc w:val="left"/>
      <w:tabs>
        <w:tab w:val="center" w:pos="4153" w:leader="none"/>
        <w:tab w:val="right" w:pos="8306" w:leader="none"/>
      </w:tabs>
    </w:pPr>
    <w:rPr>
      <w:sz w:val="18"/>
      <w:szCs w:val="18"/>
    </w:rPr>
  </w:style>
  <w:style w:type="paragraph" w:styleId="840">
    <w:name w:val="Header"/>
    <w:basedOn w:val="807"/>
    <w:link w:val="104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1">
    <w:name w:val="toc 1"/>
    <w:basedOn w:val="807"/>
    <w:next w:val="807"/>
    <w:uiPriority w:val="39"/>
    <w:unhideWhenUsed/>
    <w:qFormat/>
    <w:rPr>
      <w:rFonts w:ascii="Calibri" w:hAnsi="Calibri"/>
    </w:rPr>
  </w:style>
  <w:style w:type="paragraph" w:styleId="842">
    <w:name w:val="toc 4"/>
    <w:basedOn w:val="807"/>
    <w:next w:val="807"/>
    <w:uiPriority w:val="39"/>
    <w:unhideWhenUsed/>
    <w:qFormat/>
    <w:pPr>
      <w:ind w:left="850" w:right="0" w:firstLine="0"/>
      <w:spacing w:after="57"/>
    </w:pPr>
  </w:style>
  <w:style w:type="paragraph" w:styleId="843">
    <w:name w:val="Subtitle"/>
    <w:basedOn w:val="807"/>
    <w:next w:val="807"/>
    <w:link w:val="884"/>
    <w:uiPriority w:val="11"/>
    <w:qFormat/>
    <w:pPr>
      <w:spacing w:before="200" w:after="200"/>
    </w:pPr>
    <w:rPr>
      <w:sz w:val="24"/>
      <w:szCs w:val="24"/>
    </w:rPr>
  </w:style>
  <w:style w:type="paragraph" w:styleId="844">
    <w:name w:val="List"/>
    <w:basedOn w:val="807"/>
    <w:uiPriority w:val="99"/>
    <w:qFormat/>
    <w:pPr>
      <w:ind w:left="200" w:hanging="200"/>
    </w:pPr>
    <w:rPr>
      <w:szCs w:val="24"/>
    </w:rPr>
  </w:style>
  <w:style w:type="paragraph" w:styleId="845">
    <w:name w:val="footnote text"/>
    <w:basedOn w:val="807"/>
    <w:link w:val="1017"/>
    <w:uiPriority w:val="99"/>
    <w:semiHidden/>
    <w:unhideWhenUsed/>
    <w:qFormat/>
    <w:pPr>
      <w:spacing w:after="40" w:line="240" w:lineRule="auto"/>
    </w:pPr>
    <w:rPr>
      <w:sz w:val="18"/>
    </w:rPr>
  </w:style>
  <w:style w:type="paragraph" w:styleId="846">
    <w:name w:val="toc 6"/>
    <w:basedOn w:val="807"/>
    <w:next w:val="807"/>
    <w:uiPriority w:val="39"/>
    <w:unhideWhenUsed/>
    <w:qFormat/>
    <w:pPr>
      <w:ind w:left="1417" w:right="0" w:firstLine="0"/>
      <w:spacing w:after="57"/>
    </w:pPr>
  </w:style>
  <w:style w:type="paragraph" w:styleId="847">
    <w:name w:val="table of figures"/>
    <w:basedOn w:val="807"/>
    <w:next w:val="807"/>
    <w:uiPriority w:val="0"/>
    <w:semiHidden/>
    <w:qFormat/>
    <w:pPr>
      <w:ind w:left="840" w:hanging="420"/>
      <w:spacing w:before="156" w:after="156"/>
    </w:pPr>
    <w:rPr>
      <w:sz w:val="24"/>
      <w:szCs w:val="24"/>
    </w:rPr>
  </w:style>
  <w:style w:type="paragraph" w:styleId="848">
    <w:name w:val="toc 2"/>
    <w:basedOn w:val="807"/>
    <w:next w:val="807"/>
    <w:uiPriority w:val="39"/>
    <w:unhideWhenUsed/>
    <w:qFormat/>
    <w:pPr>
      <w:ind w:left="420"/>
    </w:pPr>
    <w:rPr>
      <w:rFonts w:ascii="Calibri" w:hAnsi="Calibri"/>
    </w:rPr>
  </w:style>
  <w:style w:type="paragraph" w:styleId="849">
    <w:name w:val="toc 9"/>
    <w:basedOn w:val="807"/>
    <w:next w:val="807"/>
    <w:uiPriority w:val="0"/>
    <w:semiHidden/>
    <w:qFormat/>
    <w:pPr>
      <w:ind w:left="3360"/>
    </w:pPr>
  </w:style>
  <w:style w:type="paragraph" w:styleId="850">
    <w:name w:val="Body Text 2"/>
    <w:basedOn w:val="807"/>
    <w:uiPriority w:val="0"/>
    <w:qFormat/>
    <w:pPr>
      <w:spacing w:after="120" w:line="480" w:lineRule="auto"/>
    </w:pPr>
  </w:style>
  <w:style w:type="paragraph" w:styleId="851">
    <w:name w:val="Normal (Web)"/>
    <w:basedOn w:val="807"/>
    <w:uiPriority w:val="99"/>
    <w:unhideWhenUsed/>
    <w:qFormat/>
    <w:rPr>
      <w:sz w:val="24"/>
    </w:rPr>
  </w:style>
  <w:style w:type="paragraph" w:styleId="852">
    <w:name w:val="Title"/>
    <w:basedOn w:val="807"/>
    <w:next w:val="807"/>
    <w:link w:val="883"/>
    <w:uiPriority w:val="10"/>
    <w:qFormat/>
    <w:pPr>
      <w:contextualSpacing/>
      <w:spacing w:before="300" w:after="200"/>
    </w:pPr>
    <w:rPr>
      <w:sz w:val="48"/>
      <w:szCs w:val="48"/>
    </w:rPr>
  </w:style>
  <w:style w:type="paragraph" w:styleId="853">
    <w:name w:val="annotation subject"/>
    <w:basedOn w:val="823"/>
    <w:next w:val="823"/>
    <w:link w:val="1047"/>
    <w:uiPriority w:val="99"/>
    <w:unhideWhenUsed/>
    <w:qFormat/>
    <w:rPr>
      <w:b/>
      <w:bCs/>
      <w:szCs w:val="20"/>
    </w:rPr>
  </w:style>
  <w:style w:type="paragraph" w:styleId="854">
    <w:name w:val="Body Text First Indent"/>
    <w:basedOn w:val="825"/>
    <w:uiPriority w:val="0"/>
    <w:qFormat/>
    <w:pPr>
      <w:ind w:left="300" w:firstLine="420"/>
      <w:spacing w:after="120"/>
    </w:pPr>
    <w:rPr>
      <w:rFonts w:ascii="宋体" w:hAnsi="Verdana"/>
      <w:lang w:val="en-GB"/>
    </w:rPr>
  </w:style>
  <w:style w:type="paragraph" w:styleId="855">
    <w:name w:val="Body Text First Indent 2"/>
    <w:basedOn w:val="826"/>
    <w:link w:val="1048"/>
    <w:uiPriority w:val="99"/>
    <w:qFormat/>
    <w:pPr>
      <w:ind w:firstLine="420"/>
    </w:pPr>
  </w:style>
  <w:style w:type="table" w:styleId="856">
    <w:name w:val="Table Grid"/>
    <w:basedOn w:val="818"/>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uiPriority w:val="22"/>
    <w:qFormat/>
    <w:rPr>
      <w:rFonts w:ascii="Tahoma" w:hAnsi="Tahoma" w:eastAsia="宋体"/>
      <w:b/>
      <w:bCs/>
      <w:spacing w:val="10"/>
      <w:sz w:val="24"/>
      <w:lang w:val="en-US" w:eastAsia="zh-CN" w:bidi="ar-SA"/>
    </w:rPr>
  </w:style>
  <w:style w:type="character" w:styleId="858">
    <w:name w:val="endnote reference"/>
    <w:basedOn w:val="817"/>
    <w:uiPriority w:val="99"/>
    <w:semiHidden/>
    <w:unhideWhenUsed/>
    <w:qFormat/>
    <w:rPr>
      <w:vertAlign w:val="superscript"/>
    </w:rPr>
  </w:style>
  <w:style w:type="character" w:styleId="859">
    <w:name w:val="page number"/>
    <w:uiPriority w:val="0"/>
    <w:qFormat/>
  </w:style>
  <w:style w:type="character" w:styleId="860">
    <w:name w:val="FollowedHyperlink"/>
    <w:uiPriority w:val="99"/>
    <w:unhideWhenUsed/>
    <w:qFormat/>
    <w:rPr>
      <w:color w:val="333333"/>
      <w:u w:val="none"/>
    </w:rPr>
  </w:style>
  <w:style w:type="character" w:styleId="861">
    <w:name w:val="Emphasis"/>
    <w:uiPriority w:val="0"/>
    <w:qFormat/>
    <w:rPr>
      <w:rFonts w:ascii="Times New Roman" w:hAnsi="Times New Roman"/>
      <w:i/>
      <w:iCs/>
      <w:sz w:val="21"/>
      <w:szCs w:val="20"/>
    </w:rPr>
  </w:style>
  <w:style w:type="character" w:styleId="862">
    <w:name w:val="HTML Definition"/>
    <w:uiPriority w:val="99"/>
    <w:unhideWhenUsed/>
    <w:qFormat/>
    <w:rPr>
      <w:i/>
    </w:rPr>
  </w:style>
  <w:style w:type="character" w:styleId="863">
    <w:name w:val="Hyperlink"/>
    <w:uiPriority w:val="99"/>
    <w:unhideWhenUsed/>
    <w:qFormat/>
    <w:rPr>
      <w:color w:val="333333"/>
      <w:u w:val="none"/>
    </w:rPr>
  </w:style>
  <w:style w:type="character" w:styleId="864">
    <w:name w:val="HTML Code"/>
    <w:uiPriority w:val="99"/>
    <w:unhideWhenUsed/>
    <w:qFormat/>
    <w:rPr>
      <w:rFonts w:ascii="Consolas" w:hAnsi="Consolas" w:eastAsia="Consolas" w:cs="Consolas"/>
      <w:color w:val="c7254e"/>
      <w:sz w:val="21"/>
      <w:szCs w:val="21"/>
      <w:shd w:val="clear" w:color="auto" w:fill="f9f2f4"/>
    </w:rPr>
  </w:style>
  <w:style w:type="character" w:styleId="865">
    <w:name w:val="annotation reference"/>
    <w:uiPriority w:val="99"/>
    <w:unhideWhenUsed/>
    <w:qFormat/>
    <w:rPr>
      <w:sz w:val="21"/>
      <w:szCs w:val="21"/>
    </w:rPr>
  </w:style>
  <w:style w:type="character" w:styleId="866">
    <w:name w:val="footnote reference"/>
    <w:basedOn w:val="817"/>
    <w:uiPriority w:val="99"/>
    <w:unhideWhenUsed/>
    <w:qFormat/>
    <w:rPr>
      <w:vertAlign w:val="superscript"/>
    </w:rPr>
  </w:style>
  <w:style w:type="character" w:styleId="867">
    <w:name w:val="HTML Keyboard"/>
    <w:uiPriority w:val="99"/>
    <w:unhideWhenUsed/>
    <w:qFormat/>
    <w:rPr>
      <w:rFonts w:hint="default" w:ascii="Consolas" w:hAnsi="Consolas" w:eastAsia="Consolas" w:cs="Consolas"/>
      <w:color w:val="ffffff"/>
      <w:sz w:val="21"/>
      <w:szCs w:val="21"/>
      <w:shd w:val="clear" w:color="auto" w:fill="333333"/>
    </w:rPr>
  </w:style>
  <w:style w:type="character" w:styleId="868">
    <w:name w:val="HTML Sample"/>
    <w:uiPriority w:val="99"/>
    <w:unhideWhenUsed/>
    <w:qFormat/>
    <w:rPr>
      <w:rFonts w:hint="default" w:ascii="Consolas" w:hAnsi="Consolas" w:eastAsia="Consolas" w:cs="Consolas"/>
      <w:sz w:val="21"/>
      <w:szCs w:val="21"/>
    </w:rPr>
  </w:style>
  <w:style w:type="paragraph" w:styleId="869" w:customStyle="1">
    <w:name w:val="ListBullet2"/>
    <w:basedOn w:val="807"/>
    <w:uiPriority w:val="0"/>
    <w:qFormat/>
    <w:pPr>
      <w:numPr>
        <w:ilvl w:val="0"/>
        <w:numId w:val="2"/>
      </w:numPr>
    </w:pPr>
  </w:style>
  <w:style w:type="paragraph" w:styleId="870" w:customStyle="1">
    <w:name w:val="首行缩进"/>
    <w:basedOn w:val="807"/>
    <w:uiPriority w:val="0"/>
    <w:qFormat/>
    <w:pPr>
      <w:ind w:firstLine="420"/>
      <w:spacing w:line="360" w:lineRule="auto"/>
    </w:pPr>
  </w:style>
  <w:style w:type="paragraph" w:styleId="871" w:customStyle="1">
    <w:name w:val="正文文本11"/>
    <w:basedOn w:val="807"/>
    <w:next w:val="807"/>
    <w:uiPriority w:val="0"/>
    <w:qFormat/>
    <w:rPr>
      <w:rFonts w:ascii="楷体_GB2312" w:hAnsi="Arial" w:eastAsia="楷体_GB2312"/>
      <w:sz w:val="28"/>
      <w:szCs w:val="28"/>
    </w:rPr>
  </w:style>
  <w:style w:type="paragraph" w:styleId="872" w:customStyle="1">
    <w:name w:val="ListBullet21"/>
    <w:basedOn w:val="807"/>
    <w:uiPriority w:val="0"/>
    <w:qFormat/>
    <w:pPr>
      <w:numPr>
        <w:ilvl w:val="0"/>
        <w:numId w:val="3"/>
      </w:numPr>
    </w:pPr>
  </w:style>
  <w:style w:type="character" w:styleId="873" w:customStyle="1">
    <w:name w:val="Heading 1 Char"/>
    <w:basedOn w:val="817"/>
    <w:uiPriority w:val="9"/>
    <w:qFormat/>
    <w:rPr>
      <w:rFonts w:ascii="Arial" w:hAnsi="Arial" w:eastAsia="Arial" w:cs="Arial"/>
      <w:sz w:val="40"/>
      <w:szCs w:val="40"/>
    </w:rPr>
  </w:style>
  <w:style w:type="character" w:styleId="874" w:customStyle="1">
    <w:name w:val="Heading 2 Char"/>
    <w:basedOn w:val="817"/>
    <w:uiPriority w:val="9"/>
    <w:qFormat/>
    <w:rPr>
      <w:rFonts w:ascii="Arial" w:hAnsi="Arial" w:eastAsia="Arial" w:cs="Arial"/>
      <w:sz w:val="34"/>
    </w:rPr>
  </w:style>
  <w:style w:type="character" w:styleId="875" w:customStyle="1">
    <w:name w:val="Heading 3 Char"/>
    <w:basedOn w:val="817"/>
    <w:uiPriority w:val="9"/>
    <w:qFormat/>
    <w:rPr>
      <w:rFonts w:ascii="Arial" w:hAnsi="Arial" w:eastAsia="Arial" w:cs="Arial"/>
      <w:sz w:val="30"/>
      <w:szCs w:val="30"/>
    </w:rPr>
  </w:style>
  <w:style w:type="character" w:styleId="876" w:customStyle="1">
    <w:name w:val="Heading 4 Char"/>
    <w:basedOn w:val="817"/>
    <w:uiPriority w:val="9"/>
    <w:qFormat/>
    <w:rPr>
      <w:rFonts w:ascii="Arial" w:hAnsi="Arial" w:eastAsia="Arial" w:cs="Arial"/>
      <w:b/>
      <w:bCs/>
      <w:sz w:val="26"/>
      <w:szCs w:val="26"/>
    </w:rPr>
  </w:style>
  <w:style w:type="character" w:styleId="877" w:customStyle="1">
    <w:name w:val="Heading 5 Char"/>
    <w:basedOn w:val="817"/>
    <w:uiPriority w:val="9"/>
    <w:qFormat/>
    <w:rPr>
      <w:rFonts w:ascii="Arial" w:hAnsi="Arial" w:eastAsia="Arial" w:cs="Arial"/>
      <w:b/>
      <w:bCs/>
      <w:sz w:val="24"/>
      <w:szCs w:val="24"/>
    </w:rPr>
  </w:style>
  <w:style w:type="character" w:styleId="878" w:customStyle="1">
    <w:name w:val="Heading 6 Char"/>
    <w:basedOn w:val="817"/>
    <w:uiPriority w:val="9"/>
    <w:qFormat/>
    <w:rPr>
      <w:rFonts w:ascii="Arial" w:hAnsi="Arial" w:eastAsia="Arial" w:cs="Arial"/>
      <w:b/>
      <w:bCs/>
      <w:sz w:val="22"/>
      <w:szCs w:val="22"/>
    </w:rPr>
  </w:style>
  <w:style w:type="character" w:styleId="879" w:customStyle="1">
    <w:name w:val="Heading 8 Char"/>
    <w:basedOn w:val="817"/>
    <w:uiPriority w:val="9"/>
    <w:qFormat/>
    <w:rPr>
      <w:rFonts w:ascii="Arial" w:hAnsi="Arial" w:eastAsia="Arial" w:cs="Arial"/>
      <w:i/>
      <w:iCs/>
      <w:sz w:val="22"/>
      <w:szCs w:val="22"/>
    </w:rPr>
  </w:style>
  <w:style w:type="character" w:styleId="880" w:customStyle="1">
    <w:name w:val="Heading 9 Char"/>
    <w:basedOn w:val="817"/>
    <w:uiPriority w:val="9"/>
    <w:qFormat/>
    <w:rPr>
      <w:rFonts w:ascii="Arial" w:hAnsi="Arial" w:eastAsia="Arial" w:cs="Arial"/>
      <w:i/>
      <w:iCs/>
      <w:sz w:val="21"/>
      <w:szCs w:val="21"/>
    </w:rPr>
  </w:style>
  <w:style w:type="paragraph" w:styleId="881">
    <w:name w:val="List Paragraph"/>
    <w:basedOn w:val="807"/>
    <w:uiPriority w:val="34"/>
    <w:qFormat/>
    <w:pPr>
      <w:contextualSpacing/>
      <w:ind w:left="720"/>
    </w:p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basedOn w:val="817"/>
    <w:link w:val="852"/>
    <w:uiPriority w:val="10"/>
    <w:qFormat/>
    <w:rPr>
      <w:sz w:val="48"/>
      <w:szCs w:val="48"/>
    </w:rPr>
  </w:style>
  <w:style w:type="character" w:styleId="884" w:customStyle="1">
    <w:name w:val="Subtitle Char"/>
    <w:basedOn w:val="817"/>
    <w:link w:val="843"/>
    <w:uiPriority w:val="11"/>
    <w:qFormat/>
    <w:rPr>
      <w:sz w:val="24"/>
      <w:szCs w:val="24"/>
    </w:rPr>
  </w:style>
  <w:style w:type="paragraph" w:styleId="885">
    <w:name w:val="Quote"/>
    <w:basedOn w:val="807"/>
    <w:next w:val="807"/>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07"/>
    <w:next w:val="807"/>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basedOn w:val="817"/>
    <w:uiPriority w:val="99"/>
    <w:qFormat/>
  </w:style>
  <w:style w:type="character" w:styleId="890" w:customStyle="1">
    <w:name w:val="Footer Char"/>
    <w:basedOn w:val="817"/>
    <w:uiPriority w:val="99"/>
    <w:qFormat/>
  </w:style>
  <w:style w:type="character" w:styleId="891" w:customStyle="1">
    <w:name w:val="Caption Char"/>
    <w:uiPriority w:val="99"/>
    <w:qFormat/>
  </w:style>
  <w:style w:type="table" w:styleId="892" w:customStyle="1">
    <w:name w:val="Table Grid Light"/>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8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8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8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8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8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8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8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8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8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8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8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8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8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8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8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8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8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8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basedOn w:val="8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81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basedOn w:val="81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basedOn w:val="81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basedOn w:val="81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basedOn w:val="81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basedOn w:val="81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basedOn w:val="8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81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1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7" w:customStyle="1">
    <w:name w:val="Grid Table 6 Colorful - Accent 4"/>
    <w:basedOn w:val="8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1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basedOn w:val="81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w:basedOn w:val="8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81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81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81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81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81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81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basedOn w:val="8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81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1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1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1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1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1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basedOn w:val="8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81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basedOn w:val="81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basedOn w:val="81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basedOn w:val="81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basedOn w:val="81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basedOn w:val="81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81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basedOn w:val="8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81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8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81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81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81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basedOn w:val="81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basedOn w:val="81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basedOn w:val="81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basedOn w:val="81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basedOn w:val="81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basedOn w:val="8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81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81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81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81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81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81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8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81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basedOn w:val="81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basedOn w:val="81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basedOn w:val="81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basedOn w:val="81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basedOn w:val="81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List Table 7 Colorful"/>
    <w:basedOn w:val="8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81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81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81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81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81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81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basedOn w:val="81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81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basedOn w:val="81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basedOn w:val="81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basedOn w:val="81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basedOn w:val="81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basedOn w:val="81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basedOn w:val="81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8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basedOn w:val="8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basedOn w:val="8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basedOn w:val="8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basedOn w:val="8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basedOn w:val="8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45"/>
    <w:uiPriority w:val="99"/>
    <w:qFormat/>
    <w:rPr>
      <w:sz w:val="18"/>
    </w:rPr>
  </w:style>
  <w:style w:type="character" w:styleId="1018" w:customStyle="1">
    <w:name w:val="Endnote Text Char"/>
    <w:link w:val="837"/>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正文（缩进）"/>
    <w:basedOn w:val="807"/>
    <w:next w:val="1021"/>
    <w:uiPriority w:val="0"/>
    <w:qFormat/>
    <w:pPr>
      <w:ind w:firstLine="480"/>
    </w:pPr>
  </w:style>
  <w:style w:type="paragraph" w:styleId="1021" w:customStyle="1">
    <w:name w:val="Char Char Char Char Char Char Char Char Char"/>
    <w:basedOn w:val="807"/>
    <w:next w:val="1022"/>
    <w:uiPriority w:val="99"/>
    <w:qFormat/>
    <w:pPr>
      <w:ind w:left="360" w:firstLine="5784"/>
    </w:pPr>
  </w:style>
  <w:style w:type="paragraph" w:styleId="1022" w:customStyle="1">
    <w:name w:val="正文文本 21"/>
    <w:basedOn w:val="807"/>
    <w:next w:val="1023"/>
    <w:uiPriority w:val="99"/>
    <w:qFormat/>
    <w:pPr>
      <w:ind w:left="720" w:firstLine="5680"/>
      <w:widowControl/>
    </w:pPr>
  </w:style>
  <w:style w:type="paragraph" w:styleId="1023" w:customStyle="1">
    <w:name w:val="默认段落字体 Para Char Char Char Char Char Char Char"/>
    <w:basedOn w:val="807"/>
    <w:next w:val="1024"/>
    <w:uiPriority w:val="99"/>
    <w:qFormat/>
    <w:pPr>
      <w:ind w:firstLine="200"/>
    </w:pPr>
    <w:rPr>
      <w:rFonts w:cs="Arial"/>
    </w:rPr>
  </w:style>
  <w:style w:type="paragraph" w:styleId="1024" w:customStyle="1">
    <w:name w:val="样式 首行缩进:  2 字符"/>
    <w:basedOn w:val="807"/>
    <w:next w:val="1025"/>
    <w:uiPriority w:val="99"/>
    <w:qFormat/>
    <w:pPr>
      <w:ind w:left="480" w:firstLine="5856"/>
      <w:spacing w:line="360" w:lineRule="auto"/>
    </w:pPr>
  </w:style>
  <w:style w:type="paragraph" w:styleId="1025" w:customStyle="1">
    <w:name w:val="样式 段后: 0.25 行"/>
    <w:basedOn w:val="807"/>
    <w:next w:val="1026"/>
    <w:uiPriority w:val="99"/>
    <w:qFormat/>
    <w:pPr>
      <w:ind w:left="420" w:firstLine="5796"/>
      <w:spacing w:line="300" w:lineRule="auto"/>
      <w:widowControl/>
    </w:pPr>
  </w:style>
  <w:style w:type="paragraph" w:styleId="1026" w:customStyle="1">
    <w:name w:val="正文 New New New New New New New New New New New New New New"/>
    <w:next w:val="849"/>
    <w:uiPriority w:val="99"/>
    <w:qFormat/>
    <w:pPr>
      <w:ind w:firstLine="2048"/>
      <w:jc w:val="both"/>
      <w:widowControl w:val="off"/>
    </w:pPr>
    <w:rPr>
      <w:rFonts w:hint="default" w:ascii="Calibri" w:hAnsi="Calibri" w:eastAsia="宋体" w:cs="Times New Roman"/>
      <w:lang w:val="en-US" w:eastAsia="zh-CN" w:bidi="ar-SA"/>
    </w:rPr>
  </w:style>
  <w:style w:type="character" w:styleId="1027" w:customStyle="1">
    <w:name w:val="标题 1 字符"/>
    <w:link w:val="808"/>
    <w:uiPriority w:val="9"/>
    <w:qFormat/>
    <w:rPr>
      <w:b/>
      <w:bCs/>
      <w:sz w:val="44"/>
      <w:szCs w:val="44"/>
    </w:rPr>
  </w:style>
  <w:style w:type="character" w:styleId="1028" w:customStyle="1">
    <w:name w:val="标题 2 字符"/>
    <w:link w:val="809"/>
    <w:uiPriority w:val="9"/>
    <w:qFormat/>
    <w:rPr>
      <w:rFonts w:ascii="Arial" w:hAnsi="Arial" w:eastAsia="宋体" w:cs="Times New Roman"/>
      <w:b/>
      <w:bCs/>
      <w:sz w:val="28"/>
      <w:szCs w:val="36"/>
    </w:rPr>
  </w:style>
  <w:style w:type="character" w:styleId="1029" w:customStyle="1">
    <w:name w:val="正文缩进 字符"/>
    <w:link w:val="819"/>
    <w:uiPriority w:val="0"/>
    <w:qFormat/>
  </w:style>
  <w:style w:type="character" w:styleId="1030" w:customStyle="1">
    <w:name w:val="标题 3 字符"/>
    <w:link w:val="810"/>
    <w:uiPriority w:val="0"/>
    <w:qFormat/>
    <w:rPr>
      <w:rFonts w:ascii="Arial" w:hAnsi="Arial" w:eastAsia="黑体" w:cs="Times New Roman"/>
      <w:b/>
      <w:bCs/>
      <w:sz w:val="30"/>
      <w:szCs w:val="32"/>
    </w:rPr>
  </w:style>
  <w:style w:type="character" w:styleId="1031" w:customStyle="1">
    <w:name w:val="标题 4 字符"/>
    <w:link w:val="811"/>
    <w:uiPriority w:val="0"/>
    <w:qFormat/>
    <w:rPr>
      <w:rFonts w:ascii="Arial" w:hAnsi="Arial" w:eastAsia="黑体" w:cs="Arial"/>
      <w:b/>
      <w:bCs/>
      <w:sz w:val="28"/>
      <w:szCs w:val="28"/>
    </w:rPr>
  </w:style>
  <w:style w:type="character" w:styleId="1032" w:customStyle="1">
    <w:name w:val="标题 5 字符1"/>
    <w:link w:val="812"/>
    <w:uiPriority w:val="0"/>
    <w:qFormat/>
    <w:rPr>
      <w:rFonts w:ascii="Calibri" w:hAnsi="Calibri" w:eastAsia="宋体" w:cs="Times New Roman"/>
      <w:b/>
      <w:bCs/>
      <w:sz w:val="28"/>
      <w:szCs w:val="28"/>
    </w:rPr>
  </w:style>
  <w:style w:type="character" w:styleId="1033" w:customStyle="1">
    <w:name w:val="标题 6 字符"/>
    <w:link w:val="813"/>
    <w:uiPriority w:val="0"/>
    <w:qFormat/>
    <w:rPr>
      <w:rFonts w:ascii="Cambria" w:hAnsi="Cambria" w:eastAsia="宋体" w:cs="Times New Roman"/>
      <w:b/>
      <w:bCs/>
      <w:sz w:val="24"/>
      <w:szCs w:val="24"/>
    </w:rPr>
  </w:style>
  <w:style w:type="character" w:styleId="1034" w:customStyle="1">
    <w:name w:val="标题 7 字符"/>
    <w:link w:val="814"/>
    <w:uiPriority w:val="0"/>
    <w:qFormat/>
    <w:rPr>
      <w:rFonts w:ascii="Times New Roman" w:hAnsi="Times New Roman" w:eastAsia="宋体" w:cs="Times New Roman"/>
      <w:b/>
      <w:bCs/>
      <w:sz w:val="24"/>
      <w:szCs w:val="24"/>
    </w:rPr>
  </w:style>
  <w:style w:type="character" w:styleId="1035" w:customStyle="1">
    <w:name w:val="标题 8 字符"/>
    <w:link w:val="815"/>
    <w:uiPriority w:val="0"/>
    <w:qFormat/>
    <w:rPr>
      <w:rFonts w:ascii="Cambria" w:hAnsi="Cambria" w:eastAsia="宋体" w:cs="Times New Roman"/>
      <w:sz w:val="24"/>
      <w:szCs w:val="24"/>
    </w:rPr>
  </w:style>
  <w:style w:type="character" w:styleId="1036" w:customStyle="1">
    <w:name w:val="标题 9 字符"/>
    <w:link w:val="816"/>
    <w:uiPriority w:val="0"/>
    <w:qFormat/>
    <w:rPr>
      <w:rFonts w:ascii="Cambria" w:hAnsi="Cambria" w:eastAsia="宋体" w:cs="Times New Roman"/>
      <w:sz w:val="20"/>
      <w:szCs w:val="21"/>
    </w:rPr>
  </w:style>
  <w:style w:type="character" w:styleId="1037" w:customStyle="1">
    <w:name w:val="文档结构图 字符"/>
    <w:link w:val="822"/>
    <w:uiPriority w:val="0"/>
    <w:qFormat/>
    <w:rPr>
      <w:rFonts w:ascii="宋体" w:hAnsi="Times New Roman"/>
      <w:sz w:val="18"/>
      <w:szCs w:val="18"/>
    </w:rPr>
  </w:style>
  <w:style w:type="character" w:styleId="1038" w:customStyle="1">
    <w:name w:val="批注文字 字符"/>
    <w:link w:val="823"/>
    <w:uiPriority w:val="99"/>
    <w:qFormat/>
    <w:rPr>
      <w:rFonts w:ascii="Times New Roman" w:hAnsi="Times New Roman" w:eastAsia="宋体" w:cs="Times New Roman"/>
      <w:szCs w:val="24"/>
    </w:rPr>
  </w:style>
  <w:style w:type="character" w:styleId="1039" w:customStyle="1">
    <w:name w:val="正文文本 3 字符"/>
    <w:link w:val="824"/>
    <w:uiPriority w:val="0"/>
    <w:qFormat/>
    <w:rPr>
      <w:rFonts w:ascii="宋体" w:hAnsi="Times New Roman"/>
      <w:sz w:val="24"/>
    </w:rPr>
  </w:style>
  <w:style w:type="character" w:styleId="1040" w:customStyle="1">
    <w:name w:val="正文文本 字符"/>
    <w:link w:val="825"/>
    <w:uiPriority w:val="0"/>
    <w:qFormat/>
    <w:rPr>
      <w:rFonts w:ascii="楷体_GB2312" w:hAnsi="Arial" w:eastAsia="楷体_GB2312" w:cs="Times New Roman"/>
      <w:sz w:val="28"/>
      <w:szCs w:val="28"/>
    </w:rPr>
  </w:style>
  <w:style w:type="character" w:styleId="1041" w:customStyle="1">
    <w:name w:val="正文文本缩进 字符"/>
    <w:link w:val="826"/>
    <w:uiPriority w:val="99"/>
    <w:qFormat/>
    <w:rPr>
      <w:rFonts w:ascii="Times New Roman" w:hAnsi="Times New Roman"/>
      <w:szCs w:val="24"/>
    </w:rPr>
  </w:style>
  <w:style w:type="character" w:styleId="1042" w:customStyle="1">
    <w:name w:val="纯文本 字符"/>
    <w:link w:val="833"/>
    <w:uiPriority w:val="0"/>
    <w:qFormat/>
    <w:rPr>
      <w:rFonts w:ascii="宋体" w:hAnsi="Courier New" w:eastAsia="宋体" w:cs="Times New Roman"/>
      <w:szCs w:val="21"/>
    </w:rPr>
  </w:style>
  <w:style w:type="character" w:styleId="1043" w:customStyle="1">
    <w:name w:val="正文文本缩进 2 字符"/>
    <w:link w:val="836"/>
    <w:uiPriority w:val="0"/>
    <w:qFormat/>
    <w:rPr>
      <w:rFonts w:ascii="楷体_GB2312" w:hAnsi="Times New Roman" w:eastAsia="楷体_GB2312"/>
      <w:b/>
      <w:bCs/>
      <w:sz w:val="28"/>
      <w:szCs w:val="24"/>
    </w:rPr>
  </w:style>
  <w:style w:type="character" w:styleId="1044" w:customStyle="1">
    <w:name w:val="批注框文本 字符"/>
    <w:link w:val="838"/>
    <w:uiPriority w:val="99"/>
    <w:qFormat/>
    <w:rPr>
      <w:sz w:val="18"/>
      <w:szCs w:val="18"/>
    </w:rPr>
  </w:style>
  <w:style w:type="character" w:styleId="1045" w:customStyle="1">
    <w:name w:val="页脚 字符"/>
    <w:link w:val="839"/>
    <w:uiPriority w:val="99"/>
    <w:qFormat/>
    <w:rPr>
      <w:rFonts w:ascii="Times New Roman" w:hAnsi="Times New Roman" w:eastAsia="宋体" w:cs="Times New Roman"/>
      <w:sz w:val="18"/>
      <w:szCs w:val="18"/>
    </w:rPr>
  </w:style>
  <w:style w:type="character" w:styleId="1046" w:customStyle="1">
    <w:name w:val="页眉 字符"/>
    <w:link w:val="840"/>
    <w:uiPriority w:val="99"/>
    <w:qFormat/>
    <w:rPr>
      <w:rFonts w:ascii="Times New Roman" w:hAnsi="Times New Roman" w:eastAsia="宋体" w:cs="Times New Roman"/>
      <w:sz w:val="18"/>
      <w:szCs w:val="18"/>
    </w:rPr>
  </w:style>
  <w:style w:type="character" w:styleId="1047" w:customStyle="1">
    <w:name w:val="批注主题 字符"/>
    <w:link w:val="853"/>
    <w:uiPriority w:val="99"/>
    <w:qFormat/>
    <w:rPr>
      <w:b/>
      <w:bCs/>
    </w:rPr>
  </w:style>
  <w:style w:type="character" w:styleId="1048" w:customStyle="1">
    <w:name w:val="正文文本首行缩进 2 字符"/>
    <w:link w:val="855"/>
    <w:uiPriority w:val="99"/>
    <w:qFormat/>
    <w:rPr>
      <w:szCs w:val="24"/>
    </w:rPr>
  </w:style>
  <w:style w:type="paragraph" w:styleId="1049" w:customStyle="1">
    <w:name w:val="正文1"/>
    <w:basedOn w:val="807"/>
    <w:next w:val="1050"/>
    <w:link w:val="1056"/>
    <w:uiPriority w:val="99"/>
    <w:qFormat/>
    <w:pPr>
      <w:ind w:firstLine="480"/>
      <w:spacing w:line="440" w:lineRule="exact"/>
    </w:pPr>
    <w:rPr>
      <w:rFonts w:ascii="微软雅黑" w:hAnsi="微软雅黑" w:eastAsia="微软雅黑"/>
      <w:sz w:val="24"/>
      <w:szCs w:val="20"/>
    </w:rPr>
  </w:style>
  <w:style w:type="paragraph" w:styleId="1050" w:customStyle="1">
    <w:name w:val="正文文本1"/>
    <w:basedOn w:val="1049"/>
    <w:next w:val="1051"/>
    <w:uiPriority w:val="0"/>
    <w:qFormat/>
    <w:pPr>
      <w:spacing w:after="120"/>
    </w:pPr>
    <w:rPr>
      <w:lang w:eastAsia="en-US"/>
    </w:rPr>
  </w:style>
  <w:style w:type="paragraph" w:styleId="1051" w:customStyle="1">
    <w:name w:val="一级条标题"/>
    <w:basedOn w:val="1052"/>
    <w:next w:val="10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2" w:customStyle="1">
    <w:name w:val="章标题"/>
    <w:next w:val="105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3" w:customStyle="1">
    <w:name w:val="正文11"/>
    <w:next w:val="10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4" w:customStyle="1">
    <w:name w:val="标题 31"/>
    <w:basedOn w:val="807"/>
    <w:next w:val="1053"/>
    <w:uiPriority w:val="0"/>
    <w:qFormat/>
    <w:pPr>
      <w:keepLines/>
      <w:keepNext/>
      <w:spacing w:before="260" w:after="260" w:line="416" w:lineRule="auto"/>
      <w:outlineLvl w:val="2"/>
    </w:pPr>
    <w:rPr>
      <w:b/>
      <w:bCs/>
      <w:sz w:val="32"/>
      <w:szCs w:val="32"/>
    </w:rPr>
  </w:style>
  <w:style w:type="paragraph" w:styleId="1055" w:customStyle="1">
    <w:name w:val="段"/>
    <w:next w:val="1053"/>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56" w:customStyle="1">
    <w:name w:val="正文1 Char Char"/>
    <w:link w:val="1049"/>
    <w:uiPriority w:val="99"/>
    <w:qFormat/>
    <w:rPr>
      <w:rFonts w:ascii="微软雅黑" w:hAnsi="微软雅黑" w:eastAsia="微软雅黑"/>
      <w:sz w:val="24"/>
    </w:rPr>
  </w:style>
  <w:style w:type="character" w:styleId="1057" w:customStyle="1">
    <w:name w:val="ca-161"/>
    <w:uiPriority w:val="0"/>
    <w:qFormat/>
    <w:rPr>
      <w:rFonts w:hint="eastAsia" w:ascii="宋体" w:hAnsi="宋体" w:eastAsia="宋体"/>
      <w:spacing w:val="0"/>
      <w:sz w:val="21"/>
      <w:szCs w:val="21"/>
    </w:rPr>
  </w:style>
  <w:style w:type="character" w:styleId="1058" w:customStyle="1">
    <w:name w:val="列出段落 Char"/>
    <w:link w:val="1059"/>
    <w:uiPriority w:val="0"/>
    <w:qFormat/>
    <w:rPr>
      <w:rFonts w:ascii="Calibri" w:hAnsi="Calibri" w:eastAsia="宋体" w:cs="Times New Roman"/>
    </w:rPr>
  </w:style>
  <w:style w:type="paragraph" w:styleId="1059" w:customStyle="1">
    <w:name w:val="列出段落1"/>
    <w:basedOn w:val="807"/>
    <w:link w:val="1058"/>
    <w:uiPriority w:val="0"/>
    <w:qFormat/>
    <w:pPr>
      <w:ind w:firstLine="200"/>
    </w:pPr>
    <w:rPr>
      <w:rFonts w:ascii="Calibri" w:hAnsi="Calibri"/>
      <w:sz w:val="20"/>
      <w:szCs w:val="20"/>
    </w:rPr>
  </w:style>
  <w:style w:type="character" w:styleId="1060" w:customStyle="1">
    <w:name w:val="表格文字 Char"/>
    <w:link w:val="1061"/>
    <w:uiPriority w:val="0"/>
    <w:qFormat/>
    <w:rPr>
      <w:szCs w:val="21"/>
    </w:rPr>
  </w:style>
  <w:style w:type="paragraph" w:styleId="1061" w:customStyle="1">
    <w:name w:val="表格文字"/>
    <w:basedOn w:val="807"/>
    <w:link w:val="1060"/>
    <w:uiPriority w:val="0"/>
    <w:qFormat/>
    <w:pPr>
      <w:jc w:val="left"/>
    </w:pPr>
    <w:rPr>
      <w:sz w:val="20"/>
      <w:szCs w:val="21"/>
    </w:rPr>
  </w:style>
  <w:style w:type="character" w:styleId="1062" w:customStyle="1">
    <w:name w:val="标题 5 字符"/>
    <w:uiPriority w:val="0"/>
    <w:semiHidden/>
    <w:qFormat/>
    <w:rPr>
      <w:rFonts w:ascii="Calibri" w:hAnsi="Calibri"/>
      <w:b/>
      <w:bCs/>
      <w:sz w:val="28"/>
      <w:szCs w:val="28"/>
    </w:rPr>
  </w:style>
  <w:style w:type="character" w:styleId="1063" w:customStyle="1">
    <w:name w:val="文档结构图 Char1"/>
    <w:uiPriority w:val="99"/>
    <w:semiHidden/>
    <w:qFormat/>
    <w:rPr>
      <w:rFonts w:ascii="宋体"/>
      <w:sz w:val="18"/>
      <w:szCs w:val="18"/>
    </w:rPr>
  </w:style>
  <w:style w:type="character" w:styleId="1064" w:customStyle="1">
    <w:name w:val="font201"/>
    <w:uiPriority w:val="0"/>
    <w:qFormat/>
    <w:rPr>
      <w:rFonts w:hint="default" w:ascii="Times New Roman" w:hAnsi="Times New Roman" w:cs="Times New Roman"/>
      <w:color w:val="000000"/>
      <w:sz w:val="20"/>
      <w:szCs w:val="20"/>
      <w:u w:val="none"/>
    </w:rPr>
  </w:style>
  <w:style w:type="character" w:styleId="1065" w:customStyle="1">
    <w:name w:val="_Style 86"/>
    <w:uiPriority w:val="19"/>
    <w:qFormat/>
    <w:rPr>
      <w:rFonts w:ascii="Times New Roman" w:hAnsi="Times New Roman"/>
      <w:i/>
      <w:iCs/>
      <w:color w:val="808080"/>
      <w:sz w:val="21"/>
      <w:szCs w:val="20"/>
    </w:rPr>
  </w:style>
  <w:style w:type="character" w:styleId="1066" w:customStyle="1">
    <w:name w:val="H2 Char"/>
    <w:uiPriority w:val="0"/>
    <w:qFormat/>
    <w:rPr>
      <w:rFonts w:ascii="Arial" w:hAnsi="Arial" w:eastAsia="黑体" w:cs="Times New Roman"/>
      <w:b/>
      <w:bCs/>
      <w:sz w:val="32"/>
      <w:szCs w:val="32"/>
    </w:rPr>
  </w:style>
  <w:style w:type="character" w:styleId="1067" w:customStyle="1">
    <w:name w:val="font41"/>
    <w:basedOn w:val="817"/>
    <w:uiPriority w:val="0"/>
    <w:qFormat/>
    <w:rPr>
      <w:rFonts w:hint="eastAsia" w:ascii="宋体" w:hAnsi="宋体" w:eastAsia="宋体"/>
      <w:color w:val="000000"/>
      <w:sz w:val="32"/>
      <w:szCs w:val="32"/>
      <w:u w:val="none"/>
    </w:rPr>
  </w:style>
  <w:style w:type="character" w:styleId="1068" w:customStyle="1">
    <w:name w:val="font191"/>
    <w:uiPriority w:val="0"/>
    <w:qFormat/>
    <w:rPr>
      <w:rFonts w:ascii="Wingdings 2" w:hAnsi="Wingdings 2" w:eastAsia="Wingdings 2" w:cs="Wingdings 2"/>
      <w:color w:val="000000"/>
      <w:sz w:val="20"/>
      <w:szCs w:val="20"/>
      <w:u w:val="none"/>
    </w:rPr>
  </w:style>
  <w:style w:type="character" w:styleId="1069" w:customStyle="1">
    <w:name w:val="font231"/>
    <w:uiPriority w:val="0"/>
    <w:qFormat/>
    <w:rPr>
      <w:rFonts w:hint="eastAsia" w:ascii="宋体" w:hAnsi="宋体" w:eastAsia="宋体" w:cs="宋体"/>
      <w:color w:val="000000"/>
      <w:sz w:val="20"/>
      <w:szCs w:val="20"/>
      <w:u w:val="none"/>
    </w:rPr>
  </w:style>
  <w:style w:type="character" w:styleId="1070" w:customStyle="1">
    <w:name w:val="font241"/>
    <w:uiPriority w:val="0"/>
    <w:qFormat/>
    <w:rPr>
      <w:rFonts w:hint="eastAsia" w:ascii="宋体" w:hAnsi="宋体" w:eastAsia="宋体" w:cs="宋体"/>
      <w:color w:val="000000"/>
      <w:sz w:val="20"/>
      <w:szCs w:val="20"/>
      <w:u w:val="none"/>
    </w:rPr>
  </w:style>
  <w:style w:type="character" w:styleId="1071" w:customStyle="1">
    <w:name w:val="Char Char9"/>
    <w:uiPriority w:val="0"/>
    <w:qFormat/>
    <w:rPr>
      <w:rFonts w:ascii="等线 Light" w:hAnsi="等线 Light" w:eastAsia="等线 Light" w:cs="Times New Roman"/>
      <w:b/>
      <w:bCs/>
      <w:sz w:val="28"/>
      <w:szCs w:val="28"/>
    </w:rPr>
  </w:style>
  <w:style w:type="character" w:styleId="1072" w:customStyle="1">
    <w:name w:val="Char Char10"/>
    <w:uiPriority w:val="0"/>
    <w:qFormat/>
    <w:rPr>
      <w:rFonts w:ascii="Arial" w:hAnsi="Arial" w:eastAsia="黑体" w:cs="Times New Roman"/>
      <w:b/>
      <w:bCs/>
      <w:sz w:val="30"/>
      <w:szCs w:val="32"/>
    </w:rPr>
  </w:style>
  <w:style w:type="character" w:styleId="1073" w:customStyle="1">
    <w:name w:val="表格样式居左 Char"/>
    <w:link w:val="1074"/>
    <w:uiPriority w:val="0"/>
    <w:qFormat/>
    <w:rPr>
      <w:rFonts w:eastAsia="仿宋_GB2312"/>
      <w:bCs/>
      <w:color w:val="000000"/>
      <w:sz w:val="21"/>
      <w:szCs w:val="44"/>
      <w:lang w:val="en-US" w:eastAsia="zh-CN" w:bidi="ar-SA"/>
    </w:rPr>
  </w:style>
  <w:style w:type="paragraph" w:styleId="1074" w:customStyle="1">
    <w:name w:val="表格样式居左"/>
    <w:link w:val="1073"/>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75" w:customStyle="1">
    <w:name w:val="font101"/>
    <w:uiPriority w:val="0"/>
    <w:qFormat/>
    <w:rPr>
      <w:rFonts w:hint="eastAsia" w:ascii="宋体" w:hAnsi="宋体" w:eastAsia="宋体" w:cs="宋体"/>
      <w:b/>
      <w:color w:val="000000"/>
      <w:sz w:val="18"/>
      <w:szCs w:val="18"/>
      <w:u w:val="none"/>
    </w:rPr>
  </w:style>
  <w:style w:type="character" w:styleId="1076" w:customStyle="1">
    <w:name w:val="段落 Char1"/>
    <w:link w:val="1077"/>
    <w:uiPriority w:val="0"/>
    <w:qFormat/>
    <w:rPr>
      <w:rFonts w:eastAsia="仿宋_GB2312"/>
      <w:sz w:val="32"/>
      <w:szCs w:val="32"/>
      <w:lang w:val="en-US" w:eastAsia="zh-CN" w:bidi="ar-SA"/>
    </w:rPr>
  </w:style>
  <w:style w:type="paragraph" w:styleId="1077" w:customStyle="1">
    <w:name w:val="段落"/>
    <w:link w:val="1076"/>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78" w:customStyle="1">
    <w:name w:val="font131"/>
    <w:uiPriority w:val="0"/>
    <w:qFormat/>
    <w:rPr>
      <w:rFonts w:ascii="Wingdings 2" w:hAnsi="Wingdings 2" w:eastAsia="Wingdings 2" w:cs="Wingdings 2"/>
      <w:color w:val="000000"/>
      <w:sz w:val="20"/>
      <w:szCs w:val="20"/>
      <w:u w:val="none"/>
    </w:rPr>
  </w:style>
  <w:style w:type="character" w:styleId="1079" w:customStyle="1">
    <w:name w:val="一级缩进 Char"/>
    <w:link w:val="1080"/>
    <w:uiPriority w:val="0"/>
    <w:qFormat/>
    <w:rPr>
      <w:rFonts w:eastAsia="仿宋_GB2312"/>
      <w:sz w:val="32"/>
      <w:szCs w:val="32"/>
      <w:lang w:val="en-US" w:eastAsia="zh-CN" w:bidi="ar-SA"/>
    </w:rPr>
  </w:style>
  <w:style w:type="paragraph" w:styleId="1080" w:customStyle="1">
    <w:name w:val="一级缩进"/>
    <w:link w:val="1079"/>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81" w:customStyle="1">
    <w:name w:val="正文文本 3 Char1"/>
    <w:uiPriority w:val="99"/>
    <w:semiHidden/>
    <w:qFormat/>
    <w:rPr>
      <w:sz w:val="16"/>
      <w:szCs w:val="16"/>
    </w:rPr>
  </w:style>
  <w:style w:type="character" w:styleId="1082" w:customStyle="1">
    <w:name w:val="apple-style-span"/>
    <w:uiPriority w:val="0"/>
    <w:qFormat/>
  </w:style>
  <w:style w:type="character" w:styleId="1083" w:customStyle="1">
    <w:name w:val="批注框文本 Char1"/>
    <w:uiPriority w:val="99"/>
    <w:semiHidden/>
    <w:qFormat/>
    <w:rPr>
      <w:rFonts w:ascii="Times New Roman" w:hAnsi="Times New Roman"/>
      <w:sz w:val="18"/>
      <w:szCs w:val="18"/>
    </w:rPr>
  </w:style>
  <w:style w:type="character" w:styleId="1084" w:customStyle="1">
    <w:name w:val="font221"/>
    <w:uiPriority w:val="0"/>
    <w:qFormat/>
    <w:rPr>
      <w:rFonts w:hint="eastAsia" w:ascii="宋体" w:hAnsi="宋体" w:eastAsia="宋体" w:cs="宋体"/>
      <w:b/>
      <w:color w:val="000000"/>
      <w:sz w:val="20"/>
      <w:szCs w:val="20"/>
      <w:u w:val="none"/>
    </w:rPr>
  </w:style>
  <w:style w:type="character" w:styleId="1085" w:customStyle="1">
    <w:name w:val="font61"/>
    <w:uiPriority w:val="0"/>
    <w:qFormat/>
    <w:rPr>
      <w:rFonts w:hint="eastAsia" w:ascii="宋体" w:hAnsi="宋体" w:eastAsia="宋体" w:cs="宋体"/>
      <w:color w:val="000000"/>
      <w:sz w:val="20"/>
      <w:szCs w:val="20"/>
      <w:u w:val="none"/>
    </w:rPr>
  </w:style>
  <w:style w:type="character" w:styleId="1086" w:customStyle="1">
    <w:name w:val="top_title1"/>
    <w:uiPriority w:val="0"/>
    <w:qFormat/>
    <w:rPr>
      <w:b/>
      <w:bCs/>
      <w:color w:val="333333"/>
      <w:sz w:val="24"/>
      <w:szCs w:val="24"/>
    </w:rPr>
  </w:style>
  <w:style w:type="character" w:styleId="1087" w:customStyle="1">
    <w:name w:val="font81"/>
    <w:uiPriority w:val="0"/>
    <w:qFormat/>
    <w:rPr>
      <w:rFonts w:ascii="Symbol" w:hAnsi="Symbol" w:cs="Symbol"/>
      <w:color w:val="000000"/>
      <w:sz w:val="20"/>
      <w:szCs w:val="20"/>
      <w:u w:val="none"/>
    </w:rPr>
  </w:style>
  <w:style w:type="character" w:styleId="1088" w:customStyle="1">
    <w:name w:val="font141"/>
    <w:uiPriority w:val="0"/>
    <w:qFormat/>
    <w:rPr>
      <w:rFonts w:hint="eastAsia" w:ascii="宋体" w:hAnsi="宋体" w:eastAsia="宋体" w:cs="宋体"/>
      <w:color w:val="ff0000"/>
      <w:sz w:val="20"/>
      <w:szCs w:val="20"/>
      <w:u w:val="none"/>
      <w:vertAlign w:val="superscript"/>
    </w:rPr>
  </w:style>
  <w:style w:type="character" w:styleId="1089" w:customStyle="1">
    <w:name w:val="正文文本缩进 Char1"/>
    <w:uiPriority w:val="99"/>
    <w:semiHidden/>
    <w:qFormat/>
  </w:style>
  <w:style w:type="character" w:styleId="1090" w:customStyle="1">
    <w:name w:val="正文缩进 Char1"/>
    <w:uiPriority w:val="0"/>
    <w:qFormat/>
    <w:rPr>
      <w:rFonts w:ascii="Times New Roman" w:hAnsi="Times New Roman" w:eastAsia="宋体" w:cs="Times New Roman"/>
      <w:szCs w:val="20"/>
    </w:rPr>
  </w:style>
  <w:style w:type="character" w:styleId="1091" w:customStyle="1">
    <w:name w:val="font11"/>
    <w:uiPriority w:val="0"/>
    <w:qFormat/>
    <w:rPr>
      <w:rFonts w:hint="eastAsia" w:ascii="宋体" w:hAnsi="宋体" w:eastAsia="宋体" w:cs="宋体"/>
      <w:color w:val="000000"/>
      <w:sz w:val="20"/>
      <w:szCs w:val="20"/>
      <w:u w:val="none"/>
    </w:rPr>
  </w:style>
  <w:style w:type="character" w:styleId="1092" w:customStyle="1">
    <w:name w:val="表格样式居中 Char"/>
    <w:link w:val="1093"/>
    <w:uiPriority w:val="0"/>
    <w:qFormat/>
    <w:rPr>
      <w:rFonts w:ascii="宋体" w:hAnsi="宋体"/>
      <w:bCs/>
      <w:sz w:val="21"/>
      <w:szCs w:val="21"/>
      <w:lang w:val="zh-CN" w:eastAsia="zh-CN" w:bidi="ar-SA"/>
    </w:rPr>
  </w:style>
  <w:style w:type="paragraph" w:styleId="1093" w:customStyle="1">
    <w:name w:val="表格样式居中"/>
    <w:link w:val="1092"/>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94" w:customStyle="1">
    <w:name w:val="正文文本缩进 2 Char1"/>
    <w:uiPriority w:val="99"/>
    <w:semiHidden/>
    <w:qFormat/>
  </w:style>
  <w:style w:type="character" w:styleId="1095" w:customStyle="1">
    <w:name w:val="font161"/>
    <w:uiPriority w:val="0"/>
    <w:qFormat/>
    <w:rPr>
      <w:rFonts w:hint="eastAsia" w:ascii="宋体" w:hAnsi="宋体" w:eastAsia="宋体" w:cs="宋体"/>
      <w:b/>
      <w:color w:val="ff0000"/>
      <w:sz w:val="20"/>
      <w:szCs w:val="20"/>
      <w:u w:val="none"/>
    </w:rPr>
  </w:style>
  <w:style w:type="character" w:styleId="1096" w:customStyle="1">
    <w:name w:val="批注主题 Char1"/>
    <w:uiPriority w:val="99"/>
    <w:semiHidden/>
    <w:qFormat/>
    <w:rPr>
      <w:rFonts w:ascii="Times New Roman" w:hAnsi="Times New Roman" w:eastAsia="宋体" w:cs="Times New Roman"/>
      <w:b/>
      <w:bCs/>
      <w:szCs w:val="24"/>
    </w:rPr>
  </w:style>
  <w:style w:type="character" w:styleId="1097" w:customStyle="1">
    <w:name w:val="font51"/>
    <w:uiPriority w:val="0"/>
    <w:qFormat/>
    <w:rPr>
      <w:rFonts w:hint="eastAsia" w:ascii="宋体" w:hAnsi="宋体" w:eastAsia="宋体" w:cs="宋体"/>
      <w:b/>
      <w:color w:val="000000"/>
      <w:sz w:val="20"/>
      <w:szCs w:val="20"/>
      <w:u w:val="none"/>
    </w:rPr>
  </w:style>
  <w:style w:type="character" w:styleId="1098" w:customStyle="1">
    <w:name w:val="font01"/>
    <w:basedOn w:val="817"/>
    <w:uiPriority w:val="0"/>
    <w:qFormat/>
    <w:rPr>
      <w:rFonts w:hint="eastAsia" w:ascii="宋体" w:hAnsi="宋体" w:eastAsia="宋体"/>
      <w:color w:val="000000"/>
      <w:sz w:val="24"/>
      <w:szCs w:val="24"/>
      <w:u w:val="none"/>
    </w:rPr>
  </w:style>
  <w:style w:type="character" w:styleId="1099" w:customStyle="1">
    <w:name w:val="批注文字 Char"/>
    <w:uiPriority w:val="99"/>
    <w:qFormat/>
    <w:rPr>
      <w:sz w:val="21"/>
      <w:szCs w:val="22"/>
    </w:rPr>
  </w:style>
  <w:style w:type="character" w:styleId="1100" w:customStyle="1">
    <w:name w:val="unnamed11"/>
    <w:uiPriority w:val="99"/>
    <w:qFormat/>
    <w:rPr>
      <w:rFonts w:hint="eastAsia" w:ascii="宋体" w:hAnsi="宋体" w:eastAsia="宋体"/>
      <w:sz w:val="21"/>
      <w:szCs w:val="21"/>
    </w:rPr>
  </w:style>
  <w:style w:type="character" w:styleId="1101" w:customStyle="1">
    <w:name w:val="font71"/>
    <w:uiPriority w:val="0"/>
    <w:qFormat/>
    <w:rPr>
      <w:rFonts w:hint="eastAsia" w:ascii="宋体" w:hAnsi="宋体" w:eastAsia="宋体" w:cs="宋体"/>
      <w:color w:val="000000"/>
      <w:sz w:val="20"/>
      <w:szCs w:val="20"/>
      <w:u w:val="none"/>
    </w:rPr>
  </w:style>
  <w:style w:type="character" w:styleId="1102" w:customStyle="1">
    <w:name w:val="Char Char8"/>
    <w:uiPriority w:val="0"/>
    <w:qFormat/>
    <w:rPr>
      <w:rFonts w:ascii="Calibri" w:hAnsi="Calibri" w:eastAsia="宋体" w:cs="Times New Roman"/>
      <w:b/>
      <w:bCs/>
      <w:sz w:val="28"/>
      <w:szCs w:val="28"/>
    </w:rPr>
  </w:style>
  <w:style w:type="character" w:styleId="1103" w:customStyle="1">
    <w:name w:val="Char Char11"/>
    <w:uiPriority w:val="0"/>
    <w:qFormat/>
    <w:rPr>
      <w:rFonts w:ascii="Arial" w:hAnsi="Arial" w:eastAsia="宋体" w:cs="Times New Roman"/>
      <w:b/>
      <w:bCs/>
      <w:sz w:val="28"/>
      <w:szCs w:val="36"/>
    </w:rPr>
  </w:style>
  <w:style w:type="character" w:styleId="1104" w:customStyle="1">
    <w:name w:val="Char Char12"/>
    <w:uiPriority w:val="0"/>
    <w:qFormat/>
    <w:rPr>
      <w:b/>
      <w:bCs/>
      <w:sz w:val="44"/>
      <w:szCs w:val="44"/>
    </w:rPr>
  </w:style>
  <w:style w:type="character" w:styleId="1105" w:customStyle="1">
    <w:name w:val="font111"/>
    <w:uiPriority w:val="0"/>
    <w:qFormat/>
    <w:rPr>
      <w:rFonts w:hint="eastAsia" w:ascii="宋体" w:hAnsi="宋体" w:eastAsia="宋体" w:cs="宋体"/>
      <w:color w:val="ff0000"/>
      <w:sz w:val="18"/>
      <w:szCs w:val="18"/>
      <w:u w:val="none"/>
    </w:rPr>
  </w:style>
  <w:style w:type="character" w:styleId="1106" w:customStyle="1">
    <w:name w:val="font21"/>
    <w:uiPriority w:val="0"/>
    <w:qFormat/>
    <w:rPr>
      <w:rFonts w:hint="eastAsia" w:ascii="仿宋_GB2312" w:hAnsi="Times New Roman" w:eastAsia="仿宋_GB2312" w:cs="仿宋_GB2312"/>
      <w:color w:val="000000"/>
      <w:sz w:val="22"/>
      <w:szCs w:val="22"/>
      <w:u w:val="none"/>
    </w:rPr>
  </w:style>
  <w:style w:type="character" w:styleId="1107" w:customStyle="1">
    <w:name w:val="无间隔 Char"/>
    <w:link w:val="1108"/>
    <w:uiPriority w:val="0"/>
    <w:qFormat/>
    <w:rPr>
      <w:sz w:val="21"/>
      <w:szCs w:val="22"/>
      <w:lang w:val="en-US" w:eastAsia="zh-CN" w:bidi="ar-SA"/>
    </w:rPr>
  </w:style>
  <w:style w:type="paragraph" w:styleId="1108" w:customStyle="1">
    <w:name w:val="msonospacing"/>
    <w:link w:val="110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9" w:customStyle="1">
    <w:name w:val="font211"/>
    <w:uiPriority w:val="0"/>
    <w:qFormat/>
    <w:rPr>
      <w:rFonts w:hint="eastAsia" w:ascii="宋体" w:hAnsi="宋体" w:eastAsia="宋体" w:cs="宋体"/>
      <w:color w:val="ff0000"/>
      <w:sz w:val="20"/>
      <w:szCs w:val="20"/>
      <w:u w:val="none"/>
      <w:vertAlign w:val="superscript"/>
    </w:rPr>
  </w:style>
  <w:style w:type="character" w:styleId="1110" w:customStyle="1">
    <w:name w:val="NormalCharacter"/>
    <w:uiPriority w:val="0"/>
    <w:qFormat/>
    <w:rPr>
      <w:sz w:val="21"/>
      <w:szCs w:val="22"/>
      <w:lang w:val="en-US" w:eastAsia="zh-CN" w:bidi="ar-SA"/>
    </w:rPr>
  </w:style>
  <w:style w:type="character" w:styleId="1111" w:customStyle="1">
    <w:name w:val="font171"/>
    <w:uiPriority w:val="0"/>
    <w:qFormat/>
    <w:rPr>
      <w:rFonts w:hint="eastAsia" w:ascii="宋体" w:hAnsi="宋体" w:eastAsia="宋体" w:cs="宋体"/>
      <w:color w:val="000000"/>
      <w:sz w:val="20"/>
      <w:szCs w:val="20"/>
      <w:u w:val="none"/>
    </w:rPr>
  </w:style>
  <w:style w:type="character" w:styleId="1112" w:customStyle="1">
    <w:name w:val="项目排列 Char"/>
    <w:link w:val="1113"/>
    <w:uiPriority w:val="0"/>
    <w:qFormat/>
    <w:rPr>
      <w:sz w:val="24"/>
      <w:szCs w:val="24"/>
    </w:rPr>
  </w:style>
  <w:style w:type="paragraph" w:styleId="1113" w:customStyle="1">
    <w:name w:val="项目排列"/>
    <w:basedOn w:val="807"/>
    <w:link w:val="1112"/>
    <w:uiPriority w:val="0"/>
    <w:qFormat/>
    <w:pPr>
      <w:numPr>
        <w:ilvl w:val="0"/>
        <w:numId w:val="4"/>
      </w:numPr>
      <w:spacing w:before="156" w:after="156" w:line="300" w:lineRule="auto"/>
      <w:tabs>
        <w:tab w:val="left" w:pos="900" w:leader="none"/>
      </w:tabs>
    </w:pPr>
    <w:rPr>
      <w:sz w:val="24"/>
      <w:szCs w:val="24"/>
    </w:rPr>
  </w:style>
  <w:style w:type="character" w:styleId="1114" w:customStyle="1">
    <w:name w:val="hover4"/>
    <w:uiPriority w:val="0"/>
    <w:qFormat/>
    <w:rPr>
      <w:color w:val="999999"/>
    </w:rPr>
  </w:style>
  <w:style w:type="character" w:styleId="1115" w:customStyle="1">
    <w:name w:val="font91"/>
    <w:uiPriority w:val="0"/>
    <w:qFormat/>
    <w:rPr>
      <w:rFonts w:hint="eastAsia" w:ascii="宋体" w:hAnsi="宋体" w:eastAsia="宋体" w:cs="宋体"/>
      <w:color w:val="000000"/>
      <w:sz w:val="16"/>
      <w:szCs w:val="16"/>
      <w:u w:val="none"/>
    </w:rPr>
  </w:style>
  <w:style w:type="paragraph" w:styleId="1116" w:customStyle="1">
    <w:name w:val="Char"/>
    <w:basedOn w:val="807"/>
    <w:uiPriority w:val="0"/>
    <w:qFormat/>
    <w:pPr>
      <w:ind w:left="1350" w:hanging="1350"/>
      <w:tabs>
        <w:tab w:val="left" w:pos="1350" w:leader="none"/>
      </w:tabs>
    </w:pPr>
    <w:rPr>
      <w:sz w:val="24"/>
      <w:szCs w:val="24"/>
    </w:rPr>
  </w:style>
  <w:style w:type="paragraph" w:styleId="1117" w:customStyle="1">
    <w:name w:val="正文 1.1.1"/>
    <w:basedOn w:val="807"/>
    <w:next w:val="807"/>
    <w:uiPriority w:val="0"/>
    <w:qFormat/>
    <w:pPr>
      <w:numPr>
        <w:ilvl w:val="2"/>
        <w:numId w:val="5"/>
      </w:numPr>
      <w:outlineLvl w:val="2"/>
    </w:pPr>
    <w:rPr>
      <w:rFonts w:hAnsi="宋体"/>
      <w:color w:val="ff0000"/>
    </w:rPr>
  </w:style>
  <w:style w:type="paragraph" w:styleId="1118" w:customStyle="1">
    <w:name w:val="Default Paragraph Font Para Char"/>
    <w:basedOn w:val="807"/>
    <w:uiPriority w:val="0"/>
    <w:qFormat/>
    <w:pPr>
      <w:jc w:val="left"/>
      <w:spacing w:before="156" w:after="160" w:line="240" w:lineRule="exact"/>
      <w:widowControl/>
    </w:pPr>
    <w:rPr>
      <w:rFonts w:ascii="Verdana" w:hAnsi="Verdana"/>
      <w:sz w:val="20"/>
      <w:szCs w:val="20"/>
      <w:lang w:eastAsia="en-US"/>
    </w:rPr>
  </w:style>
  <w:style w:type="paragraph" w:styleId="1119" w:customStyle="1">
    <w:name w:val="unnamed1"/>
    <w:basedOn w:val="807"/>
    <w:uiPriority w:val="0"/>
    <w:qFormat/>
    <w:pPr>
      <w:jc w:val="left"/>
      <w:spacing w:before="100" w:beforeAutospacing="1" w:after="100" w:afterAutospacing="1" w:line="288" w:lineRule="auto"/>
      <w:widowControl/>
    </w:pPr>
    <w:rPr>
      <w:rFonts w:hint="eastAsia" w:ascii="宋体" w:hAnsi="宋体"/>
      <w:szCs w:val="21"/>
    </w:rPr>
  </w:style>
  <w:style w:type="paragraph" w:styleId="1120" w:customStyle="1">
    <w:name w:val="正文缩进1"/>
    <w:basedOn w:val="807"/>
    <w:uiPriority w:val="0"/>
    <w:qFormat/>
    <w:pPr>
      <w:ind w:firstLine="420"/>
      <w:jc w:val="left"/>
      <w:spacing w:line="360" w:lineRule="auto"/>
      <w:widowControl/>
    </w:pPr>
    <w:rPr>
      <w:rFonts w:ascii="宋体"/>
      <w:sz w:val="20"/>
      <w:szCs w:val="20"/>
    </w:rPr>
  </w:style>
  <w:style w:type="paragraph" w:styleId="1121" w:customStyle="1">
    <w:name w:val="Char1"/>
    <w:basedOn w:val="807"/>
    <w:uiPriority w:val="0"/>
    <w:qFormat/>
    <w:rPr>
      <w:rFonts w:ascii="仿宋_GB2312" w:eastAsia="仿宋_GB2312"/>
      <w:b/>
      <w:sz w:val="32"/>
      <w:szCs w:val="32"/>
    </w:rPr>
  </w:style>
  <w:style w:type="paragraph" w:styleId="1122" w:customStyle="1">
    <w:name w:val="文档正文"/>
    <w:basedOn w:val="807"/>
    <w:uiPriority w:val="0"/>
    <w:qFormat/>
    <w:pPr>
      <w:ind w:firstLine="567"/>
      <w:spacing w:line="480" w:lineRule="atLeast"/>
    </w:pPr>
    <w:rPr>
      <w:rFonts w:ascii="仿宋_GB2312" w:eastAsia="仿宋_GB2312"/>
      <w:sz w:val="28"/>
      <w:szCs w:val="24"/>
    </w:rPr>
  </w:style>
  <w:style w:type="paragraph" w:styleId="1123" w:customStyle="1">
    <w:name w:val="二级目录"/>
    <w:next w:val="807"/>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24" w:customStyle="1">
    <w:name w:val="List Paragraph1"/>
    <w:basedOn w:val="807"/>
    <w:uiPriority w:val="0"/>
    <w:qFormat/>
    <w:pPr>
      <w:ind w:firstLine="420"/>
    </w:pPr>
    <w:rPr>
      <w:szCs w:val="20"/>
    </w:rPr>
  </w:style>
  <w:style w:type="paragraph" w:styleId="1125" w:customStyle="1">
    <w:name w:val="_Style 2"/>
    <w:basedOn w:val="807"/>
    <w:uiPriority w:val="34"/>
    <w:qFormat/>
    <w:pPr>
      <w:ind w:firstLine="420"/>
    </w:pPr>
    <w:rPr>
      <w:szCs w:val="24"/>
    </w:rPr>
  </w:style>
  <w:style w:type="paragraph" w:styleId="1126"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27" w:customStyle="1">
    <w:name w:val="文档标题"/>
    <w:basedOn w:val="807"/>
    <w:uiPriority w:val="0"/>
    <w:qFormat/>
    <w:pPr>
      <w:jc w:val="center"/>
      <w:spacing w:before="312" w:after="312" w:line="300" w:lineRule="auto"/>
    </w:pPr>
    <w:rPr>
      <w:rFonts w:ascii="Arial" w:hAnsi="Arial" w:eastAsia="黑体" w:cs="Arial"/>
      <w:b/>
      <w:sz w:val="48"/>
      <w:szCs w:val="32"/>
    </w:rPr>
  </w:style>
  <w:style w:type="paragraph" w:styleId="1128" w:customStyle="1">
    <w:name w:val="Char1 Char Char Char Char Char Char"/>
    <w:basedOn w:val="807"/>
    <w:uiPriority w:val="0"/>
    <w:qFormat/>
    <w:rPr>
      <w:szCs w:val="24"/>
    </w:rPr>
  </w:style>
  <w:style w:type="paragraph" w:styleId="1129" w:customStyle="1">
    <w:name w:val="Char Char Char Char Char Char Char"/>
    <w:basedOn w:val="822"/>
    <w:uiPriority w:val="0"/>
    <w:qFormat/>
    <w:pPr>
      <w:shd w:val="clear" w:color="auto" w:fill="000080"/>
    </w:pPr>
    <w:rPr>
      <w:rFonts w:ascii="Times New Roman"/>
      <w:sz w:val="21"/>
      <w:szCs w:val="20"/>
    </w:rPr>
  </w:style>
  <w:style w:type="paragraph" w:styleId="1130"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1" w:customStyle="1">
    <w:name w:val="列表段落1"/>
    <w:basedOn w:val="807"/>
    <w:uiPriority w:val="34"/>
    <w:qFormat/>
    <w:pPr>
      <w:ind w:left="720"/>
    </w:pPr>
    <w:rPr>
      <w:szCs w:val="21"/>
    </w:rPr>
  </w:style>
  <w:style w:type="paragraph" w:styleId="1132" w:customStyle="1">
    <w:name w:val="普通正文"/>
    <w:basedOn w:val="1053"/>
    <w:uiPriority w:val="0"/>
    <w:qFormat/>
    <w:pPr>
      <w:jc w:val="left"/>
      <w:spacing w:before="120" w:after="120" w:line="360" w:lineRule="auto"/>
    </w:pPr>
    <w:rPr>
      <w:rFonts w:ascii="Arial" w:hAnsi="Arial" w:eastAsia="宋体"/>
      <w:szCs w:val="24"/>
    </w:rPr>
  </w:style>
  <w:style w:type="paragraph" w:styleId="1133" w:customStyle="1">
    <w:name w:val="正文 1.1"/>
    <w:basedOn w:val="807"/>
    <w:next w:val="1117"/>
    <w:uiPriority w:val="0"/>
    <w:qFormat/>
    <w:pPr>
      <w:numPr>
        <w:ilvl w:val="1"/>
        <w:numId w:val="5"/>
      </w:numPr>
      <w:ind w:firstLine="550"/>
      <w:outlineLvl w:val="1"/>
    </w:pPr>
    <w:rPr>
      <w:rFonts w:ascii="仿宋" w:hAnsi="仿宋"/>
      <w:b/>
    </w:rPr>
  </w:style>
  <w:style w:type="paragraph" w:styleId="1134" w:customStyle="1">
    <w:name w:val="Table Paragraph"/>
    <w:basedOn w:val="807"/>
    <w:uiPriority w:val="1"/>
    <w:qFormat/>
    <w:rPr>
      <w:rFonts w:ascii="Calibri" w:hAnsi="Calibri"/>
      <w:lang w:eastAsia="en-US"/>
    </w:rPr>
  </w:style>
  <w:style w:type="paragraph" w:styleId="113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36"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7" w:customStyle="1">
    <w:name w:val="CD 正文"/>
    <w:basedOn w:val="807"/>
    <w:uiPriority w:val="0"/>
    <w:qFormat/>
    <w:pPr>
      <w:jc w:val="left"/>
    </w:pPr>
    <w:rPr>
      <w:rFonts w:ascii="Arial" w:hAnsi="Arial" w:eastAsia="微软雅黑" w:cs="Arial"/>
      <w:szCs w:val="21"/>
    </w:rPr>
  </w:style>
  <w:style w:type="paragraph" w:styleId="1138"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139" w:customStyle="1">
    <w:name w:val="Char2"/>
    <w:basedOn w:val="807"/>
    <w:uiPriority w:val="0"/>
    <w:qFormat/>
    <w:pPr>
      <w:ind w:firstLine="200"/>
      <w:tabs>
        <w:tab w:val="left" w:pos="360" w:leader="none"/>
      </w:tabs>
    </w:pPr>
    <w:rPr>
      <w:sz w:val="28"/>
      <w:szCs w:val="30"/>
    </w:rPr>
  </w:style>
  <w:style w:type="paragraph" w:styleId="1140"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41" w:customStyle="1">
    <w:name w:val="p0"/>
    <w:basedOn w:val="807"/>
    <w:uiPriority w:val="0"/>
    <w:qFormat/>
    <w:pPr>
      <w:widowControl/>
    </w:pPr>
    <w:rPr>
      <w:szCs w:val="21"/>
    </w:rPr>
  </w:style>
  <w:style w:type="paragraph" w:styleId="1142" w:customStyle="1">
    <w:name w:val="msonormal"/>
    <w:basedOn w:val="807"/>
    <w:uiPriority w:val="0"/>
    <w:qFormat/>
    <w:pPr>
      <w:jc w:val="left"/>
      <w:spacing w:before="100" w:beforeAutospacing="1" w:after="100" w:afterAutospacing="1"/>
      <w:widowControl/>
    </w:pPr>
    <w:rPr>
      <w:rFonts w:ascii="宋体" w:hAnsi="宋体" w:cs="宋体"/>
      <w:sz w:val="24"/>
      <w:szCs w:val="24"/>
    </w:rPr>
  </w:style>
  <w:style w:type="paragraph" w:styleId="1143" w:customStyle="1">
    <w:name w:val="font5"/>
    <w:basedOn w:val="807"/>
    <w:uiPriority w:val="0"/>
    <w:qFormat/>
    <w:pPr>
      <w:jc w:val="left"/>
      <w:spacing w:before="100" w:beforeAutospacing="1" w:after="100" w:afterAutospacing="1"/>
      <w:widowControl/>
    </w:pPr>
    <w:rPr>
      <w:rFonts w:ascii="宋体" w:hAnsi="宋体" w:cs="宋体"/>
      <w:sz w:val="18"/>
      <w:szCs w:val="18"/>
    </w:rPr>
  </w:style>
  <w:style w:type="paragraph" w:styleId="1144" w:customStyle="1">
    <w:name w:val="font6"/>
    <w:basedOn w:val="807"/>
    <w:uiPriority w:val="0"/>
    <w:qFormat/>
    <w:pPr>
      <w:jc w:val="left"/>
      <w:spacing w:before="100" w:beforeAutospacing="1" w:after="100" w:afterAutospacing="1"/>
      <w:widowControl/>
    </w:pPr>
    <w:rPr>
      <w:rFonts w:ascii="Calibri" w:hAnsi="Calibri" w:cs="Calibri"/>
      <w:sz w:val="18"/>
      <w:szCs w:val="18"/>
    </w:rPr>
  </w:style>
  <w:style w:type="paragraph" w:styleId="1145" w:customStyle="1">
    <w:name w:val="xl84"/>
    <w:basedOn w:val="807"/>
    <w:uiPriority w:val="0"/>
    <w:qFormat/>
    <w:pPr>
      <w:jc w:val="left"/>
      <w:spacing w:before="100" w:beforeAutospacing="1" w:after="100" w:afterAutospacing="1"/>
      <w:widowControl/>
    </w:pPr>
    <w:rPr>
      <w:rFonts w:ascii="宋体" w:hAnsi="宋体" w:cs="宋体"/>
      <w:color w:val="000000"/>
      <w:sz w:val="24"/>
      <w:szCs w:val="24"/>
    </w:rPr>
  </w:style>
  <w:style w:type="paragraph" w:styleId="1146" w:customStyle="1">
    <w:name w:val="xl85"/>
    <w:basedOn w:val="80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86"/>
    <w:basedOn w:val="807"/>
    <w:uiPriority w:val="0"/>
    <w:qFormat/>
    <w:pPr>
      <w:jc w:val="left"/>
      <w:spacing w:before="100" w:beforeAutospacing="1" w:after="100" w:afterAutospacing="1"/>
      <w:widowControl/>
    </w:pPr>
    <w:rPr>
      <w:rFonts w:ascii="宋体" w:hAnsi="宋体" w:cs="宋体"/>
      <w:sz w:val="24"/>
      <w:szCs w:val="24"/>
    </w:rPr>
  </w:style>
  <w:style w:type="paragraph" w:styleId="1148" w:customStyle="1">
    <w:name w:val="xl87"/>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9" w:customStyle="1">
    <w:name w:val="xl88"/>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50" w:customStyle="1">
    <w:name w:val="xl89"/>
    <w:basedOn w:val="807"/>
    <w:uiPriority w:val="0"/>
    <w:qFormat/>
    <w:pPr>
      <w:jc w:val="left"/>
      <w:spacing w:before="100" w:beforeAutospacing="1" w:after="100" w:afterAutospacing="1"/>
      <w:widowControl/>
    </w:pPr>
    <w:rPr>
      <w:rFonts w:ascii="宋体" w:hAnsi="宋体" w:cs="宋体"/>
      <w:sz w:val="24"/>
      <w:szCs w:val="24"/>
    </w:rPr>
  </w:style>
  <w:style w:type="paragraph" w:styleId="1151" w:customStyle="1">
    <w:name w:val="xl90"/>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2" w:customStyle="1">
    <w:name w:val="xl91"/>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3" w:customStyle="1">
    <w:name w:val="xl92"/>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4" w:customStyle="1">
    <w:name w:val="xl93"/>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xl94"/>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6" w:customStyle="1">
    <w:name w:val="xl95"/>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57" w:customStyle="1">
    <w:name w:val="xl96"/>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8" w:customStyle="1">
    <w:name w:val="xl97"/>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9" w:customStyle="1">
    <w:name w:val="xl98"/>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0" w:customStyle="1">
    <w:name w:val="xl99"/>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1" w:customStyle="1">
    <w:name w:val="xl100"/>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2" w:customStyle="1">
    <w:name w:val="xl101"/>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3" w:customStyle="1">
    <w:name w:val="xl102"/>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4" w:customStyle="1">
    <w:name w:val="xl103"/>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65" w:customStyle="1">
    <w:name w:val="xl104"/>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6" w:customStyle="1">
    <w:name w:val="xl105"/>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106"/>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8" w:customStyle="1">
    <w:name w:val="xl107"/>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108"/>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109"/>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1" w:customStyle="1">
    <w:name w:val="xl110"/>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111"/>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3" w:customStyle="1">
    <w:name w:val="xl112"/>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13"/>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5" w:customStyle="1">
    <w:name w:val="xl115"/>
    <w:basedOn w:val="80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xl116"/>
    <w:basedOn w:val="80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7" w:customStyle="1">
    <w:name w:val="xl117"/>
    <w:basedOn w:val="80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8" w:customStyle="1">
    <w:name w:val="xl118"/>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9" w:customStyle="1">
    <w:name w:val="xl119"/>
    <w:basedOn w:val="807"/>
    <w:uiPriority w:val="0"/>
    <w:qFormat/>
    <w:pPr>
      <w:jc w:val="center"/>
      <w:spacing w:before="100" w:beforeAutospacing="1" w:after="100" w:afterAutospacing="1"/>
      <w:widowControl/>
    </w:pPr>
    <w:rPr>
      <w:rFonts w:ascii="宋体" w:hAnsi="宋体" w:cs="宋体"/>
      <w:sz w:val="24"/>
      <w:szCs w:val="24"/>
    </w:rPr>
  </w:style>
  <w:style w:type="paragraph" w:styleId="1180" w:customStyle="1">
    <w:name w:val="xl120"/>
    <w:basedOn w:val="807"/>
    <w:uiPriority w:val="0"/>
    <w:qFormat/>
    <w:pPr>
      <w:jc w:val="center"/>
      <w:spacing w:before="100" w:beforeAutospacing="1" w:after="100" w:afterAutospacing="1"/>
      <w:widowControl/>
    </w:pPr>
    <w:rPr>
      <w:rFonts w:ascii="宋体" w:hAnsi="宋体" w:cs="宋体"/>
      <w:sz w:val="24"/>
      <w:szCs w:val="24"/>
    </w:rPr>
  </w:style>
  <w:style w:type="paragraph" w:styleId="1181" w:customStyle="1">
    <w:name w:val="xl121"/>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2" w:customStyle="1">
    <w:name w:val="xl122"/>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3" w:customStyle="1">
    <w:name w:val="xl123"/>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4" w:customStyle="1">
    <w:name w:val="xl124"/>
    <w:basedOn w:val="80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85" w:customStyle="1">
    <w:name w:val="xl125"/>
    <w:basedOn w:val="80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86" w:customStyle="1">
    <w:name w:val="xl126"/>
    <w:basedOn w:val="80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7" w:customStyle="1">
    <w:name w:val="xl114"/>
    <w:basedOn w:val="80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8" w:customStyle="1">
    <w:name w:val="xl127"/>
    <w:basedOn w:val="80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9" w:customStyle="1">
    <w:name w:val="xl128"/>
    <w:basedOn w:val="807"/>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90" w:customStyle="1">
    <w:name w:val="xl129"/>
    <w:basedOn w:val="807"/>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91" w:customStyle="1">
    <w:name w:val="xl130"/>
    <w:basedOn w:val="807"/>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92" w:customStyle="1">
    <w:name w:val="xl131"/>
    <w:basedOn w:val="80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93" w:customStyle="1">
    <w:name w:val="xl132"/>
    <w:basedOn w:val="80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94" w:customStyle="1">
    <w:name w:val="xl133"/>
    <w:basedOn w:val="80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95" w:customStyle="1">
    <w:name w:val="xl134"/>
    <w:basedOn w:val="80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96" w:customStyle="1">
    <w:name w:val="xl135"/>
    <w:basedOn w:val="80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7" w:customStyle="1">
    <w:name w:val="xl136"/>
    <w:basedOn w:val="80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8" w:customStyle="1">
    <w:name w:val="xl137"/>
    <w:basedOn w:val="80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9" w:customStyle="1">
    <w:name w:val="_Style 227"/>
    <w:uiPriority w:val="99"/>
    <w:semiHidden/>
    <w:qFormat/>
    <w:rPr>
      <w:rFonts w:hint="default" w:ascii="等线" w:hAnsi="等线" w:eastAsia="等线" w:cs="Times New Roman"/>
      <w:sz w:val="21"/>
      <w:szCs w:val="22"/>
      <w:lang w:val="en-US" w:eastAsia="zh-CN" w:bidi="ar-SA"/>
    </w:rPr>
  </w:style>
  <w:style w:type="paragraph" w:styleId="1200" w:customStyle="1">
    <w:name w:val="正文_0"/>
    <w:next w:val="807"/>
    <w:uiPriority w:val="3"/>
    <w:qFormat/>
    <w:pPr>
      <w:jc w:val="both"/>
      <w:widowControl w:val="off"/>
    </w:pPr>
    <w:rPr>
      <w:rFonts w:hint="default" w:ascii="Calibri" w:hAnsi="Calibri" w:eastAsia="宋体" w:cs="Times New Roman"/>
      <w:sz w:val="21"/>
      <w:lang w:val="en-US" w:eastAsia="zh-CN" w:bidi="ar-SA"/>
    </w:rPr>
  </w:style>
  <w:style w:type="paragraph" w:styleId="1201" w:customStyle="1">
    <w:name w:val="Char Char Char Char Char Char Char1 Char"/>
    <w:basedOn w:val="807"/>
    <w:uiPriority w:val="0"/>
    <w:qFormat/>
    <w:rPr>
      <w:rFonts w:ascii="Tahoma" w:hAnsi="Tahoma"/>
      <w:sz w:val="24"/>
      <w:szCs w:val="24"/>
    </w:rPr>
  </w:style>
  <w:style w:type="paragraph" w:styleId="1202" w:customStyle="1">
    <w:name w:val="toc 1"/>
    <w:basedOn w:val="807"/>
    <w:next w:val="807"/>
    <w:uiPriority w:val="0"/>
    <w:qFormat/>
  </w:style>
  <w:style w:type="paragraph" w:styleId="1203" w:customStyle="1">
    <w:name w:val="标题 71"/>
    <w:basedOn w:val="807"/>
    <w:next w:val="807"/>
    <w:link w:val="1204"/>
    <w:uiPriority w:val="9"/>
    <w:unhideWhenUsed/>
    <w:qFormat/>
    <w:pPr>
      <w:keepLines/>
      <w:keepNext/>
      <w:spacing w:before="320" w:after="200"/>
      <w:outlineLvl w:val="6"/>
    </w:pPr>
    <w:rPr>
      <w:rFonts w:ascii="Arial" w:hAnsi="Arial" w:eastAsia="Arial"/>
      <w:b/>
      <w:bCs/>
      <w:i/>
      <w:iCs/>
      <w:sz w:val="22"/>
    </w:rPr>
  </w:style>
  <w:style w:type="character" w:styleId="1204" w:customStyle="1">
    <w:name w:val="Heading 7 Char"/>
    <w:link w:val="1203"/>
    <w:uiPriority w:val="9"/>
    <w:qFormat/>
    <w:rPr>
      <w:rFonts w:ascii="Arial" w:hAnsi="Arial" w:eastAsia="Arial" w:cs="Arial"/>
      <w:b/>
      <w:bCs/>
      <w:i/>
      <w:iCs/>
      <w:sz w:val="22"/>
      <w:szCs w:val="22"/>
    </w:rPr>
  </w:style>
  <w:style w:type="paragraph" w:styleId="1205" w:customStyle="1">
    <w:name w:val="正文文本缩进1"/>
    <w:basedOn w:val="807"/>
    <w:next w:val="807"/>
    <w:uiPriority w:val="99"/>
    <w:unhideWhenUsed/>
    <w:qFormat/>
    <w:pPr>
      <w:ind w:firstLine="540"/>
      <w:spacing w:line="400" w:lineRule="exact"/>
    </w:pPr>
    <w:rPr>
      <w:sz w:val="24"/>
    </w:rPr>
  </w:style>
  <w:style w:type="character" w:styleId="1206" w:customStyle="1">
    <w:name w:val="font31"/>
    <w:basedOn w:val="817"/>
    <w:uiPriority w:val="0"/>
    <w:qFormat/>
    <w:rPr>
      <w:rFonts w:hint="eastAsia" w:ascii="宋体" w:hAnsi="宋体" w:eastAsia="宋体" w:cs="宋体"/>
      <w:color w:val="000000"/>
      <w:sz w:val="24"/>
      <w:szCs w:val="24"/>
      <w:u w:val="none"/>
      <w:vertAlign w:val="superscript"/>
    </w:rPr>
  </w:style>
  <w:style w:type="paragraph" w:styleId="1207" w:customStyle="1">
    <w:name w:val="样式 宋体 加粗 居中"/>
    <w:basedOn w:val="807"/>
    <w:uiPriority w:val="0"/>
    <w:qFormat/>
    <w:pPr>
      <w:jc w:val="center"/>
    </w:pPr>
    <w:rPr>
      <w:rFonts w:ascii="宋体" w:hAnsi="宋体" w:cs="宋体"/>
      <w:b/>
      <w:bCs/>
      <w:sz w:val="32"/>
      <w:szCs w:val="20"/>
    </w:rPr>
  </w:style>
  <w:style w:type="numbering" w:styleId="1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17</cp:revision>
  <dcterms:created xsi:type="dcterms:W3CDTF">2023-03-02T15:44:00Z</dcterms:created>
  <dcterms:modified xsi:type="dcterms:W3CDTF">2026-05-19T11:21:24Z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5C49D3E9E096493C8A92E8603C4D072B_13</vt:lpwstr>
  </property>
  <property fmtid="{D5CDD505-2E9C-101B-9397-08002B2CF9AE}" pid="4" name="KSOTemplateDocerSaveRecord">
    <vt:lpwstr>eyJoZGlkIjoiZTVkNzQ3OWEyMTdhMmNjZTE0YWI3MmE4NDZlMmFlODAiLCJ1c2VySWQiOiI0MTk2MzY1OTUifQ==</vt:lpwstr>
  </property>
</Properties>
</file>