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hAnsi="宋体" w:eastAsia="宋体" w:cs="宋体"/>
          <w:color w:val="000000" w:themeColor="text1"/>
          <w:sz w:val="28"/>
          <w:szCs w:val="28"/>
          <w:highlight w:val="none"/>
          <w:lang w:eastAsia="zh-CN"/>
          <w14:textFill>
            <w14:solidFill>
              <w14:schemeClr w14:val="tx1"/>
            </w14:solidFill>
          </w14:textFill>
        </w:rPr>
      </w:pPr>
      <w:r/>
      <w:bookmarkStart w:id="0" w:name="_Hlk69393945"/>
      <w:r/>
      <w:bookmarkStart w:id="1" w:name="_Toc528771312"/>
      <w:r/>
      <w:bookmarkStart w:id="2" w:name="_Toc27744861"/>
      <w:r>
        <w:rPr>
          <w:rFonts w:hint="eastAsia" w:ascii="宋体" w:hAnsi="宋体" w:cs="宋体"/>
          <w:color w:val="000000" w:themeColor="text1"/>
          <w:sz w:val="28"/>
          <w:szCs w:val="28"/>
          <w:highlight w:val="none"/>
          <w:lang w:eastAsia="zh-CN"/>
          <w14:textFill>
            <w14:solidFill>
              <w14:schemeClr w14:val="tx1"/>
            </w14:solidFill>
          </w14:textFill>
        </w:rPr>
        <w:t xml:space="preserve">JSZC-321012-SHBZ-C2026-0006</w:t>
      </w:r>
      <w:r/>
    </w:p>
    <w:p>
      <w:pPr>
        <w:ind w:right="84"/>
        <w:jc w:val="center"/>
        <w:rPr>
          <w:rFonts w:hint="eastAsia" w:ascii="宋体" w:hAnsi="宋体" w:eastAsia="宋体" w:cs="宋体"/>
          <w:color w:val="000000" w:themeColor="text1"/>
          <w:sz w:val="40"/>
          <w:szCs w:val="36"/>
          <w:highlight w:val="none"/>
          <w14:textFill>
            <w14:solidFill>
              <w14:schemeClr w14:val="tx1"/>
            </w14:solidFill>
          </w14:textFill>
        </w:rPr>
      </w:pPr>
      <w:r>
        <w:rPr>
          <w:rFonts w:hint="eastAsia" w:ascii="宋体" w:hAnsi="宋体" w:eastAsia="宋体" w:cs="宋体"/>
          <w:color w:val="000000" w:themeColor="text1"/>
          <w:sz w:val="40"/>
          <w:szCs w:val="36"/>
          <w:highlight w:val="none"/>
          <w14:textFill>
            <w14:solidFill>
              <w14:schemeClr w14:val="tx1"/>
            </w14:solidFill>
          </w14:textFill>
        </w:rPr>
      </w:r>
      <w:r/>
    </w:p>
    <w:p>
      <w:pPr>
        <w:ind w:right="84"/>
        <w:jc w:val="center"/>
        <w:rPr>
          <w:rFonts w:hint="eastAsia" w:ascii="宋体" w:hAnsi="宋体" w:eastAsia="宋体" w:cs="宋体"/>
          <w:color w:val="000000" w:themeColor="text1"/>
          <w:sz w:val="40"/>
          <w:szCs w:val="36"/>
          <w:highlight w:val="none"/>
          <w14:textFill>
            <w14:solidFill>
              <w14:schemeClr w14:val="tx1"/>
            </w14:solidFill>
          </w14:textFill>
        </w:rPr>
      </w:pPr>
      <w:r>
        <w:rPr>
          <w:rFonts w:hint="eastAsia" w:ascii="宋体" w:hAnsi="宋体" w:eastAsia="宋体" w:cs="宋体"/>
          <w:color w:val="000000" w:themeColor="text1"/>
          <w:sz w:val="40"/>
          <w:szCs w:val="36"/>
          <w:highlight w:val="none"/>
          <w14:textFill>
            <w14:solidFill>
              <w14:schemeClr w14:val="tx1"/>
            </w14:solidFill>
          </w14:textFill>
        </w:rPr>
      </w:r>
      <w:r/>
    </w:p>
    <w:p>
      <w:pPr>
        <w:ind w:right="84"/>
        <w:jc w:val="center"/>
        <w:rPr>
          <w:rFonts w:hint="eastAsia" w:ascii="宋体" w:hAnsi="宋体" w:eastAsia="宋体" w:cs="宋体"/>
          <w:color w:val="000000" w:themeColor="text1"/>
          <w:sz w:val="44"/>
          <w:szCs w:val="44"/>
          <w:highlight w:val="none"/>
          <w14:textFill>
            <w14:solidFill>
              <w14:schemeClr w14:val="tx1"/>
            </w14:solidFill>
          </w14:textFill>
        </w:rPr>
        <w:outlineLvl w:val="0"/>
      </w:pPr>
      <w:r/>
      <w:bookmarkStart w:id="3" w:name="_Toc23403"/>
      <w:r>
        <w:rPr>
          <w:rFonts w:hint="eastAsia" w:ascii="宋体" w:hAnsi="宋体" w:cs="宋体"/>
          <w:color w:val="000000" w:themeColor="text1"/>
          <w:sz w:val="44"/>
          <w:szCs w:val="44"/>
          <w:highlight w:val="none"/>
          <w:lang w:eastAsia="zh-CN"/>
          <w14:textFill>
            <w14:solidFill>
              <w14:schemeClr w14:val="tx1"/>
            </w14:solidFill>
          </w14:textFill>
        </w:rPr>
        <w:t xml:space="preserve">扬州市江都区2026年农村生态河道建设项目(邵伯镇)</w:t>
      </w:r>
      <w:r>
        <w:rPr>
          <w:rFonts w:hint="eastAsia" w:ascii="宋体" w:hAnsi="宋体" w:eastAsia="宋体" w:cs="宋体"/>
          <w:color w:val="000000" w:themeColor="text1"/>
          <w:sz w:val="44"/>
          <w:szCs w:val="44"/>
          <w:highlight w:val="none"/>
          <w14:textFill>
            <w14:solidFill>
              <w14:schemeClr w14:val="tx1"/>
            </w14:solidFill>
          </w14:textFill>
        </w:rPr>
        <w:t xml:space="preserve">竞争性磋商文件</w:t>
      </w:r>
      <w:bookmarkEnd w:id="3"/>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023"/>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ind w:right="934"/>
        <w:jc w:val="center"/>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mc:AlternateContent>
          <mc:Choice Requires="wpg">
            <w:drawing>
              <wp:inline xmlns:wp="http://schemas.openxmlformats.org/drawingml/2006/wordprocessingDrawing" distT="0" distB="0" distL="0" distR="0">
                <wp:extent cx="2065655" cy="2065655"/>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2065858" cy="20658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7pt;height:162.7pt;mso-wrap-distance-left:0.0pt;mso-wrap-distance-top:0.0pt;mso-wrap-distance-right:0.0pt;mso-wrap-distance-bottom:0.0pt;" stroked="f">
                <v:path textboxrect="0,0,0,0"/>
                <v:imagedata r:id="rId16" o:title=""/>
              </v:shape>
            </w:pict>
          </mc:Fallback>
        </mc:AlternateContent>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pStyle w:val="1023"/>
        <w:rPr>
          <w:rFonts w:hint="eastAsia" w:ascii="宋体" w:hAnsi="宋体" w:eastAsia="宋体" w:cs="宋体"/>
          <w:color w:val="000000" w:themeColor="text1"/>
          <w:szCs w:val="36"/>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ind w:right="934" w:firstLine="640"/>
        <w:jc w:val="both"/>
        <w:rPr>
          <w:rFonts w:hint="eastAsia" w:ascii="宋体" w:hAnsi="宋体" w:eastAsia="宋体" w:cs="宋体"/>
          <w:color w:val="000000" w:themeColor="text1"/>
          <w:sz w:val="32"/>
          <w:szCs w:val="36"/>
          <w:highlight w:val="none"/>
          <w:lang w:eastAsia="zh-CN"/>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t xml:space="preserve">采</w:t>
      </w:r>
      <w:r>
        <w:rPr>
          <w:rFonts w:hint="eastAsia" w:ascii="宋体" w:hAnsi="宋体" w:eastAsia="宋体" w:cs="宋体"/>
          <w:color w:val="000000" w:themeColor="text1"/>
          <w:sz w:val="32"/>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6"/>
          <w:highlight w:val="none"/>
          <w14:textFill>
            <w14:solidFill>
              <w14:schemeClr w14:val="tx1"/>
            </w14:solidFill>
          </w14:textFill>
        </w:rPr>
        <w:t xml:space="preserve">购</w:t>
      </w:r>
      <w:r>
        <w:rPr>
          <w:rFonts w:hint="eastAsia" w:ascii="宋体" w:hAnsi="宋体" w:eastAsia="宋体" w:cs="宋体"/>
          <w:color w:val="000000" w:themeColor="text1"/>
          <w:sz w:val="32"/>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6"/>
          <w:highlight w:val="none"/>
          <w14:textFill>
            <w14:solidFill>
              <w14:schemeClr w14:val="tx1"/>
            </w14:solidFill>
          </w14:textFill>
        </w:rPr>
        <w:t xml:space="preserve">人：</w:t>
      </w:r>
      <w:r>
        <w:rPr>
          <w:rFonts w:hint="eastAsia" w:ascii="宋体" w:hAnsi="宋体" w:cs="宋体"/>
          <w:color w:val="000000" w:themeColor="text1"/>
          <w:sz w:val="32"/>
          <w:szCs w:val="36"/>
          <w:highlight w:val="none"/>
          <w:lang w:eastAsia="zh-CN"/>
          <w14:textFill>
            <w14:solidFill>
              <w14:schemeClr w14:val="tx1"/>
            </w14:solidFill>
          </w14:textFill>
        </w:rPr>
        <w:t xml:space="preserve">扬州市江都区邵伯镇人民政府</w:t>
      </w:r>
      <w:r/>
    </w:p>
    <w:p>
      <w:pPr>
        <w:ind w:right="934" w:firstLine="640"/>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t xml:space="preserve">代理机构：苏合邦筑工程咨询集团股份有限公司</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二〇二</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6"/>
          <w:szCs w:val="36"/>
          <w:highlight w:val="none"/>
          <w14:textFill>
            <w14:solidFill>
              <w14:schemeClr w14:val="tx1"/>
            </w14:solidFill>
          </w14:textFill>
        </w:rPr>
        <w:t xml:space="preserve">年</w:t>
      </w:r>
      <w:r>
        <w:rPr>
          <w:rFonts w:hint="eastAsia" w:ascii="宋体" w:hAnsi="宋体" w:cs="宋体"/>
          <w:color w:val="000000" w:themeColor="text1"/>
          <w:sz w:val="36"/>
          <w:szCs w:val="36"/>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6"/>
          <w:szCs w:val="36"/>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 录</w:t>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"1-3" \f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竞争性磋商采购公告</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_Toc24299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磋商须知</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_Toc23352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_Toc24601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项目需求</w:t>
      </w:r>
      <w:r>
        <w:rPr>
          <w:rFonts w:hint="eastAsia" w:ascii="宋体" w:hAnsi="宋体" w:cs="宋体"/>
          <w:color w:val="000000" w:themeColor="text1"/>
          <w:sz w:val="28"/>
          <w:szCs w:val="28"/>
          <w:highlight w:val="none"/>
          <w:lang w:val="en-US" w:eastAsia="zh-CN"/>
          <w14:textFill>
            <w14:solidFill>
              <w14:schemeClr w14:val="tx1"/>
            </w14:solidFill>
          </w14:textFill>
        </w:rPr>
        <w:t xml:space="preserve">........................................33</w:t>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评审方法及评审标准</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_Toc7178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39</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竞争性磋商响应文件式</w:t>
      </w:r>
      <w:r>
        <w:rPr>
          <w:rFonts w:hint="eastAsia" w:ascii="宋体" w:hAnsi="宋体" w:cs="宋体"/>
          <w:color w:val="000000" w:themeColor="text1"/>
          <w:sz w:val="28"/>
          <w:szCs w:val="28"/>
          <w:highlight w:val="none"/>
          <w:lang w:val="en-US" w:eastAsia="zh-CN"/>
          <w14:textFill>
            <w14:solidFill>
              <w14:schemeClr w14:val="tx1"/>
            </w14:solidFill>
          </w14:textFill>
        </w:rPr>
        <w:t xml:space="preserve">............................43</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20"/>
        <w:spacing w:line="360" w:lineRule="auto"/>
        <w:rPr>
          <w:rFonts w:hint="eastAsia" w:ascii="宋体" w:hAnsi="宋体" w:eastAsia="宋体" w:cs="宋体"/>
          <w:color w:val="000000" w:themeColor="text1"/>
          <w:szCs w:val="36"/>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40" w:right="1803" w:bottom="1440" w:left="1803" w:header="851" w:footer="992" w:gutter="0"/>
          <w:pgNumType w:start="1"/>
          <w:cols w:num="1" w:sep="0" w:space="720" w:equalWidth="1"/>
          <w:docGrid w:linePitch="360"/>
          <w:titlePg/>
        </w:sectPr>
      </w:pPr>
      <w:r/>
      <w:bookmarkStart w:id="4" w:name="_Toc109304965"/>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5" w:name="_Toc152"/>
      <w:r/>
      <w:bookmarkStart w:id="6" w:name="_Toc24299"/>
      <w:r>
        <w:rPr>
          <w:rFonts w:hint="eastAsia" w:ascii="宋体" w:hAnsi="宋体" w:eastAsia="宋体" w:cs="宋体"/>
          <w:color w:val="000000" w:themeColor="text1"/>
          <w:sz w:val="36"/>
          <w:szCs w:val="36"/>
          <w:highlight w:val="none"/>
          <w14:textFill>
            <w14:solidFill>
              <w14:schemeClr w14:val="tx1"/>
            </w14:solidFill>
          </w14:textFill>
        </w:rPr>
        <w:t xml:space="preserve">第一章 </w:t>
      </w:r>
      <w:r>
        <w:rPr>
          <w:rFonts w:hint="eastAsia" w:ascii="宋体" w:hAnsi="宋体" w:cs="宋体"/>
          <w:color w:val="000000" w:themeColor="text1"/>
          <w:sz w:val="36"/>
          <w:szCs w:val="36"/>
          <w:highlight w:val="none"/>
          <w:lang w:eastAsia="zh-CN"/>
          <w14:textFill>
            <w14:solidFill>
              <w14:schemeClr w14:val="tx1"/>
            </w14:solidFill>
          </w14:textFill>
        </w:rPr>
        <w:t xml:space="preserve">扬州市江都区2026年农村生态河道建设项目(邵伯镇)</w:t>
      </w:r>
      <w:r>
        <w:rPr>
          <w:rFonts w:hint="eastAsia" w:ascii="宋体" w:hAnsi="宋体" w:eastAsia="宋体" w:cs="宋体"/>
          <w:color w:val="000000" w:themeColor="text1"/>
          <w:sz w:val="36"/>
          <w:szCs w:val="36"/>
          <w:highlight w:val="none"/>
          <w14:textFill>
            <w14:solidFill>
              <w14:schemeClr w14:val="tx1"/>
            </w14:solidFill>
          </w14:textFill>
        </w:rPr>
        <w:t xml:space="preserve">竞争性磋商采购公告</w:t>
      </w:r>
      <w:bookmarkEnd w:id="5"/>
      <w:r/>
      <w:bookmarkEnd w:id="6"/>
      <w:r/>
      <w:r/>
    </w:p>
    <w:p>
      <w:pPr>
        <w:ind w:firstLine="48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扬州市江都区邵伯镇人民政府</w:t>
      </w:r>
      <w:r>
        <w:rPr>
          <w:rFonts w:hint="eastAsia" w:ascii="宋体" w:hAnsi="宋体" w:eastAsia="宋体" w:cs="宋体"/>
          <w:color w:val="000000" w:themeColor="text1"/>
          <w:sz w:val="21"/>
          <w:szCs w:val="21"/>
          <w:highlight w:val="none"/>
          <w14:textFill>
            <w14:solidFill>
              <w14:schemeClr w14:val="tx1"/>
            </w14:solidFill>
          </w14:textFill>
        </w:rPr>
        <w:t xml:space="preserve">）的委托，（苏合邦筑工程咨询集团股份有限公司）关于（</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扬州市江都区2026年农村生态河道建设项目(邵伯镇)</w:t>
      </w:r>
      <w:r>
        <w:rPr>
          <w:rFonts w:hint="eastAsia" w:ascii="宋体" w:hAnsi="宋体" w:eastAsia="宋体" w:cs="宋体"/>
          <w:color w:val="000000" w:themeColor="text1"/>
          <w:sz w:val="21"/>
          <w:szCs w:val="21"/>
          <w:highlight w:val="none"/>
          <w14:textFill>
            <w14:solidFill>
              <w14:schemeClr w14:val="tx1"/>
            </w14:solidFill>
          </w14:textFill>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themeColor="text1"/>
          <w:sz w:val="21"/>
          <w:szCs w:val="21"/>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扬州市江都区2026年农村生态河道建设项目(邵伯镇)</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采购项目的潜在供应商</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可在“扬州市政府采购网”、“江苏省政府采购网”、自行免费下载</w:t>
      </w:r>
      <w:r>
        <w:rPr>
          <w:rFonts w:hint="eastAsia" w:ascii="宋体" w:hAnsi="宋体" w:eastAsia="宋体" w:cs="宋体"/>
          <w:color w:val="000000" w:themeColor="text1"/>
          <w:sz w:val="21"/>
          <w:szCs w:val="21"/>
          <w:highlight w:val="none"/>
          <w14:textFill>
            <w14:solidFill>
              <w14:schemeClr w14:val="tx1"/>
            </w14:solidFill>
          </w14:textFill>
        </w:rPr>
        <w:t xml:space="preserve">采购文件，并于</w:t>
      </w:r>
      <w:r>
        <w:rPr>
          <w:rFonts w:hint="eastAsia" w:ascii="宋体" w:hAnsi="宋体" w:eastAsia="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5月6日14点30分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（北京时间）前提交响应文件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7" w:name="_Toc30774"/>
      <w:r/>
      <w:bookmarkStart w:id="8" w:name="_Toc109304963"/>
      <w:r>
        <w:rPr>
          <w:rFonts w:hint="eastAsia" w:ascii="宋体" w:hAnsi="宋体" w:eastAsia="宋体" w:cs="宋体"/>
          <w:bCs w:val="0"/>
          <w:color w:val="000000" w:themeColor="text1"/>
          <w:sz w:val="21"/>
          <w:szCs w:val="21"/>
          <w:highlight w:val="none"/>
          <w14:textFill>
            <w14:solidFill>
              <w14:schemeClr w14:val="tx1"/>
            </w14:solidFill>
          </w14:textFill>
        </w:rPr>
        <w:t xml:space="preserve">一、项目基本情况</w:t>
      </w:r>
      <w:bookmarkEnd w:id="7"/>
      <w:r/>
      <w:bookmarkEnd w:id="8"/>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JSZC-321012-SHBZ-C2026-0006</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扬州市江都区2026年农村生态河道建设项目(邵伯镇)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3.采购方式：竞争性磋商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4.预算价：</w:t>
      </w:r>
      <w:r>
        <w:rPr>
          <w:rFonts w:hint="eastAsia" w:ascii="宋体" w:hAnsi="宋体" w:cs="宋体"/>
          <w:color w:val="000000" w:themeColor="text1"/>
          <w:sz w:val="21"/>
          <w:szCs w:val="21"/>
          <w:highlight w:val="none"/>
          <w:lang w:eastAsia="zh-CN"/>
          <w14:textFill>
            <w14:solidFill>
              <w14:schemeClr w14:val="tx1"/>
            </w14:solidFill>
          </w14:textFill>
        </w:rPr>
        <w:t xml:space="preserve">137.61329</w:t>
      </w:r>
      <w:r>
        <w:rPr>
          <w:rFonts w:hint="eastAsia" w:ascii="宋体" w:hAnsi="宋体" w:eastAsia="宋体" w:cs="宋体"/>
          <w:color w:val="000000" w:themeColor="text1"/>
          <w:sz w:val="21"/>
          <w:szCs w:val="21"/>
          <w:highlight w:val="none"/>
          <w14:textFill>
            <w14:solidFill>
              <w14:schemeClr w14:val="tx1"/>
            </w14:solidFill>
          </w14:textFill>
        </w:rPr>
        <w:t xml:space="preserve">万元；最高限价：</w:t>
      </w:r>
      <w:r>
        <w:rPr>
          <w:rFonts w:hint="eastAsia" w:ascii="宋体" w:hAnsi="宋体" w:cs="宋体"/>
          <w:color w:val="000000" w:themeColor="text1"/>
          <w:sz w:val="21"/>
          <w:szCs w:val="21"/>
          <w:highlight w:val="none"/>
          <w:lang w:eastAsia="zh-CN"/>
          <w14:textFill>
            <w14:solidFill>
              <w14:schemeClr w14:val="tx1"/>
            </w14:solidFill>
          </w14:textFill>
        </w:rPr>
        <w:t xml:space="preserve">130.732626</w:t>
      </w:r>
      <w:r>
        <w:rPr>
          <w:rFonts w:hint="eastAsia" w:ascii="宋体" w:hAnsi="宋体" w:eastAsia="宋体" w:cs="宋体"/>
          <w:color w:val="000000" w:themeColor="text1"/>
          <w:sz w:val="21"/>
          <w:szCs w:val="21"/>
          <w:highlight w:val="none"/>
          <w14:textFill>
            <w14:solidFill>
              <w14:schemeClr w14:val="tx1"/>
            </w14:solidFill>
          </w14:textFill>
        </w:rPr>
        <w:t xml:space="preserve">万元，报价高于最高限价的为无效标。</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5.采购需求：</w:t>
      </w:r>
      <w:r>
        <w:rPr>
          <w:rFonts w:hint="eastAsia" w:ascii="宋体" w:hAnsi="宋体" w:cs="宋体"/>
          <w:color w:val="000000" w:themeColor="text1"/>
          <w:szCs w:val="21"/>
          <w:highlight w:val="none"/>
          <w14:textFill>
            <w14:solidFill>
              <w14:schemeClr w14:val="tx1"/>
            </w14:solidFill>
          </w14:textFill>
        </w:rPr>
        <w:t xml:space="preserve">对扬州市江都区邵伯镇境内的</w:t>
      </w:r>
      <w:r>
        <w:rPr>
          <w:rFonts w:hint="eastAsia" w:ascii="宋体" w:hAnsi="宋体" w:eastAsia="宋体" w:cs="宋体"/>
          <w:color w:val="000000" w:themeColor="text1"/>
          <w:sz w:val="21"/>
          <w:szCs w:val="21"/>
          <w:highlight w:val="none"/>
          <w14:textFill>
            <w14:solidFill>
              <w14:schemeClr w14:val="tx1"/>
            </w14:solidFill>
          </w14:textFill>
        </w:rPr>
        <w:t xml:space="preserve">南圩河、艾菱引排河、符庄河</w:t>
      </w:r>
      <w:r>
        <w:rPr>
          <w:rFonts w:hint="eastAsia" w:ascii="宋体" w:hAnsi="宋体" w:cs="宋体"/>
          <w:iCs/>
          <w:color w:val="000000" w:themeColor="text1"/>
          <w:szCs w:val="24"/>
          <w:highlight w:val="none"/>
          <w:lang w:val="en-US" w:eastAsia="zh-CN"/>
          <w14:textFill>
            <w14:solidFill>
              <w14:schemeClr w14:val="tx1"/>
            </w14:solidFill>
          </w14:textFill>
        </w:rPr>
        <w:t xml:space="preserve">3</w:t>
      </w:r>
      <w:r>
        <w:rPr>
          <w:rFonts w:hint="eastAsia" w:ascii="宋体" w:hAnsi="宋体" w:cs="宋体"/>
          <w:iCs/>
          <w:color w:val="000000" w:themeColor="text1"/>
          <w:szCs w:val="24"/>
          <w:highlight w:val="none"/>
          <w14:textFill>
            <w14:solidFill>
              <w14:schemeClr w14:val="tx1"/>
            </w14:solidFill>
          </w14:textFill>
        </w:rPr>
        <w:t xml:space="preserve">条生态河道进行</w:t>
      </w:r>
      <w:r>
        <w:rPr>
          <w:rFonts w:hint="eastAsia" w:ascii="宋体" w:hAnsi="宋体" w:eastAsia="宋体" w:cs="宋体"/>
          <w:color w:val="000000" w:themeColor="text1"/>
          <w:sz w:val="21"/>
          <w:szCs w:val="21"/>
          <w:highlight w:val="none"/>
          <w14:textFill>
            <w14:solidFill>
              <w14:schemeClr w14:val="tx1"/>
            </w14:solidFill>
          </w14:textFill>
        </w:rPr>
        <w:t xml:space="preserve">河道疏浚、清障、清杂及绿化等</w:t>
      </w:r>
      <w:r>
        <w:rPr>
          <w:rFonts w:hint="eastAsia" w:ascii="宋体" w:hAnsi="宋体" w:cs="宋体"/>
          <w:color w:val="000000" w:themeColor="text1"/>
          <w:szCs w:val="21"/>
          <w:highlight w:val="none"/>
          <w14:textFill>
            <w14:solidFill>
              <w14:schemeClr w14:val="tx1"/>
            </w14:solidFill>
          </w14:textFill>
        </w:rPr>
        <w:t xml:space="preserve">工程施工</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三条河约</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公里，</w:t>
      </w:r>
      <w:r>
        <w:rPr>
          <w:rFonts w:hint="eastAsia" w:ascii="宋体" w:hAnsi="宋体" w:eastAsia="宋体" w:cs="宋体"/>
          <w:color w:val="000000" w:themeColor="text1"/>
          <w:sz w:val="21"/>
          <w:szCs w:val="21"/>
          <w:highlight w:val="none"/>
          <w:u w:val="none"/>
          <w14:textFill>
            <w14:solidFill>
              <w14:schemeClr w14:val="tx1"/>
            </w14:solidFill>
          </w14:textFill>
        </w:rPr>
        <w:t xml:space="preserve">详见磋商文件第四章</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sz w:val="21"/>
          <w:szCs w:val="21"/>
          <w:highlight w:val="none"/>
          <w:u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120日历天。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7.本项目不接受联合体投标。</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9" w:name="_Toc109304964"/>
      <w:r/>
      <w:bookmarkStart w:id="10" w:name="_Toc32345"/>
      <w:r>
        <w:rPr>
          <w:rFonts w:hint="eastAsia" w:ascii="宋体" w:hAnsi="宋体" w:eastAsia="宋体" w:cs="宋体"/>
          <w:bCs w:val="0"/>
          <w:color w:val="000000" w:themeColor="text1"/>
          <w:sz w:val="21"/>
          <w:szCs w:val="21"/>
          <w:highlight w:val="none"/>
          <w14:textFill>
            <w14:solidFill>
              <w14:schemeClr w14:val="tx1"/>
            </w14:solidFill>
          </w14:textFill>
        </w:rPr>
        <w:t xml:space="preserve">二、申请人的资格要求：</w:t>
      </w:r>
      <w:bookmarkEnd w:id="9"/>
      <w:r/>
      <w:bookmarkEnd w:id="1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法人或者其他组织的营业执照等证明文件，自然人的身份证明（身份证为正、反面）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依法缴纳职工社会保障资金的证明材料（可提供“基本资格条件承诺函”）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 依法纳税的缴款凭证（可提供“基本资格条件承诺函”）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 具有良好的商业信誉和健全的财务会计制度（可提供“基本资格条件承诺函”）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 具备履行合同所必需的设备和专业技术能力（可提供“基本资格条件承诺函”）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14:ligatures w14:val="none"/>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参加本次政府采购活动前3年内在经营活动中没有重大违法记录的书面声明（可提供“基本资格条件承诺函”）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供应商信用承诺函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落实政府采购政策需满足的资格要求：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3.本项目的特定资格要求：</w:t>
      </w:r>
      <w:bookmarkStart w:id="11" w:name="_Toc17557"/>
      <w:r/>
      <w:r/>
    </w:p>
    <w:p>
      <w:pPr>
        <w:ind w:left="0" w:right="0" w:firstLine="420"/>
        <w:jc w:val="both"/>
        <w:pageBreakBefore w:val="0"/>
        <w:spacing w:before="0" w:after="0"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1供应商应具备水利水电工程施工总承包三级（含）以上资质</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(供应商提供证书原件扫描上传）</w:t>
      </w:r>
      <w:r/>
    </w:p>
    <w:p>
      <w:pPr>
        <w:ind w:left="0" w:right="0" w:firstLine="420"/>
        <w:jc w:val="both"/>
        <w:pageBreakBefore w:val="0"/>
        <w:spacing w:before="0" w:after="0"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2拟派项目经理为本公司正式员工，正常缴纳社会保险，无在建工程，应具有水利水电工程专业注册建造师二级（含）以上资格</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（供应商提供上述人员证书原件扫描上传、供应商为其缴纳的近三个月内任意一个月社保证明原件扫描上传、项目经理无在建工程承诺书原件扫描上传）</w:t>
      </w:r>
      <w:r/>
    </w:p>
    <w:p>
      <w:pPr>
        <w:ind w:left="0" w:right="0" w:firstLine="420"/>
        <w:jc w:val="both"/>
        <w:pageBreakBefore w:val="0"/>
        <w:spacing w:before="0" w:after="0"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3供应商具备安全生产条件，并取得有效期内的安全生产许可证</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(供应商提供证书原件扫描上传）</w:t>
      </w:r>
      <w:r/>
    </w:p>
    <w:p>
      <w:pPr>
        <w:ind w:left="0" w:right="0" w:firstLine="420"/>
        <w:jc w:val="both"/>
        <w:pageBreakBefore w:val="0"/>
        <w:spacing w:before="0" w:after="0" w:line="360" w:lineRule="auto"/>
        <w:rPr>
          <w:rFonts w:ascii="宋体" w:hAnsi="宋体" w:eastAsia="宋体" w:cs="宋体"/>
          <w:b/>
          <w:bCs/>
          <w:i/>
          <w:color w:val="000000" w:themeColor="text1"/>
          <w:sz w:val="21"/>
          <w:szCs w:val="21"/>
          <w:highlight w:val="none"/>
          <w:u w:val="singl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4供应商主要负责人、项目经理、专职安全员（下称“三类人员”）均应具有水行政主管部门颁发的安全生产考核合格证（分别为A、B、C类）。</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(供应商提供证书原件扫描上传、供应商为其缴纳的近三个月内任意一个月社保证明原件扫描上传）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三、获取采购文件</w:t>
      </w:r>
      <w:bookmarkEnd w:id="4"/>
      <w:r/>
      <w:bookmarkEnd w:id="11"/>
      <w:r/>
      <w:r/>
    </w:p>
    <w:p>
      <w:pPr>
        <w:ind w:firstLine="5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1.时间：自磋商公告发布之日起5个工作日。5个工作日后仍可下载采购文件，但不作为供应商权益受到损害的证明材料和依据</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2.获取方式：本项目采用网上注册登记方式。</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3.潜在供应商访问政府采购管理交易系统（苏采云）的网络地址和方法：</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宋体"/>
          <w:b w:val="0"/>
          <w:bCs w:val="0"/>
          <w:color w:val="000000" w:themeColor="text1"/>
          <w:sz w:val="21"/>
          <w:szCs w:val="21"/>
          <w:highlight w:val="none"/>
          <w:u w:val="singl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（7）苏采云系统使用谷歌浏览器参与不见面开标。</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2" w:name="_Toc15334"/>
      <w:r/>
      <w:bookmarkStart w:id="13" w:name="_Toc109304966"/>
      <w:r>
        <w:rPr>
          <w:rFonts w:hint="eastAsia" w:ascii="宋体" w:hAnsi="宋体" w:eastAsia="宋体" w:cs="宋体"/>
          <w:bCs w:val="0"/>
          <w:color w:val="000000" w:themeColor="text1"/>
          <w:sz w:val="21"/>
          <w:szCs w:val="21"/>
          <w:highlight w:val="none"/>
          <w14:textFill>
            <w14:solidFill>
              <w14:schemeClr w14:val="tx1"/>
            </w14:solidFill>
          </w14:textFill>
        </w:rPr>
        <w:t xml:space="preserve">四、响应文件提交</w:t>
      </w:r>
      <w:bookmarkEnd w:id="12"/>
      <w:r/>
      <w:bookmarkEnd w:id="13"/>
      <w:r/>
      <w:r/>
    </w:p>
    <w:p>
      <w:pPr>
        <w:ind w:firstLine="420"/>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1.截止时间：</w:t>
      </w:r>
      <w:r>
        <w:rPr>
          <w:rFonts w:hint="eastAsia" w:ascii="宋体" w:hAnsi="宋体" w:eastAsia="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5月6日14点30分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val="0"/>
          <w:bCs w:val="0"/>
          <w:color w:val="000000" w:themeColor="text1"/>
          <w:sz w:val="21"/>
          <w:szCs w:val="21"/>
          <w:highlight w:val="none"/>
          <w:u w:val="single"/>
          <w14:textFill>
            <w14:solidFill>
              <w14:schemeClr w14:val="tx1"/>
            </w14:solidFill>
          </w14:textFill>
        </w:rPr>
      </w:pPr>
      <w:r/>
      <w:bookmarkStart w:id="14" w:name="_Toc109304967"/>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2.投标地点：“苏采云”系统（网址：http://jszfcg.jsczt.cn/）“报名详情”</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5" w:name="_Toc15383"/>
      <w:r>
        <w:rPr>
          <w:rFonts w:hint="eastAsia" w:ascii="宋体" w:hAnsi="宋体" w:eastAsia="宋体" w:cs="宋体"/>
          <w:bCs w:val="0"/>
          <w:color w:val="000000" w:themeColor="text1"/>
          <w:sz w:val="21"/>
          <w:szCs w:val="21"/>
          <w:highlight w:val="none"/>
          <w14:textFill>
            <w14:solidFill>
              <w14:schemeClr w14:val="tx1"/>
            </w14:solidFill>
          </w14:textFill>
        </w:rPr>
        <w:t xml:space="preserve">五、开启</w:t>
      </w:r>
      <w:bookmarkEnd w:id="14"/>
      <w:r/>
      <w:bookmarkEnd w:id="15"/>
      <w:r/>
      <w:r/>
    </w:p>
    <w:p>
      <w:pPr>
        <w:pStyle w:val="102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w:t>
      </w:r>
      <w:r>
        <w:rPr>
          <w:rFonts w:hint="eastAsia" w:ascii="宋体" w:hAnsi="宋体" w:eastAsia="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5月6日14点30分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bookmarkStart w:id="16" w:name="_Toc109304968"/>
      <w:r>
        <w:rPr>
          <w:rFonts w:hint="eastAsia" w:ascii="宋体" w:hAnsi="宋体" w:eastAsia="宋体" w:cs="宋体"/>
          <w:b w:val="0"/>
          <w:bCs/>
          <w:color w:val="000000" w:themeColor="text1"/>
          <w:sz w:val="21"/>
          <w:szCs w:val="21"/>
          <w:highlight w:val="none"/>
          <w14:textFill>
            <w14:solidFill>
              <w14:schemeClr w14:val="tx1"/>
            </w14:solidFill>
          </w14:textFill>
        </w:rPr>
        <w:t xml:space="preserve">2.开标地点：“苏采云”系统（网址：http://jszfcg.jsczt.cn/）“开标大厅”</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7" w:name="_Toc31874"/>
      <w:r>
        <w:rPr>
          <w:rFonts w:hint="eastAsia" w:ascii="宋体" w:hAnsi="宋体" w:eastAsia="宋体" w:cs="宋体"/>
          <w:bCs w:val="0"/>
          <w:color w:val="000000" w:themeColor="text1"/>
          <w:sz w:val="21"/>
          <w:szCs w:val="21"/>
          <w:highlight w:val="none"/>
          <w14:textFill>
            <w14:solidFill>
              <w14:schemeClr w14:val="tx1"/>
            </w14:solidFill>
          </w14:textFill>
        </w:rPr>
        <w:t xml:space="preserve">六、公告期限</w:t>
      </w:r>
      <w:bookmarkEnd w:id="16"/>
      <w:r/>
      <w:bookmarkEnd w:id="17"/>
      <w:r/>
      <w:r/>
    </w:p>
    <w:p>
      <w:pPr>
        <w:ind w:firstLine="422"/>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自本公告发布之日起5个工作日。</w:t>
      </w:r>
      <w:r/>
    </w:p>
    <w:p>
      <w:pPr>
        <w:pStyle w:val="1021"/>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8" w:name="_Toc24056"/>
      <w:r/>
      <w:bookmarkStart w:id="19" w:name="_Toc109304969"/>
      <w:r>
        <w:rPr>
          <w:rFonts w:hint="eastAsia" w:ascii="宋体" w:hAnsi="宋体" w:eastAsia="宋体" w:cs="宋体"/>
          <w:color w:val="000000" w:themeColor="text1"/>
          <w:sz w:val="21"/>
          <w:szCs w:val="21"/>
          <w:highlight w:val="none"/>
          <w14:textFill>
            <w14:solidFill>
              <w14:schemeClr w14:val="tx1"/>
            </w14:solidFill>
          </w14:textFill>
        </w:rPr>
        <w:t xml:space="preserve">七、其他补充事宜</w:t>
      </w:r>
      <w:bookmarkEnd w:id="18"/>
      <w:r/>
      <w:bookmarkEnd w:id="19"/>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0" w:name="_Toc24673"/>
      <w:r/>
      <w:bookmarkStart w:id="21" w:name="_Toc109304970"/>
      <w:r>
        <w:rPr>
          <w:rFonts w:hint="eastAsia" w:ascii="宋体" w:hAnsi="宋体" w:eastAsia="宋体" w:cs="宋体"/>
          <w:bCs w:val="0"/>
          <w:color w:val="000000" w:themeColor="text1"/>
          <w:sz w:val="21"/>
          <w:szCs w:val="21"/>
          <w:highlight w:val="none"/>
          <w14:textFill>
            <w14:solidFill>
              <w14:schemeClr w14:val="tx1"/>
            </w14:solidFill>
          </w14:textFill>
        </w:rPr>
        <w:t xml:space="preserve">八、本次竞争性磋商联系方式</w:t>
      </w:r>
      <w:bookmarkEnd w:id="20"/>
      <w:r/>
      <w:bookmarkEnd w:id="21"/>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称：</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扬州市江都区邵伯镇人民政府</w:t>
      </w:r>
      <w:r/>
    </w:p>
    <w:p>
      <w:pPr>
        <w:ind w:firstLine="420"/>
        <w:jc w:val="left"/>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址：</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扬州市江都区邵伯镇邵桥路6号</w:t>
      </w:r>
      <w:r/>
    </w:p>
    <w:p>
      <w:pPr>
        <w:ind w:firstLine="420"/>
        <w:jc w:val="left"/>
        <w:spacing w:line="360" w:lineRule="auto"/>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u w:val="none"/>
          <w14:textFill>
            <w14:solidFill>
              <w14:schemeClr w14:val="tx1"/>
            </w14:solidFill>
          </w14:textFill>
        </w:rPr>
        <w:t xml:space="preserve">：</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高先生</w:t>
      </w:r>
      <w:r/>
    </w:p>
    <w:p>
      <w:pPr>
        <w:ind w:firstLine="42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联系方式：18652550327</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2.采购代理机构信息</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称：苏合邦筑工程咨询集团股份有限公司</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址：浦江路439号园林大厦5楼</w:t>
      </w:r>
      <w:r/>
    </w:p>
    <w:p>
      <w:pPr>
        <w:pStyle w:val="1037"/>
        <w:ind w:firstLine="40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吴宇</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联系方式：0514-80335676</w:t>
      </w:r>
      <w:r/>
    </w:p>
    <w:p>
      <w:pPr>
        <w:pStyle w:val="1037"/>
        <w:ind w:firstLine="40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    箱：531356327@qq.com</w:t>
      </w:r>
      <w:r/>
    </w:p>
    <w:p>
      <w:pPr>
        <w:pStyle w:val="1037"/>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九、</w:t>
      </w:r>
      <w:r>
        <w:rPr>
          <w:rFonts w:hint="eastAsia" w:ascii="宋体" w:hAnsi="宋体" w:eastAsia="宋体" w:cs="宋体"/>
          <w:b w:val="0"/>
          <w:bCs/>
          <w:color w:val="000000" w:themeColor="text1"/>
          <w:sz w:val="21"/>
          <w:szCs w:val="2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2" w:name="_Toc109304971"/>
      <w:r/>
      <w:bookmarkStart w:id="23" w:name="_Toc30711"/>
      <w:r>
        <w:rPr>
          <w:rFonts w:hint="eastAsia" w:ascii="宋体" w:hAnsi="宋体" w:eastAsia="宋体" w:cs="宋体"/>
          <w:bCs w:val="0"/>
          <w:color w:val="000000" w:themeColor="text1"/>
          <w:sz w:val="21"/>
          <w:szCs w:val="21"/>
          <w:highlight w:val="none"/>
          <w14:textFill>
            <w14:solidFill>
              <w14:schemeClr w14:val="tx1"/>
            </w14:solidFill>
          </w14:textFill>
        </w:rPr>
        <w:t xml:space="preserve">十、其他</w:t>
      </w:r>
      <w:bookmarkEnd w:id="22"/>
      <w:r/>
      <w:bookmarkEnd w:id="23"/>
      <w:r/>
      <w:bookmarkEnd w:id="0"/>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w:t>
      </w:r>
      <w:r>
        <w:rPr>
          <w:rFonts w:hint="eastAsia" w:ascii="宋体" w:hAnsi="宋体" w:eastAsia="宋体" w:cs="宋体"/>
          <w:b w:val="0"/>
          <w:bCs/>
          <w:color w:val="000000" w:themeColor="text1"/>
          <w:spacing w:val="0"/>
          <w:sz w:val="21"/>
          <w:szCs w:val="21"/>
          <w:highlight w:val="none"/>
          <w14:textFill>
            <w14:solidFill>
              <w14:schemeClr w14:val="tx1"/>
            </w14:solidFill>
          </w14:textFill>
        </w:rPr>
        <w:t xml:space="preserve">方式：13813140731。</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5.落实好政府采购履约资金扶持政策。中标/成交供应商可凭政府采购合同办理融资贷款，详见江苏政府采购网“政采贷”专栏。</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6.严格执行政府采购关于支持</w:t>
      </w:r>
      <w:r>
        <w:rPr>
          <w:rFonts w:hint="eastAsia" w:ascii="宋体" w:hAnsi="宋体" w:eastAsia="宋体" w:cs="宋体"/>
          <w:b w:val="0"/>
          <w:bCs/>
          <w:color w:val="000000" w:themeColor="text1"/>
          <w:sz w:val="2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7.潜在供应商对采购文件项目需求部分的询问、质疑请向采购人提出，由采购人负责答复。</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8.本次采购不收取保证金。</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9.有关本次采购的事项若存在变动或修改，敬请及时关注“扬州市政府采购网”、”江苏省政府采购网”发布的信息。</w:t>
      </w:r>
      <w:r/>
    </w:p>
    <w:p>
      <w:pPr>
        <w:pStyle w:val="1037"/>
        <w:ind w:firstLine="400"/>
        <w:spacing w:line="360" w:lineRule="auto"/>
        <w:rPr>
          <w:rFonts w:hint="eastAsia" w:ascii="宋体" w:hAnsi="宋体" w:eastAsia="宋体" w:cs="宋体"/>
          <w:b/>
          <w:i/>
          <w:iCs/>
          <w:color w:val="000000" w:themeColor="text1"/>
          <w:sz w:val="21"/>
          <w:szCs w:val="21"/>
          <w:highlight w:val="none"/>
          <w:u w:val="singl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10.本项目采购文件中所有斜体下划线部分为实质性条款，如不满足，则为无效响应。</w:t>
      </w:r>
      <w:r/>
    </w:p>
    <w:p>
      <w:pPr>
        <w:pStyle w:val="1020"/>
        <w:jc w:val="center"/>
        <w:spacing w:line="360" w:lineRule="auto"/>
        <w:rPr>
          <w:rFonts w:hint="eastAsia" w:ascii="宋体" w:hAnsi="宋体" w:eastAsia="宋体" w:cs="宋体"/>
          <w:color w:val="000000" w:themeColor="text1"/>
          <w:highlight w:val="none"/>
          <w14:textFill>
            <w14:solidFill>
              <w14:schemeClr w14:val="tx1"/>
            </w14:solidFill>
          </w14:textFill>
        </w:rPr>
      </w:pPr>
      <w:r/>
      <w:bookmarkStart w:id="24" w:name="_Toc23352"/>
      <w:r>
        <w:rPr>
          <w:rFonts w:hint="eastAsia" w:ascii="宋体" w:hAnsi="宋体" w:eastAsia="宋体" w:cs="宋体"/>
          <w:color w:val="000000" w:themeColor="text1"/>
          <w:highlight w:val="none"/>
          <w14:textFill>
            <w14:solidFill>
              <w14:schemeClr w14:val="tx1"/>
            </w14:solidFill>
          </w14:textFill>
        </w:rPr>
        <w:br w:type="page" w:clear="all"/>
      </w:r>
      <w:bookmarkStart w:id="25" w:name="_Toc25416"/>
      <w:r>
        <w:rPr>
          <w:rFonts w:hint="eastAsia" w:ascii="宋体" w:hAnsi="宋体" w:eastAsia="宋体" w:cs="宋体"/>
          <w:color w:val="000000" w:themeColor="text1"/>
          <w:sz w:val="36"/>
          <w:szCs w:val="36"/>
          <w:highlight w:val="none"/>
          <w14:textFill>
            <w14:solidFill>
              <w14:schemeClr w14:val="tx1"/>
            </w14:solidFill>
          </w14:textFill>
        </w:rPr>
        <w:t xml:space="preserve">第二章 磋商须知</w:t>
      </w:r>
      <w:bookmarkEnd w:id="24"/>
      <w:r/>
      <w:bookmarkEnd w:id="25"/>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1、采购方式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 本次采购采取竞争性磋商方式，本采购文件仅适用于</w:t>
      </w:r>
      <w:r>
        <w:rPr>
          <w:rFonts w:hint="eastAsia" w:ascii="宋体" w:hAnsi="宋体" w:cs="宋体"/>
          <w:color w:val="000000" w:themeColor="text1"/>
          <w:highlight w:val="none"/>
          <w:lang w:eastAsia="zh-CN"/>
          <w14:textFill>
            <w14:solidFill>
              <w14:schemeClr w14:val="tx1"/>
            </w14:solidFill>
          </w14:textFill>
        </w:rPr>
        <w:t xml:space="preserve">JSZC-321012-SHBZ-C2026-0006</w:t>
      </w:r>
      <w:bookmarkStart w:id="448" w:name="_GoBack"/>
      <w:r/>
      <w:bookmarkEnd w:id="448"/>
      <w:r>
        <w:rPr>
          <w:rFonts w:hint="eastAsia" w:ascii="宋体" w:hAnsi="宋体" w:eastAsia="宋体" w:cs="宋体"/>
          <w:color w:val="000000" w:themeColor="text1"/>
          <w:highlight w:val="none"/>
          <w14:textFill>
            <w14:solidFill>
              <w14:schemeClr w14:val="tx1"/>
            </w14:solidFill>
          </w14:textFill>
        </w:rPr>
        <w:t xml:space="preserve">号项目。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2.2合格的供应商</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2.2.1 满足采购公告中供应商的资格条件要求的规定。</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2.2.2 满足本文件实质性条款的规定。</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3、适用法律</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4、参加磋商费用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供应商应自行承担所有与参加磋商有关的费用，无论磋商过程中的做法和结果如何，（苏合邦筑工程咨询集团股份有限公司）(以下简称代理机构)在任何情况下均无义务和责任承担这些费用。</w:t>
      </w:r>
      <w:r/>
    </w:p>
    <w:p>
      <w:pPr>
        <w:ind w:firstLine="42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4.2</w:t>
      </w:r>
      <w:bookmarkStart w:id="26" w:name="_Hlk115095815"/>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本次采购由成交单位在领取成交通知书前按照苏招协（2022）2号文</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苏建价协（2022）7号文</w:t>
      </w:r>
      <w:r>
        <w:rPr>
          <w:rFonts w:hint="eastAsia" w:ascii="宋体" w:hAnsi="宋体" w:eastAsia="宋体" w:cs="宋体"/>
          <w:color w:val="000000" w:themeColor="text1"/>
          <w:highlight w:val="none"/>
          <w14:textFill>
            <w14:solidFill>
              <w14:schemeClr w14:val="tx1"/>
            </w14:solidFill>
          </w14:textFill>
        </w:rPr>
        <w:t xml:space="preserve">标准一次性支付给招标代理机构代理服务费</w:t>
      </w:r>
      <w:r>
        <w:rPr>
          <w:rFonts w:hint="eastAsia" w:ascii="宋体" w:hAnsi="宋体" w:eastAsia="宋体" w:cs="宋体"/>
          <w:color w:val="000000" w:themeColor="text1"/>
          <w:highlight w:val="none"/>
          <w:lang w:val="en-US" w:eastAsia="zh-CN"/>
          <w14:textFill>
            <w14:solidFill>
              <w14:schemeClr w14:val="tx1"/>
            </w14:solidFill>
          </w14:textFill>
        </w:rPr>
        <w:t xml:space="preserve">及招标控制价编制费</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专家评审费按扬州市政府采购专家评审费标准执行结算。</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（1）代理服务费以人民币支付；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（2）代理服务费一次性以电汇、转账等非现金形式支付；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代理单位名称：苏合邦筑工程咨询集团股份有限公司江都分公司</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税        号：91321012MA21U2RM24</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   户   行：中国银行股份有限公司扬州新都路支行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行        号：104312501045</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号：549575531937 </w:t>
      </w:r>
      <w:bookmarkEnd w:id="26"/>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5、采购文件的约束力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6、采购文件构成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6.1 采购文件有以下部分组成：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（1）采购公告</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（2）磋商须知</w:t>
      </w:r>
      <w:r>
        <w:rPr>
          <w:rFonts w:hint="eastAsia" w:ascii="宋体" w:hAnsi="宋体" w:eastAsia="宋体" w:cs="宋体"/>
          <w:color w:val="000000" w:themeColor="text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（3）合同条款及格式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（4）项目需求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（5）评审方法与评审标准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（6）竞争性磋商响应文件格式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9、采购文件的语言、度量衡单位、货币</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10、响应文件构成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（5）分项报价表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（6）技术参数响应及偏离表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（7）商务条款响应及偏离表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（8）设计方案（如有）：如未成功上传“设计投标文件”，投标单位需将电子投标光盘（设计图纸光盘密封并注明供应商单位名称）递交至代理机构（地址），招标代理单位将派工作人员在</w:t>
      </w:r>
      <w:r>
        <w:rPr>
          <w:rFonts w:hint="eastAsia" w:ascii="宋体" w:hAnsi="宋体" w:eastAsia="宋体" w:cs="宋体"/>
          <w:color w:val="000000" w:themeColor="text1"/>
          <w:highlight w:val="none"/>
          <w:lang w:eastAsia="zh-CN"/>
          <w14:textFill>
            <w14:solidFill>
              <w14:schemeClr w14:val="tx1"/>
            </w14:solidFill>
          </w14:textFill>
        </w:rPr>
        <w:t xml:space="preserve">2026年</w:t>
      </w:r>
      <w:r>
        <w:rPr>
          <w:rFonts w:hint="eastAsia" w:ascii="宋体" w:hAnsi="宋体" w:cs="宋体"/>
          <w:color w:val="000000" w:themeColor="text1"/>
          <w:highlight w:val="none"/>
          <w:lang w:eastAsia="zh-CN"/>
          <w14:textFill>
            <w14:solidFill>
              <w14:schemeClr w14:val="tx1"/>
            </w14:solidFill>
          </w14:textFill>
        </w:rPr>
        <w:t xml:space="preserve">5月6日14点30分</w:t>
      </w:r>
      <w:r>
        <w:rPr>
          <w:rFonts w:hint="eastAsia" w:ascii="宋体" w:hAnsi="宋体" w:eastAsia="宋体" w:cs="宋体"/>
          <w:color w:val="000000" w:themeColor="text1"/>
          <w:highlight w:val="none"/>
          <w14:textFill>
            <w14:solidFill>
              <w14:schemeClr w14:val="tx1"/>
            </w14:solidFill>
          </w14:textFill>
        </w:rPr>
        <w:t xml:space="preserve">时间内接收电子投标光盘。将电子投标光盘递交至招标代理工作人员处，逾期不予接收。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（9）其他（供应商认为有必要提供的声明和文件，如有自拟并自行添加。设计方案）</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11、证明供应商资格及符合采购文件规定的文件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供应商应按要求提交资格证明文件及符合采购文件规定的文件。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供应商应提交证明其有资格参加磋商和成交后有能力独立履行合同的文件。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供应商应提交根据合同要求提供的证明服务质量合格以及符合采购文件规定的证明文件。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证明供应商所提供服务与采购文件的要求相一致的文件可以是手册、图纸、文字资料和数据。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12、磋商响应报价表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 详细阐述所投服务的主要组成部分、功能设计、实现思路及关键技术；</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14、服务承诺及售后服务机构、人员的情况介绍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供应商的服务承诺应按不低于采购文件中商务要求的标准。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15、磋商响应函</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供应商应按照扬州市政府采购交易管理系统提供的格式完整、正确填写磋商响应函。</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16、磋商响应有效期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 磋商响应有效期为代理机构规定的响应文件接收截止时间后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。磋商响应有效期比规定短的将被视为非实质性响应性而予以拒绝。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27" w:name="_Toc20823297"/>
      <w:r/>
      <w:bookmarkStart w:id="28" w:name="_Toc16938541"/>
      <w:r>
        <w:rPr>
          <w:rFonts w:hint="eastAsia" w:ascii="宋体" w:hAnsi="宋体" w:eastAsia="宋体" w:cs="宋体"/>
          <w:color w:val="000000" w:themeColor="text1"/>
          <w:highlight w:val="none"/>
          <w14:textFill>
            <w14:solidFill>
              <w14:schemeClr w14:val="tx1"/>
            </w14:solidFill>
          </w14:textFill>
        </w:rPr>
        <w:t xml:space="preserve">17、响应文件</w:t>
      </w:r>
      <w:bookmarkEnd w:id="27"/>
      <w:r/>
      <w:bookmarkEnd w:id="28"/>
      <w:r>
        <w:rPr>
          <w:rFonts w:hint="eastAsia" w:ascii="宋体" w:hAnsi="宋体" w:eastAsia="宋体" w:cs="宋体"/>
          <w:color w:val="000000" w:themeColor="text1"/>
          <w:highlight w:val="none"/>
          <w14:textFill>
            <w14:solidFill>
              <w14:schemeClr w14:val="tx1"/>
            </w14:solidFill>
          </w14:textFill>
        </w:rPr>
        <w:t xml:space="preserve">的递交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29" w:name="_Toc16938542"/>
      <w:r/>
      <w:bookmarkStart w:id="30" w:name="_Toc20823298"/>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17.2</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政府采购管理交易系统（苏采云）相关要求是本采购文件的组成部分。</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17.3</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供应商应对 CA 证书妥善保管，如被他人盗用投标，因此带来的结果均由供应商自行承担。</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17.4</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供应商应当对采购文件提出的要求和条件作出实质性响应，并在电子投标系统逐条应答。</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17.5</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供应商</w:t>
      </w:r>
      <w:r>
        <w:rPr>
          <w:rFonts w:hint="eastAsia" w:ascii="宋体" w:hAnsi="宋体" w:eastAsia="宋体" w:cs="宋体"/>
          <w:b w:val="0"/>
          <w:bCs/>
          <w:color w:val="000000" w:themeColor="text1"/>
          <w:szCs w:val="21"/>
          <w:highlight w:val="none"/>
          <w14:textFill>
            <w14:solidFill>
              <w14:schemeClr w14:val="tx1"/>
            </w14:solidFill>
          </w14:textFill>
        </w:rPr>
        <w:t xml:space="preserve">应对要求提供的资格证明文件（如资质证书、资格证书）、技术资料（如白皮书、彩页、手册、检测报告等）原件扫描上传至投标系统。</w:t>
      </w:r>
      <w:r/>
    </w:p>
    <w:p>
      <w:pPr>
        <w:ind w:firstLine="422"/>
        <w:spacing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17.6</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各</w:t>
      </w:r>
      <w:r>
        <w:rPr>
          <w:rFonts w:hint="eastAsia" w:ascii="宋体" w:hAnsi="宋体" w:eastAsia="宋体" w:cs="宋体"/>
          <w:b w:val="0"/>
          <w:bCs/>
          <w:color w:val="000000" w:themeColor="text1"/>
          <w:highlight w:val="none"/>
          <w14:textFill>
            <w14:solidFill>
              <w14:schemeClr w14:val="tx1"/>
            </w14:solidFill>
          </w14:textFill>
        </w:rPr>
        <w:t xml:space="preserve">供应商</w:t>
      </w:r>
      <w:r>
        <w:rPr>
          <w:rFonts w:hint="eastAsia" w:ascii="宋体" w:hAnsi="宋体" w:eastAsia="宋体" w:cs="宋体"/>
          <w:b w:val="0"/>
          <w:bCs/>
          <w:color w:val="000000" w:themeColor="text1"/>
          <w:szCs w:val="21"/>
          <w:highlight w:val="none"/>
          <w14:textFill>
            <w14:solidFill>
              <w14:schemeClr w14:val="tx1"/>
            </w14:solidFill>
          </w14:textFill>
        </w:rPr>
        <w:t xml:space="preserve">应在规定时间内凭CA证书进行网上解密。</w:t>
      </w:r>
      <w:r/>
    </w:p>
    <w:p>
      <w:pPr>
        <w:ind w:firstLine="422"/>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18、磋商响应截止日期</w:t>
      </w:r>
      <w:bookmarkEnd w:id="29"/>
      <w:r/>
      <w:bookmarkEnd w:id="30"/>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31" w:name="_Toc16938543"/>
      <w:r/>
      <w:bookmarkStart w:id="32" w:name="_Toc20823299"/>
      <w:r>
        <w:rPr>
          <w:rFonts w:hint="eastAsia" w:ascii="宋体" w:hAnsi="宋体" w:eastAsia="宋体" w:cs="宋体"/>
          <w:color w:val="000000" w:themeColor="text1"/>
          <w:highlight w:val="none"/>
          <w14:textFill>
            <w14:solidFill>
              <w14:schemeClr w14:val="tx1"/>
            </w14:solidFill>
          </w14:textFill>
        </w:rPr>
        <w:t xml:space="preserve">19、响应文件</w:t>
      </w:r>
      <w:bookmarkEnd w:id="31"/>
      <w:r/>
      <w:bookmarkEnd w:id="32"/>
      <w:r>
        <w:rPr>
          <w:rFonts w:hint="eastAsia" w:ascii="宋体" w:hAnsi="宋体" w:eastAsia="宋体" w:cs="宋体"/>
          <w:color w:val="000000" w:themeColor="text1"/>
          <w:highlight w:val="none"/>
          <w14:textFill>
            <w14:solidFill>
              <w14:schemeClr w14:val="tx1"/>
            </w14:solidFill>
          </w14:textFill>
        </w:rPr>
        <w:t xml:space="preserve">的拒收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代理机构拒绝接收在其规定的磋商截止时间后上传的任何响应文件。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33" w:name="_Toc16938544"/>
      <w:r/>
      <w:bookmarkStart w:id="34" w:name="_Toc20823300"/>
      <w:r>
        <w:rPr>
          <w:rFonts w:hint="eastAsia" w:ascii="宋体" w:hAnsi="宋体" w:eastAsia="宋体" w:cs="宋体"/>
          <w:color w:val="000000" w:themeColor="text1"/>
          <w:highlight w:val="none"/>
          <w14:textFill>
            <w14:solidFill>
              <w14:schemeClr w14:val="tx1"/>
            </w14:solidFill>
          </w14:textFill>
        </w:rPr>
        <w:t xml:space="preserve">20、响应文件的撤回和修改</w:t>
      </w:r>
      <w:bookmarkEnd w:id="33"/>
      <w:r/>
      <w:bookmarkEnd w:id="34"/>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供应商撤回电子响应文件，则认为其不再参与本项目磋商谈判。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在磋商截止时间之后，供应商不得对其电子响应文件作任何修改。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21、磋商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22、磋商小组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磋商开始后，代理机构将立即组织磋商小组进行评审。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磋商小组独立工作，负责评审有效响应文件并确定成交候选供应商。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23、评审过程的保密与公正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评审专家应当遵守评审工作纪律，不得泄露评审情况和评审中获悉的商业秘密。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24、磋商的澄清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接到磋商小组澄清要求的供应商应按磋商小组规定的时间和格式在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25、对响应文件的初审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响应文件初审分为资格审查和符合性审查。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未通过资格审查或符合性审查的供应商，代理机构将在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26、磋商程序及评审方法和标准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26.1磋商程序</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ascii="宋体" w:hAnsi="宋体" w:eastAsia="宋体" w:cs="宋体"/>
          <w:b w:val="0"/>
          <w:bCs w:val="0"/>
          <w:color w:val="000000" w:themeColor="text1"/>
          <w:highlight w:val="none"/>
          <w:shd w:val="clear" w:color="ffffff" w:fill="ffffff"/>
          <w14:textFill>
            <w14:solidFill>
              <w14:schemeClr w14:val="tx1"/>
            </w14:solidFill>
          </w14:textFill>
        </w:rPr>
        <w:t xml:space="preserve">政府采购管理交易系统（苏采云）</w:t>
      </w:r>
      <w:r>
        <w:rPr>
          <w:rFonts w:hint="eastAsia" w:ascii="宋体" w:hAnsi="宋体" w:eastAsia="宋体" w:cs="宋体"/>
          <w:b w:val="0"/>
          <w:bCs w:val="0"/>
          <w:color w:val="000000" w:themeColor="text1"/>
          <w:highlight w:val="none"/>
          <w14:textFill>
            <w14:solidFill>
              <w14:schemeClr w14:val="tx1"/>
            </w14:solidFill>
          </w14:textFill>
        </w:rPr>
        <w:t xml:space="preserve">”中分别进行磋商。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 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26.2.2评审标准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见本采购文件第五章规定。</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27、无效响应及采购活动终止的情况</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供应商未按照采购文件要求上传电子磋商响应文件的。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供应商未成功解密电子磋商响应文件的。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27.1.3 供应商不具备采购文件中规定资格要求的。</w:t>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27.1.4 未通过符合性审查的。</w:t>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27.1.5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27.1.6 </w:t>
      </w:r>
      <w:r>
        <w:rPr>
          <w:rFonts w:hint="eastAsia" w:ascii="宋体" w:hAnsi="宋体" w:eastAsia="宋体" w:cs="宋体"/>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27.1.8 响应文件未按照采购文件要求加盖电子签章。</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 xml:space="preserve">27.1.9 异常低价投标（响应）</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27.1.9.1投标（响应）报价低于全部通过符合性审查供应商投标（响应）报价平均值</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的，即投标（响应）报价&lt;全部通过符合性审查供应商投标（响应）报价平均值×</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27.1.9.2投标（响应）报价低于通过符合性审查的次低报价供应商投标（响应）报价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的，即投标（响应）报价&lt;通过符合性审查的次低报价供应商投标（响应）报价×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27.1.9.3投标（响应）报价低于采购项目最高限价的，即投标（响应）报价&lt;采购项目最高限价×</w:t>
      </w:r>
      <w:r>
        <w:rPr>
          <w:rFonts w:hint="eastAsia" w:ascii="宋体" w:hAnsi="宋体" w:cs="宋体"/>
          <w:bCs/>
          <w:color w:val="000000" w:themeColor="text1"/>
          <w:highlight w:val="none"/>
          <w:lang w:eastAsia="zh-CN"/>
          <w14:textFill>
            <w14:solidFill>
              <w14:schemeClr w14:val="tx1"/>
            </w14:solidFill>
          </w14:textFill>
        </w:rPr>
        <w:t xml:space="preserve">65%</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注：采购人可以结合具体项目实际情况，提高上述第1项至第3项中启动异常低价投标（响应）审查的数值标准，但是最高不得超过65%。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27.1.10</w:t>
      </w:r>
      <w:r>
        <w:rPr>
          <w:rFonts w:hint="eastAsia" w:ascii="宋体" w:hAnsi="宋体" w:eastAsia="宋体" w:cs="宋体"/>
          <w:bCs/>
          <w:color w:val="000000" w:themeColor="text1"/>
          <w:highlight w:val="none"/>
          <w14:textFill>
            <w14:solidFill>
              <w14:schemeClr w14:val="tx1"/>
            </w14:solidFill>
          </w14:textFill>
        </w:rPr>
        <w:t xml:space="preserve">其他法律、法规及本采购文件规定的属无效响应的情形。</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因情况变化，不再符合规定的竞争性磋商采购方式适用情形的；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 </w:t>
      </w:r>
      <w:r>
        <w:rPr>
          <w:rFonts w:hint="eastAsia" w:ascii="宋体" w:hAnsi="宋体" w:eastAsia="宋体" w:cs="宋体"/>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28、确定成交单位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 采购人应根据磋商推荐的成交候选人，按照排序由高到低的原件确定成交供应商。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28.3 代理机构将在“扬州市政府采购网”、”江苏省政府采购网”发布成交公告，公告期限为1个工作日。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 恶意竞争，最终总报价明显低于其自身合理成本且又无法提供证明的；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 属于本文件规定的无效条件，但在评审过程中又未被磋商小组发现的；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 与采购人或者其他供应商恶意串通的；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 采取不正当手段诋毁、排挤其他供应商的；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 不符合法律、法规的规定的。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29、质疑处理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highlight w:val="none"/>
          <w14:textFill>
            <w14:solidFill>
              <w14:schemeClr w14:val="tx1"/>
            </w14:solidFill>
          </w14:textFill>
        </w:rPr>
        <w:t xml:space="preserve">提出质疑的供应商应当是参与所质疑项目采购活动</w:t>
      </w:r>
      <w:r>
        <w:rPr>
          <w:rFonts w:hint="eastAsia" w:ascii="宋体" w:hAnsi="宋体" w:cs="宋体"/>
          <w:b w:val="0"/>
          <w:bCs w:val="0"/>
          <w:color w:val="000000" w:themeColor="text1"/>
          <w:highlight w:val="none"/>
          <w:lang w:val="en-US" w:eastAsia="zh-CN"/>
          <w14:textFill>
            <w14:solidFill>
              <w14:schemeClr w14:val="tx1"/>
            </w14:solidFill>
          </w14:textFill>
        </w:rPr>
        <w:t xml:space="preserve">且满足采购活动相关资质要求</w:t>
      </w:r>
      <w:r>
        <w:rPr>
          <w:rFonts w:hint="eastAsia" w:ascii="宋体" w:hAnsi="宋体" w:eastAsia="宋体" w:cs="宋体"/>
          <w:b w:val="0"/>
          <w:bCs w:val="0"/>
          <w:color w:val="000000" w:themeColor="text1"/>
          <w:highlight w:val="none"/>
          <w14:textFill>
            <w14:solidFill>
              <w14:schemeClr w14:val="tx1"/>
            </w14:solidFill>
          </w14:textFill>
        </w:rPr>
        <w:t xml:space="preserve">的供应商。潜在供应商依法获取其可质疑的采购文件的，可以对采购文件提出质疑。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30、成交通知书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签订合同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31.3合同在“政府采购管理交易系统（苏采云）”中签订，签订合同后，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32、其他</w:t>
      </w:r>
      <w:r/>
    </w:p>
    <w:p>
      <w:pPr>
        <w:ind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32.1依据《政府采购促进中小企业发展管理办法》享受扶持政策获得政府采购合同的，小微企业不得将合同分包给大中型企业，中型企业不得将合同分包给大型企业。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35" w:name="_Toc11480"/>
      <w:r/>
      <w:bookmarkStart w:id="36" w:name="_Toc107582398"/>
      <w:r/>
      <w:bookmarkStart w:id="37" w:name="_Toc24601"/>
      <w:r>
        <w:rPr>
          <w:rFonts w:hint="eastAsia" w:ascii="宋体" w:hAnsi="宋体" w:eastAsia="宋体" w:cs="宋体"/>
          <w:color w:val="000000" w:themeColor="text1"/>
          <w:sz w:val="36"/>
          <w:szCs w:val="36"/>
          <w:highlight w:val="none"/>
          <w14:textFill>
            <w14:solidFill>
              <w14:schemeClr w14:val="tx1"/>
            </w14:solidFill>
          </w14:textFill>
        </w:rPr>
        <w:t xml:space="preserve">第三章 合同条款及格式</w:t>
      </w:r>
      <w:bookmarkEnd w:id="35"/>
      <w:r/>
      <w:bookmarkEnd w:id="36"/>
      <w:r/>
      <w:bookmarkEnd w:id="37"/>
      <w:r/>
      <w:r/>
    </w:p>
    <w:p>
      <w:pPr>
        <w:ind w:firstLine="40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bookmarkStart w:id="38" w:name="_Toc16315"/>
      <w:r/>
      <w:bookmarkStart w:id="39" w:name="_Toc32629"/>
      <w:r>
        <w:rPr>
          <w:rFonts w:hint="eastAsia" w:ascii="宋体" w:hAnsi="宋体" w:eastAsia="宋体" w:cs="宋体"/>
          <w:bCs/>
          <w:color w:val="000000" w:themeColor="text1"/>
          <w:sz w:val="21"/>
          <w:szCs w:val="21"/>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ind w:firstLine="402"/>
        <w:jc w:val="center"/>
        <w:spacing w:before="120" w:after="12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0"/>
          <w:highlight w:val="none"/>
          <w14:textFill>
            <w14:solidFill>
              <w14:schemeClr w14:val="tx1"/>
            </w14:solidFill>
          </w14:textFill>
        </w:rPr>
        <w:t xml:space="preserve">扬州市政府采购合同</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甲方（采购人/买方）：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乙方（供应商/卖方）：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根据《中华人民共和国政府采购法》、《中华人民共和国民法典》等法律法规的规定，甲乙双方按照江苏宏才项目管理有限公司扬州分公司关于本项目磋商结果签订本合同。</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1、合同组成</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下列关于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文件、乙方提交的响应文件均是构成本合同不可分割的部分，还包括：</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（1）合同条款；</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（2）响应承诺函；</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（3）最后报价表；</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（4）报价明细表；</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（5）工程方案及服务承诺；</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（6）成交通知书；</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（7）图纸（如有）；</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（8）甲方、乙方商定的其他必要文件。</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2、工程概况</w:t>
      </w:r>
      <w:r/>
    </w:p>
    <w:p>
      <w:pPr>
        <w:ind w:firstLine="42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2.1 工程名称：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2.2 工程地点：</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扬州市江都区邵伯镇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2.3 承包范围：包含但不限于工程施工图纸及工程量清单范围内的所有工程施工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2.4 承包方式：包工包料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2.5 工期：本工程工期</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天，拟于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日开工，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日完工，具体开工时间以采购人通知为准。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2.6 工程质量：本工程质量等级为合格标准，符合《水利工程施工质量检验与评定规范》（DB32/T2334-2013）。</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 合同价款（人民币大写）：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元，￥： 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本项目合同采用固定单价，合同价格明细清单见投标清单附件，施工过程中严格控制变更。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本工程结算价须经甲方认可的造价咨询单位审核确定，最终合同价以审计部门审定结算价为准。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合同价中安全文明措施费、工伤保险在投标报价时为不可竞争费，费用为招标清单提供的费用。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2.7.4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本合同价格采用固定单价，为防止高估冒算或清单漏项，合同签订前甲乙双方对照现场、招标清单、施工图核实有关工程量。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2.8 付款方式：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2.8.1 本项目合同为固定单价合同，合同总价中，包含了工程的施工、安装、调试结束，直至交付买方使用止的所有费用，即包括人工费、全部设备、材料的价格、随设备提供的备品配件及专用工具的价格、包装费、运杂费（含二次搬运费、垂直运输费）、脚手架费、管理费、保险费、安装费、配合费、调试费，完工检测费、买方有关人员培训费、配合费、本工程税金、利润、风险及投标人认为需要的其他所有费用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2.8.2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工程款支付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中标价即为合同价，工程竣工验收合格后付至合同价的60%，审计结束付至审定价的80%，3%为质保金。质保期满后一次付清</w:t>
      </w:r>
      <w:r>
        <w:rPr>
          <w:rFonts w:hint="eastAsia" w:ascii="宋体" w:hAnsi="宋体" w:cs="宋体"/>
          <w:color w:val="000000" w:themeColor="text1"/>
          <w:sz w:val="21"/>
          <w:szCs w:val="21"/>
          <w:highlight w:val="none"/>
          <w:lang w:val="en-US" w:eastAsia="zh-CN"/>
          <w14:textFill>
            <w14:solidFill>
              <w14:schemeClr w14:val="tx1"/>
            </w14:solidFill>
          </w14:textFill>
        </w:rPr>
        <w:t xml:space="preserve">余款</w:t>
      </w:r>
      <w:r>
        <w:rPr>
          <w:rFonts w:hint="eastAsia" w:ascii="宋体" w:hAnsi="宋体" w:eastAsia="宋体" w:cs="宋体"/>
          <w:color w:val="000000" w:themeColor="text1"/>
          <w:sz w:val="21"/>
          <w:szCs w:val="21"/>
          <w:highlight w:val="none"/>
          <w14:textFill>
            <w14:solidFill>
              <w14:schemeClr w14:val="tx1"/>
            </w14:solidFill>
          </w14:textFill>
        </w:rPr>
        <w:t xml:space="preserve">。资金支付具体进度以财政部门拨付为准。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3、甲方权利义务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3.1 开工前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天，甲方向乙方提供经确认的施工图纸或做法说明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份，并向乙方进行现场交底。向乙方提供施工所有的水、电、气及电讯等设备并说明使用注意事项。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3.2 </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w:t>
      </w:r>
      <w:r>
        <w:rPr>
          <w:rFonts w:hint="eastAsia" w:ascii="宋体" w:hAnsi="宋体" w:cs="宋体"/>
          <w:color w:val="000000" w:themeColor="text1"/>
          <w:sz w:val="21"/>
          <w:szCs w:val="21"/>
          <w:highlight w:val="none"/>
          <w:lang w:val="en-US" w:eastAsia="zh-CN"/>
          <w14:textFill>
            <w14:solidFill>
              <w14:schemeClr w14:val="tx1"/>
            </w14:solidFill>
          </w14:textFill>
        </w:rPr>
        <w:t xml:space="preserve">邵伯镇人民政府</w:t>
      </w:r>
      <w:r>
        <w:rPr>
          <w:rFonts w:hint="eastAsia" w:ascii="宋体" w:hAnsi="宋体" w:eastAsia="宋体" w:cs="宋体"/>
          <w:color w:val="000000" w:themeColor="text1"/>
          <w:sz w:val="21"/>
          <w:szCs w:val="21"/>
          <w:highlight w:val="none"/>
          <w14:textFill>
            <w14:solidFill>
              <w14:schemeClr w14:val="tx1"/>
            </w14:solidFill>
          </w14:textFill>
        </w:rPr>
        <w:t xml:space="preserve">负责合同履行。对工程质量控制、进度控制、安全生产等工作进行监督检查，办理验收，变更，登记手续和其他事宜，施工中严格控制变更；发出经发包人同意的工程指令；对支付工程款进行审核等。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3.3 如确实需要拆改原建筑物结构或设备管线，负责到有关部门办理相应审批手续。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3.4 协调有关部门做好现场保卫、消防、垃圾处理等工作。</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4、乙方权利义务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 参加甲方组织的施工图纸或作法说明的现场交底，拟定施工方案和进度计划，交甲方审定。</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4.2 </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进场施工前邀请监理、测绘、业主单位进行复测，如有问题由测绘单位会同监理、甲方共同协商解决。</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4.3 </w:t>
      </w:r>
      <w:r>
        <w:rPr>
          <w:rFonts w:hint="eastAsia" w:ascii="宋体" w:hAnsi="宋体" w:eastAsia="宋体" w:cs="宋体"/>
          <w:color w:val="000000" w:themeColor="text1"/>
          <w:sz w:val="21"/>
          <w:szCs w:val="21"/>
          <w:highlight w:val="none"/>
          <w14:textFill>
            <w14:solidFill>
              <w14:schemeClr w14:val="tx1"/>
            </w14:solidFill>
          </w14:textFill>
        </w:rPr>
        <w:t xml:space="preserve">指派</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为乙方项目负责人（项目经理），身份证号：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，建造师执业资格等级：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，建造师注册证书号：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 乙方项目经理应在采购人签发进场通知后的7日内到职，项目经理不得更换。特殊情况下确需更换的，应提出书面申请并征得甲方同意，且不得降低项目经理资质。项目副经理（若有，下同）、技术负责人除特殊情况外不得更换。项目经理、项目副经理、技术负责人、安全负责人、质检负责人在工程施工期间调换不得超过2人（甲方要求变更的除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 乙方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报价中，甲方不再另行支付。并提供工程主要节点施工前、中、后对比照片资料1套，档案相关的一切费用包含在报价中，甲方不再另行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 严格执行施工规范、安全操作规程、防火安全规定、环境保护规定。严格按照图纸或做法说明进行施工，做好各项质量检查记录，参加完工验收，编制工程决算。</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 施工中未经甲方同意或有关部门批准，不得随意拆改原建筑物结构及各种设备管线。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 工程完工未移交甲方之前，负责对现场的一切设施和工程成品进行保护，所涉及的费用包含在报价中，甲方不再另行支付。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 乙方向甲方承诺按照合同约定进行施工、完工并在质量保修期内承担工程质量保修责任。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乙方有责任在工程中间验收、完工验收、档案验收过程中为甲方提供与政府相关部门的沟通与协调的服务，并与甲方一起办理相应手续。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承担本工程所有应属于乙方责任内的检验费用（行业管理另有规定的，从其行业规定），乙方应在投标报价中考虑，甲方不再另行支付。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在施工期间所产生的矛盾及苗木赔青由乙方自行负责，所产生的费用包含报价中，不得另计。</w:t>
      </w:r>
      <w:r/>
    </w:p>
    <w:p>
      <w:pPr>
        <w:ind w:firstLine="420"/>
        <w:spacing w:line="360" w:lineRule="auto"/>
        <w:rPr>
          <w:rFonts w:hint="default"/>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合同价包含一些不可预见的费用，包括但不限于弃土区（排泥场）、临时用地、临时用电的矛盾协调、赔青、土源及运距、排泥管线输送长度、破坏的路面等原状恢复等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，相关施工措施费用包含在合同总价中，甲方不在另行支付。</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5、税费</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5.1 中国政府根据现行税法规定对甲方征收的与本合同有关的一切税费均由甲方负担（免税部分除外）。</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5.2 中国政府根据现行税法规定对乙方征收的与本合同有关的一切税费均由乙方负担（免税部分除外）。</w:t>
      </w:r>
      <w:r/>
    </w:p>
    <w:p>
      <w:pPr>
        <w:ind w:firstLine="408"/>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6、履约保证金：无</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7、关于工期的约定及其他相关的约定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7.1 甲方要求比合同约定的工期提前完工时，应与乙方协商，并支付乙方因赶工采取的措施费用。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因甲方未按约定完成工作，影响工期，工期顺延，但不增加费用。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7.3 因乙方责任，不能按期开工或中途无故停工，影响工期，工期不顺延，且不增加费用。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7.4 因设计变更或非乙方原因造成的停电、停水、停气及不可抗力因素影响，导致停工8小时以上（一周内累计计算）工期相应顺延。政府环保、安全等要求引起的暂停施工时间不包含在总工期内，相关费用由乙方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8、关于工程质量、验收及质保的约定</w:t>
      </w:r>
      <w:r/>
    </w:p>
    <w:p>
      <w:pPr>
        <w:ind w:firstLine="404"/>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8.1 本工程以施工图纸或作法说明、设计变更和国家制订的最新施工及验收规范为质量评定验收标准。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乙方自行考虑为完成本工程计划施工工期所发生的施工赶工措施，甲发不再额外增加此类费用。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工程质量必须达到相关现行的国家规范、行业标准、地方标准和满足甲方根据合同规定对工程质量的合理要求，质量标准为合格。</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8.6 由于乙方原因造成质量事故，其返工费用由乙方承担，工期不顺延。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8.7 工程完工后，乙方应通知甲方验收，甲方自接到验收通知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日内组织验收，并办理验收、移交手续。如甲方在规定时间内未能组织验收，需及时通知乙方，另定验收日期。但甲方应承认乙方完工日期。如验收不通过，乙方应无条件进行整改直至验收通过。本工程验收按</w:t>
      </w:r>
      <w:r>
        <w:rPr>
          <w:rFonts w:hint="eastAsia" w:ascii="宋体" w:hAnsi="宋体" w:cs="宋体"/>
          <w:color w:val="000000" w:themeColor="text1"/>
          <w:sz w:val="21"/>
          <w:szCs w:val="21"/>
          <w:highlight w:val="none"/>
          <w:lang w:eastAsia="zh-CN"/>
          <w14:textFill>
            <w14:solidFill>
              <w14:schemeClr w14:val="tx1"/>
            </w14:solidFill>
          </w14:textFill>
        </w:rPr>
        <w:t xml:space="preserve">《水利水电建设工程验收规程》（SLT223—2025）</w:t>
      </w:r>
      <w:r>
        <w:rPr>
          <w:rFonts w:hint="eastAsia" w:ascii="宋体" w:hAnsi="宋体" w:eastAsia="宋体" w:cs="宋体"/>
          <w:color w:val="000000" w:themeColor="text1"/>
          <w:sz w:val="21"/>
          <w:szCs w:val="21"/>
          <w:highlight w:val="none"/>
          <w14:textFill>
            <w14:solidFill>
              <w14:schemeClr w14:val="tx1"/>
            </w14:solidFill>
          </w14:textFill>
        </w:rPr>
        <w:t xml:space="preserve">的规定执行。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8.8 本工程应符合国家环保质量要求,否则，甲方有权要求乙方返工，并要求乙方承担违约责任并赔偿甲方损失。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8.9 工程交付尚未使用期间凡属工程遗留问题，乙方在接到甲方书面通知后三天内组织整改。逾期甲方将组织整改，一切费用由乙方承担。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8.11 本工程质量保修期为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年，自工程完工验收合格之日起算。保修期届满前，乙方须对工程进行全面检查，使本工程达到合同所要求的标准及甲方认为合格的程度。</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甲方及工程师有权要求乙方立即从工程中撤换在甲方认为行为不轨或在履行其职责时不能胜任、玩忽职守的人员及甲方认为其在现场出现是不适宜的人员。被要求撤换的人员应从速离场，无甲方的批准不得重新进入现场工作。否则，甲发有权解除合同，并依法追究乙方的责任，同时报相应的建设主管部门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乙方应遵守政府和甲方对施工现场的规定和要求，承担因自身原因违反有关规定造成的损失和罚款。</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360" w:lineRule="auto"/>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60" w:lineRule="auto"/>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因乙方违反本合同约定而发生诉讼或仲裁的，甲方因此所产生的包括但不限于诉讼费、仲裁费、律师费等均由乙方承担。</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9、关于工程价款及结算的约定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9.1 双方商定本合同价款采用第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种：</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(1)</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固定价格（风险费已包含在报价中，其它合同以外价款的调整方法为</w:t>
      </w:r>
      <w:r>
        <w:rPr>
          <w:rFonts w:hint="eastAsia" w:ascii="宋体" w:hAnsi="宋体" w:eastAsia="宋体" w:cs="宋体"/>
          <w:color w:val="000000" w:themeColor="text1"/>
          <w:spacing w:val="-6"/>
          <w:sz w:val="21"/>
          <w:szCs w:val="21"/>
          <w:highlight w:val="none"/>
          <w:u w:val="single"/>
          <w14:textFill>
            <w14:solidFill>
              <w14:schemeClr w14:val="tx1"/>
            </w14:solidFill>
          </w14:textFill>
        </w:rPr>
        <w:t xml:space="preserve">工程量清单中有的项目（项目特征相同）按报价的综合单价计算；报价中没有综合单价的新的工程量清单项目，按照《水利</w:t>
      </w:r>
      <w:r>
        <w:rPr>
          <w:rFonts w:hint="eastAsia" w:ascii="宋体" w:hAnsi="宋体" w:eastAsia="宋体" w:cs="宋体"/>
          <w:color w:val="000000" w:themeColor="text1"/>
          <w:spacing w:val="-6"/>
          <w:sz w:val="21"/>
          <w:szCs w:val="21"/>
          <w:highlight w:val="none"/>
          <w:u w:val="single"/>
          <w14:textFill>
            <w14:solidFill>
              <w14:schemeClr w14:val="tx1"/>
            </w14:solidFill>
          </w14:textFill>
        </w:rPr>
        <w:t xml:space="preserve">工程量清单计价规范》（GB50501-2007）、《关于印发&lt;江苏省水利工程招标投标文件工程量清单格式&gt;的通知》（苏水基〔2011〕21号）；《省水利厅关于印发&lt;江苏省水利建设工程安全文明措施费管理办法&gt;的通知》（苏水规〔2017〕2号）；《省水利厅关于印发&lt;江苏省水利建设工程安全文明措施费分解表&gt;的通知》（苏水安〔2017〕3号）；《江苏省水利建筑工程定额》（2010年）；国家、省、市级水利建设行政主管部门颁发的有关计量计费依据和规定；与本工程项目有关的标准、规范、技术资料；主要材料价格参照扬州市 202</w:t>
      </w:r>
      <w:r>
        <w:rPr>
          <w:rFonts w:hint="eastAsia" w:ascii="宋体" w:hAnsi="宋体" w:eastAsia="宋体" w:cs="宋体"/>
          <w:color w:val="000000" w:themeColor="text1"/>
          <w:spacing w:val="-6"/>
          <w:sz w:val="21"/>
          <w:szCs w:val="21"/>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pacing w:val="-6"/>
          <w:sz w:val="21"/>
          <w:szCs w:val="21"/>
          <w:highlight w:val="none"/>
          <w:u w:val="single"/>
          <w14:textFill>
            <w14:solidFill>
              <w14:schemeClr w14:val="tx1"/>
            </w14:solidFill>
          </w14:textFill>
        </w:rPr>
        <w:t xml:space="preserve"> 年 2 月扬州工程造价管理；部分材料的价格采用市场价格等,没有的按市场询价，具体按建设工程工程量清单计价规范执行，经甲方（造价跟踪方）确认后报甲方安排的审计部门核定。</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 固定价格加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%包干风险系数计算。包干风险包括内容：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396"/>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 可调价格：按照国家有关工程计价规定计算造价，并按有关规定进行调整和完工结算。</w:t>
      </w:r>
      <w:r/>
    </w:p>
    <w:p>
      <w:p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9.2结算</w:t>
      </w:r>
      <w:r/>
    </w:p>
    <w:p>
      <w:p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本工程结算价需经有关部门审定确认，具体如下：</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本工程结算价需经有关部门审定确认，本工程安全文明措施费计取基本费及扬尘污染防治增加费，结算时按有关部门核定调整。</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乙方完工验收合格后30天内提交结算送审资料进行结算。超过合同约定时间报送的关于工程量变更等导致工程款变化的结算资料不作为审查的依据。</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乙方提供的完工资料如有缺项（如试验记录、调试记录等），则视为该项工序现场未做，在工程结算中此部分费用将予以扣除。</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本工程最终结算价以审计单位审核为准。</w:t>
      </w:r>
      <w:r/>
    </w:p>
    <w:p>
      <w:pPr>
        <w:numPr>
          <w:ilvl w:val="0"/>
          <w:numId w:val="1"/>
        </w:numPr>
        <w:ind w:firstLine="525"/>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乙方需提供发票。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本工程固定单价结算。</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10、有关安全生产和防火的约定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10.1 甲方提供的施工图纸或作法说明，应符合《中华人民共和国消防条例》和有关防火设计规范。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10.2 乙方在施工期间应严格遵守《建设工程安全生产管理条例》、《建筑安装工人安全技术操作规程》、《中华人民共和国消防条例》和其它相关的法规、规范。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10.3 对于甲方确认的图纸或作法说明，有违反有关安全操作规程、消防条例和防火设计规范或可能导致发生安全或火灾事故的，乙方应及时提出并通知甲方，会同设计单位对图纸或作法进行修改。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10.4 乙方在施工生产过程中不得违反有关安全操作规程、消防条例，并对施工场所负有安全管理责任，如发生安全或火灾等事故，乙方应承担由此引发的一切经济损失及法律责任。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10.5 本建筑安装工程必须达到现行版的国家及江苏省的一切有关法律、法规要求，若本工程实施期间有新的相关法律、法规标准出台，则仍应满足新的标准要求。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000000" w:themeColor="text1"/>
          <w:sz w:val="21"/>
          <w:szCs w:val="21"/>
          <w:highlight w:val="none"/>
          <w14:textFill>
            <w14:solidFill>
              <w14:schemeClr w14:val="tx1"/>
            </w14:solidFill>
          </w14:textFill>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本工程所涉及的施工现场内安全防护措施费用均已在合同价款和合同计价方法中综合考虑，不再另行计取。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因乙方原因造成的任何事故或工伤（包括第三者人员在内）所发生的依法应该支付的损失、赔偿费、补偿费用等责任由乙方承担。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若发生安全事故，乙方承担全部责任，与甲方无关。乙方应按规定立即报告建设主管部门并通知甲发。如因此造成甲方承担责任的，甲发有权向乙方索赔。</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11、奖励和违约责任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 由于乙方原因，逾期完工，每逾期一天，乙方支付甲方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1000</w:t>
      </w:r>
      <w:r>
        <w:rPr>
          <w:rFonts w:hint="eastAsia" w:ascii="宋体" w:hAnsi="宋体" w:eastAsia="宋体" w:cs="宋体"/>
          <w:color w:val="000000" w:themeColor="text1"/>
          <w:sz w:val="21"/>
          <w:szCs w:val="21"/>
          <w:highlight w:val="none"/>
          <w14:textFill>
            <w14:solidFill>
              <w14:schemeClr w14:val="tx1"/>
            </w14:solidFill>
          </w14:textFill>
        </w:rPr>
        <w:t xml:space="preserve">元/天违约金，逾期完工超过 30天的甲方还有权解除合同并要求乙方支付合同总价30%的违约金。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11.2 项目经理、项目副经理、技术负责人短期离开工地，应事先提出书面申请并征得同意后方可离开。3天以内（含3天）报采购人批准，报甲方核备，同时应委派代表代行其职，3天以上报甲方批准。一般情况，每人每月在工期间不得少于22天。项目经理、技术负责人不得同时离开工地。项目经理、项目副经理、技术负责人、质检员、安全员在工由采购人对其考勤，对于月在工天数少于22天的，每少一天，扣除工程款2000元/（人*天）。上述罚款的最高限额为合同价的2%。上述人员的考勤由采购人指定专人负责，考勤结果后装订成册后移存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11.3 如甲方因乙方原因要求撤换项目经理，乙方须及时更换相同资质与资历的项目经理，并承担相应损失。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11.4 乙方按本项目的合同约定，积极履行质量及安全责任。对省、市、区的各级稽查、质量安全监督、甲方组织的质量及安全生产活动中，对下达的检查意见落实不及时、未按要求整改或整改不到位的、或其类似质量及安全问题整改不到位的，予以扣罚2000元/次。以甲方下发的处罚通知或联系单等为依据，在进度款支付时予以扣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11.5 乙方应妥善保护甲方提供的设备及工程成品，如造成损失，应照价赔偿。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11.6 甲方未办理任何手续，擅自同意拆改原有建筑物或设备管线，由此发生的损失或事故（包括罚款），由甲方负责并承担损失。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11.7 未经甲方同意，乙方擅自拆改原建筑物结构或设备管线，由此发生的损失或事故（包括罚款），由乙方负责并承担损失。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11.8 未办理验收手续，甲方提前使用或擅自动用造成损失由甲方负责。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11.9 因一方原因，合同无法继续履行时，应通知对方，办理合同终止协议，并由责任方赔偿对方由此造成的经济损失。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11.10甲乙双方应严格履约，如违约，由违约方向对方支付本合同标的总价 5﹪的违约金，并赔偿对方由此造成的一切经济损失。</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11.11 乙方应承担的违约金，甲方均有权在工程款中扣除。</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12、不可抗力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12.1 在执行合同期限内，任何一方因不可抗力事件造成不能履行合同时，应立即通知对方，并寄送有关权威机构出具的证明，则合同履行期可延长，延长期与不可抗力影响期相同。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12.2 不可抗力影响时间持续 30 日以上时，甲乙双方及时解除合同；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12.3 本条所述“不可抗力”是指不可预见、不能克服及不能避免的事件，包括战争、严重火灾、洪水、地震等。</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13、纠纷解决办法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13.1 在执行本合同中所发生的或与本合同有关的一切争端，甲方和乙方应通过友好协商的办法进行解决。如协商仍不能解决，则通过由甲方所在地人民法院诉讼。</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14、破产终止合同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14.1 如果乙方破产或无履行能力时，甲方在任何时候书面通知乙方解除合同而不给乙方补偿。该终止合同将不损害或影响甲方已经或将要采取的补救措施的权利。</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15、分包和转让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15.1 本合同中的权利和义务不得转让。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17、合同生效及其它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17.1 合同经双方法定代表人或授权代表签字并加盖单位公章后生效。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17.2 本合同正本一式陆份，具有同等法律效力，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甲方、乙方及见证方</w:t>
      </w:r>
      <w:r>
        <w:rPr>
          <w:rFonts w:hint="eastAsia" w:ascii="宋体" w:hAnsi="宋体" w:eastAsia="宋体" w:cs="宋体"/>
          <w:color w:val="000000" w:themeColor="text1"/>
          <w:sz w:val="21"/>
          <w:szCs w:val="21"/>
          <w:highlight w:val="none"/>
          <w14:textFill>
            <w14:solidFill>
              <w14:schemeClr w14:val="tx1"/>
            </w14:solidFill>
          </w14:textFill>
        </w:rPr>
        <w:t xml:space="preserve">各执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1"/>
          <w:szCs w:val="21"/>
          <w:highlight w:val="none"/>
          <w14:textFill>
            <w14:solidFill>
              <w14:schemeClr w14:val="tx1"/>
            </w14:solidFill>
          </w14:textFill>
        </w:rPr>
        <w:t xml:space="preserve">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17.3 本合同服务实施期间所发生的合同纠纷，甲方与乙方进行处理。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合同在执行过程中，如随项目的深化，如合同内容需修改，应经甲方、乙方协商，并签署书面修改协议。该协议将作为本合同不可分割的一部分。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17.5 本合同未尽事宜，遵照《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中华人民共和国</w:t>
      </w:r>
      <w:r>
        <w:rPr>
          <w:rFonts w:hint="eastAsia" w:ascii="宋体" w:hAnsi="宋体" w:eastAsia="宋体" w:cs="宋体"/>
          <w:color w:val="000000" w:themeColor="text1"/>
          <w:sz w:val="21"/>
          <w:szCs w:val="21"/>
          <w:highlight w:val="none"/>
          <w14:textFill>
            <w14:solidFill>
              <w14:schemeClr w14:val="tx1"/>
            </w14:solidFill>
          </w14:textFill>
        </w:rPr>
        <w:t xml:space="preserve">民法典》有关条文执行。</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见证方：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439" w:lineRule="atLeast"/>
        <w:rPr>
          <w:rFonts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 </w:t>
      </w:r>
      <w:r/>
    </w:p>
    <w:p>
      <w:pPr>
        <w:rPr>
          <w:rFonts w:ascii="Times New Roman" w:hAnsi="Times New Roman"/>
          <w:b w:val="0"/>
          <w:bCs w:val="0"/>
          <w:color w:val="000000" w:themeColor="text1"/>
          <w:sz w:val="28"/>
          <w:highlight w:val="none"/>
          <w:lang w:eastAsia="zh-CN"/>
          <w14:textFill>
            <w14:solidFill>
              <w14:schemeClr w14:val="tx1"/>
            </w14:solidFill>
          </w14:textFill>
        </w:rPr>
      </w:pPr>
      <w:r>
        <w:rPr>
          <w:rFonts w:ascii="Times New Roman" w:hAnsi="Times New Roman"/>
          <w:b w:val="0"/>
          <w:bCs w:val="0"/>
          <w:color w:val="000000" w:themeColor="text1"/>
          <w:sz w:val="28"/>
          <w:highlight w:val="none"/>
          <w:lang w:eastAsia="zh-CN"/>
          <w14:textFill>
            <w14:solidFill>
              <w14:schemeClr w14:val="tx1"/>
            </w14:solidFill>
          </w14:textFill>
        </w:rPr>
        <w:br w:type="page" w:clear="all"/>
      </w:r>
      <w:r/>
    </w:p>
    <w:p>
      <w:pPr>
        <w:pStyle w:val="1085"/>
        <w:ind w:left="1274" w:hanging="1274"/>
        <w:spacing w:before="120" w:line="360" w:lineRule="auto"/>
        <w:rPr>
          <w:rFonts w:ascii="Times New Roman" w:hAnsi="Times New Roman"/>
          <w:b w:val="0"/>
          <w:bCs w:val="0"/>
          <w:color w:val="000000" w:themeColor="text1"/>
          <w:sz w:val="28"/>
          <w:highlight w:val="none"/>
          <w:lang w:eastAsia="zh-CN"/>
          <w14:textFill>
            <w14:solidFill>
              <w14:schemeClr w14:val="tx1"/>
            </w14:solidFill>
          </w14:textFill>
        </w:rPr>
      </w:pPr>
      <w:r>
        <w:rPr>
          <w:rFonts w:ascii="Times New Roman" w:hAnsi="Times New Roman"/>
          <w:b/>
          <w:bCs/>
          <w:color w:val="000000" w:themeColor="text1"/>
          <w:sz w:val="21"/>
          <w:szCs w:val="21"/>
          <w:highlight w:val="none"/>
          <w:lang w:eastAsia="zh-CN"/>
          <w14:textFill>
            <w14:solidFill>
              <w14:schemeClr w14:val="tx1"/>
            </w14:solidFill>
          </w14:textFill>
        </w:rPr>
        <w:t xml:space="preserve">附件</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一</w:t>
      </w:r>
      <w:r>
        <w:rPr>
          <w:rFonts w:ascii="Times New Roman" w:hAnsi="Times New Roman"/>
          <w:b/>
          <w:bCs/>
          <w:color w:val="000000" w:themeColor="text1"/>
          <w:sz w:val="21"/>
          <w:szCs w:val="21"/>
          <w:highlight w:val="none"/>
          <w:lang w:eastAsia="zh-CN"/>
          <w14:textFill>
            <w14:solidFill>
              <w14:schemeClr w14:val="tx1"/>
            </w14:solidFill>
          </w14:textFill>
        </w:rPr>
        <w:t xml:space="preserve">：安全生产合同</w:t>
      </w:r>
      <w:r/>
    </w:p>
    <w:p>
      <w:pPr>
        <w:pStyle w:val="1086"/>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(建设单位与施工单位)</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甲方：(以下简称“甲方”)</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乙方：(以下简称“乙方”)</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为在（合同编号：）施工合同的实施过程中创造安全、高效的施工环境，切实搞好本项目的安全管理工作，特此签订安全生产合同。具体如下：</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一、甲方职责</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1、严格遵守国家有关安全生产的法律法规，认真执行工程承包合同中的有关安全要求。</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2、按照“安全第一、预防为主”和坚持“管生产必需管安全”的原则进行安全生产管理，做到生产与安全工作同时计划、布置、检查、总结和评比。</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3、定期召开安全生产协调会，及时传达中央及地方有关安全生产的精神。</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4、组织对乙方施工现场安全生产检查，建立安全生产责任制网络、汇总重要危险源、监督乙方及时处理发现的各种安全隐患。</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二、乙方职责</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1、严格遵守国家有关安全生产的法律法规、有关安全生产的规定，认真执行工程承包合同中的有关安全要求，接受甲方和监督理工程师对安全生产工作的指导。</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3、建立健全安全产生责任制网络。从派驻项</w:t>
      </w:r>
      <w:r>
        <w:rPr>
          <w:rFonts w:hint="eastAsia" w:ascii="宋体" w:hAnsi="宋体" w:eastAsia="宋体" w:cs="宋体"/>
          <w:color w:val="000000" w:themeColor="text1"/>
          <w:sz w:val="21"/>
          <w:szCs w:val="21"/>
          <w:highlight w:val="none"/>
          <w14:textFill>
            <w14:solidFill>
              <w14:schemeClr w14:val="tx1"/>
            </w14:solidFill>
          </w14:textFill>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4、乙方在任何时候都应采取各种合理的预防措施，防止其人员发生任何违法、违禁、暴力、违规或妨碍治安的行为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6、加强施工中交通运输安全管理，各种运输机械等需划定运输线路行驶。</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7、对于易燃易爆的材料除应专门有效封闭、妥善保管之处，还应配备有足够的消防设施所有施工人员都应熟悉消防设备的性能和使用方法。</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8、操作人员上岗，必须按规定穿戴防护用品。施工负责人和安全检查员随时检查劳动防护用品的穿戴情况，不按规定穿戴防护用品的人员不得上岗。</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10、施工现场必须具有相关的安全标志牌。</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11、建立主要危险源备案制度，要明确潜在隐患、防范措施和落实责任人。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三、违约责任</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如因甲方或乙方违约造成安全事故，将报请有关部门依法追究责任。</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本合同一式陆份，甲、乙方各执叁份，由双方法定代表人或其授权的代理人签署和加盖公章后生效，全部工程竣工验收后失效。</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   方：                          乙  方：</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pStyle w:val="1086"/>
        <w:ind w:firstLine="420"/>
        <w:spacing w:line="440" w:lineRule="exact"/>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r>
      <w:r/>
    </w:p>
    <w:p>
      <w:pPr>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br w:type="page" w:clear="all"/>
      </w:r>
      <w:r/>
    </w:p>
    <w:p>
      <w:pPr>
        <w:pStyle w:val="1085"/>
        <w:ind w:left="1274" w:hanging="1274"/>
        <w:spacing w:before="120" w:line="360" w:lineRule="auto"/>
        <w:rPr>
          <w:rFonts w:ascii="Times New Roman" w:hAnsi="Times New Roman"/>
          <w:b/>
          <w:bCs/>
          <w:color w:val="000000" w:themeColor="text1"/>
          <w:sz w:val="21"/>
          <w:szCs w:val="21"/>
          <w:highlight w:val="none"/>
          <w:lang w:eastAsia="zh-CN"/>
          <w14:textFill>
            <w14:solidFill>
              <w14:schemeClr w14:val="tx1"/>
            </w14:solidFill>
          </w14:textFill>
        </w:rPr>
      </w:pPr>
      <w:r/>
      <w:bookmarkStart w:id="40" w:name="_Toc405822031"/>
      <w:r/>
      <w:bookmarkStart w:id="41" w:name="_Toc341532550"/>
      <w:r/>
      <w:bookmarkStart w:id="42" w:name="_Toc405822527"/>
      <w:r/>
      <w:bookmarkStart w:id="43" w:name="_Toc4215"/>
      <w:r/>
      <w:bookmarkStart w:id="44" w:name="_Toc30408"/>
      <w:r/>
      <w:bookmarkStart w:id="45" w:name="_Toc507066175"/>
      <w:r/>
      <w:bookmarkStart w:id="46" w:name="_Toc392858970"/>
      <w:r/>
      <w:bookmarkStart w:id="47" w:name="_Toc346698511"/>
      <w:r/>
      <w:bookmarkStart w:id="48" w:name="_Toc485976257"/>
      <w:r/>
      <w:bookmarkStart w:id="49" w:name="_Toc486434552"/>
      <w:r/>
      <w:bookmarkStart w:id="50" w:name="_Toc256000104"/>
      <w:r/>
      <w:bookmarkStart w:id="51" w:name="_Toc58680767"/>
      <w:r>
        <w:rPr>
          <w:rFonts w:ascii="Times New Roman" w:hAnsi="Times New Roman"/>
          <w:b/>
          <w:bCs/>
          <w:color w:val="000000" w:themeColor="text1"/>
          <w:sz w:val="21"/>
          <w:szCs w:val="21"/>
          <w:highlight w:val="none"/>
          <w:lang w:eastAsia="zh-CN"/>
          <w14:textFill>
            <w14:solidFill>
              <w14:schemeClr w14:val="tx1"/>
            </w14:solidFill>
          </w14:textFill>
        </w:rPr>
        <w:t xml:space="preserve">附件</w:t>
      </w: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二</w:t>
      </w:r>
      <w:r>
        <w:rPr>
          <w:rFonts w:ascii="Times New Roman" w:hAnsi="Times New Roman"/>
          <w:b/>
          <w:bCs/>
          <w:color w:val="000000" w:themeColor="text1"/>
          <w:sz w:val="21"/>
          <w:szCs w:val="21"/>
          <w:highlight w:val="none"/>
          <w:lang w:eastAsia="zh-CN"/>
          <w14:textFill>
            <w14:solidFill>
              <w14:schemeClr w14:val="tx1"/>
            </w14:solidFill>
          </w14:textFill>
        </w:rPr>
        <w:t xml:space="preserve">：资金安全合同</w:t>
      </w:r>
      <w:r/>
    </w:p>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t xml:space="preserve">(建设单位与施工单位)</w:t>
      </w:r>
      <w:r/>
    </w:p>
    <w:p>
      <w:pPr>
        <w:ind w:firstLine="420"/>
        <w:spacing w:line="360" w:lineRule="auto"/>
        <w:rPr>
          <w:rFonts w:hint="eastAsia" w:ascii="宋体" w:hAnsi="宋体" w:eastAsia="宋体" w:cs="宋体"/>
          <w:color w:val="000000" w:themeColor="text1"/>
          <w:spacing w:val="-20"/>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甲方：(以下简称“甲方”)</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乙方：(以下简称“乙方”)</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为贯彻落实财政部、水利部《水利基本建设资金管理办法》、国家四部委《关于加强公益性水利工程建设管理的若干意见》，确保实现江苏水利厅党组要求的“三个安全”目标，甲方与乙方协商一致，自愿签订以下资金安全合同。</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第一条：甲方的权利和义务</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(一)严格执行财政部、水利部《水利基本建设资金管理办法》中规定的水利基本建设资金管理原则，即分级管理、分级负责，专款专用，效益原则。</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(二)严格执行合同各项规定，自觉按合同办事，按照合同条款规定的时间和方式，及时支付预付款、工程进度款和保留金等。</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(三)对乙方申报的经济合同结算审核坚持公开、公正、公平、诚信的原则，严禁损害国家和集体利益，违反工程建设管理规章制度。</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(四)甲方不为乙方指定分包或指定原材料供应商。</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(五)严格执行国家四部委《关于加强公益性水利工程建设管理的若干意见》规定，项目法人“负责对工程质量、进度、资金等进行管理、检查和监督”，加强对施工合同专项资金安全的监督。</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(六)发现乙方在业务活动中有违反资金安全的行为，及时提醒和督促乙方纠正，必要时停止资金支付，并向双方的主管单位或行业管理部门通报。</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第二条：乙方的权利和义务</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(一)乙方从甲方取得的资金必须用于（合同编号：</w:t>
      </w:r>
      <w:r>
        <w:rPr>
          <w:rFonts w:hint="eastAsia" w:ascii="宋体" w:hAnsi="宋体" w:eastAsia="宋体" w:cs="宋体"/>
          <w:color w:val="000000" w:themeColor="text1"/>
          <w:szCs w:val="24"/>
          <w:highlight w:val="none"/>
          <w:u w:val="single"/>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，专款专用。乙方发生的与本工程有关的财务收支须接受甲方和项目主管部门的检查监督；乙方应保证水利建设资金的使用安全，不损害甲方的利益。</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(二)乙方从甲方取得的银行汇票、本票、支票不得转让给其他单位。</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(三)乙方保证不外借、挪用、转移专项资金；不通过权转让、抵押、质押、担保等任何其他方式使用专项资金，确保资金安全。</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(四)乙方专项资金支出的各项费用必须真实、合理并依据充分。费用支出要严格按内部相互牵制的审批流程操作，报销凭证要合法合理。</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(五)专项资金支出结算原则用银行转账，不得以大额现金支付。</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(七)乙方不得违规分包和转包工程项目，否则甲方有权停止支付。</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(八)乙方资金收支使用情况接受甲方及甲方主管部门监督。</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第三条：违约责任</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(一)甲方若违反本《资金安全合同》有关规定时，对违纪人员，由甲方主管部门依据有关规定查处，给乙方造成的损失的，按有关规定予以赔偿。</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(二)乙方若违反本《资金安全合同》有关规定的，对违纪人员，由乙方主管部门或行业管理依据有关规定查处，给甲方造成的损失的，按有关规定予以赔偿。</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(三)甲、乙双方都应履行保密责任，不得将业务支出具体情况透露给本合同双方以外的其他单位或个人，否则受害方将依法追究相关责任。</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第四条：本合同有效期为工程合同签字之日起至该合同段工程项目竣工验收后止。</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第五条：本合同一式陆份，甲、乙方各执叁份。</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甲方：                                       乙方：</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法定代表人(或授权代理人)：                    法定代表人(或授权代理人)：</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地址：                                       地址：</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电话：                                       电话：</w:t>
      </w:r>
      <w:r/>
    </w:p>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日期：</w:t>
      </w:r>
      <w:r/>
    </w:p>
    <w:p>
      <w:pPr>
        <w:rPr>
          <w:rFonts w:ascii="Times New Roman" w:hAnsi="Times New Roman"/>
          <w:b/>
          <w:bCs/>
          <w:color w:val="000000" w:themeColor="text1"/>
          <w:sz w:val="21"/>
          <w:szCs w:val="21"/>
          <w:highlight w:val="none"/>
          <w:lang w:eastAsia="zh-CN"/>
          <w14:textFill>
            <w14:solidFill>
              <w14:schemeClr w14:val="tx1"/>
            </w14:solidFill>
          </w14:textFill>
        </w:rPr>
      </w:pPr>
      <w:r>
        <w:rPr>
          <w:rFonts w:ascii="Times New Roman" w:hAnsi="Times New Roman"/>
          <w:b/>
          <w:bCs/>
          <w:color w:val="000000" w:themeColor="text1"/>
          <w:sz w:val="21"/>
          <w:szCs w:val="21"/>
          <w:highlight w:val="none"/>
          <w:lang w:eastAsia="zh-CN"/>
          <w14:textFill>
            <w14:solidFill>
              <w14:schemeClr w14:val="tx1"/>
            </w14:solidFill>
          </w14:textFill>
        </w:rPr>
        <w:br w:type="page" w:clear="all"/>
      </w:r>
      <w:r/>
    </w:p>
    <w:p>
      <w:pPr>
        <w:pStyle w:val="1086"/>
        <w:spacing w:line="440" w:lineRule="exact"/>
        <w:tabs>
          <w:tab w:val="left" w:pos="4245" w:leader="none"/>
          <w:tab w:val="center" w:pos="4535" w:leader="none"/>
        </w:tabs>
        <w:rPr>
          <w:rFonts w:ascii="Times New Roman" w:hAnsi="Times New Roman"/>
          <w:b/>
          <w:bCs/>
          <w:color w:val="000000" w:themeColor="text1"/>
          <w:sz w:val="21"/>
          <w:szCs w:val="21"/>
          <w:highlight w:val="none"/>
          <w:lang w:eastAsia="zh-CN"/>
          <w14:textFill>
            <w14:solidFill>
              <w14:schemeClr w14:val="tx1"/>
            </w14:solidFill>
          </w14:textFill>
        </w:rPr>
      </w:pPr>
      <w:r>
        <w:rPr>
          <w:rFonts w:ascii="Times New Roman" w:hAnsi="Times New Roman"/>
          <w:b/>
          <w:bCs/>
          <w:color w:val="000000" w:themeColor="text1"/>
          <w:sz w:val="21"/>
          <w:szCs w:val="21"/>
          <w:highlight w:val="none"/>
          <w:lang w:eastAsia="zh-CN"/>
          <w14:textFill>
            <w14:solidFill>
              <w14:schemeClr w14:val="tx1"/>
            </w14:solidFill>
          </w14:textFill>
        </w:rPr>
        <w:t xml:space="preserve">附件</w:t>
      </w:r>
      <w:r>
        <w:rPr>
          <w:rFonts w:hint="eastAsia"/>
          <w:b/>
          <w:bCs/>
          <w:color w:val="000000" w:themeColor="text1"/>
          <w:sz w:val="21"/>
          <w:szCs w:val="21"/>
          <w:highlight w:val="none"/>
          <w:lang w:val="en-US" w:eastAsia="zh-CN"/>
          <w14:textFill>
            <w14:solidFill>
              <w14:schemeClr w14:val="tx1"/>
            </w14:solidFill>
          </w14:textFill>
        </w:rPr>
        <w:t xml:space="preserve">三</w:t>
      </w:r>
      <w:r>
        <w:rPr>
          <w:rFonts w:ascii="Times New Roman" w:hAnsi="Times New Roman"/>
          <w:b/>
          <w:bCs/>
          <w:color w:val="000000" w:themeColor="text1"/>
          <w:sz w:val="21"/>
          <w:szCs w:val="21"/>
          <w:highlight w:val="none"/>
          <w:lang w:eastAsia="zh-CN"/>
          <w14:textFill>
            <w14:solidFill>
              <w14:schemeClr w14:val="tx1"/>
            </w14:solidFill>
          </w14:textFill>
        </w:rPr>
        <w:t xml:space="preserve">：</w:t>
      </w:r>
      <w:bookmarkEnd w:id="40"/>
      <w:r/>
      <w:bookmarkEnd w:id="41"/>
      <w:r/>
      <w:bookmarkEnd w:id="42"/>
      <w:r/>
      <w:bookmarkEnd w:id="43"/>
      <w:r/>
      <w:bookmarkEnd w:id="44"/>
      <w:r/>
      <w:bookmarkEnd w:id="45"/>
      <w:r/>
      <w:bookmarkEnd w:id="46"/>
      <w:r/>
      <w:bookmarkEnd w:id="47"/>
      <w:r/>
      <w:bookmarkEnd w:id="48"/>
      <w:r/>
      <w:bookmarkEnd w:id="49"/>
      <w:r/>
      <w:bookmarkEnd w:id="50"/>
      <w:r/>
      <w:bookmarkEnd w:id="51"/>
      <w:r/>
      <w:bookmarkStart w:id="52" w:name="_Toc58680768"/>
      <w:r/>
      <w:bookmarkStart w:id="53" w:name="_Toc30720"/>
      <w:r/>
      <w:bookmarkStart w:id="54" w:name="_Toc369081680"/>
      <w:r/>
      <w:bookmarkStart w:id="55" w:name="_Toc392858971"/>
      <w:r/>
      <w:bookmarkStart w:id="56" w:name="_Toc256000105"/>
      <w:r/>
      <w:bookmarkStart w:id="57" w:name="_Toc7778"/>
      <w:r>
        <w:rPr>
          <w:rFonts w:ascii="Times New Roman" w:hAnsi="Times New Roman"/>
          <w:b/>
          <w:bCs/>
          <w:color w:val="000000" w:themeColor="text1"/>
          <w:sz w:val="21"/>
          <w:szCs w:val="21"/>
          <w:highlight w:val="none"/>
          <w:lang w:eastAsia="zh-CN"/>
          <w14:textFill>
            <w14:solidFill>
              <w14:schemeClr w14:val="tx1"/>
            </w14:solidFill>
          </w14:textFill>
        </w:rPr>
        <w:t xml:space="preserve">建设项目廉政合同</w:t>
      </w:r>
      <w:bookmarkEnd w:id="52"/>
      <w:r/>
      <w:bookmarkEnd w:id="53"/>
      <w:r/>
      <w:bookmarkEnd w:id="54"/>
      <w:r/>
      <w:bookmarkEnd w:id="55"/>
      <w:r/>
      <w:bookmarkEnd w:id="56"/>
      <w:r/>
      <w:bookmarkEnd w:id="57"/>
      <w:r/>
      <w:r/>
    </w:p>
    <w:p>
      <w:pPr>
        <w:pStyle w:val="1086"/>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(建设单位与施工单位)</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甲方：(以下简称“甲方”)</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乙方：(以下简称“乙方”)</w:t>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为贯彻落实党中央、国务院《关于实行党风廉政建设责任制的规定》，为了加强工程建设中的党风廉政建设，保证本工程建设优质、高效、有序地进行，</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(以下简称甲方)，与承担</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的施工单位</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(以下简称“乙方”)，经双方协商一致，自愿签订以下廉政合同。</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58" w:name="_Toc505259413"/>
      <w:r/>
      <w:bookmarkStart w:id="59" w:name="_Toc454438824"/>
      <w:r/>
      <w:bookmarkStart w:id="60" w:name="_Toc426445895"/>
      <w:r/>
      <w:bookmarkStart w:id="61" w:name="_Toc454520003"/>
      <w:r/>
      <w:bookmarkStart w:id="62" w:name="_Toc28007300"/>
      <w:r/>
      <w:bookmarkStart w:id="63" w:name="_Toc507066176"/>
      <w:r/>
      <w:bookmarkStart w:id="64" w:name="_Toc346709274"/>
      <w:r/>
      <w:bookmarkStart w:id="65" w:name="_Toc489274455"/>
      <w:r/>
      <w:bookmarkStart w:id="66" w:name="_Toc405822032"/>
      <w:r/>
      <w:bookmarkStart w:id="67" w:name="_Toc351017577"/>
      <w:r/>
      <w:bookmarkStart w:id="68" w:name="_Toc346698513"/>
      <w:r/>
      <w:bookmarkStart w:id="69" w:name="_Toc350697682"/>
      <w:r/>
      <w:bookmarkStart w:id="70" w:name="_Toc2673959"/>
      <w:r/>
      <w:bookmarkStart w:id="71" w:name="_Toc532394130"/>
      <w:r/>
      <w:bookmarkStart w:id="72" w:name="_Toc440352446"/>
      <w:r/>
      <w:bookmarkStart w:id="73" w:name="_Toc339183515"/>
      <w:r/>
      <w:bookmarkStart w:id="74" w:name="_Toc18065739"/>
      <w:r/>
      <w:bookmarkStart w:id="75" w:name="_Toc455395791"/>
      <w:r/>
      <w:bookmarkStart w:id="76" w:name="_Toc499103028"/>
      <w:r/>
      <w:bookmarkStart w:id="77" w:name="_Toc392858972"/>
      <w:r/>
      <w:bookmarkStart w:id="78" w:name="_Toc338745987"/>
      <w:r/>
      <w:bookmarkStart w:id="79" w:name="_Toc402189276"/>
      <w:r/>
      <w:bookmarkStart w:id="80" w:name="_Toc346700667"/>
      <w:r/>
      <w:bookmarkStart w:id="81" w:name="_Toc341532552"/>
      <w:r/>
      <w:bookmarkStart w:id="82" w:name="_Toc469923276"/>
      <w:r/>
      <w:bookmarkStart w:id="83" w:name="_Toc406502941"/>
      <w:r/>
      <w:bookmarkStart w:id="84" w:name="_Toc369081681"/>
      <w:r/>
      <w:bookmarkStart w:id="85" w:name="_Toc369859526"/>
      <w:r/>
      <w:bookmarkStart w:id="86" w:name="_Toc283577281"/>
      <w:r/>
      <w:bookmarkStart w:id="87" w:name="_Toc428869212"/>
      <w:r/>
      <w:bookmarkStart w:id="88" w:name="_Toc340330312"/>
      <w:r/>
      <w:bookmarkStart w:id="89" w:name="_Toc418751240"/>
      <w:r/>
      <w:bookmarkStart w:id="90" w:name="_Toc453949175"/>
      <w:r/>
      <w:bookmarkStart w:id="91" w:name="_Toc532646223"/>
      <w:r/>
      <w:bookmarkStart w:id="92" w:name="_Toc391971645"/>
      <w:r/>
      <w:bookmarkStart w:id="93" w:name="_Toc339352495"/>
      <w:r/>
      <w:bookmarkStart w:id="94" w:name="_Toc405822528"/>
      <w:r/>
      <w:bookmarkStart w:id="95" w:name="_Toc416442325"/>
      <w:r/>
      <w:bookmarkStart w:id="96" w:name="_Toc470253164"/>
      <w:r/>
      <w:bookmarkStart w:id="97" w:name="_Toc283573539"/>
      <w:r/>
      <w:bookmarkStart w:id="98" w:name="_Toc486434553"/>
      <w:r/>
      <w:bookmarkStart w:id="99" w:name="_Toc339135324"/>
      <w:r/>
      <w:bookmarkStart w:id="100" w:name="_Toc485976258"/>
      <w:r/>
      <w:bookmarkStart w:id="101" w:name="_Toc350520334"/>
      <w:r/>
      <w:bookmarkStart w:id="102" w:name="_Toc456023902"/>
      <w:r/>
      <w:bookmarkStart w:id="103" w:name="_Toc425757894"/>
      <w:r>
        <w:rPr>
          <w:rFonts w:hint="eastAsia" w:ascii="宋体" w:hAnsi="宋体" w:eastAsia="宋体" w:cs="宋体"/>
          <w:b/>
          <w:color w:val="000000" w:themeColor="text1"/>
          <w:sz w:val="21"/>
          <w:szCs w:val="21"/>
          <w:highlight w:val="none"/>
          <w14:textFill>
            <w14:solidFill>
              <w14:schemeClr w14:val="tx1"/>
            </w14:solidFill>
          </w14:textFill>
        </w:rPr>
        <w:t xml:space="preserve">一、甲、乙双方约定</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1、甲、乙双方应加强对本方人员的廉政监督，建立和健全廉政制度。</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2、甲、乙双方有对本方人员开展廉政告知、廉政教育和职业道德教育的义务。</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3、甲、乙双方及其工作人员应共同遵守国家和省、市以及行业主管部门关于加强水利基础设施建设管理以及党风廉政建设的各项规定。</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4、甲、乙双方及其工作人员应认真执行双方签订的廉政合同文件，自觉按合同办事。</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5、除法律认定的商业秘密或合同文件另有规定之外，甲、乙双方的业务活动应坚持公开、公正、诚实信用的原则，严禁损害国家和集体利益，严禁违反工程建设管理规章制度的不正当交易。</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6、甲、乙双方如发现对方在业务活动中有不廉洁行为，有及时提醒对方并督促其纠正的权利和义务，并认真查处本方的违法违纪行为。</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104" w:name="_Toc440352447"/>
      <w:r/>
      <w:bookmarkStart w:id="105" w:name="_Toc532646224"/>
      <w:r/>
      <w:bookmarkStart w:id="106" w:name="_Toc18065740"/>
      <w:r/>
      <w:bookmarkStart w:id="107" w:name="_Toc469923277"/>
      <w:r/>
      <w:bookmarkStart w:id="108" w:name="_Toc507066177"/>
      <w:r/>
      <w:bookmarkStart w:id="109" w:name="_Toc340330313"/>
      <w:r/>
      <w:bookmarkStart w:id="110" w:name="_Toc455395792"/>
      <w:r/>
      <w:bookmarkStart w:id="111" w:name="_Toc350697683"/>
      <w:r/>
      <w:bookmarkStart w:id="112" w:name="_Toc406502942"/>
      <w:r/>
      <w:bookmarkStart w:id="113" w:name="_Toc339352496"/>
      <w:r/>
      <w:bookmarkStart w:id="114" w:name="_Toc346698514"/>
      <w:r/>
      <w:bookmarkStart w:id="115" w:name="_Toc351017578"/>
      <w:r/>
      <w:bookmarkStart w:id="116" w:name="_Toc456023903"/>
      <w:r/>
      <w:bookmarkStart w:id="117" w:name="_Toc405822529"/>
      <w:r/>
      <w:bookmarkStart w:id="118" w:name="_Toc339135325"/>
      <w:r/>
      <w:bookmarkStart w:id="119" w:name="_Toc426445896"/>
      <w:r/>
      <w:bookmarkStart w:id="120" w:name="_Toc28007301"/>
      <w:r/>
      <w:bookmarkStart w:id="121" w:name="_Toc505259414"/>
      <w:r/>
      <w:bookmarkStart w:id="122" w:name="_Toc454438825"/>
      <w:r/>
      <w:bookmarkStart w:id="123" w:name="_Toc341532553"/>
      <w:r/>
      <w:bookmarkStart w:id="124" w:name="_Toc405822033"/>
      <w:r/>
      <w:bookmarkStart w:id="125" w:name="_Toc532394131"/>
      <w:r/>
      <w:bookmarkStart w:id="126" w:name="_Toc470253165"/>
      <w:r/>
      <w:bookmarkStart w:id="127" w:name="_Toc2673960"/>
      <w:r/>
      <w:bookmarkStart w:id="128" w:name="_Toc489274456"/>
      <w:r/>
      <w:bookmarkStart w:id="129" w:name="_Toc339183516"/>
      <w:r/>
      <w:bookmarkStart w:id="130" w:name="_Toc346709275"/>
      <w:r/>
      <w:bookmarkStart w:id="131" w:name="_Toc283577282"/>
      <w:r/>
      <w:bookmarkStart w:id="132" w:name="_Toc391971646"/>
      <w:r/>
      <w:bookmarkStart w:id="133" w:name="_Toc454520004"/>
      <w:r/>
      <w:bookmarkStart w:id="134" w:name="_Toc425757895"/>
      <w:r/>
      <w:bookmarkStart w:id="135" w:name="_Toc350520335"/>
      <w:r/>
      <w:bookmarkStart w:id="136" w:name="_Toc416442326"/>
      <w:r/>
      <w:bookmarkStart w:id="137" w:name="_Toc418751241"/>
      <w:r/>
      <w:bookmarkStart w:id="138" w:name="_Toc283573540"/>
      <w:r/>
      <w:bookmarkStart w:id="139" w:name="_Toc453949176"/>
      <w:r/>
      <w:bookmarkStart w:id="140" w:name="_Toc428869213"/>
      <w:r/>
      <w:bookmarkStart w:id="141" w:name="_Toc369859527"/>
      <w:r/>
      <w:bookmarkStart w:id="142" w:name="_Toc392858973"/>
      <w:r/>
      <w:bookmarkStart w:id="143" w:name="_Toc499103029"/>
      <w:r/>
      <w:bookmarkStart w:id="144" w:name="_Toc369081682"/>
      <w:r/>
      <w:bookmarkStart w:id="145" w:name="_Toc485976259"/>
      <w:r/>
      <w:bookmarkStart w:id="146" w:name="_Toc338745988"/>
      <w:r/>
      <w:bookmarkStart w:id="147" w:name="_Toc402189277"/>
      <w:r/>
      <w:bookmarkStart w:id="148" w:name="_Toc486434554"/>
      <w:r/>
      <w:bookmarkStart w:id="149" w:name="_Toc346700668"/>
      <w:r>
        <w:rPr>
          <w:rFonts w:hint="eastAsia" w:ascii="宋体" w:hAnsi="宋体" w:eastAsia="宋体" w:cs="宋体"/>
          <w:b/>
          <w:color w:val="000000" w:themeColor="text1"/>
          <w:sz w:val="21"/>
          <w:szCs w:val="21"/>
          <w:highlight w:val="none"/>
          <w14:textFill>
            <w14:solidFill>
              <w14:schemeClr w14:val="tx1"/>
            </w14:solidFill>
          </w14:textFill>
        </w:rPr>
        <w:t xml:space="preserve">二、甲方在廉政建设方面的责任</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1、甲方及其工作人员不得以任何形式向乙方索要和收受金钱、有价证券、贵重物品等财物；对推辞不掉的礼金、有价证券和贵重物品等，应立即上缴纪检监察部门或廉政帐户“510”。</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2、甲方不得在乙方报销任何费用。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3、甲方工作人员不得参加乙方的宴请和旅游等活动；不得要求乙方为其提供吃、住、交通工具、通讯工具、高档办公用品等。</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4、甲方及其工作人员不得要求或者接受乙方为其住房装修、婚丧嫁娶、亲属的工作安排以及出国等提供方便。</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5、甲方及其工作人员不得要求乙方为其亲朋好友及有利害关系的人安排工作或劳务；不得违规从事与乙方工程有关的材料设备供应、工程分包、劳务等经济活动。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6、甲方及其工作人员不得滥用职权影响工程的质量、进度和安全。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7、甲方及其工作人员不得与乙方私下进行交易。</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150" w:name="_Toc18065741"/>
      <w:r/>
      <w:bookmarkStart w:id="151" w:name="_Toc340330314"/>
      <w:r/>
      <w:bookmarkStart w:id="152" w:name="_Toc485976260"/>
      <w:r/>
      <w:bookmarkStart w:id="153" w:name="_Toc456023904"/>
      <w:r/>
      <w:bookmarkStart w:id="154" w:name="_Toc469923278"/>
      <w:r/>
      <w:bookmarkStart w:id="155" w:name="_Toc470253166"/>
      <w:r/>
      <w:bookmarkStart w:id="156" w:name="_Toc339135326"/>
      <w:r/>
      <w:bookmarkStart w:id="157" w:name="_Toc351017579"/>
      <w:r/>
      <w:bookmarkStart w:id="158" w:name="_Toc489274457"/>
      <w:r/>
      <w:bookmarkStart w:id="159" w:name="_Toc283573541"/>
      <w:r/>
      <w:bookmarkStart w:id="160" w:name="_Toc507066178"/>
      <w:r/>
      <w:bookmarkStart w:id="161" w:name="_Toc369081683"/>
      <w:r/>
      <w:bookmarkStart w:id="162" w:name="_Toc28007302"/>
      <w:r/>
      <w:bookmarkStart w:id="163" w:name="_Toc369859528"/>
      <w:r/>
      <w:bookmarkStart w:id="164" w:name="_Toc341532554"/>
      <w:r/>
      <w:bookmarkStart w:id="165" w:name="_Toc405822034"/>
      <w:r/>
      <w:bookmarkStart w:id="166" w:name="_Toc2673961"/>
      <w:r/>
      <w:bookmarkStart w:id="167" w:name="_Toc392858974"/>
      <w:r/>
      <w:bookmarkStart w:id="168" w:name="_Toc532394132"/>
      <w:r/>
      <w:bookmarkStart w:id="169" w:name="_Toc418751242"/>
      <w:r/>
      <w:bookmarkStart w:id="170" w:name="_Toc283577283"/>
      <w:r/>
      <w:bookmarkStart w:id="171" w:name="_Toc532646225"/>
      <w:r/>
      <w:bookmarkStart w:id="172" w:name="_Toc426445897"/>
      <w:r/>
      <w:bookmarkStart w:id="173" w:name="_Toc346700669"/>
      <w:r/>
      <w:bookmarkStart w:id="174" w:name="_Toc346709276"/>
      <w:r/>
      <w:bookmarkStart w:id="175" w:name="_Toc350520336"/>
      <w:r/>
      <w:bookmarkStart w:id="176" w:name="_Toc425757896"/>
      <w:r/>
      <w:bookmarkStart w:id="177" w:name="_Toc416442327"/>
      <w:r/>
      <w:bookmarkStart w:id="178" w:name="_Toc499103030"/>
      <w:r/>
      <w:bookmarkStart w:id="179" w:name="_Toc350697684"/>
      <w:r/>
      <w:bookmarkStart w:id="180" w:name="_Toc505259415"/>
      <w:r/>
      <w:bookmarkStart w:id="181" w:name="_Toc486434555"/>
      <w:r/>
      <w:bookmarkStart w:id="182" w:name="_Toc453949177"/>
      <w:r/>
      <w:bookmarkStart w:id="183" w:name="_Toc405822530"/>
      <w:r/>
      <w:bookmarkStart w:id="184" w:name="_Toc339352497"/>
      <w:r/>
      <w:bookmarkStart w:id="185" w:name="_Toc428869214"/>
      <w:r/>
      <w:bookmarkStart w:id="186" w:name="_Toc346698515"/>
      <w:r/>
      <w:bookmarkStart w:id="187" w:name="_Toc454520005"/>
      <w:r/>
      <w:bookmarkStart w:id="188" w:name="_Toc455395793"/>
      <w:r/>
      <w:bookmarkStart w:id="189" w:name="_Toc402189278"/>
      <w:r/>
      <w:bookmarkStart w:id="190" w:name="_Toc339183517"/>
      <w:r/>
      <w:bookmarkStart w:id="191" w:name="_Toc338745989"/>
      <w:r/>
      <w:bookmarkStart w:id="192" w:name="_Toc391971647"/>
      <w:r/>
      <w:bookmarkStart w:id="193" w:name="_Toc440352448"/>
      <w:r/>
      <w:bookmarkStart w:id="194" w:name="_Toc454438826"/>
      <w:r/>
      <w:bookmarkStart w:id="195" w:name="_Toc406502943"/>
      <w:r>
        <w:rPr>
          <w:rFonts w:hint="eastAsia" w:ascii="宋体" w:hAnsi="宋体" w:eastAsia="宋体" w:cs="宋体"/>
          <w:b/>
          <w:color w:val="000000" w:themeColor="text1"/>
          <w:sz w:val="21"/>
          <w:szCs w:val="21"/>
          <w:highlight w:val="none"/>
          <w14:textFill>
            <w14:solidFill>
              <w14:schemeClr w14:val="tx1"/>
            </w14:solidFill>
          </w14:textFill>
        </w:rPr>
        <w:t xml:space="preserve">三、乙方在廉政建设方面的责任</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1、乙方不得以任何理由向甲方及其工作人员馈赠礼金、礼品和有价证券等财产性权益。</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2、乙方不得以任何名义为甲方及其工作人员报销由甲方或个人支付的任何不当费用。</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3、乙方不得以任何理由邀请甲方工作人员参加对承建的施工项目有影响的宴请、及娱乐活动；不得为其购置或提供通讯工具、交通工具、家电和高档办公用品等财物。</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4、乙方不准为甲方工作人员住房装修、婚丧嫁娶、配偶、子女、亲友出国(境)旅游提供方便；不准为甲方工作人员的配偶、子女及有利害关系的人员安排工作或劳务。</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5、乙方不准违反规定将承建的施工项目分包或转包。</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6、乙方及其工作人员不准与该工程的造价跟踪单位串通，违反工程计量、资金支付、质量验评、竣工验收等有关规定和程序，损害甲方利益，影响工程质量、进度和安全。</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196" w:name="_Toc505259416"/>
      <w:r/>
      <w:bookmarkStart w:id="197" w:name="_Toc454520006"/>
      <w:r/>
      <w:bookmarkStart w:id="198" w:name="_Toc338745990"/>
      <w:r/>
      <w:bookmarkStart w:id="199" w:name="_Toc418751243"/>
      <w:r/>
      <w:bookmarkStart w:id="200" w:name="_Toc406502944"/>
      <w:r/>
      <w:bookmarkStart w:id="201" w:name="_Toc392858975"/>
      <w:r/>
      <w:bookmarkStart w:id="202" w:name="_Toc428869215"/>
      <w:r/>
      <w:bookmarkStart w:id="203" w:name="_Toc346700670"/>
      <w:r/>
      <w:bookmarkStart w:id="204" w:name="_Toc455395794"/>
      <w:r/>
      <w:bookmarkStart w:id="205" w:name="_Toc369859529"/>
      <w:r/>
      <w:bookmarkStart w:id="206" w:name="_Toc351017580"/>
      <w:r/>
      <w:bookmarkStart w:id="207" w:name="_Toc470253167"/>
      <w:r/>
      <w:bookmarkStart w:id="208" w:name="_Toc340330315"/>
      <w:r/>
      <w:bookmarkStart w:id="209" w:name="_Toc426445898"/>
      <w:r/>
      <w:bookmarkStart w:id="210" w:name="_Toc369081684"/>
      <w:r/>
      <w:bookmarkStart w:id="211" w:name="_Toc489274458"/>
      <w:r/>
      <w:bookmarkStart w:id="212" w:name="_Toc339135327"/>
      <w:r/>
      <w:bookmarkStart w:id="213" w:name="_Toc405822531"/>
      <w:r/>
      <w:bookmarkStart w:id="214" w:name="_Toc469923279"/>
      <w:r/>
      <w:bookmarkStart w:id="215" w:name="_Toc391971648"/>
      <w:r/>
      <w:bookmarkStart w:id="216" w:name="_Toc18065742"/>
      <w:r/>
      <w:bookmarkStart w:id="217" w:name="_Toc416442328"/>
      <w:r/>
      <w:bookmarkStart w:id="218" w:name="_Toc341532555"/>
      <w:r/>
      <w:bookmarkStart w:id="219" w:name="_Toc453949178"/>
      <w:r/>
      <w:bookmarkStart w:id="220" w:name="_Toc346709277"/>
      <w:r/>
      <w:bookmarkStart w:id="221" w:name="_Toc283577284"/>
      <w:r/>
      <w:bookmarkStart w:id="222" w:name="_Toc532394133"/>
      <w:r/>
      <w:bookmarkStart w:id="223" w:name="_Toc2673962"/>
      <w:r/>
      <w:bookmarkStart w:id="224" w:name="_Toc440352449"/>
      <w:r/>
      <w:bookmarkStart w:id="225" w:name="_Toc28007303"/>
      <w:r/>
      <w:bookmarkStart w:id="226" w:name="_Toc350520337"/>
      <w:r/>
      <w:bookmarkStart w:id="227" w:name="_Toc485976261"/>
      <w:r/>
      <w:bookmarkStart w:id="228" w:name="_Toc402189279"/>
      <w:r/>
      <w:bookmarkStart w:id="229" w:name="_Toc454438827"/>
      <w:r/>
      <w:bookmarkStart w:id="230" w:name="_Toc339352498"/>
      <w:r/>
      <w:bookmarkStart w:id="231" w:name="_Toc283573542"/>
      <w:r/>
      <w:bookmarkStart w:id="232" w:name="_Toc456023905"/>
      <w:r/>
      <w:bookmarkStart w:id="233" w:name="_Toc339183518"/>
      <w:r/>
      <w:bookmarkStart w:id="234" w:name="_Toc507066179"/>
      <w:r/>
      <w:bookmarkStart w:id="235" w:name="_Toc350697685"/>
      <w:r/>
      <w:bookmarkStart w:id="236" w:name="_Toc499103031"/>
      <w:r/>
      <w:bookmarkStart w:id="237" w:name="_Toc346698516"/>
      <w:r/>
      <w:bookmarkStart w:id="238" w:name="_Toc425757897"/>
      <w:r/>
      <w:bookmarkStart w:id="239" w:name="_Toc486434556"/>
      <w:r/>
      <w:bookmarkStart w:id="240" w:name="_Toc532646226"/>
      <w:r/>
      <w:bookmarkStart w:id="241" w:name="_Toc405822035"/>
      <w:r>
        <w:rPr>
          <w:rFonts w:hint="eastAsia" w:ascii="宋体" w:hAnsi="宋体" w:eastAsia="宋体" w:cs="宋体"/>
          <w:b/>
          <w:color w:val="000000" w:themeColor="text1"/>
          <w:sz w:val="21"/>
          <w:szCs w:val="21"/>
          <w:highlight w:val="none"/>
          <w14:textFill>
            <w14:solidFill>
              <w14:schemeClr w14:val="tx1"/>
            </w14:solidFill>
          </w14:textFill>
        </w:rPr>
        <w:t xml:space="preserve">四、违约责任</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1、甲方若违反本“廉政合同”的，对违法违纪人员，由甲方主管部门依据有关规定查处，给乙方造成的损失，按有关规定予以赔偿。</w:t>
      </w:r>
      <w:r/>
    </w:p>
    <w:p>
      <w:pPr>
        <w:pStyle w:val="1086"/>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若违反本“廉政合同”的，视情节轻重，每次给予1～5万元的违约罚款，若严惩违反《廉政合同》的，在2年内不得进入扬州市水利工程建设市场，对违法违纪人员，由乙方主管部门依据有关规定查处，给甲方造成的损失，按有关规定予以赔偿。</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242" w:name="_Toc340330316"/>
      <w:r/>
      <w:bookmarkStart w:id="243" w:name="_Toc532394134"/>
      <w:r/>
      <w:bookmarkStart w:id="244" w:name="_Toc456023906"/>
      <w:r/>
      <w:bookmarkStart w:id="245" w:name="_Toc339183519"/>
      <w:r/>
      <w:bookmarkStart w:id="246" w:name="_Toc505259417"/>
      <w:r/>
      <w:bookmarkStart w:id="247" w:name="_Toc350697686"/>
      <w:r/>
      <w:bookmarkStart w:id="248" w:name="_Toc346709278"/>
      <w:r/>
      <w:bookmarkStart w:id="249" w:name="_Toc454520007"/>
      <w:r/>
      <w:bookmarkStart w:id="250" w:name="_Toc339135328"/>
      <w:r/>
      <w:bookmarkStart w:id="251" w:name="_Toc369859530"/>
      <w:r/>
      <w:bookmarkStart w:id="252" w:name="_Toc391971649"/>
      <w:r/>
      <w:bookmarkStart w:id="253" w:name="_Toc489274459"/>
      <w:r/>
      <w:bookmarkStart w:id="254" w:name="_Toc454438828"/>
      <w:r/>
      <w:bookmarkStart w:id="255" w:name="_Toc469923280"/>
      <w:r/>
      <w:bookmarkStart w:id="256" w:name="_Toc425757898"/>
      <w:r/>
      <w:bookmarkStart w:id="257" w:name="_Toc392858976"/>
      <w:r/>
      <w:bookmarkStart w:id="258" w:name="_Toc428869216"/>
      <w:r/>
      <w:bookmarkStart w:id="259" w:name="_Toc339352499"/>
      <w:r/>
      <w:bookmarkStart w:id="260" w:name="_Toc418751244"/>
      <w:r/>
      <w:bookmarkStart w:id="261" w:name="_Toc28007304"/>
      <w:r/>
      <w:bookmarkStart w:id="262" w:name="_Toc18065743"/>
      <w:r/>
      <w:bookmarkStart w:id="263" w:name="_Toc532646227"/>
      <w:r/>
      <w:bookmarkStart w:id="264" w:name="_Toc346698517"/>
      <w:r/>
      <w:bookmarkStart w:id="265" w:name="_Toc486434557"/>
      <w:r/>
      <w:bookmarkStart w:id="266" w:name="_Toc338745991"/>
      <w:r/>
      <w:bookmarkStart w:id="267" w:name="_Toc405822532"/>
      <w:r/>
      <w:bookmarkStart w:id="268" w:name="_Toc406502945"/>
      <w:r/>
      <w:bookmarkStart w:id="269" w:name="_Toc470253168"/>
      <w:r/>
      <w:bookmarkStart w:id="270" w:name="_Toc426445899"/>
      <w:r/>
      <w:bookmarkStart w:id="271" w:name="_Toc485976262"/>
      <w:r/>
      <w:bookmarkStart w:id="272" w:name="_Toc346700671"/>
      <w:r/>
      <w:bookmarkStart w:id="273" w:name="_Toc283577285"/>
      <w:r/>
      <w:bookmarkStart w:id="274" w:name="_Toc507066180"/>
      <w:r/>
      <w:bookmarkStart w:id="275" w:name="_Toc416442329"/>
      <w:r/>
      <w:bookmarkStart w:id="276" w:name="_Toc351017581"/>
      <w:r/>
      <w:bookmarkStart w:id="277" w:name="_Toc350520338"/>
      <w:r/>
      <w:bookmarkStart w:id="278" w:name="_Toc2673963"/>
      <w:r/>
      <w:bookmarkStart w:id="279" w:name="_Toc440352450"/>
      <w:r/>
      <w:bookmarkStart w:id="280" w:name="_Toc455395795"/>
      <w:r/>
      <w:bookmarkStart w:id="281" w:name="_Toc453949179"/>
      <w:r/>
      <w:bookmarkStart w:id="282" w:name="_Toc369081685"/>
      <w:r/>
      <w:bookmarkStart w:id="283" w:name="_Toc405822036"/>
      <w:r/>
      <w:bookmarkStart w:id="284" w:name="_Toc283573543"/>
      <w:r/>
      <w:bookmarkStart w:id="285" w:name="_Toc499103032"/>
      <w:r/>
      <w:bookmarkStart w:id="286" w:name="_Toc341532556"/>
      <w:r/>
      <w:bookmarkStart w:id="287" w:name="_Toc402189280"/>
      <w:r>
        <w:rPr>
          <w:rFonts w:hint="eastAsia" w:ascii="宋体" w:hAnsi="宋体" w:eastAsia="宋体" w:cs="宋体"/>
          <w:b/>
          <w:color w:val="000000" w:themeColor="text1"/>
          <w:sz w:val="21"/>
          <w:szCs w:val="21"/>
          <w:highlight w:val="none"/>
          <w14:textFill>
            <w14:solidFill>
              <w14:schemeClr w14:val="tx1"/>
            </w14:solidFill>
          </w14:textFill>
        </w:rPr>
        <w:t xml:space="preserve">五、对督促单位的约定和授权</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双方约定：本合同自愿接受上级纪检监察部门的监督。双方授权督查单位主持本“合同”执行情况的督查，提出在本合同规定规范内的裁定意见，执行本“合同”第四条所规定的处罚。</w:t>
      </w:r>
      <w:r/>
    </w:p>
    <w:p>
      <w:pPr>
        <w:pStyle w:val="108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288" w:name="_Toc18065744"/>
      <w:r/>
      <w:bookmarkStart w:id="289" w:name="_Toc456023907"/>
      <w:r/>
      <w:bookmarkStart w:id="290" w:name="_Toc454520008"/>
      <w:r/>
      <w:bookmarkStart w:id="291" w:name="_Toc339352500"/>
      <w:r/>
      <w:bookmarkStart w:id="292" w:name="_Toc532394135"/>
      <w:r/>
      <w:bookmarkStart w:id="293" w:name="_Toc425757899"/>
      <w:r/>
      <w:bookmarkStart w:id="294" w:name="_Toc405822037"/>
      <w:r/>
      <w:bookmarkStart w:id="295" w:name="_Toc350520339"/>
      <w:r/>
      <w:bookmarkStart w:id="296" w:name="_Toc338745992"/>
      <w:r/>
      <w:bookmarkStart w:id="297" w:name="_Toc416442330"/>
      <w:r/>
      <w:bookmarkStart w:id="298" w:name="_Toc499103033"/>
      <w:r/>
      <w:bookmarkStart w:id="299" w:name="_Toc402189281"/>
      <w:r/>
      <w:bookmarkStart w:id="300" w:name="_Toc28007305"/>
      <w:r/>
      <w:bookmarkStart w:id="301" w:name="_Toc485976263"/>
      <w:r/>
      <w:bookmarkStart w:id="302" w:name="_Toc440352451"/>
      <w:r/>
      <w:bookmarkStart w:id="303" w:name="_Toc283577286"/>
      <w:r/>
      <w:bookmarkStart w:id="304" w:name="_Toc346698518"/>
      <w:r/>
      <w:bookmarkStart w:id="305" w:name="_Toc350697687"/>
      <w:r/>
      <w:bookmarkStart w:id="306" w:name="_Toc369859531"/>
      <w:r/>
      <w:bookmarkStart w:id="307" w:name="_Toc2673964"/>
      <w:r/>
      <w:bookmarkStart w:id="308" w:name="_Toc283573544"/>
      <w:r/>
      <w:bookmarkStart w:id="309" w:name="_Toc455395796"/>
      <w:r/>
      <w:bookmarkStart w:id="310" w:name="_Toc532646228"/>
      <w:r/>
      <w:bookmarkStart w:id="311" w:name="_Toc486434558"/>
      <w:r/>
      <w:bookmarkStart w:id="312" w:name="_Toc346709279"/>
      <w:r/>
      <w:bookmarkStart w:id="313" w:name="_Toc505259418"/>
      <w:r/>
      <w:bookmarkStart w:id="314" w:name="_Toc469923281"/>
      <w:r/>
      <w:bookmarkStart w:id="315" w:name="_Toc470253169"/>
      <w:r/>
      <w:bookmarkStart w:id="316" w:name="_Toc340330317"/>
      <w:r/>
      <w:bookmarkStart w:id="317" w:name="_Toc507066181"/>
      <w:r/>
      <w:bookmarkStart w:id="318" w:name="_Toc453949180"/>
      <w:r/>
      <w:bookmarkStart w:id="319" w:name="_Toc454438829"/>
      <w:r/>
      <w:bookmarkStart w:id="320" w:name="_Toc489274460"/>
      <w:r/>
      <w:bookmarkStart w:id="321" w:name="_Toc341532557"/>
      <w:r/>
      <w:bookmarkStart w:id="322" w:name="_Toc339135329"/>
      <w:r/>
      <w:bookmarkStart w:id="323" w:name="_Toc428869217"/>
      <w:r/>
      <w:bookmarkStart w:id="324" w:name="_Toc418751245"/>
      <w:r/>
      <w:bookmarkStart w:id="325" w:name="_Toc405822533"/>
      <w:r/>
      <w:bookmarkStart w:id="326" w:name="_Toc346700672"/>
      <w:r/>
      <w:bookmarkStart w:id="327" w:name="_Toc369081686"/>
      <w:r/>
      <w:bookmarkStart w:id="328" w:name="_Toc391971650"/>
      <w:r/>
      <w:bookmarkStart w:id="329" w:name="_Toc426445900"/>
      <w:r/>
      <w:bookmarkStart w:id="330" w:name="_Toc351017582"/>
      <w:r/>
      <w:bookmarkStart w:id="331" w:name="_Toc339183520"/>
      <w:r/>
      <w:bookmarkStart w:id="332" w:name="_Toc392858977"/>
      <w:r/>
      <w:bookmarkStart w:id="333" w:name="_Toc406502946"/>
      <w:r>
        <w:rPr>
          <w:rFonts w:hint="eastAsia" w:ascii="宋体" w:hAnsi="宋体" w:eastAsia="宋体" w:cs="宋体"/>
          <w:b/>
          <w:color w:val="000000" w:themeColor="text1"/>
          <w:sz w:val="21"/>
          <w:szCs w:val="21"/>
          <w:highlight w:val="none"/>
          <w14:textFill>
            <w14:solidFill>
              <w14:schemeClr w14:val="tx1"/>
            </w14:solidFill>
          </w14:textFill>
        </w:rPr>
        <w:t xml:space="preserve">六、检查方式</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1086"/>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34" w:name="_Toc406502947"/>
      <w:r/>
      <w:bookmarkStart w:id="335" w:name="_Toc454438830"/>
      <w:r/>
      <w:bookmarkStart w:id="336" w:name="_Toc351017583"/>
      <w:r/>
      <w:bookmarkStart w:id="337" w:name="_Toc499103034"/>
      <w:r/>
      <w:bookmarkStart w:id="338" w:name="_Toc486434559"/>
      <w:r/>
      <w:bookmarkStart w:id="339" w:name="_Toc402189282"/>
      <w:r/>
      <w:bookmarkStart w:id="340" w:name="_Toc369081687"/>
      <w:r/>
      <w:bookmarkStart w:id="341" w:name="_Toc453949181"/>
      <w:r/>
      <w:bookmarkStart w:id="342" w:name="_Toc469923282"/>
      <w:r/>
      <w:bookmarkStart w:id="343" w:name="_Toc405822534"/>
      <w:r/>
      <w:bookmarkStart w:id="344" w:name="_Toc405822038"/>
      <w:r/>
      <w:bookmarkStart w:id="345" w:name="_Toc350520340"/>
      <w:r/>
      <w:bookmarkStart w:id="346" w:name="_Toc426445901"/>
      <w:r/>
      <w:bookmarkStart w:id="347" w:name="_Toc283573545"/>
      <w:r/>
      <w:bookmarkStart w:id="348" w:name="_Toc346698519"/>
      <w:r/>
      <w:bookmarkStart w:id="349" w:name="_Toc418751246"/>
      <w:r/>
      <w:bookmarkStart w:id="350" w:name="_Toc369859532"/>
      <w:r/>
      <w:bookmarkStart w:id="351" w:name="_Toc346709280"/>
      <w:r/>
      <w:bookmarkStart w:id="352" w:name="_Toc339135330"/>
      <w:r/>
      <w:bookmarkStart w:id="353" w:name="_Toc391971651"/>
      <w:r/>
      <w:bookmarkStart w:id="354" w:name="_Toc2673965"/>
      <w:r/>
      <w:bookmarkStart w:id="355" w:name="_Toc425757900"/>
      <w:r/>
      <w:bookmarkStart w:id="356" w:name="_Toc341532558"/>
      <w:r/>
      <w:bookmarkStart w:id="357" w:name="_Toc456023908"/>
      <w:r/>
      <w:bookmarkStart w:id="358" w:name="_Toc470253170"/>
      <w:r/>
      <w:bookmarkStart w:id="359" w:name="_Toc505259419"/>
      <w:r/>
      <w:bookmarkStart w:id="360" w:name="_Toc532394136"/>
      <w:r/>
      <w:bookmarkStart w:id="361" w:name="_Toc489274461"/>
      <w:r/>
      <w:bookmarkStart w:id="362" w:name="_Toc485976264"/>
      <w:r/>
      <w:bookmarkStart w:id="363" w:name="_Toc392858978"/>
      <w:r/>
      <w:bookmarkStart w:id="364" w:name="_Toc507066182"/>
      <w:r/>
      <w:bookmarkStart w:id="365" w:name="_Toc350697688"/>
      <w:r/>
      <w:bookmarkStart w:id="366" w:name="_Toc428869218"/>
      <w:r/>
      <w:bookmarkStart w:id="367" w:name="_Toc340330318"/>
      <w:r/>
      <w:bookmarkStart w:id="368" w:name="_Toc28007306"/>
      <w:r/>
      <w:bookmarkStart w:id="369" w:name="_Toc339352501"/>
      <w:r/>
      <w:bookmarkStart w:id="370" w:name="_Toc339183521"/>
      <w:r/>
      <w:bookmarkStart w:id="371" w:name="_Toc455395797"/>
      <w:r/>
      <w:bookmarkStart w:id="372" w:name="_Toc440352452"/>
      <w:r/>
      <w:bookmarkStart w:id="373" w:name="_Toc454520009"/>
      <w:r/>
      <w:bookmarkStart w:id="374" w:name="_Toc283577287"/>
      <w:r/>
      <w:bookmarkStart w:id="375" w:name="_Toc532646229"/>
      <w:r/>
      <w:bookmarkStart w:id="376" w:name="_Toc18065745"/>
      <w:r/>
      <w:bookmarkStart w:id="377" w:name="_Toc338745993"/>
      <w:r/>
      <w:bookmarkStart w:id="378" w:name="_Toc416442331"/>
      <w:r/>
      <w:bookmarkStart w:id="379" w:name="_Toc346700673"/>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color w:val="000000" w:themeColor="text1"/>
          <w:sz w:val="21"/>
          <w:szCs w:val="21"/>
          <w:highlight w:val="none"/>
          <w14:textFill>
            <w14:solidFill>
              <w14:schemeClr w14:val="tx1"/>
            </w14:solidFill>
          </w14:textFill>
        </w:rPr>
        <w:t xml:space="preserve">本“合同”有效期为工程开工之日起至该合同段工程项目竣工验收后止。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80" w:name="_Toc406502948"/>
      <w:r/>
      <w:bookmarkStart w:id="381" w:name="_Toc470253171"/>
      <w:r/>
      <w:bookmarkStart w:id="382" w:name="_Toc346698520"/>
      <w:r/>
      <w:bookmarkStart w:id="383" w:name="_Toc341532559"/>
      <w:r/>
      <w:bookmarkStart w:id="384" w:name="_Toc507066183"/>
      <w:r/>
      <w:bookmarkStart w:id="385" w:name="_Toc405822039"/>
      <w:r/>
      <w:bookmarkStart w:id="386" w:name="_Toc405822535"/>
      <w:r/>
      <w:bookmarkStart w:id="387" w:name="_Toc469923283"/>
      <w:r/>
      <w:bookmarkStart w:id="388" w:name="_Toc283573546"/>
      <w:r/>
      <w:bookmarkStart w:id="389" w:name="_Toc455395798"/>
      <w:r/>
      <w:bookmarkStart w:id="390" w:name="_Toc532394137"/>
      <w:r/>
      <w:bookmarkStart w:id="391" w:name="_Toc426445902"/>
      <w:r/>
      <w:bookmarkStart w:id="392" w:name="_Toc351017584"/>
      <w:r/>
      <w:bookmarkStart w:id="393" w:name="_Toc346700674"/>
      <w:r/>
      <w:bookmarkStart w:id="394" w:name="_Toc350697689"/>
      <w:r/>
      <w:bookmarkStart w:id="395" w:name="_Toc499103035"/>
      <w:r/>
      <w:bookmarkStart w:id="396" w:name="_Toc454520010"/>
      <w:r/>
      <w:bookmarkStart w:id="397" w:name="_Toc369859533"/>
      <w:r/>
      <w:bookmarkStart w:id="398" w:name="_Toc369081688"/>
      <w:r/>
      <w:bookmarkStart w:id="399" w:name="_Toc418751247"/>
      <w:r/>
      <w:bookmarkStart w:id="400" w:name="_Toc339352502"/>
      <w:r/>
      <w:bookmarkStart w:id="401" w:name="_Toc346709281"/>
      <w:r/>
      <w:bookmarkStart w:id="402" w:name="_Toc485976265"/>
      <w:r/>
      <w:bookmarkStart w:id="403" w:name="_Toc392858979"/>
      <w:r/>
      <w:bookmarkStart w:id="404" w:name="_Toc456023909"/>
      <w:r/>
      <w:bookmarkStart w:id="405" w:name="_Toc18065746"/>
      <w:r/>
      <w:bookmarkStart w:id="406" w:name="_Toc391971652"/>
      <w:r/>
      <w:bookmarkStart w:id="407" w:name="_Toc339183522"/>
      <w:r/>
      <w:bookmarkStart w:id="408" w:name="_Toc454438831"/>
      <w:r/>
      <w:bookmarkStart w:id="409" w:name="_Toc486434560"/>
      <w:r/>
      <w:bookmarkStart w:id="410" w:name="_Toc532646230"/>
      <w:r/>
      <w:bookmarkStart w:id="411" w:name="_Toc28007307"/>
      <w:r/>
      <w:bookmarkStart w:id="412" w:name="_Toc505259420"/>
      <w:r/>
      <w:bookmarkStart w:id="413" w:name="_Toc402189283"/>
      <w:r/>
      <w:bookmarkStart w:id="414" w:name="_Toc350520341"/>
      <w:r/>
      <w:bookmarkStart w:id="415" w:name="_Toc428869219"/>
      <w:r/>
      <w:bookmarkStart w:id="416" w:name="_Toc283577288"/>
      <w:r/>
      <w:bookmarkStart w:id="417" w:name="_Toc339135331"/>
      <w:r/>
      <w:bookmarkStart w:id="418" w:name="_Toc489274462"/>
      <w:r/>
      <w:bookmarkStart w:id="419" w:name="_Toc453949182"/>
      <w:r/>
      <w:bookmarkStart w:id="420" w:name="_Toc338745994"/>
      <w:r/>
      <w:bookmarkStart w:id="421" w:name="_Toc340330319"/>
      <w:r/>
      <w:bookmarkStart w:id="422" w:name="_Toc440352453"/>
      <w:r/>
      <w:bookmarkStart w:id="423" w:name="_Toc416442332"/>
      <w:r/>
      <w:bookmarkStart w:id="424" w:name="_Toc425757901"/>
      <w:r/>
      <w:bookmarkStart w:id="425" w:name="_Toc2673966"/>
      <w:r>
        <w:rPr>
          <w:rFonts w:hint="eastAsia" w:ascii="宋体" w:hAnsi="宋体" w:eastAsia="宋体" w:cs="宋体"/>
          <w:b/>
          <w:color w:val="000000" w:themeColor="text1"/>
          <w:sz w:val="21"/>
          <w:szCs w:val="21"/>
          <w:highlight w:val="none"/>
          <w14:textFill>
            <w14:solidFill>
              <w14:schemeClr w14:val="tx1"/>
            </w14:solidFill>
          </w14:textFill>
        </w:rPr>
        <w:t xml:space="preserve">八、</w:t>
      </w:r>
      <w:r>
        <w:rPr>
          <w:rFonts w:hint="eastAsia" w:ascii="宋体" w:hAnsi="宋体" w:eastAsia="宋体" w:cs="宋体"/>
          <w:color w:val="000000" w:themeColor="text1"/>
          <w:sz w:val="21"/>
          <w:szCs w:val="21"/>
          <w:highlight w:val="none"/>
          <w14:textFill>
            <w14:solidFill>
              <w14:schemeClr w14:val="tx1"/>
            </w14:solidFill>
          </w14:textFill>
        </w:rPr>
        <w:t xml:space="preserve">本“合同”一式陆份，甲、乙双方各持叁份。</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  方：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pStyle w:val="108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pStyle w:val="85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pStyle w:val="102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36"/>
          <w:szCs w:val="36"/>
          <w:highlight w:val="none"/>
          <w14:textFill>
            <w14:solidFill>
              <w14:schemeClr w14:val="tx1"/>
            </w14:solidFill>
          </w14:textFill>
        </w:rPr>
        <w:t xml:space="preserve">第四章 项目需求</w:t>
      </w:r>
      <w:bookmarkEnd w:id="38"/>
      <w:r/>
      <w:bookmarkEnd w:id="39"/>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themeColor="text1"/>
          <w:szCs w:val="21"/>
          <w:highlight w:val="none"/>
          <w:u w:val="singl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Cs w:val="21"/>
          <w:highlight w:val="none"/>
          <w14:textFill>
            <w14:solidFill>
              <w14:schemeClr w14:val="tx1"/>
            </w14:solidFill>
          </w14:textFill>
        </w:rPr>
        <w:t xml:space="preserve">。其他条件相同情况下，应当优先采购节能产品、环境标志产品。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bookmarkEnd w:id="1"/>
      <w:r/>
      <w:r/>
    </w:p>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所属行业：建筑业</w:t>
      </w:r>
      <w:r/>
    </w:p>
    <w:p>
      <w:pPr>
        <w:numPr>
          <w:ilvl w:val="0"/>
          <w:numId w:val="2"/>
        </w:numPr>
        <w:ind w:firstLine="422"/>
        <w:pageBreakBefore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工程概况</w:t>
      </w:r>
      <w:r/>
    </w:p>
    <w:p>
      <w:pPr>
        <w:numPr>
          <w:ilvl w:val="0"/>
          <w:numId w:val="3"/>
        </w:numPr>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扬州市江都区2026年农村生态河道建设项目(邵伯镇)</w:t>
      </w:r>
      <w:r/>
    </w:p>
    <w:p>
      <w:pPr>
        <w:numPr>
          <w:ilvl w:val="0"/>
          <w:numId w:val="3"/>
        </w:numPr>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项目地点：</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扬州市江都区邵伯镇</w:t>
      </w:r>
      <w:r/>
    </w:p>
    <w:p>
      <w:pPr>
        <w:ind w:left="0" w:right="0" w:firstLine="420"/>
        <w:jc w:val="both"/>
        <w:pageBreakBefore w:val="0"/>
        <w:spacing w:before="0" w:after="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（三）项目范围：施工图纸及工程量清单内的施工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420" w:firstLine="42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对扬州市江都区邵伯镇境内的</w:t>
      </w:r>
      <w:r>
        <w:rPr>
          <w:rFonts w:hint="eastAsia" w:ascii="宋体" w:hAnsi="宋体" w:eastAsia="宋体" w:cs="宋体"/>
          <w:color w:val="000000" w:themeColor="text1"/>
          <w:sz w:val="21"/>
          <w:szCs w:val="21"/>
          <w:highlight w:val="none"/>
          <w14:textFill>
            <w14:solidFill>
              <w14:schemeClr w14:val="tx1"/>
            </w14:solidFill>
          </w14:textFill>
        </w:rPr>
        <w:t xml:space="preserve">南圩河、艾菱引排河、符庄河</w:t>
      </w:r>
      <w:r>
        <w:rPr>
          <w:rFonts w:hint="eastAsia" w:ascii="宋体" w:hAnsi="宋体" w:cs="宋体"/>
          <w:iCs/>
          <w:color w:val="000000" w:themeColor="text1"/>
          <w:szCs w:val="24"/>
          <w:highlight w:val="none"/>
          <w:lang w:val="en-US" w:eastAsia="zh-CN"/>
          <w14:textFill>
            <w14:solidFill>
              <w14:schemeClr w14:val="tx1"/>
            </w14:solidFill>
          </w14:textFill>
        </w:rPr>
        <w:t xml:space="preserve">3</w:t>
      </w:r>
      <w:r>
        <w:rPr>
          <w:rFonts w:hint="eastAsia" w:ascii="宋体" w:hAnsi="宋体" w:cs="宋体"/>
          <w:iCs/>
          <w:color w:val="000000" w:themeColor="text1"/>
          <w:szCs w:val="24"/>
          <w:highlight w:val="none"/>
          <w14:textFill>
            <w14:solidFill>
              <w14:schemeClr w14:val="tx1"/>
            </w14:solidFill>
          </w14:textFill>
        </w:rPr>
        <w:t xml:space="preserve">条生态河道进行</w:t>
      </w:r>
      <w:r>
        <w:rPr>
          <w:rFonts w:hint="eastAsia" w:ascii="宋体" w:hAnsi="宋体" w:eastAsia="宋体" w:cs="宋体"/>
          <w:color w:val="000000" w:themeColor="text1"/>
          <w:sz w:val="21"/>
          <w:szCs w:val="21"/>
          <w:highlight w:val="none"/>
          <w14:textFill>
            <w14:solidFill>
              <w14:schemeClr w14:val="tx1"/>
            </w14:solidFill>
          </w14:textFill>
        </w:rPr>
        <w:t xml:space="preserve">河道疏浚、清障、清杂及绿化等</w:t>
      </w:r>
      <w:r>
        <w:rPr>
          <w:rFonts w:hint="eastAsia" w:ascii="宋体" w:hAnsi="宋体" w:cs="宋体"/>
          <w:color w:val="000000" w:themeColor="text1"/>
          <w:szCs w:val="21"/>
          <w:highlight w:val="none"/>
          <w14:textFill>
            <w14:solidFill>
              <w14:schemeClr w14:val="tx1"/>
            </w14:solidFill>
          </w14:textFill>
        </w:rPr>
        <w:t xml:space="preserve">工程施工</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三条河约</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公里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420" w:firstLine="0"/>
        <w:pageBreakBefore w:val="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（四）工期：</w:t>
      </w:r>
      <w:r>
        <w:rPr>
          <w:rFonts w:hint="eastAsia" w:ascii="宋体" w:hAnsi="宋体" w:cs="宋体"/>
          <w:color w:val="000000" w:themeColor="text1"/>
          <w:sz w:val="21"/>
          <w:szCs w:val="21"/>
          <w:highlight w:val="none"/>
          <w:lang w:val="en-US" w:eastAsia="zh-CN"/>
          <w14:textFill>
            <w14:solidFill>
              <w14:schemeClr w14:val="tx1"/>
            </w14:solidFill>
          </w14:textFill>
        </w:rPr>
        <w:t xml:space="preserve">120日历天</w:t>
      </w:r>
      <w:r>
        <w:rPr>
          <w:rFonts w:hint="eastAsia" w:ascii="宋体" w:hAnsi="宋体" w:eastAsia="宋体" w:cs="宋体"/>
          <w:color w:val="000000" w:themeColor="text1"/>
          <w:sz w:val="21"/>
          <w:szCs w:val="21"/>
          <w:highlight w:val="none"/>
          <w14:textFill>
            <w14:solidFill>
              <w14:schemeClr w14:val="tx1"/>
            </w14:solidFill>
          </w14:textFill>
        </w:rPr>
        <w:t xml:space="preserve">（开工日期以采购人签发开工令的时间为准）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ind w:left="0" w:right="0" w:firstLine="42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（五）质量要求：合格，本工程质量检验与评定执行符合《水利工程施工质量检验与评定规范》（DB32/T2334-2013）</w:t>
      </w:r>
      <w:r/>
    </w:p>
    <w:p>
      <w:pPr>
        <w:ind w:left="0" w:right="0" w:firstLine="42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（六）最高限价：</w:t>
      </w:r>
      <w:r>
        <w:rPr>
          <w:rFonts w:hint="eastAsia" w:ascii="宋体" w:hAnsi="宋体" w:cs="宋体"/>
          <w:color w:val="000000" w:themeColor="text1"/>
          <w:sz w:val="21"/>
          <w:szCs w:val="21"/>
          <w:highlight w:val="none"/>
          <w:lang w:val="en-US" w:eastAsia="zh-CN"/>
          <w14:textFill>
            <w14:solidFill>
              <w14:schemeClr w14:val="tx1"/>
            </w14:solidFill>
          </w14:textFill>
        </w:rPr>
        <w:t xml:space="preserve">130.732626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万元。报价高于最高限价的为无效标，按照无效响应处理。</w:t>
      </w:r>
      <w:r/>
    </w:p>
    <w:p>
      <w:pPr>
        <w:pStyle w:val="849"/>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二、技术要求（项目需求）</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1、服务质量要求：符合法律、法规的要求；投标中所涉及的所有技术指标均应满足国家现行的相关施工规范和标准。满足招标人要求，质量标准为合格。</w:t>
      </w:r>
      <w:r/>
    </w:p>
    <w:p>
      <w:pPr>
        <w:pStyle w:val="849"/>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2、供应商必须按照国家有关规范、标准完成施工。</w:t>
      </w:r>
      <w:r/>
    </w:p>
    <w:p>
      <w:pPr>
        <w:pStyle w:val="849"/>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3、供应商根据招标清单进行施工。</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5、根据《水利水电工程等级划分及洪水标准》（SL252-2017）有关规定，确定本工程：工程等别为IV等，河道工程级别为4级。</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2"/>
          <w:highlight w:val="none"/>
          <w14:textFill>
            <w14:solidFill>
              <w14:schemeClr w14:val="tx1"/>
            </w14:solidFill>
          </w14:textFill>
        </w:rPr>
        <w:t xml:space="preserve">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p>
    <w:p>
      <w:pPr>
        <w:pStyle w:val="849"/>
        <w:ind w:left="0" w:firstLine="420"/>
        <w:spacing w:line="360" w:lineRule="auto"/>
        <w:rPr>
          <w:rFonts w:hint="eastAsia" w:ascii="宋体" w:hAnsi="宋体" w:eastAsia="宋体" w:cs="宋体"/>
          <w:color w:val="000000" w:themeColor="text1"/>
          <w:szCs w:val="22"/>
          <w:highlight w:val="none"/>
          <w:lang w:val="en-US" w:eastAsia="zh-CN"/>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2"/>
          <w:highlight w:val="none"/>
          <w14:textFill>
            <w14:solidFill>
              <w14:schemeClr w14:val="tx1"/>
            </w14:solidFill>
          </w14:textFill>
        </w:rPr>
        <w:t xml:space="preserve">验收：采购项目总体验收。项目施工完成后，由采购人会同本项目供应商组织开展对所有施工项目的验收工作并形成专门的验收报告。如验收不通过的项目，供应商应无条件进行整改直至验收通过。本工程验收按</w:t>
      </w:r>
      <w:r>
        <w:rPr>
          <w:rFonts w:hint="eastAsia" w:ascii="宋体" w:hAnsi="宋体" w:cs="宋体"/>
          <w:color w:val="000000" w:themeColor="text1"/>
          <w:szCs w:val="22"/>
          <w:highlight w:val="none"/>
          <w:lang w:eastAsia="zh-CN"/>
          <w14:textFill>
            <w14:solidFill>
              <w14:schemeClr w14:val="tx1"/>
            </w14:solidFill>
          </w14:textFill>
        </w:rPr>
        <w:t xml:space="preserve">《水利水电建设工程验收规程》（SLT223—2025）</w:t>
      </w:r>
      <w:r>
        <w:rPr>
          <w:rFonts w:hint="eastAsia" w:ascii="宋体" w:hAnsi="宋体" w:eastAsia="宋体" w:cs="宋体"/>
          <w:color w:val="000000" w:themeColor="text1"/>
          <w:szCs w:val="22"/>
          <w:highlight w:val="none"/>
          <w14:textFill>
            <w14:solidFill>
              <w14:schemeClr w14:val="tx1"/>
            </w14:solidFill>
          </w14:textFill>
        </w:rPr>
        <w:t xml:space="preserve">的规定执行。</w:t>
      </w:r>
      <w:r/>
    </w:p>
    <w:p>
      <w:pPr>
        <w:ind w:firstLine="304"/>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三、投标报价说明</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工程量清单仅是投标人投标报价的共同基础，除另有约定外，工程量清单中的工程量是按《水利工程工程量清单计价规范》（GB50501-2007）计算规则计算的用于投标报价的估算工程量，不作为最终结算的工程量；最终结算工程量是承包人实际完成并符合技术标准和要求和《水利工程工程量清单计价规范》（GB50501-2007）计算规则等规定，按施工图纸计算的有效工程量。</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工程量清单中各项目的工作内容和要求应同时符合《水利工程工程量清单计价规范》（GB50501-2007）、江苏省水利厅苏水基[2011]21号《江苏省水利工程招标投标文件工程量清单格式》和相关技术标准和要求的规定，并以技术标准和要求的约定优先。</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3、工程价款的支付遵循合同条款的约定。</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4、本合同为固定单价合同（部分为总价），除合同条款另有约定外，不作任何价格调整。</w:t>
      </w:r>
      <w:r/>
    </w:p>
    <w:p>
      <w:pPr>
        <w:pStyle w:val="849"/>
        <w:ind w:left="0"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供应商报价时应考虑一些不可预见的费用，包括但不限于弃土区（排泥场）、临时用地、临时用电的矛盾协调、赔青、土源及运距、排泥管线输送长度、破坏的路面等原状恢复等；供应商报价时应将上述费用在投标报价中综合考虑，必要时采购人予以协助，供应商还应综合考虑相关施工措施费用，并包含在投标报价中，采购人不另行支付。</w:t>
      </w:r>
      <w:r/>
    </w:p>
    <w:p>
      <w:pPr>
        <w:pStyle w:val="849"/>
        <w:ind w:left="0"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、成交供应商进场施工前邀请监理、测绘、业主单位进行复测，如有问题由测绘单位会同监理、甲方共同协商解决。</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14:textFill>
            <w14:solidFill>
              <w14:schemeClr w14:val="tx1"/>
            </w14:solidFill>
          </w14:textFill>
        </w:rPr>
        <w:t xml:space="preserve">、工程量清单中实行固定总价承包的项目所提供的工程量是用作投标报价的工程量（此工程量为设计估算工</w:t>
      </w:r>
      <w:r>
        <w:rPr>
          <w:rFonts w:hint="eastAsia" w:ascii="宋体" w:hAnsi="宋体" w:eastAsia="宋体" w:cs="宋体"/>
          <w:bCs/>
          <w:color w:val="000000" w:themeColor="text1"/>
          <w:szCs w:val="21"/>
          <w:highlight w:val="none"/>
          <w14:textFill>
            <w14:solidFill>
              <w14:schemeClr w14:val="tx1"/>
            </w14:solidFill>
          </w14:textFill>
        </w:rPr>
        <w:t xml:space="preserve">程量，仅供参考。承包人应按提供的招标图纸及现场查勘资料认真复核实际工程量，进行计算和填报总价），由监理人审查确认按专用条款付款进度要求以工程量清单提供的细目和项目总价支付、结算；实行固定单价承包的项目工程量是用作投标报价的估算工程量，不作为最终结算的工程量，用于结算的工程量是承包人实际完成的，并按合同有关计量规定计量的工程量，支付应以施工详图和按监理工程师指示完成的实际数量为依据。月计量支付由承包人测量、监理人审查确认并按工程量清单的细目按专用条款付款进度要求结算，最终结算以国家审计核算的工程项目总价为准。</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、工程量清单中未注明总价承包的项目，均为单价承包项目。</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、在施工过程中，与交通、城市管理、运输管理部门的协调及对当地居民生活影响所造成的矛盾处置等所发生的费用，由承包人自行考虑，包含在投标报价中。</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Cs w:val="21"/>
          <w:highlight w:val="none"/>
          <w14:textFill>
            <w14:solidFill>
              <w14:schemeClr w14:val="tx1"/>
            </w14:solidFill>
          </w14:textFill>
        </w:rPr>
        <w:t xml:space="preserve">、安全生产与文明施工措施费其费用组成应执行江苏省水利厅苏水安【20</w:t>
      </w:r>
      <w:r>
        <w:rPr>
          <w:rFonts w:hint="eastAsia" w:ascii="宋体" w:hAnsi="宋体" w:eastAsia="宋体" w:cs="宋体"/>
          <w:bCs/>
          <w:color w:val="000000" w:themeColor="text1"/>
          <w:szCs w:val="21"/>
          <w:highlight w:val="none"/>
          <w14:textFill>
            <w14:solidFill>
              <w14:schemeClr w14:val="tx1"/>
            </w14:solidFill>
          </w14:textFill>
        </w:rPr>
        <w:t xml:space="preserve">17】3号文的规定内容（详见本招标文件工程量清单措施项目费用清单“江苏省水利工程文明措施费分解表”）。投标文件已标价的工程量清单中应按本招标文件附件所提供的格式及内容提交安全文明措施费分解表明细组成，逐项报价，并作为投标报价必要的组成部分、作为今后的支付依据。进场后由承包人申报并经审核后，所报各子项项目合计费用高于中标的“安全生产与文明施工措施费”总价费用的，超出部分不予支付，按中标的“安全生产与文明施工措施费”总价费用支付；所报各子项项目合计费用低于中标的“安全生产与文明施工措施费”总价费用的，按实支付。</w:t>
      </w:r>
      <w:r/>
    </w:p>
    <w:p>
      <w:pPr>
        <w:pStyle w:val="849"/>
        <w:ind w:left="0" w:firstLine="420"/>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w:t>
      </w:r>
      <w:r>
        <w:rPr>
          <w:rFonts w:hint="eastAsia" w:ascii="宋体" w:hAnsi="宋体" w:cs="宋体"/>
          <w:b/>
          <w:bCs w:val="0"/>
          <w:i/>
          <w:iCs/>
          <w:color w:val="000000" w:themeColor="text1"/>
          <w:szCs w:val="21"/>
          <w:highlight w:val="none"/>
          <w:u w:val="single"/>
          <w:lang w:val="en-US" w:eastAsia="zh-CN"/>
          <w14:textFill>
            <w14:solidFill>
              <w14:schemeClr w14:val="tx1"/>
            </w14:solidFill>
          </w14:textFill>
        </w:rPr>
        <w:t xml:space="preserve">2</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本项目另附工程量清单，投标人需按按招标文件和《水利工程工程量清单计价规范》（GB50501-2007）、江苏省水利厅苏水基[2011]21号《江苏省水利工程招标投标文件工程量清单格式》和相关技术标准和要求的规定规定报价。</w:t>
      </w:r>
      <w:r/>
    </w:p>
    <w:p>
      <w:pPr>
        <w:pStyle w:val="849"/>
        <w:ind w:left="0" w:firstLine="420"/>
        <w:spacing w:line="360" w:lineRule="auto"/>
        <w:rPr>
          <w:rFonts w:hint="eastAsia" w:ascii="宋体" w:hAnsi="宋体" w:eastAsia="宋体" w:cs="宋体"/>
          <w:b/>
          <w:bCs w:val="0"/>
          <w:i/>
          <w:iCs/>
          <w:color w:val="000000" w:themeColor="text1"/>
          <w:szCs w:val="21"/>
          <w:highlight w:val="none"/>
          <w:u w:val="singl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w:t>
      </w:r>
      <w:r>
        <w:rPr>
          <w:rFonts w:hint="eastAsia" w:ascii="宋体" w:hAnsi="宋体" w:cs="宋体"/>
          <w:b/>
          <w:bCs w:val="0"/>
          <w:i/>
          <w:iCs/>
          <w:color w:val="000000" w:themeColor="text1"/>
          <w:szCs w:val="21"/>
          <w:highlight w:val="none"/>
          <w:u w:val="single"/>
          <w:lang w:val="en-US" w:eastAsia="zh-CN"/>
          <w14:textFill>
            <w14:solidFill>
              <w14:schemeClr w14:val="tx1"/>
            </w14:solidFill>
          </w14:textFill>
        </w:rPr>
        <w:t xml:space="preserve">3</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、总价应等于“磋商报价一览表”中的投标总价。</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考虑到本工程实际情况，投标人自行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849"/>
        <w:ind w:left="0"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投标人到现场实地勘踏，应充分了解工地位置、情况、道路、储存空间、装卸限制及任何其他足以影响承包价的情况，任何忽视或误解</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项目</w:t>
      </w:r>
      <w:r>
        <w:rPr>
          <w:rFonts w:hint="eastAsia" w:ascii="宋体" w:hAnsi="宋体" w:eastAsia="宋体" w:cs="宋体"/>
          <w:bCs/>
          <w:color w:val="000000" w:themeColor="text1"/>
          <w:szCs w:val="21"/>
          <w:highlight w:val="none"/>
          <w14:textFill>
            <w14:solidFill>
              <w14:schemeClr w14:val="tx1"/>
            </w14:solidFill>
          </w14:textFill>
        </w:rPr>
        <w:t xml:space="preserve">情况而导致的索赔或工期延长申请将不获得批准。</w:t>
      </w:r>
      <w:r/>
    </w:p>
    <w:p>
      <w:pPr>
        <w:ind w:firstLine="304"/>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四、其他投标须知</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1、对与本合同实施有关的各类验收（如档案、消防、评审、审计、各阶段验收、竣工验收、工程移交等）、第三方检测等承包人应积极配合、参加，并承担相应费用。</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投标报价中，不另行支付。</w:t>
      </w:r>
      <w:r>
        <w:rPr>
          <w:rFonts w:hint="eastAsia" w:ascii="宋体" w:hAnsi="宋体" w:eastAsia="宋体" w:cs="宋体"/>
          <w:color w:val="000000" w:themeColor="text1"/>
          <w:sz w:val="21"/>
          <w:szCs w:val="21"/>
          <w:highlight w:val="none"/>
          <w14:textFill>
            <w14:solidFill>
              <w14:schemeClr w14:val="tx1"/>
            </w14:solidFill>
          </w14:textFill>
        </w:rPr>
        <w:t xml:space="preserve">并提供工程主要节点施工前、中、后对比照片资料1套，档案相关的一切费用包含在报价中，甲方不再另行支付。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3、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4、承包人与发包人签订廉政合同、安全生产合同</w:t>
      </w:r>
      <w:r>
        <w:rPr>
          <w:rFonts w:hint="eastAsia"/>
          <w:color w:val="000000" w:themeColor="text1"/>
          <w:szCs w:val="21"/>
          <w:highlight w:val="none"/>
          <w14:textFill>
            <w14:solidFill>
              <w14:schemeClr w14:val="tx1"/>
            </w14:solidFill>
          </w14:textFill>
        </w:rPr>
        <w:t xml:space="preserve">、资金安全合同</w:t>
      </w:r>
      <w:r>
        <w:rPr>
          <w:rFonts w:hint="eastAsia" w:ascii="宋体" w:hAnsi="宋体" w:eastAsia="宋体" w:cs="宋体"/>
          <w:color w:val="000000" w:themeColor="text1"/>
          <w:szCs w:val="22"/>
          <w:highlight w:val="none"/>
          <w14:textFill>
            <w14:solidFill>
              <w14:schemeClr w14:val="tx1"/>
            </w14:solidFill>
          </w14:textFill>
        </w:rPr>
        <w:t xml:space="preserve">。</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5、配合工程竣工后各类审计、评审等各类工作。</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6、承担本工程所有应属于承包人责任内的检验费用（行业管理另有规定的，从其行业规定），承包人应在投标报价中考虑，发包人不另行支付。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7、施工过程中非发包人原因引起的地方矛盾由承包人负责解决并承担相关费用。</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8、本项目采用固定单价（部分总价），承包范围为工程量清单、施工图和招标文件范围内的所有施工内容。</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9、工程实施过程中，如遇变更事项，必须通知采购人，办理相应的申报手续，在得到采购人认可的情况下，方可实施。如未通知采购人或未经采购人认可，变更相关费用将不能得到支付。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、工程保险</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约定：成交供应商应以采购人和成交供应商的共同名义向双方同意的保险人投保建筑、安装工程一切险，保额为工程成交合同价，保险期限为工程合同工期。</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.1工伤保险</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成交供应商人员工伤保险按照“省人力资源和社会保障厅省住房和城乡建设厅、省交通运输厅、省水利厅、省安全生产监督管理局、省总工会关于深入推进建筑交通运输水利建设项目参加工伤保险工作的通知（苏人社发【2017】126号）”以及扬州市相关文件要求为其履行合同所雇佣的全部人员参加工伤保险，缴纳工伤保险费。</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.2保险费由成交供应商自行承担。</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.3其他保险：</w:t>
      </w:r>
      <w:r>
        <w:rPr>
          <w:rFonts w:hint="eastAsia" w:ascii="宋体" w:hAnsi="宋体" w:eastAsia="宋体" w:cs="宋体"/>
          <w:b/>
          <w:bCs/>
          <w:color w:val="000000" w:themeColor="text1"/>
          <w:szCs w:val="22"/>
          <w:highlight w:val="none"/>
          <w14:textFill>
            <w14:solidFill>
              <w14:schemeClr w14:val="tx1"/>
            </w14:solidFill>
          </w14:textFill>
        </w:rPr>
        <w:t xml:space="preserve">承包人需根据《水利部印发关于推进水利工程建设安全生产责任保险工作的指导意见》（水监督﹝2023﹞347号）要求，投保安全生产责任险，安责险费用在安全措施费中列支。</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.4第三者责任险：最低保额100万</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2"/>
          <w:highlight w:val="none"/>
          <w14:textFill>
            <w14:solidFill>
              <w14:schemeClr w14:val="tx1"/>
            </w14:solidFill>
          </w14:textFill>
        </w:rPr>
        <w:t xml:space="preserve">、临时占地：涉及到取、弃土区等其他涉及的临时用地由供应商自行考虑，并将费用在投标报价中综合考虑，必要时采购人予以协助，供应商应综合考虑环保、水保措施费用，并包含在投标报价中，采购人不另行支付。</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2"/>
          <w:highlight w:val="none"/>
          <w14:textFill>
            <w14:solidFill>
              <w14:schemeClr w14:val="tx1"/>
            </w14:solidFill>
          </w14:textFill>
        </w:rPr>
        <w:t xml:space="preserve">、成交供应商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49"/>
        <w:ind w:left="0" w:firstLine="420"/>
        <w:spacing w:line="360" w:lineRule="auto"/>
        <w:rPr>
          <w:rFonts w:hint="eastAsia" w:ascii="宋体" w:hAnsi="宋体" w:eastAsia="宋体" w:cs="宋体"/>
          <w:b/>
          <w:bCs/>
          <w:i/>
          <w:iCs/>
          <w:color w:val="000000" w:themeColor="text1"/>
          <w:szCs w:val="22"/>
          <w:highlight w:val="none"/>
          <w:u w:val="single"/>
          <w14:textFill>
            <w14:solidFill>
              <w14:schemeClr w14:val="tx1"/>
            </w14:solidFill>
          </w14:textFill>
        </w:rPr>
      </w:pPr>
      <w:r>
        <w:rPr>
          <w:rFonts w:hint="eastAsia" w:ascii="宋体" w:hAnsi="宋体" w:eastAsia="宋体" w:cs="宋体"/>
          <w:b/>
          <w:bCs/>
          <w:i/>
          <w:iCs/>
          <w:color w:val="000000" w:themeColor="text1"/>
          <w:szCs w:val="22"/>
          <w:highlight w:val="none"/>
          <w:u w:val="single"/>
          <w14:textFill>
            <w14:solidFill>
              <w14:schemeClr w14:val="tx1"/>
            </w14:solidFill>
          </w14:textFill>
        </w:rPr>
        <w:t xml:space="preserve">1</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3</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、供应商承诺不拖欠农民工工资。（供应商需提供承诺</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书原件扫描上传</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，格式自拟）</w:t>
      </w:r>
      <w:r/>
    </w:p>
    <w:p>
      <w:pPr>
        <w:pStyle w:val="849"/>
        <w:ind w:left="0" w:firstLine="420"/>
        <w:spacing w:line="360" w:lineRule="auto"/>
        <w:rPr>
          <w:rFonts w:hint="eastAsia" w:ascii="宋体" w:hAnsi="宋体" w:eastAsia="宋体" w:cs="宋体"/>
          <w:i/>
          <w:iCs/>
          <w:color w:val="000000" w:themeColor="text1"/>
          <w:szCs w:val="22"/>
          <w:highlight w:val="none"/>
          <w:u w:val="single"/>
          <w14:textFill>
            <w14:solidFill>
              <w14:schemeClr w14:val="tx1"/>
            </w14:solidFill>
          </w14:textFill>
        </w:rPr>
      </w:pPr>
      <w:r>
        <w:rPr>
          <w:rFonts w:hint="eastAsia" w:ascii="宋体" w:hAnsi="宋体" w:eastAsia="宋体" w:cs="宋体"/>
          <w:b/>
          <w:bCs/>
          <w:i/>
          <w:iCs/>
          <w:color w:val="000000" w:themeColor="text1"/>
          <w:szCs w:val="22"/>
          <w:highlight w:val="none"/>
          <w:u w:val="single"/>
          <w14:textFill>
            <w14:solidFill>
              <w14:schemeClr w14:val="tx1"/>
            </w14:solidFill>
          </w14:textFill>
        </w:rPr>
        <w:t xml:space="preserve">1</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4</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、供应商承诺不违法违规投标。（供应商需提供承诺</w:t>
      </w:r>
      <w:r>
        <w:rPr>
          <w:rFonts w:hint="eastAsia" w:ascii="宋体" w:hAnsi="宋体" w:eastAsia="宋体" w:cs="宋体"/>
          <w:b/>
          <w:bCs/>
          <w:i/>
          <w:iCs/>
          <w:color w:val="000000" w:themeColor="text1"/>
          <w:szCs w:val="22"/>
          <w:highlight w:val="none"/>
          <w:u w:val="single"/>
          <w:lang w:val="en-US" w:eastAsia="zh-CN"/>
          <w14:textFill>
            <w14:solidFill>
              <w14:schemeClr w14:val="tx1"/>
            </w14:solidFill>
          </w14:textFill>
        </w:rPr>
        <w:t xml:space="preserve">书原件扫描上传</w:t>
      </w:r>
      <w:r>
        <w:rPr>
          <w:rFonts w:hint="eastAsia" w:ascii="宋体" w:hAnsi="宋体" w:eastAsia="宋体" w:cs="宋体"/>
          <w:b/>
          <w:bCs/>
          <w:i/>
          <w:iCs/>
          <w:color w:val="000000" w:themeColor="text1"/>
          <w:szCs w:val="22"/>
          <w:highlight w:val="none"/>
          <w:u w:val="single"/>
          <w14:textFill>
            <w14:solidFill>
              <w14:schemeClr w14:val="tx1"/>
            </w14:solidFill>
          </w14:textFill>
        </w:rPr>
        <w:t xml:space="preserve">，格式自拟）</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2"/>
          <w:highlight w:val="none"/>
          <w14:textFill>
            <w14:solidFill>
              <w14:schemeClr w14:val="tx1"/>
            </w14:solidFill>
          </w14:textFill>
        </w:rPr>
        <w:t xml:space="preserve">、农民工工资的要求按照《保障农民工工资支付条例》（中华人民共和国国务院724令）、《江苏省工程建设领域农民工工资专用账户管理细则》（苏人社规〔2022〕3号）、《江苏省工程建设领域农民工工资保证金管理办法》（苏人社规〔2022〕4号）、《扬州市工程建设领域农民工工资保证金管理细则》扬人社规（2022）2号文等文件执行。</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2"/>
          <w:highlight w:val="none"/>
          <w14:textFill>
            <w14:solidFill>
              <w14:schemeClr w14:val="tx1"/>
            </w14:solidFill>
          </w14:textFill>
        </w:rPr>
        <w:t xml:space="preserve">、成交供应商应按本项目的合同约定，积极履行质量及安全责任。对省、市、区的各级稽查、质量安全监督、采购人组织的质量及安全生产活动中，对下达的检查意见落实不及时、未按要求整改或整改不到位的、或其类似质量及安全问题整改不到位的，予以扣罚2000元/次。以采购人下发的处罚通知或联系单等为依据，在进度款支付时予以扣除。</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1</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2"/>
          <w:highlight w:val="none"/>
          <w14:textFill>
            <w14:solidFill>
              <w14:schemeClr w14:val="tx1"/>
            </w14:solidFill>
          </w14:textFill>
        </w:rPr>
        <w:t xml:space="preserve">、成交供应商项目经理应在采购人签发进场通知后的3日内到职，项目经理不得更换。特殊情况下确需更换的，应提出书面申请并征得采购人同意，且不得降低项目经理资质。项目副经理（若有，下同）、技术负责人除特殊情况外不得更换。项目经理、项目副经理、技术负责人、安全负责人、质检负责人在工程施工期间调换不得超过2人（发包人要求变更的除外）。</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18</w:t>
      </w:r>
      <w:r>
        <w:rPr>
          <w:rFonts w:hint="eastAsia" w:ascii="宋体" w:hAnsi="宋体" w:eastAsia="宋体" w:cs="宋体"/>
          <w:color w:val="000000" w:themeColor="text1"/>
          <w:szCs w:val="22"/>
          <w:highlight w:val="none"/>
          <w14:textFill>
            <w14:solidFill>
              <w14:schemeClr w14:val="tx1"/>
            </w14:solidFill>
          </w14:textFill>
        </w:rPr>
        <w:t xml:space="preserve">、项目经理、项目副经理、技术负责人短期离开工地，应事先提出书面申请并征得同意后方可离开。3天以内（含3天）报采购人核备，同时应委派代表代行其职，3天以上报采购人批准。一般情况，每人每月在工期间不得少于22天。项目经理、技术负责人不得同时离开工地。</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19</w:t>
      </w:r>
      <w:r>
        <w:rPr>
          <w:rFonts w:hint="eastAsia" w:ascii="宋体" w:hAnsi="宋体" w:eastAsia="宋体" w:cs="宋体"/>
          <w:color w:val="000000" w:themeColor="text1"/>
          <w:szCs w:val="22"/>
          <w:highlight w:val="none"/>
          <w14:textFill>
            <w14:solidFill>
              <w14:schemeClr w14:val="tx1"/>
            </w14:solidFill>
          </w14:textFill>
        </w:rPr>
        <w:t xml:space="preserve">、项目经理、项目副经理、技术负责人、质检员、安全员在工由采购人对其考勤，对于月在工天数少于22天的，每少一天，扣除工程款2000元/（人*天）。上述罚款的最高限额为合同价的2%。上述人员的考勤由采购人指定专人负责，考勤结果装订成册后存档。</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2"/>
          <w:highlight w:val="none"/>
          <w14:textFill>
            <w14:solidFill>
              <w14:schemeClr w14:val="tx1"/>
            </w14:solidFill>
          </w14:textFill>
        </w:rPr>
        <w:t xml:space="preserve">、如采购人因成交供应商原因要求撤换项目经理，成交供应商须及时更换相同资质与资历的项目经理，并承担相应损失。</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2"/>
          <w:highlight w:val="none"/>
          <w14:textFill>
            <w14:solidFill>
              <w14:schemeClr w14:val="tx1"/>
            </w14:solidFill>
          </w14:textFill>
        </w:rPr>
        <w:t xml:space="preserve">、采购人可根据工程需要协助承包人办理取得出入施工场地的专用和临时道路的通行权，以及取得为工程建设所需修建场外设施的权利，但相关费用由成交供应商承担。成交供应商材料组织、弃土运送等应服从交通运输、城市管理等部门的规定与要求，由此产生的任何费用均由承包人自行承担。若对外交通所经过或使用的现有道路发生破损、毁坏等引起的补偿或修复费用，由成交供应商自行负责。</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2"/>
          <w:highlight w:val="none"/>
          <w14:textFill>
            <w14:solidFill>
              <w14:schemeClr w14:val="tx1"/>
            </w14:solidFill>
          </w14:textFill>
        </w:rPr>
        <w:t xml:space="preserve">、</w:t>
      </w:r>
      <w:bookmarkStart w:id="426" w:name="OLE_LINK6"/>
      <w:r>
        <w:rPr>
          <w:rFonts w:hint="eastAsia" w:ascii="宋体" w:hAnsi="宋体" w:eastAsia="宋体" w:cs="宋体"/>
          <w:color w:val="000000" w:themeColor="text1"/>
          <w:szCs w:val="22"/>
          <w:highlight w:val="none"/>
          <w14:textFill>
            <w14:solidFill>
              <w14:schemeClr w14:val="tx1"/>
            </w14:solidFill>
          </w14:textFill>
        </w:rPr>
        <w:t xml:space="preserve">采购人</w:t>
      </w:r>
      <w:bookmarkEnd w:id="426"/>
      <w:r>
        <w:rPr>
          <w:rFonts w:hint="eastAsia" w:ascii="宋体" w:hAnsi="宋体" w:eastAsia="宋体" w:cs="宋体"/>
          <w:color w:val="000000" w:themeColor="text1"/>
          <w:szCs w:val="22"/>
          <w:highlight w:val="none"/>
          <w14:textFill>
            <w14:solidFill>
              <w14:schemeClr w14:val="tx1"/>
            </w14:solidFill>
          </w14:textFill>
        </w:rPr>
        <w:t xml:space="preserve">发出进场通知7天内，采购人向承包人提供测量基准点、基准线和水准点及其书面资料。承包人应在收到开工通知后7天内，将施工控制网资料报送采购人审批。成交供应商应在施工区外围（不受施工影响）埋设永久性水准测量标志，做好施工期保护，确保在工程移交时完好，并列入工程竣工移交范围。</w:t>
      </w:r>
      <w:r/>
    </w:p>
    <w:p>
      <w:pPr>
        <w:pStyle w:val="849"/>
        <w:ind w:left="0" w:firstLine="420"/>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w:t>
      </w:r>
      <w:r>
        <w:rPr>
          <w:rFonts w:hint="eastAsia" w:ascii="宋体" w:hAnsi="宋体" w:eastAsia="宋体" w:cs="宋体"/>
          <w:color w:val="000000" w:themeColor="text1"/>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2"/>
          <w:highlight w:val="none"/>
          <w14:textFill>
            <w14:solidFill>
              <w14:schemeClr w14:val="tx1"/>
            </w14:solidFill>
          </w14:textFill>
        </w:rPr>
        <w:t xml:space="preserve">、已标价工程量清单中如无适用或类似子目的单价供参考，可根据水利行业现行预算定额（涉道路等可采用相关行业定额）及相关取费标准、投标当月的《扬州工程造价管理》材料市场指导价格编制补充单价，并按最高限价及承包人中标价的让利幅度进行下浮（投标最高限价与中标价的下浮比例）经造价跟踪单位审核，报发包人批准后执行，最终以审计结果为准。对材料价格不进行价差调整。</w:t>
      </w:r>
      <w:r/>
    </w:p>
    <w:p>
      <w:pPr>
        <w:numPr>
          <w:ilvl w:val="0"/>
          <w:numId w:val="0"/>
        </w:numPr>
        <w:ind w:firstLine="210"/>
        <w:jc w:val="left"/>
        <w:spacing w:before="120" w:after="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bookmarkStart w:id="427" w:name="_Toc11906"/>
      <w:r/>
      <w:bookmarkStart w:id="428" w:name="_Toc7178"/>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6"/>
          <w:szCs w:val="36"/>
          <w:highlight w:val="none"/>
          <w14:textFill>
            <w14:solidFill>
              <w14:schemeClr w14:val="tx1"/>
            </w14:solidFill>
          </w14:textFill>
        </w:rPr>
        <w:t xml:space="preserve">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评审方法和评审标准</w:t>
      </w:r>
      <w:r/>
    </w:p>
    <w:p>
      <w:pPr>
        <w:pStyle w:val="1067"/>
        <w:numPr>
          <w:ilvl w:val="0"/>
          <w:numId w:val="4"/>
        </w:numPr>
        <w:pageBreakBefore w:val="0"/>
        <w:spacing w:line="360" w:lineRule="auto"/>
        <w:rPr>
          <w:rFonts w:ascii="宋体" w:hAnsi="宋体"/>
          <w:b/>
          <w:color w:val="000000" w:themeColor="text1"/>
          <w:sz w:val="21"/>
          <w:szCs w:val="21"/>
          <w:highlight w:val="none"/>
          <w14:textFill>
            <w14:solidFill>
              <w14:schemeClr w14:val="tx1"/>
            </w14:solidFill>
          </w14:textFill>
        </w:rPr>
        <w:outlineLvl w:val="1"/>
      </w:pPr>
      <w:r>
        <w:rPr>
          <w:rFonts w:hint="eastAsia" w:ascii="宋体" w:hAnsi="宋体"/>
          <w:b/>
          <w:color w:val="000000" w:themeColor="text1"/>
          <w:sz w:val="21"/>
          <w:szCs w:val="21"/>
          <w:highlight w:val="none"/>
          <w14:textFill>
            <w14:solidFill>
              <w14:schemeClr w14:val="tx1"/>
            </w14:solidFill>
          </w14:textFill>
        </w:rPr>
        <w:t xml:space="preserve">评标方法</w:t>
      </w:r>
      <w:r/>
    </w:p>
    <w:p>
      <w:pPr>
        <w:ind w:firstLine="42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color w:val="000000" w:themeColor="text1"/>
          <w:highlight w:val="none"/>
          <w14:textFill>
            <w14:solidFill>
              <w14:schemeClr w14:val="tx1"/>
            </w14:solidFill>
          </w14:textFill>
        </w:rPr>
        <w:outlineLvl w:val="1"/>
      </w:pPr>
      <w:r/>
      <w:bookmarkStart w:id="429" w:name="_Toc449017024"/>
      <w:r/>
      <w:bookmarkStart w:id="430" w:name="_Toc449016388"/>
      <w:r>
        <w:rPr>
          <w:b/>
          <w:color w:val="000000" w:themeColor="text1"/>
          <w:highlight w:val="none"/>
          <w14:textFill>
            <w14:solidFill>
              <w14:schemeClr w14:val="tx1"/>
            </w14:solidFill>
          </w14:textFill>
        </w:rPr>
        <w:t xml:space="preserve">二、</w:t>
      </w:r>
      <w:bookmarkEnd w:id="429"/>
      <w:r/>
      <w:bookmarkEnd w:id="430"/>
      <w:r>
        <w:rPr>
          <w:rFonts w:hint="eastAsia"/>
          <w:b/>
          <w:color w:val="000000" w:themeColor="text1"/>
          <w:highlight w:val="none"/>
          <w14:textFill>
            <w14:solidFill>
              <w14:schemeClr w14:val="tx1"/>
            </w14:solidFill>
          </w14:textFill>
        </w:rPr>
        <w:t xml:space="preserve">政府采购政策功能落实</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1、小微型企业价格扣除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（2）供应商需按照采购文件的要求提供相应的《中小企业声明函》。</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2、残疾人福利单位价格扣除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（2）残疾人福利单位需按照采购文件的要求提供《残疾人福利性单位声明函》。</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（3）残疾人福利单位标准请参照《关于促进残疾人就业政府采购政策的通知》（财库</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〔2017〕141号）。</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3、监狱和戒毒企业价格扣除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4、残疾人福利单位、监狱企业属于小型、微型企业的，不重复享受政策。</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w:t>
      </w:r>
      <w:r/>
    </w:p>
    <w:p>
      <w:pPr>
        <w:numPr>
          <w:ilvl w:val="0"/>
          <w:numId w:val="4"/>
        </w:numPr>
        <w:pageBreakBefore w:val="0"/>
        <w:spacing w:line="360" w:lineRule="auto"/>
        <w:rPr>
          <w:b/>
          <w:bCs/>
          <w:color w:val="000000" w:themeColor="text1"/>
          <w:highlight w:val="none"/>
          <w14:textFill>
            <w14:solidFill>
              <w14:schemeClr w14:val="tx1"/>
            </w14:solidFill>
          </w14:textFill>
        </w:rPr>
        <w:outlineLvl w:val="1"/>
      </w:pPr>
      <w:r>
        <w:rPr>
          <w:rFonts w:hint="eastAsia"/>
          <w:b/>
          <w:bCs/>
          <w:color w:val="000000" w:themeColor="text1"/>
          <w:highlight w:val="none"/>
          <w14:textFill>
            <w14:solidFill>
              <w14:schemeClr w14:val="tx1"/>
            </w14:solidFill>
          </w14:textFill>
        </w:rPr>
        <w:t xml:space="preserve">评分标准</w:t>
      </w:r>
      <w:r/>
    </w:p>
    <w:tbl>
      <w:tblPr>
        <w:tblStyle w:val="845"/>
        <w:tblW w:w="85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6957"/>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满足磋商文件要求且最后报价最低的供应商的价格为磋商基准价，其价格分为满分。其他供应商的价格分统一按照下列公式计算：磋商报价得分=（磋商基准价/最后磋商报价）×30（四舍五入，保留两位小数）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技术方案</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50</w:t>
            </w:r>
            <w:r>
              <w:rPr>
                <w:rFonts w:hint="eastAsia" w:ascii="宋体" w:hAnsi="宋体" w:eastAsia="宋体" w:cs="宋体"/>
                <w:color w:val="000000" w:themeColor="text1"/>
                <w:szCs w:val="21"/>
                <w:highlight w:val="none"/>
                <w:lang w:val="zh-CN"/>
                <w14:textFill>
                  <w14:solidFill>
                    <w14:schemeClr w14:val="tx1"/>
                  </w14:solidFill>
                </w14:textFill>
              </w:rPr>
              <w:t xml:space="preserve">分）</w:t>
            </w:r>
            <w:r/>
          </w:p>
        </w:tc>
        <w:tc>
          <w:tcPr>
            <w:tcBorders>
              <w:top w:val="single" w:color="auto" w:sz="4" w:space="0"/>
              <w:left w:val="single" w:color="auto" w:sz="4" w:space="0"/>
              <w:right w:val="single" w:color="auto" w:sz="4" w:space="0"/>
            </w:tcBorders>
            <w:tcW w:w="6957" w:type="dxa"/>
            <w:vAlign w:val="center"/>
            <w:textDirection w:val="lrTb"/>
            <w:noWrap w:val="false"/>
          </w:tcPr>
          <w:p>
            <w:pPr>
              <w:jc w:val="left"/>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1、工程概述、总体安排、及施工部署等（8分）：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概述科学、严密、合理，描述详细，针对性和可操作性强的，得8分；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概述基本合理、描述一般，针对性一般、存在可操作性的，得5分；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概述具有不合理项、描述略欠缺、存在一定的实施难度的，得2分；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2、施工进度计划保证体系及措施（6分）：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计划措施科学、严密、合理，描述详细，针对性和可操作性强的，得6分；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计划措施基本合理、描述一般，针对性一般、存在可操作性的，得4分；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计划措施具有不合理项、描述略欠缺、存在一定的实施难度的，得2分；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3、工程质量管理体系及保证措施（6分）：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4、项目风险预测与防范，事故应急预案（6分）：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方案措施具有不合理项、描述略欠缺、存在一定的实施难度的，得2分；</w:t>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jc w:val="left"/>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5、安全文明施工、施工现场扬尘污染防治措施及环境保护方面的措施（7分）：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措施科学、严密、合理，描述详细，针对性和可操作性强的，得7分；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措施具有不合理项、描述略欠缺、存在一定的实施难度的，得2分；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6、工程分部分项工程的施工方案、关键施工技术、工艺及工程项目实施的重点、难点和解决方案、具体施工技术措施（8分）：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方案措施科学、严密、合理，描述详细，针对性和可操作性强的，得8分；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方案措施基本合理、描述一般，针对性一般、存在可操作性的，得5分；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方案措施具有不合理项、描述略欠缺、存在一定的实施难度的，得2分；</w:t>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7、劳动力、机械设备和材料投入计划，劳动力、机械设备和材料投入计划合理，组织管理体系健全</w:t>
            </w:r>
            <w:r>
              <w:rPr>
                <w:rFonts w:hint="eastAsia" w:ascii="宋体" w:hAnsi="宋体" w:eastAsia="宋体" w:cs="宋体"/>
                <w:b/>
                <w:bCs/>
                <w:color w:val="000000" w:themeColor="text1"/>
                <w:szCs w:val="21"/>
                <w:highlight w:val="none"/>
                <w14:textFill>
                  <w14:solidFill>
                    <w14:schemeClr w14:val="tx1"/>
                  </w14:solidFill>
                </w14:textFill>
              </w:rPr>
              <w:t xml:space="preserve">（6分）：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措施科学、严密、合理，描述详细，针对性和可操作性强的，得6分；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措施基本合理、描述一般，针对性一般、存在可操作性的，得4分；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措施具有不合理项、描述略欠缺、存在一定的实施难度的，得2分；</w:t>
            </w:r>
            <w:r/>
          </w:p>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right w:val="single" w:color="auto" w:sz="4" w:space="0"/>
            </w:tcBorders>
            <w:tcW w:w="6957" w:type="dxa"/>
            <w:vAlign w:val="center"/>
            <w:textDirection w:val="lrTb"/>
            <w:noWrap w:val="false"/>
          </w:tcPr>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8、</w:t>
            </w:r>
            <w:r>
              <w:rPr>
                <w:rFonts w:hint="eastAsia" w:ascii="宋体" w:hAnsi="宋体" w:eastAsia="宋体" w:cs="宋体"/>
                <w:b/>
                <w:color w:val="000000" w:themeColor="text1"/>
                <w:szCs w:val="21"/>
                <w:highlight w:val="none"/>
                <w14:textFill>
                  <w14:solidFill>
                    <w14:schemeClr w14:val="tx1"/>
                  </w14:solidFill>
                </w14:textFill>
              </w:rPr>
              <w:t xml:space="preserve">农民工工资保证，农民工工资发放制度保证措施科学合理</w:t>
            </w:r>
            <w:r>
              <w:rPr>
                <w:rFonts w:hint="eastAsia" w:ascii="宋体" w:hAnsi="宋体" w:eastAsia="宋体" w:cs="宋体"/>
                <w:b/>
                <w:bCs/>
                <w:color w:val="000000" w:themeColor="text1"/>
                <w:szCs w:val="21"/>
                <w:highlight w:val="none"/>
                <w14:textFill>
                  <w14:solidFill>
                    <w14:schemeClr w14:val="tx1"/>
                  </w14:solidFill>
                </w14:textFill>
              </w:rPr>
              <w:t xml:space="preserve">（3分）：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措施科学、严密、合理，描述详细，针对性和可操作性强的，得3分；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措施基本合理、描述一般，针对性一般、存在可操作性的，得2分；</w:t>
            </w:r>
            <w:r/>
          </w:p>
          <w:p>
            <w:pPr>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措施具有不合理项、描述略欠缺、存在一定的实施难度的，得1分；</w:t>
            </w:r>
            <w:r/>
          </w:p>
          <w:p>
            <w:pPr>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不提供得0分</w:t>
            </w:r>
            <w:r/>
          </w:p>
        </w:tc>
      </w:tr>
      <w:tr>
        <w:trPr>
          <w:trHeight w:val="107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类似业绩</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10</w:t>
            </w:r>
            <w:r>
              <w:rPr>
                <w:rFonts w:hint="eastAsia" w:ascii="宋体" w:hAnsi="宋体" w:eastAsia="宋体" w:cs="宋体"/>
                <w:color w:val="000000" w:themeColor="text1"/>
                <w:szCs w:val="21"/>
                <w:highlight w:val="none"/>
                <w:lang w:val="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年0</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月01日以来（以合同签订时间为准）承担过类似工程业绩的，有1项得2分，最高得10分。</w:t>
            </w:r>
            <w:r>
              <w:rPr>
                <w:rFonts w:hint="eastAsia" w:ascii="宋体" w:hAnsi="宋体" w:eastAsia="宋体" w:cs="宋体"/>
                <w:b/>
                <w:bCs/>
                <w:color w:val="000000" w:themeColor="text1"/>
                <w:szCs w:val="21"/>
                <w:highlight w:val="none"/>
                <w14:textFill>
                  <w14:solidFill>
                    <w14:schemeClr w14:val="tx1"/>
                  </w14:solidFill>
                </w14:textFill>
              </w:rPr>
              <w:t xml:space="preserve">（须同时提供中标通知书、合同协议书、竣工验收报告等资料，原件扫描上传，</w:t>
            </w:r>
            <w:r>
              <w:rPr>
                <w:rFonts w:hint="eastAsia" w:ascii="宋体" w:hAnsi="宋体" w:eastAsia="宋体" w:cs="宋体"/>
                <w:b/>
                <w:color w:val="000000" w:themeColor="text1"/>
                <w:szCs w:val="21"/>
                <w:highlight w:val="none"/>
                <w14:textFill>
                  <w14:solidFill>
                    <w14:schemeClr w14:val="tx1"/>
                  </w14:solidFill>
                </w14:textFill>
              </w:rPr>
              <w:t xml:space="preserve">未提供不得分</w:t>
            </w:r>
            <w:r>
              <w:rPr>
                <w:rFonts w:hint="eastAsia" w:ascii="宋体" w:hAnsi="宋体" w:eastAsia="宋体" w:cs="宋体"/>
                <w:b/>
                <w:bCs/>
                <w:color w:val="000000" w:themeColor="text1"/>
                <w:szCs w:val="21"/>
                <w:highlight w:val="none"/>
                <w14:textFill>
                  <w14:solidFill>
                    <w14:schemeClr w14:val="tx1"/>
                  </w14:solidFill>
                </w14:textFill>
              </w:rPr>
              <w:t xml:space="preserve">）</w:t>
            </w:r>
            <w:r/>
          </w:p>
        </w:tc>
      </w:tr>
      <w:tr>
        <w:trPr>
          <w:trHeight w:val="30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企业认证证书（</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Cs w:val="21"/>
                <w:highlight w:val="none"/>
                <w:lang w:val="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投标人具有有效的质量管理体系认证证书、职业健康管理体系认证证书、环境管理体系认证证书,</w:t>
            </w:r>
            <w:r>
              <w:rPr>
                <w:rFonts w:hint="eastAsia" w:ascii="宋体" w:hAnsi="宋体" w:eastAsia="宋体" w:cs="宋体"/>
                <w:color w:val="000000" w:themeColor="text1"/>
                <w:szCs w:val="21"/>
                <w:highlight w:val="none"/>
                <w:lang w:val="zh-CN"/>
                <w14:textFill>
                  <w14:solidFill>
                    <w14:schemeClr w14:val="tx1"/>
                  </w14:solidFill>
                </w14:textFill>
              </w:rPr>
              <w:t xml:space="preserve">每有一种得1分，最多得3分</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w:t>
            </w:r>
            <w:r>
              <w:rPr>
                <w:rFonts w:hint="eastAsia" w:ascii="宋体" w:hAnsi="宋体" w:eastAsia="宋体" w:cs="宋体"/>
                <w:b/>
                <w:color w:val="000000" w:themeColor="text1"/>
                <w:szCs w:val="21"/>
                <w:highlight w:val="none"/>
                <w14:textFill>
                  <w14:solidFill>
                    <w14:schemeClr w14:val="tx1"/>
                  </w14:solidFill>
                </w14:textFill>
              </w:rPr>
              <w:t xml:space="preserve">，同时提</w:t>
            </w:r>
            <w:r>
              <w:rPr>
                <w:rFonts w:hint="eastAsia" w:ascii="宋体" w:hAnsi="宋体" w:eastAsia="宋体" w:cs="宋体"/>
                <w:b/>
                <w:bCs/>
                <w:color w:val="000000" w:themeColor="text1"/>
                <w:szCs w:val="21"/>
                <w:highlight w:val="none"/>
                <w14:textFill>
                  <w14:solidFill>
                    <w14:schemeClr w14:val="tx1"/>
                  </w14:solidFill>
                </w14:textFill>
              </w:rPr>
              <w:t xml:space="preserve">供国家市场监督管理总局——全国认证认可信息公告服务平台查询截图，</w:t>
            </w:r>
            <w:r>
              <w:rPr>
                <w:rFonts w:hint="eastAsia" w:ascii="宋体" w:hAnsi="宋体" w:eastAsia="宋体" w:cs="宋体"/>
                <w:b/>
                <w:color w:val="000000" w:themeColor="text1"/>
                <w:szCs w:val="21"/>
                <w:highlight w:val="none"/>
                <w14:textFill>
                  <w14:solidFill>
                    <w14:schemeClr w14:val="tx1"/>
                  </w14:solidFill>
                </w14:textFill>
              </w:rPr>
              <w:t xml:space="preserve">未提供不得分</w:t>
            </w:r>
            <w:r>
              <w:rPr>
                <w:rFonts w:hint="eastAsia" w:ascii="宋体" w:hAnsi="宋体" w:eastAsia="宋体" w:cs="宋体"/>
                <w:b/>
                <w:bCs/>
                <w:color w:val="000000" w:themeColor="text1"/>
                <w:szCs w:val="21"/>
                <w:highlight w:val="none"/>
                <w14:textFill>
                  <w14:solidFill>
                    <w14:schemeClr w14:val="tx1"/>
                  </w14:solidFill>
                </w14:textFill>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人员配备</w:t>
            </w:r>
            <w:r/>
          </w:p>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695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项目经理为水利专业中级及以上职称的，得2分。此项最高得2分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（提供证书原件扫描件，否则不得分）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2、技术负责</w:t>
            </w:r>
            <w:r>
              <w:rPr>
                <w:rFonts w:hint="eastAsia" w:ascii="宋体" w:hAnsi="宋体" w:cs="宋体"/>
                <w:color w:val="000000" w:themeColor="text1"/>
                <w:szCs w:val="21"/>
                <w:highlight w:val="none"/>
                <w:lang w:val="en-US" w:eastAsia="zh-CN"/>
                <w14:textFill>
                  <w14:solidFill>
                    <w14:schemeClr w14:val="tx1"/>
                  </w14:solidFill>
                </w14:textFill>
              </w:rPr>
              <w:t xml:space="preserve">人</w:t>
            </w:r>
            <w:r>
              <w:rPr>
                <w:rFonts w:hint="eastAsia" w:ascii="宋体" w:hAnsi="宋体" w:cs="宋体"/>
                <w:color w:val="000000" w:themeColor="text1"/>
                <w:szCs w:val="21"/>
                <w:highlight w:val="none"/>
                <w14:textFill>
                  <w14:solidFill>
                    <w14:schemeClr w14:val="tx1"/>
                  </w14:solidFill>
                </w14:textFill>
              </w:rPr>
              <w:t xml:space="preserve">为水利专业中级及以上职称的，得2分。此项最高得2分</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（提供证书原件扫描件，否则不得分）</w:t>
            </w:r>
            <w:r/>
          </w:p>
          <w:p>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3、项目组主要人员（项目</w:t>
            </w:r>
            <w:r>
              <w:rPr>
                <w:rFonts w:hint="eastAsia" w:ascii="宋体" w:hAnsi="宋体" w:cs="宋体"/>
                <w:color w:val="000000" w:themeColor="text1"/>
                <w:szCs w:val="21"/>
                <w:highlight w:val="none"/>
                <w14:textFill>
                  <w14:solidFill>
                    <w14:schemeClr w14:val="tx1"/>
                  </w14:solidFill>
                </w14:textFill>
              </w:rPr>
              <w:t xml:space="preserve">经理</w:t>
            </w:r>
            <w:r>
              <w:rPr>
                <w:rFonts w:hint="eastAsia" w:ascii="宋体" w:hAnsi="宋体" w:eastAsia="宋体" w:cs="宋体"/>
                <w:color w:val="000000" w:themeColor="text1"/>
                <w:szCs w:val="21"/>
                <w:highlight w:val="none"/>
                <w14:textFill>
                  <w14:solidFill>
                    <w14:schemeClr w14:val="tx1"/>
                  </w14:solidFill>
                </w14:textFill>
              </w:rPr>
              <w:t xml:space="preserve">、技术负责人除外）具备水利专业</w:t>
            </w:r>
            <w:r>
              <w:rPr>
                <w:rFonts w:hint="eastAsia" w:ascii="宋体" w:hAnsi="宋体" w:cs="宋体"/>
                <w:color w:val="000000" w:themeColor="text1"/>
                <w:szCs w:val="21"/>
                <w:highlight w:val="none"/>
                <w14:textFill>
                  <w14:solidFill>
                    <w14:schemeClr w14:val="tx1"/>
                  </w14:solidFill>
                </w14:textFill>
              </w:rPr>
              <w:t xml:space="preserve">中级及以上职称的</w:t>
            </w:r>
            <w:r>
              <w:rPr>
                <w:rFonts w:hint="eastAsia" w:ascii="宋体" w:hAnsi="宋体" w:eastAsia="宋体" w:cs="宋体"/>
                <w:color w:val="000000" w:themeColor="text1"/>
                <w:szCs w:val="21"/>
                <w:highlight w:val="none"/>
                <w14:textFill>
                  <w14:solidFill>
                    <w14:schemeClr w14:val="tx1"/>
                  </w14:solidFill>
                </w14:textFill>
              </w:rPr>
              <w:t xml:space="preserve">，每有1人得1分，最多得3分。</w:t>
            </w:r>
            <w:r>
              <w:rPr>
                <w:rFonts w:hint="eastAsia" w:ascii="宋体" w:hAnsi="宋体" w:eastAsia="宋体" w:cs="宋体"/>
                <w:b/>
                <w:bCs/>
                <w:color w:val="000000" w:themeColor="text1"/>
                <w:szCs w:val="21"/>
                <w:highlight w:val="none"/>
                <w14:textFill>
                  <w14:solidFill>
                    <w14:schemeClr w14:val="tx1"/>
                  </w14:solidFill>
                </w14:textFill>
              </w:rPr>
              <w:t xml:space="preserve">（提供证书原件扫描件，否则不得分）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注：供应商需提供为以上人员缴纳近一个月的社保证明材料，原件扫描上传，否则不得分。（退休返聘人员需提供退休证、返聘合同等证明材料）</w:t>
            </w:r>
            <w:r/>
          </w:p>
        </w:tc>
      </w:tr>
    </w:tbl>
    <w:p>
      <w:pPr>
        <w:pStyle w:val="1050"/>
        <w:pageBreakBefore w:val="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7"/>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gridAfter w:val="1"/>
          <w:trHeight w:val="30"/>
        </w:trPr>
        <w:tc>
          <w:tcPr>
            <w:tcW w:w="3841"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tbl>
      <w:tblPr>
        <w:tblStyle w:val="867"/>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r>
        <w:trPr>
          <w:trHeight w:val="30"/>
        </w:trPr>
        <w:tc>
          <w:tcPr>
            <w:tcW w:w="2873" w:type="dxa"/>
            <w:textDirection w:val="lrTb"/>
            <w:noWrap w:val="false"/>
          </w:tcPr>
          <w:p>
            <w:pPr>
              <w:pageBreakBefore w:val="0"/>
              <w:spacing w:after="0" w:line="360" w:lineRule="auto"/>
              <w:rPr>
                <w:color w:val="000000" w:themeColor="text1"/>
                <w:highlight w:val="none"/>
                <w:vertAlign w:val="baseline"/>
                <w14:textFill>
                  <w14:solidFill>
                    <w14:schemeClr w14:val="tx1"/>
                  </w14:solidFill>
                </w14:textFill>
              </w:rPr>
            </w:pPr>
            <w:r>
              <w:rPr>
                <w:color w:val="000000" w:themeColor="text1"/>
                <w:highlight w:val="none"/>
                <w:vertAlign w:val="baseline"/>
                <w14:textFill>
                  <w14:solidFill>
                    <w14:schemeClr w14:val="tx1"/>
                  </w14:solidFill>
                </w14:textFill>
              </w:rPr>
            </w:r>
            <w:r/>
          </w:p>
        </w:tc>
      </w:tr>
    </w:tbl>
    <w:p>
      <w:pPr>
        <w:pStyle w:val="1067"/>
        <w:ind w:firstLine="0"/>
        <w:pageBreakBefore w:val="0"/>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注：1、评委应对以上各得分项独立评分，供应商最终得分为所有评委评分汇总的平均值。</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第六章 竞争性磋商响应文件格式</w:t>
      </w:r>
      <w:bookmarkEnd w:id="2"/>
      <w:r/>
      <w:bookmarkEnd w:id="427"/>
      <w:r/>
      <w:bookmarkEnd w:id="428"/>
      <w:r/>
      <w:r/>
    </w:p>
    <w:p>
      <w:pPr>
        <w:jc w:val="center"/>
        <w:spacing w:line="360" w:lineRule="auto"/>
        <w:rPr>
          <w:rFonts w:hint="eastAsia"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14:textFill>
            <w14:solidFill>
              <w14:schemeClr w14:val="tx1"/>
            </w14:solidFill>
          </w14:textFill>
        </w:rPr>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竞争性磋商响应文件</w:t>
      </w:r>
      <w:r/>
    </w:p>
    <w:p>
      <w:pPr>
        <w:jc w:val="center"/>
        <w:spacing w:line="360" w:lineRule="auto"/>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磋商供应商名称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  应  商：</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（电子签章）</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商务条款响应及偏离表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七、其他（供应商认为有必要提供的声明和文件，如有自拟并自行添加）</w:t>
      </w:r>
      <w:r/>
    </w:p>
    <w:p>
      <w:pPr>
        <w:pStyle w:val="1020"/>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一、资格审查响应对照表</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eastAsia="宋体" w:cs="宋体"/>
                <w:b/>
                <w:bCs/>
                <w:color w:val="000000" w:themeColor="text1"/>
                <w:szCs w:val="21"/>
                <w:highlight w:val="none"/>
                <w14:textFill>
                  <w14:solidFill>
                    <w14:schemeClr w14:val="tx1"/>
                  </w14:solidFill>
                </w14:textFill>
              </w:rPr>
              <w:t xml:space="preserve">(税务、银行或社会保险基金管理部门出具的近三个月内任意一个月缴纳职工社会保障资金的缴款凭证或缴款证明)（可提供“基本资格条件承诺函”）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供应商近三个月内任意一份依法纳税的缴款凭证（可提供“基本资格条件承诺函”）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上一年度的财务状况情况</w:t>
            </w:r>
            <w:r>
              <w:rPr>
                <w:rFonts w:hint="eastAsia" w:ascii="宋体" w:hAnsi="宋体" w:eastAsia="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14"/>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W w:w="5447" w:type="dxa"/>
            <w:vAlign w:val="center"/>
            <w:textDirection w:val="lrTb"/>
            <w:noWrap w:val="false"/>
          </w:tcPr>
          <w:p>
            <w:pPr>
              <w:jc w:val="left"/>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磋商响应函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W w:w="5447" w:type="dxa"/>
            <w:vAlign w:val="center"/>
            <w:textDirection w:val="lrTb"/>
            <w:noWrap w:val="false"/>
          </w:tcPr>
          <w:p>
            <w:pPr>
              <w:jc w:val="left"/>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5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我公司自愿参加                   （项目名称）政府采购活动，并郑重承诺：</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hint="eastAsia" w:ascii="宋体" w:hAnsi="宋体" w:eastAsia="宋体" w:cs="宋体"/>
          <w:color w:val="000000" w:themeColor="text1"/>
          <w:szCs w:val="21"/>
          <w:highlight w:val="none"/>
          <w:lang w:val="zh-CN"/>
          <w14:textFill>
            <w14:solidFill>
              <w14:schemeClr w14:val="tx1"/>
            </w14:solidFill>
          </w14:textFill>
        </w:rPr>
        <w:t xml:space="preserve">有依法缴纳税收和社会保障金的良好记录</w:t>
      </w:r>
      <w:r>
        <w:rPr>
          <w:rFonts w:hint="eastAsia" w:ascii="宋体" w:hAnsi="宋体" w:eastAsia="宋体" w:cs="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特此承诺。</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年   月   日</w:t>
      </w:r>
      <w:r>
        <w:rPr>
          <w:rFonts w:hint="eastAsia" w:ascii="宋体" w:hAnsi="宋体" w:eastAsia="宋体" w:cs="宋体"/>
          <w:b/>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Cs w:val="21"/>
          <w:highlight w:val="none"/>
          <w14:textFill>
            <w14:solidFill>
              <w14:schemeClr w14:val="tx1"/>
            </w14:solidFill>
          </w14:textFill>
        </w:rPr>
        <w:t xml:space="preserve">供应商信用承诺书</w:t>
      </w:r>
      <w:r/>
    </w:p>
    <w:p>
      <w:pPr>
        <w:spacing w:line="360" w:lineRule="auto"/>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承诺主体名称：</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承诺单位（签章）：           </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法定代表人（负责人）：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年    月    日</w:t>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磋商响应函</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致：（代理公司）</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根据贵方的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据此函，__________（签字人）兹宣布同意如下：</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1.按磋商文件规定的各项要求，向买方提供所需服务。</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6.遵守磋商文件中要求的收费项目和标准。</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7.与本磋商采购有关的正式通讯地址为：</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                         邮 编：</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                         传 真：</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供应商开户行：                  账 户：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法定代表人姓名（签章）：         联系电话：</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期：________年____月____日</w:t>
      </w:r>
      <w:r/>
    </w:p>
    <w:p>
      <w:pPr>
        <w:pStyle w:val="1070"/>
        <w:ind w:firstLine="422"/>
        <w:jc w:val="center"/>
        <w:spacing w:after="312"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法人授权书</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本授权书于______年____月____日起生效，特此声明。</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被授权人姓名：_____________________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__     </w:t>
      </w:r>
      <w:r/>
    </w:p>
    <w:p>
      <w:pPr>
        <w:pStyle w:val="1070"/>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70"/>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单位名称：____________________________________</w:t>
      </w:r>
      <w:r/>
    </w:p>
    <w:p>
      <w:pPr>
        <w:pStyle w:val="1070"/>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000000" w:themeColor="text1"/>
          <w:highlight w:val="none"/>
          <w14:textFill>
            <w14:solidFill>
              <w14:schemeClr w14:val="tx1"/>
            </w14:solidFill>
          </w14:textFill>
        </w:rPr>
        <w:t xml:space="preserve">被授权人身份证复印件</w:t>
      </w:r>
      <w:r/>
    </w:p>
    <w:p>
      <w:pPr>
        <w:numPr>
          <w:ilvl w:val="0"/>
          <w:numId w:val="5"/>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符合性审查响应对照表</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contextualSpacing/>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5"/>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312" w:after="312"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中小企业声明函（工程、服务）</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highlight w:val="none"/>
          <w:u w:val="single"/>
          <w14:textFill>
            <w14:solidFill>
              <w14:schemeClr w14:val="tx1"/>
            </w14:solidFill>
          </w14:textFill>
        </w:rPr>
        <w:t xml:space="preserve">（单位名称）</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（项目名称）</w:t>
      </w:r>
      <w:r>
        <w:rPr>
          <w:rFonts w:hint="eastAsia" w:ascii="宋体" w:hAnsi="宋体" w:eastAsia="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u w:val="single"/>
          <w14:textFill>
            <w14:solidFill>
              <w14:schemeClr w14:val="tx1"/>
            </w14:solidFill>
          </w14:textFill>
        </w:rPr>
        <w:t xml:space="preserve">（标的名称） </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lang w:eastAsia="en-US"/>
          <w14:textFill>
            <w14:solidFill>
              <w14:schemeClr w14:val="tx1"/>
            </w14:solidFill>
          </w14:textFill>
        </w:rPr>
        <w:fldChar w:fldCharType="begin"/>
      </w:r>
      <w:r>
        <w:rPr>
          <w:rFonts w:hint="eastAsia" w:ascii="宋体" w:hAnsi="宋体" w:eastAsia="宋体" w:cs="宋体"/>
          <w:color w:val="000000" w:themeColor="text1"/>
          <w:spacing w:val="-1"/>
          <w:highlight w:val="none"/>
          <w:vertAlign w:val="superscript"/>
          <w14:textFill>
            <w14:solidFill>
              <w14:schemeClr w14:val="tx1"/>
            </w14:solidFill>
          </w14:textFill>
        </w:rPr>
        <w:instrText xml:space="preserve"> HYPERLINK \l "br1" </w:instrText>
      </w:r>
      <w:r>
        <w:rPr>
          <w:rFonts w:hint="eastAsia" w:ascii="宋体" w:hAnsi="宋体" w:eastAsia="宋体" w:cs="宋体"/>
          <w:color w:val="000000" w:themeColor="text1"/>
          <w:highlight w:val="none"/>
          <w:lang w:eastAsia="en-US"/>
          <w14:textFill>
            <w14:solidFill>
              <w14:schemeClr w14:val="tx1"/>
            </w14:solidFill>
          </w14:textFill>
        </w:rPr>
        <w:fldChar w:fldCharType="separate"/>
      </w:r>
      <w:r>
        <w:rPr>
          <w:rFonts w:hint="eastAsia" w:ascii="宋体" w:hAnsi="宋体" w:eastAsia="宋体" w:cs="宋体"/>
          <w:color w:val="000000" w:themeColor="text1"/>
          <w:spacing w:val="-1"/>
          <w:highlight w:val="none"/>
          <w:vertAlign w:val="superscript"/>
          <w14:textFill>
            <w14:solidFill>
              <w14:schemeClr w14:val="tx1"/>
            </w14:solidFill>
          </w14:textFill>
        </w:rPr>
        <w:t xml:space="preserve">1</w:t>
      </w:r>
      <w:r>
        <w:rPr>
          <w:rFonts w:hint="eastAsia" w:ascii="宋体" w:hAnsi="宋体" w:eastAsia="宋体" w:cs="宋体"/>
          <w:color w:val="000000" w:themeColor="text1"/>
          <w:highlight w:val="none"/>
          <w:lang w:eastAsia="en-US"/>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 ，属于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color w:val="000000" w:themeColor="text1"/>
          <w:highlight w:val="none"/>
          <w14:textFill>
            <w14:solidFill>
              <w14:schemeClr w14:val="tx1"/>
            </w14:solidFill>
          </w14:textFill>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企业名称（盖章）：</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1"/>
        <w:jc w:val="center"/>
        <w:spacing w:before="300" w:after="30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431" w:name="_Toc109304977"/>
      <w:r/>
      <w:bookmarkStart w:id="432" w:name="_Toc5595"/>
      <w:r>
        <w:rPr>
          <w:rFonts w:hint="eastAsia" w:ascii="宋体" w:hAnsi="宋体" w:eastAsia="宋体" w:cs="宋体"/>
          <w:bCs w:val="0"/>
          <w:color w:val="000000" w:themeColor="text1"/>
          <w:sz w:val="21"/>
          <w:szCs w:val="21"/>
          <w:highlight w:val="none"/>
          <w14:textFill>
            <w14:solidFill>
              <w14:schemeClr w14:val="tx1"/>
            </w14:solidFill>
          </w14:textFill>
        </w:rPr>
        <w:t xml:space="preserve">中小微企业划型标准</w:t>
      </w:r>
      <w:bookmarkEnd w:id="431"/>
      <w:r>
        <w:rPr>
          <w:rFonts w:hint="eastAsia" w:ascii="宋体" w:hAnsi="宋体" w:eastAsia="宋体" w:cs="宋体"/>
          <w:bCs w:val="0"/>
          <w:color w:val="000000" w:themeColor="text1"/>
          <w:sz w:val="21"/>
          <w:szCs w:val="21"/>
          <w:highlight w:val="none"/>
          <w14:textFill>
            <w14:solidFill>
              <w14:schemeClr w14:val="tx1"/>
            </w14:solidFill>
          </w14:textFill>
        </w:rPr>
        <w:t xml:space="preserve"> </w:t>
      </w:r>
      <w:bookmarkEnd w:id="432"/>
      <w:r/>
      <w:r/>
    </w:p>
    <w:p>
      <w:pPr>
        <w:pStyle w:val="1048"/>
        <w:ind w:firstLine="420"/>
        <w:spacing w:before="300" w:after="452"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Style w:val="1049"/>
          <w:rFonts w:hint="eastAsia" w:ascii="宋体" w:hAnsi="宋体" w:eastAsia="宋体" w:cs="宋体"/>
          <w:color w:val="000000" w:themeColor="text1"/>
          <w:sz w:val="21"/>
          <w:szCs w:val="21"/>
          <w:highlight w:val="none"/>
          <w14:textFill>
            <w14:solidFill>
              <w14:schemeClr w14:val="tx1"/>
            </w14:solidFill>
          </w14:textFill>
        </w:rPr>
        <w:t xml:space="preserve">中小微企业划型标准如下：</w:t>
      </w:r>
      <w:r/>
    </w:p>
    <w:tbl>
      <w:tblPr>
        <w:tblStyle w:val="10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1"/>
        <w:gridCol w:w="1646"/>
        <w:gridCol w:w="743"/>
        <w:gridCol w:w="1718"/>
        <w:gridCol w:w="1617"/>
        <w:gridCol w:w="1421"/>
      </w:tblGrid>
      <w:tr>
        <w:trPr>
          <w:jc w:val="center"/>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left="0" w:right="0" w:firstLine="422"/>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left="0" w:right="0" w:firstLine="422"/>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微型</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bottom"/>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Z＜300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firstLine="211"/>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X＜5</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Y＜200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firstLine="211"/>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Y＜2000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bl>
    <w:p>
      <w:pPr>
        <w:pStyle w:val="1048"/>
        <w:ind w:firstLine="420"/>
        <w:spacing w:before="300" w:after="452" w:line="360" w:lineRule="auto"/>
        <w:widowControl/>
        <w:rPr>
          <w:rStyle w:val="1049"/>
          <w:rFonts w:hint="eastAsia" w:ascii="宋体" w:hAnsi="宋体" w:eastAsia="宋体" w:cs="宋体"/>
          <w:color w:val="000000" w:themeColor="text1"/>
          <w:sz w:val="21"/>
          <w:szCs w:val="21"/>
          <w:highlight w:val="none"/>
          <w14:textFill>
            <w14:solidFill>
              <w14:schemeClr w14:val="tx1"/>
            </w14:solidFill>
          </w14:textFill>
        </w:rPr>
      </w:pPr>
      <w:r>
        <w:rPr>
          <w:rStyle w:val="1049"/>
          <w:rFonts w:hint="eastAsia" w:ascii="宋体" w:hAnsi="宋体"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Style w:val="1049"/>
          <w:rFonts w:hint="eastAsia" w:ascii="宋体" w:hAnsi="宋体" w:eastAsia="宋体" w:cs="宋体"/>
          <w:color w:val="000000" w:themeColor="text1"/>
          <w:szCs w:val="2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圆整（￥：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日  期：</w:t>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bookmarkStart w:id="433" w:name="_Toc109304978"/>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103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本次为首次报价                                                      </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大写：</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分项报价表</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ageBreakBefore w:val="0"/>
        <w:spacing w:line="360" w:lineRule="auto"/>
        <w:rPr>
          <w:rFonts w:ascii="宋体" w:hAnsi="宋体" w:cs="Arial"/>
          <w:b/>
          <w:bCs/>
          <w:i/>
          <w:iCs/>
          <w:color w:val="000000" w:themeColor="text1"/>
          <w:szCs w:val="24"/>
          <w:highlight w:val="none"/>
          <w:u w:val="single"/>
          <w14:textFill>
            <w14:solidFill>
              <w14:schemeClr w14:val="tx1"/>
            </w14:solidFill>
          </w14:textFill>
        </w:rPr>
      </w:pPr>
      <w:r>
        <w:rPr>
          <w:rFonts w:hint="eastAsia" w:ascii="宋体" w:hAnsi="宋体" w:cs="Arial"/>
          <w:b/>
          <w:bCs/>
          <w:i/>
          <w:iCs/>
          <w:color w:val="000000" w:themeColor="text1"/>
          <w:szCs w:val="24"/>
          <w:highlight w:val="none"/>
          <w:u w:val="single"/>
          <w14:textFill>
            <w14:solidFill>
              <w14:schemeClr w14:val="tx1"/>
            </w14:solidFill>
          </w14:textFill>
        </w:rPr>
        <w:t xml:space="preserve">注：</w:t>
      </w:r>
      <w:r/>
    </w:p>
    <w:p>
      <w:pPr>
        <w:pageBreakBefore w:val="0"/>
        <w:spacing w:line="360" w:lineRule="auto"/>
        <w:rPr>
          <w:rFonts w:hint="eastAsia" w:ascii="宋体" w:hAnsi="宋体" w:eastAsia="宋体" w:cs="Arial"/>
          <w:b/>
          <w:bCs/>
          <w:i/>
          <w:iCs/>
          <w:color w:val="000000" w:themeColor="text1"/>
          <w:szCs w:val="24"/>
          <w:highlight w:val="none"/>
          <w:u w:val="single"/>
          <w14:textFill>
            <w14:solidFill>
              <w14:schemeClr w14:val="tx1"/>
            </w14:solidFill>
          </w14:textFill>
        </w:rPr>
      </w:pPr>
      <w:r>
        <w:rPr>
          <w:rFonts w:hint="eastAsia" w:ascii="宋体" w:hAnsi="宋体" w:eastAsia="宋体" w:cs="Arial"/>
          <w:b/>
          <w:bCs/>
          <w:i/>
          <w:iCs/>
          <w:color w:val="000000" w:themeColor="text1"/>
          <w:szCs w:val="24"/>
          <w:highlight w:val="none"/>
          <w:u w:val="single"/>
          <w14:textFill>
            <w14:solidFill>
              <w14:schemeClr w14:val="tx1"/>
            </w14:solidFill>
          </w14:textFill>
        </w:rPr>
        <w:t xml:space="preserve">1、本项目另附工程量清单，投标人需按按招标文件和《水利工程工程量清单计价规范》（GB50501-2007）、江苏省水利厅苏水基[2011]21号《江苏省水利工程招标投标文件工程量清单格式》和相关技术标准和要求的规定规定报价。</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Arial"/>
          <w:b/>
          <w:bCs/>
          <w:i/>
          <w:iCs/>
          <w:color w:val="000000" w:themeColor="text1"/>
          <w:szCs w:val="24"/>
          <w:highlight w:val="none"/>
          <w:u w:val="single"/>
          <w:lang w:val="en-US" w:eastAsia="zh-CN"/>
          <w14:textFill>
            <w14:solidFill>
              <w14:schemeClr w14:val="tx1"/>
            </w14:solidFill>
          </w14:textFill>
        </w:rPr>
        <w:t xml:space="preserve">2</w:t>
      </w:r>
      <w:r>
        <w:rPr>
          <w:rFonts w:hint="eastAsia" w:ascii="宋体" w:hAnsi="宋体" w:eastAsia="宋体" w:cs="Arial"/>
          <w:b/>
          <w:bCs/>
          <w:i/>
          <w:iCs/>
          <w:color w:val="000000" w:themeColor="text1"/>
          <w:szCs w:val="24"/>
          <w:highlight w:val="none"/>
          <w:u w:val="single"/>
          <w14:textFill>
            <w14:solidFill>
              <w14:schemeClr w14:val="tx1"/>
            </w14:solidFill>
          </w14:textFill>
        </w:rPr>
        <w:t xml:space="preserve">、总价应等于“磋商报价一览表”中的投标总价。</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1023"/>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rPr>
          <w:rFonts w:hint="eastAsia" w:ascii="宋体" w:hAnsi="宋体" w:eastAsia="宋体" w:cs="宋体"/>
          <w:bCs w:val="0"/>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bookmarkStart w:id="434" w:name="_Toc19223"/>
      <w:r>
        <w:rPr>
          <w:rFonts w:hint="eastAsia" w:ascii="宋体" w:hAnsi="宋体" w:eastAsia="宋体" w:cs="宋体"/>
          <w:bCs w:val="0"/>
          <w:color w:val="000000" w:themeColor="text1"/>
          <w:highlight w:val="none"/>
          <w14:textFill>
            <w14:solidFill>
              <w14:schemeClr w14:val="tx1"/>
            </w14:solidFill>
          </w14:textFill>
        </w:rPr>
        <w:t xml:space="preserve">五、技术参数响应及偏离表</w:t>
      </w:r>
      <w:bookmarkEnd w:id="433"/>
      <w:r/>
      <w:bookmarkEnd w:id="434"/>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采购要求</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磋商响应</w:t>
            </w:r>
            <w:r/>
          </w:p>
        </w:tc>
        <w:tc>
          <w:tcPr>
            <w:tcW w:w="1308"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2、行数不够，可自行添加。</w:t>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bookmarkStart w:id="435" w:name="_Hlt26955054"/>
      <w:r/>
      <w:bookmarkEnd w:id="435"/>
      <w:r/>
      <w:bookmarkStart w:id="436" w:name="_Toc109304979"/>
      <w:r>
        <w:rPr>
          <w:rFonts w:hint="eastAsia" w:ascii="宋体" w:hAnsi="宋体" w:eastAsia="宋体" w:cs="宋体"/>
          <w:bCs w:val="0"/>
          <w:color w:val="000000" w:themeColor="text1"/>
          <w:highlight w:val="none"/>
          <w14:textFill>
            <w14:solidFill>
              <w14:schemeClr w14:val="tx1"/>
            </w14:solidFill>
          </w14:textFill>
        </w:rPr>
        <w:br w:type="page" w:clear="all"/>
      </w:r>
      <w:bookmarkStart w:id="437" w:name="_Toc11354"/>
      <w:r>
        <w:rPr>
          <w:rFonts w:hint="eastAsia" w:ascii="宋体" w:hAnsi="宋体" w:eastAsia="宋体" w:cs="宋体"/>
          <w:bCs w:val="0"/>
          <w:color w:val="000000" w:themeColor="text1"/>
          <w:highlight w:val="none"/>
          <w14:textFill>
            <w14:solidFill>
              <w14:schemeClr w14:val="tx1"/>
            </w14:solidFill>
          </w14:textFill>
        </w:rPr>
        <w:t xml:space="preserve">六、商务条款响应及偏离表</w:t>
      </w:r>
      <w:bookmarkEnd w:id="436"/>
      <w:r/>
      <w:bookmarkEnd w:id="437"/>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供应商的承诺或说明</w:t>
            </w:r>
            <w:r/>
          </w:p>
        </w:tc>
      </w:tr>
      <w:tr>
        <w:trPr>
          <w:trHeight w:val="59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交付时间</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07"/>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交货地点</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8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eastAsia="宋体" w:cs="宋体"/>
          <w:b/>
          <w:color w:val="000000" w:themeColor="text1"/>
          <w:highlight w:val="none"/>
          <w14:textFill>
            <w14:solidFill>
              <w14:schemeClr w14:val="tx1"/>
            </w14:solidFill>
          </w14:textFill>
        </w:rPr>
      </w:pPr>
      <w:r/>
      <w:bookmarkStart w:id="438" w:name="_Hlt26671372"/>
      <w:r/>
      <w:bookmarkEnd w:id="438"/>
      <w:r/>
      <w:bookmarkStart w:id="439" w:name="_Hlt26955056"/>
      <w:r/>
      <w:bookmarkEnd w:id="439"/>
      <w:r/>
      <w:bookmarkStart w:id="440" w:name="_Hlt26671343"/>
      <w:r/>
      <w:bookmarkEnd w:id="440"/>
      <w:r/>
      <w:bookmarkStart w:id="441" w:name="_Hlt26609391"/>
      <w:r/>
      <w:bookmarkEnd w:id="441"/>
      <w:r/>
      <w:bookmarkStart w:id="442" w:name="_Hlt26782999"/>
      <w:r/>
      <w:bookmarkEnd w:id="442"/>
      <w:r/>
      <w:bookmarkStart w:id="443" w:name="_Hlt26580838"/>
      <w:r/>
      <w:bookmarkEnd w:id="443"/>
      <w:r/>
      <w:bookmarkStart w:id="444" w:name="_Hlt24879081"/>
      <w:r/>
      <w:bookmarkEnd w:id="444"/>
      <w:r/>
      <w:bookmarkStart w:id="445" w:name="_Hlt26955064"/>
      <w:r/>
      <w:bookmarkEnd w:id="445"/>
      <w:r>
        <w:rPr>
          <w:rFonts w:hint="eastAsia" w:ascii="宋体" w:hAnsi="宋体" w:eastAsia="宋体" w:cs="宋体"/>
          <w:b/>
          <w:color w:val="000000" w:themeColor="text1"/>
          <w:highlight w:val="none"/>
          <w14:textFill>
            <w14:solidFill>
              <w14:schemeClr w14:val="tx1"/>
            </w14:solidFill>
          </w14:textFill>
        </w:rPr>
        <w:br w:type="page" w:clear="all"/>
      </w:r>
      <w:r/>
    </w:p>
    <w:p>
      <w:pPr>
        <w:jc w:val="center"/>
        <w:spacing w:before="312"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主要标的信息（成交后将公示）</w:t>
      </w:r>
      <w:r/>
    </w:p>
    <w:p>
      <w:pPr>
        <w:spacing w:after="312"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供应商全称：</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施工范围：</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施工质量要求：</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项目经理：</w:t>
            </w:r>
            <w:r/>
          </w:p>
          <w:p>
            <w:pPr>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执业证书信息：</w:t>
            </w:r>
            <w:r/>
          </w:p>
        </w:tc>
      </w:tr>
    </w:tbl>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rPr>
        <w:rFonts w:hint="eastAsia" w:ascii="宋体" w:hAnsi="宋体" w:eastAsia="宋体" w:cs="宋体"/>
        <w:color w:val="000000" w:themeColor="text1"/>
        <w:sz w:val="18"/>
        <w:szCs w:val="18"/>
        <w:highlight w:val="none"/>
        <w14:textFill>
          <w14:solidFill>
            <w14:schemeClr w14:val="tx1"/>
          </w14:solidFill>
        </w14:textFill>
      </w:rPr>
      <w:pBdr>
        <w:bottom w:val="none" w:color="auto" w:sz="0" w:space="1"/>
      </w:pBdr>
    </w:pPr>
    <w:r>
      <w:rPr>
        <w:rFonts w:hint="eastAsia" w:ascii="宋体" w:hAnsi="宋体" w:eastAsia="宋体" w:cs="宋体"/>
        <w:color w:val="000000" w:themeColor="text1"/>
        <w:sz w:val="18"/>
        <w:szCs w:val="18"/>
        <w:highlight w:val="none"/>
        <w14:textFill>
          <w14:solidFill>
            <w14:schemeClr w14:val="tx1"/>
          </w14:solidFill>
        </w14:textFill>
      </w:rPr>
    </w:r>
    <w:r/>
  </w:p>
  <w:p>
    <w:pPr>
      <w:pStyle w:val="1066"/>
      <w:jc w:val="right"/>
      <w:pBdr>
        <w:bottom w:val="single" w:color="auto" w:sz="4" w:space="1"/>
      </w:pBdr>
    </w:pPr>
    <w:r>
      <w:rPr>
        <w:rFonts w:hint="eastAsia" w:ascii="宋体" w:hAnsi="宋体" w:eastAsia="宋体" w:cs="宋体"/>
        <w:color w:val="000000" w:themeColor="text1"/>
        <w:sz w:val="18"/>
        <w:szCs w:val="18"/>
        <w:highlight w:val="none"/>
        <w14:textFill>
          <w14:solidFill>
            <w14:schemeClr w14:val="tx1"/>
          </w14:solidFill>
        </w14:textFill>
      </w:rPr>
      <w:t xml:space="preserve">苏合邦筑工程咨询集团股份有限公司</w:t>
    </w:r>
    <w:r>
      <w:rPr>
        <w:sz w:val="18"/>
        <w:szCs w:val="18"/>
      </w:rPr>
      <w:t xml:space="preserve">   </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rPr>
        <w:rFonts w:hint="eastAsia" w:ascii="宋体" w:hAnsi="宋体" w:eastAsia="宋体" w:cs="宋体"/>
        <w:color w:val="000000" w:themeColor="text1"/>
        <w:sz w:val="18"/>
        <w:szCs w:val="18"/>
        <w:highlight w:val="none"/>
        <w14:textFill>
          <w14:solidFill>
            <w14:schemeClr w14:val="tx1"/>
          </w14:solidFill>
        </w14:textFill>
      </w:rPr>
    </w:pPr>
    <w:r/>
    <w:bookmarkStart w:id="446" w:name="_Hlk69393955"/>
    <w:r/>
    <w:bookmarkStart w:id="447" w:name="_Hlk69393956"/>
    <w:r/>
    <w:r/>
  </w:p>
  <w:p>
    <w:pPr>
      <w:pStyle w:val="1044"/>
      <w:jc w:val="right"/>
      <w:rPr>
        <w:rFonts w:hint="eastAsia"/>
        <w:szCs w:val="22"/>
      </w:rPr>
    </w:pPr>
    <w:r>
      <w:rPr>
        <w:rFonts w:hint="eastAsia" w:ascii="宋体" w:hAnsi="宋体" w:eastAsia="宋体" w:cs="宋体"/>
        <w:color w:val="000000" w:themeColor="text1"/>
        <w:sz w:val="18"/>
        <w:szCs w:val="18"/>
        <w:highlight w:val="none"/>
        <w14:textFill>
          <w14:solidFill>
            <w14:schemeClr w14:val="tx1"/>
          </w14:solidFill>
        </w14:textFill>
      </w:rPr>
      <w:t xml:space="preserve">苏合邦筑工程咨询集团股份有限公司</w:t>
    </w:r>
    <w:bookmarkEnd w:id="446"/>
    <w:r/>
    <w:bookmarkEnd w:id="447"/>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name w:val="Heading 1"/>
    <w:basedOn w:val="834"/>
    <w:next w:val="834"/>
    <w:link w:val="872"/>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3"/>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4"/>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75"/>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6"/>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7"/>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79"/>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0"/>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table of authorities"/>
    <w:basedOn w:val="834"/>
    <w:next w:val="834"/>
    <w:uiPriority w:val="99"/>
    <w:qFormat/>
    <w:pPr>
      <w:ind w:left="420"/>
    </w:pPr>
  </w:style>
  <w:style w:type="paragraph" w:styleId="848">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Indent"/>
    <w:basedOn w:val="834"/>
    <w:uiPriority w:val="99"/>
    <w:unhideWhenUsed/>
    <w:qFormat/>
    <w:pPr>
      <w:ind w:left="420"/>
      <w:spacing w:after="120"/>
    </w:pPr>
    <w:rPr>
      <w:rFonts w:ascii="Times New Roman" w:hAnsi="Times New Roman"/>
      <w:szCs w:val="24"/>
    </w:rPr>
  </w:style>
  <w:style w:type="paragraph" w:styleId="850">
    <w:name w:val="toc 5"/>
    <w:basedOn w:val="834"/>
    <w:next w:val="834"/>
    <w:uiPriority w:val="39"/>
    <w:unhideWhenUsed/>
    <w:qFormat/>
    <w:pPr>
      <w:ind w:left="1134" w:right="0" w:firstLine="0"/>
      <w:spacing w:after="57"/>
    </w:pPr>
  </w:style>
  <w:style w:type="paragraph" w:styleId="851">
    <w:name w:val="toc 3"/>
    <w:basedOn w:val="834"/>
    <w:next w:val="834"/>
    <w:uiPriority w:val="39"/>
    <w:unhideWhenUsed/>
    <w:qFormat/>
    <w:pPr>
      <w:ind w:left="567" w:right="0" w:firstLine="0"/>
      <w:spacing w:after="57"/>
    </w:pPr>
  </w:style>
  <w:style w:type="paragraph" w:styleId="852">
    <w:name w:val="Plain Text"/>
    <w:basedOn w:val="834"/>
    <w:uiPriority w:val="0"/>
    <w:qFormat/>
    <w:rPr>
      <w:rFonts w:ascii="宋体" w:hAnsi="Courier New"/>
      <w:sz w:val="20"/>
      <w:szCs w:val="21"/>
    </w:rPr>
  </w:style>
  <w:style w:type="paragraph" w:styleId="853">
    <w:name w:val="toc 8"/>
    <w:basedOn w:val="834"/>
    <w:next w:val="834"/>
    <w:uiPriority w:val="39"/>
    <w:unhideWhenUsed/>
    <w:qFormat/>
    <w:pPr>
      <w:ind w:left="1984" w:right="0" w:firstLine="0"/>
      <w:spacing w:after="57"/>
    </w:pPr>
  </w:style>
  <w:style w:type="paragraph" w:styleId="854">
    <w:name w:val="endnote text"/>
    <w:basedOn w:val="834"/>
    <w:link w:val="1018"/>
    <w:uiPriority w:val="99"/>
    <w:semiHidden/>
    <w:unhideWhenUsed/>
    <w:qFormat/>
    <w:pPr>
      <w:spacing w:after="0" w:line="240" w:lineRule="auto"/>
    </w:pPr>
    <w:rPr>
      <w:sz w:val="20"/>
    </w:rPr>
  </w:style>
  <w:style w:type="paragraph" w:styleId="855">
    <w:name w:val="Footer"/>
    <w:basedOn w:val="834"/>
    <w:link w:val="891"/>
    <w:uiPriority w:val="99"/>
    <w:unhideWhenUsed/>
    <w:qFormat/>
    <w:pPr>
      <w:spacing w:after="0" w:line="240" w:lineRule="auto"/>
      <w:tabs>
        <w:tab w:val="center" w:pos="7143" w:leader="none"/>
        <w:tab w:val="right" w:pos="14287" w:leader="none"/>
      </w:tabs>
    </w:pPr>
  </w:style>
  <w:style w:type="paragraph" w:styleId="856">
    <w:name w:val="Header"/>
    <w:basedOn w:val="834"/>
    <w:link w:val="889"/>
    <w:uiPriority w:val="99"/>
    <w:unhideWhenUsed/>
    <w:qFormat/>
    <w:pPr>
      <w:spacing w:after="0" w:line="240" w:lineRule="auto"/>
      <w:tabs>
        <w:tab w:val="center" w:pos="7143" w:leader="none"/>
        <w:tab w:val="right" w:pos="14287" w:leader="none"/>
      </w:tabs>
    </w:pPr>
  </w:style>
  <w:style w:type="paragraph" w:styleId="857">
    <w:name w:val="toc 1"/>
    <w:basedOn w:val="834"/>
    <w:next w:val="834"/>
    <w:uiPriority w:val="39"/>
    <w:unhideWhenUsed/>
    <w:qFormat/>
    <w:pPr>
      <w:ind w:left="0" w:right="0" w:firstLine="0"/>
      <w:spacing w:after="57"/>
    </w:pPr>
  </w:style>
  <w:style w:type="paragraph" w:styleId="858">
    <w:name w:val="toc 4"/>
    <w:basedOn w:val="834"/>
    <w:next w:val="834"/>
    <w:uiPriority w:val="39"/>
    <w:unhideWhenUsed/>
    <w:qFormat/>
    <w:pPr>
      <w:ind w:left="850" w:right="0" w:firstLine="0"/>
      <w:spacing w:after="57"/>
    </w:pPr>
  </w:style>
  <w:style w:type="paragraph" w:styleId="859">
    <w:name w:val="Subtitle"/>
    <w:basedOn w:val="834"/>
    <w:next w:val="834"/>
    <w:link w:val="884"/>
    <w:uiPriority w:val="11"/>
    <w:qFormat/>
    <w:pPr>
      <w:spacing w:before="200" w:after="200"/>
    </w:pPr>
    <w:rPr>
      <w:sz w:val="24"/>
      <w:szCs w:val="24"/>
    </w:rPr>
  </w:style>
  <w:style w:type="paragraph" w:styleId="860">
    <w:name w:val="footnote text"/>
    <w:basedOn w:val="834"/>
    <w:link w:val="1017"/>
    <w:uiPriority w:val="99"/>
    <w:semiHidden/>
    <w:unhideWhenUsed/>
    <w:qFormat/>
    <w:pPr>
      <w:spacing w:after="40" w:line="240" w:lineRule="auto"/>
    </w:pPr>
    <w:rPr>
      <w:sz w:val="18"/>
    </w:rPr>
  </w:style>
  <w:style w:type="paragraph" w:styleId="861">
    <w:name w:val="toc 6"/>
    <w:basedOn w:val="834"/>
    <w:next w:val="834"/>
    <w:uiPriority w:val="39"/>
    <w:unhideWhenUsed/>
    <w:qFormat/>
    <w:pPr>
      <w:ind w:left="1417" w:right="0" w:firstLine="0"/>
      <w:spacing w:after="57"/>
    </w:pPr>
  </w:style>
  <w:style w:type="paragraph" w:styleId="862">
    <w:name w:val="table of figures"/>
    <w:basedOn w:val="834"/>
    <w:next w:val="834"/>
    <w:uiPriority w:val="99"/>
    <w:unhideWhenUsed/>
    <w:qFormat/>
    <w:pPr>
      <w:spacing w:after="0" w:afterAutospacing="0"/>
    </w:pPr>
  </w:style>
  <w:style w:type="paragraph" w:styleId="863">
    <w:name w:val="toc 2"/>
    <w:basedOn w:val="834"/>
    <w:next w:val="834"/>
    <w:uiPriority w:val="39"/>
    <w:unhideWhenUsed/>
    <w:qFormat/>
    <w:pPr>
      <w:ind w:left="283" w:right="0" w:firstLine="0"/>
      <w:spacing w:after="57"/>
    </w:pPr>
  </w:style>
  <w:style w:type="paragraph" w:styleId="864">
    <w:name w:val="toc 9"/>
    <w:basedOn w:val="834"/>
    <w:next w:val="834"/>
    <w:uiPriority w:val="39"/>
    <w:unhideWhenUsed/>
    <w:qFormat/>
    <w:pPr>
      <w:ind w:left="2268" w:right="0" w:firstLine="0"/>
      <w:spacing w:after="57"/>
    </w:pPr>
  </w:style>
  <w:style w:type="paragraph" w:styleId="865">
    <w:name w:val="Normal (Web)"/>
    <w:basedOn w:val="834"/>
    <w:uiPriority w:val="99"/>
    <w:semiHidden/>
    <w:unhideWhenUsed/>
    <w:qFormat/>
    <w:pPr>
      <w:ind w:left="0" w:right="0"/>
      <w:jc w:val="left"/>
      <w:spacing w:before="0" w:beforeAutospacing="1" w:after="0" w:afterAutospacing="1"/>
    </w:pPr>
    <w:rPr>
      <w:sz w:val="24"/>
      <w:lang w:val="en-US" w:eastAsia="zh-CN" w:bidi="ar"/>
    </w:rPr>
  </w:style>
  <w:style w:type="paragraph" w:styleId="866">
    <w:name w:val="Title"/>
    <w:basedOn w:val="834"/>
    <w:next w:val="834"/>
    <w:link w:val="883"/>
    <w:uiPriority w:val="10"/>
    <w:qFormat/>
    <w:pPr>
      <w:contextualSpacing/>
      <w:spacing w:before="300" w:after="200"/>
    </w:pPr>
    <w:rPr>
      <w:sz w:val="48"/>
      <w:szCs w:val="48"/>
    </w:r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标题 41"/>
    <w:basedOn w:val="834"/>
    <w:next w:val="834"/>
    <w:link w:val="1026"/>
    <w:uiPriority w:val="0"/>
    <w:qFormat/>
    <w:pPr>
      <w:spacing w:before="280" w:after="290" w:line="377" w:lineRule="auto"/>
      <w:outlineLvl w:val="3"/>
    </w:pPr>
    <w:rPr>
      <w:rFonts w:ascii="Arial" w:hAnsi="Arial" w:eastAsia="黑体"/>
      <w:b/>
      <w:bCs/>
      <w:sz w:val="28"/>
      <w:szCs w:val="28"/>
    </w:rPr>
  </w:style>
  <w:style w:type="character" w:styleId="872" w:customStyle="1">
    <w:name w:val="Heading 1 Char"/>
    <w:link w:val="835"/>
    <w:uiPriority w:val="9"/>
    <w:qFormat/>
    <w:rPr>
      <w:rFonts w:ascii="Arial" w:hAnsi="Arial" w:eastAsia="Arial" w:cs="Arial"/>
      <w:sz w:val="40"/>
      <w:szCs w:val="40"/>
    </w:rPr>
  </w:style>
  <w:style w:type="character" w:styleId="873" w:customStyle="1">
    <w:name w:val="Heading 2 Char"/>
    <w:link w:val="836"/>
    <w:uiPriority w:val="9"/>
    <w:qFormat/>
    <w:rPr>
      <w:rFonts w:ascii="Arial" w:hAnsi="Arial" w:eastAsia="Arial" w:cs="Arial"/>
      <w:sz w:val="34"/>
    </w:rPr>
  </w:style>
  <w:style w:type="character" w:styleId="874" w:customStyle="1">
    <w:name w:val="Heading 3 Char"/>
    <w:link w:val="837"/>
    <w:uiPriority w:val="9"/>
    <w:qFormat/>
    <w:rPr>
      <w:rFonts w:ascii="Arial" w:hAnsi="Arial" w:eastAsia="Arial" w:cs="Arial"/>
      <w:sz w:val="30"/>
      <w:szCs w:val="30"/>
    </w:rPr>
  </w:style>
  <w:style w:type="character" w:styleId="875" w:customStyle="1">
    <w:name w:val="Heading 4 Char"/>
    <w:link w:val="838"/>
    <w:uiPriority w:val="9"/>
    <w:qFormat/>
    <w:rPr>
      <w:rFonts w:ascii="Arial" w:hAnsi="Arial" w:eastAsia="Arial" w:cs="Arial"/>
      <w:b/>
      <w:bCs/>
      <w:sz w:val="26"/>
      <w:szCs w:val="26"/>
    </w:rPr>
  </w:style>
  <w:style w:type="character" w:styleId="876" w:customStyle="1">
    <w:name w:val="Heading 5 Char"/>
    <w:link w:val="839"/>
    <w:uiPriority w:val="9"/>
    <w:qFormat/>
    <w:rPr>
      <w:rFonts w:ascii="Arial" w:hAnsi="Arial" w:eastAsia="Arial" w:cs="Arial"/>
      <w:b/>
      <w:bCs/>
      <w:sz w:val="24"/>
      <w:szCs w:val="24"/>
    </w:rPr>
  </w:style>
  <w:style w:type="character" w:styleId="877" w:customStyle="1">
    <w:name w:val="Heading 6 Char"/>
    <w:link w:val="840"/>
    <w:uiPriority w:val="9"/>
    <w:qFormat/>
    <w:rPr>
      <w:rFonts w:ascii="Arial" w:hAnsi="Arial" w:eastAsia="Arial" w:cs="Arial"/>
      <w:b/>
      <w:bCs/>
      <w:sz w:val="22"/>
      <w:szCs w:val="22"/>
    </w:rPr>
  </w:style>
  <w:style w:type="character" w:styleId="878" w:customStyle="1">
    <w:name w:val="Heading 7 Char"/>
    <w:link w:val="841"/>
    <w:uiPriority w:val="9"/>
    <w:qFormat/>
    <w:rPr>
      <w:rFonts w:ascii="Arial" w:hAnsi="Arial" w:eastAsia="Arial" w:cs="Arial"/>
      <w:b/>
      <w:bCs/>
      <w:i/>
      <w:iCs/>
      <w:sz w:val="22"/>
      <w:szCs w:val="22"/>
    </w:rPr>
  </w:style>
  <w:style w:type="character" w:styleId="879" w:customStyle="1">
    <w:name w:val="Heading 8 Char"/>
    <w:link w:val="842"/>
    <w:uiPriority w:val="9"/>
    <w:qFormat/>
    <w:rPr>
      <w:rFonts w:ascii="Arial" w:hAnsi="Arial" w:eastAsia="Arial" w:cs="Arial"/>
      <w:i/>
      <w:iCs/>
      <w:sz w:val="22"/>
      <w:szCs w:val="22"/>
    </w:rPr>
  </w:style>
  <w:style w:type="character" w:styleId="880" w:customStyle="1">
    <w:name w:val="Heading 9 Char"/>
    <w:link w:val="843"/>
    <w:uiPriority w:val="9"/>
    <w:qFormat/>
    <w:rPr>
      <w:rFonts w:ascii="Arial" w:hAnsi="Arial" w:eastAsia="Arial" w:cs="Arial"/>
      <w:i/>
      <w:iCs/>
      <w:sz w:val="21"/>
      <w:szCs w:val="21"/>
    </w:rPr>
  </w:style>
  <w:style w:type="paragraph" w:styleId="881">
    <w:name w:val="List Paragraph"/>
    <w:basedOn w:val="834"/>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66"/>
    <w:uiPriority w:val="10"/>
    <w:qFormat/>
    <w:rPr>
      <w:sz w:val="48"/>
      <w:szCs w:val="48"/>
    </w:rPr>
  </w:style>
  <w:style w:type="character" w:styleId="884" w:customStyle="1">
    <w:name w:val="Subtitle Char"/>
    <w:link w:val="859"/>
    <w:uiPriority w:val="11"/>
    <w:qFormat/>
    <w:rPr>
      <w:sz w:val="24"/>
      <w:szCs w:val="24"/>
    </w:rPr>
  </w:style>
  <w:style w:type="paragraph" w:styleId="885">
    <w:name w:val="Quote"/>
    <w:basedOn w:val="834"/>
    <w:next w:val="834"/>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34"/>
    <w:next w:val="834"/>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56"/>
    <w:uiPriority w:val="99"/>
    <w:qFormat/>
  </w:style>
  <w:style w:type="character" w:styleId="890" w:customStyle="1">
    <w:name w:val="Footer Char"/>
    <w:link w:val="855"/>
    <w:uiPriority w:val="99"/>
    <w:qFormat/>
  </w:style>
  <w:style w:type="character" w:styleId="891" w:customStyle="1">
    <w:name w:val="Caption Char"/>
    <w:link w:val="855"/>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60"/>
    <w:uiPriority w:val="99"/>
    <w:qFormat/>
    <w:rPr>
      <w:sz w:val="18"/>
    </w:rPr>
  </w:style>
  <w:style w:type="character" w:styleId="1018" w:customStyle="1">
    <w:name w:val="Endnote Text Char"/>
    <w:link w:val="854"/>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34"/>
    <w:next w:val="834"/>
    <w:link w:val="1027"/>
    <w:uiPriority w:val="99"/>
    <w:qFormat/>
    <w:pPr>
      <w:keepLines/>
      <w:keepNext/>
      <w:spacing w:before="340" w:after="330" w:line="578" w:lineRule="auto"/>
      <w:outlineLvl w:val="0"/>
    </w:pPr>
    <w:rPr>
      <w:rFonts w:ascii="Calibri" w:hAnsi="Calibri"/>
      <w:b/>
      <w:bCs/>
      <w:sz w:val="44"/>
      <w:szCs w:val="44"/>
    </w:rPr>
  </w:style>
  <w:style w:type="paragraph" w:styleId="1021" w:customStyle="1">
    <w:name w:val="标题 21"/>
    <w:basedOn w:val="834"/>
    <w:next w:val="1022"/>
    <w:link w:val="1028"/>
    <w:uiPriority w:val="9"/>
    <w:qFormat/>
    <w:pPr>
      <w:keepLines/>
      <w:keepNext/>
      <w:spacing w:before="260" w:after="260" w:line="416" w:lineRule="auto"/>
      <w:outlineLvl w:val="1"/>
    </w:pPr>
    <w:rPr>
      <w:rFonts w:ascii="Cambria" w:hAnsi="Cambria"/>
      <w:b/>
      <w:bCs/>
      <w:sz w:val="32"/>
      <w:szCs w:val="32"/>
    </w:rPr>
  </w:style>
  <w:style w:type="paragraph" w:styleId="1022" w:customStyle="1">
    <w:name w:val="正文缩进1"/>
    <w:basedOn w:val="834"/>
    <w:uiPriority w:val="0"/>
    <w:unhideWhenUsed/>
    <w:qFormat/>
    <w:pPr>
      <w:ind w:firstLine="420"/>
    </w:pPr>
    <w:rPr>
      <w:rFonts w:ascii="Calibri" w:hAnsi="Calibri" w:eastAsia="宋体" w:cs="Times New Roman"/>
    </w:rPr>
  </w:style>
  <w:style w:type="paragraph" w:styleId="1023" w:customStyle="1">
    <w:name w:val="标题 31"/>
    <w:basedOn w:val="834"/>
    <w:next w:val="834"/>
    <w:link w:val="1029"/>
    <w:uiPriority w:val="0"/>
    <w:qFormat/>
    <w:pPr>
      <w:keepLines/>
      <w:keepNext/>
      <w:spacing w:before="260" w:after="260" w:line="416" w:lineRule="auto"/>
      <w:outlineLvl w:val="2"/>
    </w:pPr>
    <w:rPr>
      <w:rFonts w:ascii="Calibri" w:hAnsi="Calibri"/>
      <w:b/>
      <w:bCs/>
      <w:sz w:val="32"/>
      <w:szCs w:val="32"/>
    </w:rPr>
  </w:style>
  <w:style w:type="character" w:styleId="1024" w:customStyle="1">
    <w:name w:val="默认段落字体1"/>
    <w:link w:val="834"/>
    <w:uiPriority w:val="1"/>
    <w:unhideWhenUsed/>
    <w:qFormat/>
  </w:style>
  <w:style w:type="table" w:styleId="1025" w:customStyle="1">
    <w:name w:val="普通表格1"/>
    <w:uiPriority w:val="99"/>
    <w:unhideWhenUsed/>
    <w:qFormat/>
    <w:tblPr/>
  </w:style>
  <w:style w:type="character" w:styleId="1026" w:customStyle="1">
    <w:name w:val="标题 4 Char"/>
    <w:link w:val="871"/>
    <w:uiPriority w:val="0"/>
    <w:qFormat/>
    <w:rPr>
      <w:rFonts w:ascii="Arial" w:hAnsi="Arial" w:eastAsia="黑体" w:cs="Times New Roman"/>
      <w:b/>
      <w:bCs/>
      <w:sz w:val="28"/>
      <w:szCs w:val="28"/>
    </w:rPr>
  </w:style>
  <w:style w:type="character" w:styleId="1027" w:customStyle="1">
    <w:name w:val="标题 1 Char"/>
    <w:link w:val="1020"/>
    <w:uiPriority w:val="99"/>
    <w:qFormat/>
    <w:rPr>
      <w:rFonts w:ascii="Calibri" w:hAnsi="Calibri" w:eastAsia="宋体" w:cs="Times New Roman"/>
      <w:b/>
      <w:bCs/>
      <w:sz w:val="44"/>
      <w:szCs w:val="44"/>
    </w:rPr>
  </w:style>
  <w:style w:type="character" w:styleId="1028" w:customStyle="1">
    <w:name w:val="标题 2 Char"/>
    <w:link w:val="1021"/>
    <w:uiPriority w:val="9"/>
    <w:qFormat/>
    <w:rPr>
      <w:rFonts w:ascii="Cambria" w:hAnsi="Cambria" w:eastAsia="宋体" w:cs="Times New Roman"/>
      <w:b/>
      <w:bCs/>
      <w:sz w:val="32"/>
      <w:szCs w:val="32"/>
    </w:rPr>
  </w:style>
  <w:style w:type="character" w:styleId="1029" w:customStyle="1">
    <w:name w:val="标题 3 Char"/>
    <w:link w:val="1023"/>
    <w:uiPriority w:val="0"/>
    <w:qFormat/>
    <w:rPr>
      <w:rFonts w:ascii="Calibri" w:hAnsi="Calibri" w:eastAsia="宋体" w:cs="Times New Roman"/>
      <w:b/>
      <w:bCs/>
      <w:sz w:val="32"/>
      <w:szCs w:val="32"/>
    </w:rPr>
  </w:style>
  <w:style w:type="paragraph" w:styleId="1030" w:customStyle="1">
    <w:name w:val="文档结构图1"/>
    <w:basedOn w:val="834"/>
    <w:link w:val="1031"/>
    <w:uiPriority w:val="99"/>
    <w:unhideWhenUsed/>
    <w:qFormat/>
    <w:rPr>
      <w:rFonts w:ascii="宋体"/>
      <w:sz w:val="18"/>
      <w:szCs w:val="18"/>
    </w:rPr>
  </w:style>
  <w:style w:type="character" w:styleId="1031" w:customStyle="1">
    <w:name w:val="文档结构图 Char"/>
    <w:link w:val="1030"/>
    <w:uiPriority w:val="99"/>
    <w:semiHidden/>
    <w:qFormat/>
    <w:rPr>
      <w:rFonts w:ascii="宋体"/>
      <w:sz w:val="18"/>
      <w:szCs w:val="18"/>
    </w:rPr>
  </w:style>
  <w:style w:type="paragraph" w:styleId="1032" w:customStyle="1">
    <w:name w:val="正文文本11"/>
    <w:basedOn w:val="834"/>
    <w:uiPriority w:val="0"/>
    <w:qFormat/>
    <w:rPr>
      <w:rFonts w:ascii="楷体_GB2312" w:hAnsi="Arial" w:eastAsia="楷体_GB2312"/>
      <w:sz w:val="28"/>
      <w:szCs w:val="28"/>
    </w:rPr>
  </w:style>
  <w:style w:type="paragraph" w:styleId="1033" w:customStyle="1">
    <w:name w:val="正文文本缩进1"/>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1034" w:customStyle="1">
    <w:name w:val="文本块11"/>
    <w:basedOn w:val="834"/>
    <w:uiPriority w:val="99"/>
    <w:unhideWhenUsed/>
    <w:qFormat/>
    <w:pPr>
      <w:ind w:left="567" w:right="454" w:firstLine="498"/>
      <w:jc w:val="left"/>
    </w:pPr>
    <w:rPr>
      <w:rFonts w:ascii="仿宋_GB2312" w:eastAsia="仿宋_GB2312"/>
      <w:sz w:val="30"/>
      <w:szCs w:val="20"/>
    </w:rPr>
  </w:style>
  <w:style w:type="paragraph" w:styleId="1035" w:customStyle="1">
    <w:name w:val="索引 41"/>
    <w:next w:val="834"/>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hint="default" w:ascii="Times New Roman" w:hAnsi="Times New Roman" w:eastAsia="宋体" w:cs="Times New Roman"/>
      <w:sz w:val="24"/>
      <w:lang w:val="en-US" w:eastAsia="zh-CN" w:bidi="ar-SA"/>
    </w:rPr>
  </w:style>
  <w:style w:type="paragraph" w:styleId="1036" w:customStyle="1">
    <w:name w:val="目录 31"/>
    <w:basedOn w:val="834"/>
    <w:next w:val="834"/>
    <w:uiPriority w:val="39"/>
    <w:unhideWhenUsed/>
    <w:qFormat/>
    <w:pPr>
      <w:ind w:left="840"/>
    </w:pPr>
  </w:style>
  <w:style w:type="paragraph" w:styleId="1037" w:customStyle="1">
    <w:name w:val="纯文本11"/>
    <w:basedOn w:val="834"/>
    <w:link w:val="1038"/>
    <w:uiPriority w:val="99"/>
    <w:unhideWhenUsed/>
    <w:qFormat/>
    <w:rPr>
      <w:rFonts w:ascii="宋体" w:hAnsi="Courier New"/>
      <w:sz w:val="20"/>
      <w:szCs w:val="20"/>
    </w:rPr>
  </w:style>
  <w:style w:type="character" w:styleId="1038" w:customStyle="1">
    <w:name w:val="纯文本 Char"/>
    <w:link w:val="1037"/>
    <w:uiPriority w:val="99"/>
    <w:qFormat/>
    <w:rPr>
      <w:rFonts w:ascii="宋体" w:hAnsi="Courier New"/>
    </w:rPr>
  </w:style>
  <w:style w:type="paragraph" w:styleId="1039" w:customStyle="1">
    <w:name w:val="日期1"/>
    <w:basedOn w:val="834"/>
    <w:next w:val="834"/>
    <w:link w:val="1040"/>
    <w:uiPriority w:val="0"/>
    <w:qFormat/>
    <w:rPr>
      <w:sz w:val="24"/>
      <w:szCs w:val="20"/>
    </w:rPr>
  </w:style>
  <w:style w:type="character" w:styleId="1040" w:customStyle="1">
    <w:name w:val="日期 Char"/>
    <w:link w:val="1039"/>
    <w:uiPriority w:val="0"/>
    <w:qFormat/>
    <w:rPr>
      <w:rFonts w:ascii="Times New Roman" w:hAnsi="Times New Roman"/>
      <w:sz w:val="24"/>
    </w:rPr>
  </w:style>
  <w:style w:type="paragraph" w:styleId="1041" w:customStyle="1">
    <w:name w:val="正文文本缩进 21"/>
    <w:basedOn w:val="834"/>
    <w:uiPriority w:val="99"/>
    <w:unhideWhenUsed/>
    <w:qFormat/>
    <w:pPr>
      <w:ind w:firstLine="562"/>
      <w:spacing w:line="480" w:lineRule="exact"/>
    </w:pPr>
    <w:rPr>
      <w:b/>
      <w:bCs/>
      <w:sz w:val="28"/>
      <w:szCs w:val="28"/>
    </w:rPr>
  </w:style>
  <w:style w:type="paragraph" w:styleId="1042" w:customStyle="1">
    <w:name w:val="页脚11"/>
    <w:basedOn w:val="834"/>
    <w:link w:val="1043"/>
    <w:uiPriority w:val="99"/>
    <w:unhideWhenUsed/>
    <w:qFormat/>
    <w:pPr>
      <w:jc w:val="left"/>
      <w:tabs>
        <w:tab w:val="center" w:pos="4153" w:leader="none"/>
        <w:tab w:val="right" w:pos="8306" w:leader="none"/>
      </w:tabs>
    </w:pPr>
    <w:rPr>
      <w:sz w:val="18"/>
      <w:szCs w:val="18"/>
    </w:rPr>
  </w:style>
  <w:style w:type="character" w:styleId="1043" w:customStyle="1">
    <w:name w:val="页脚 Char"/>
    <w:link w:val="1042"/>
    <w:uiPriority w:val="99"/>
    <w:qFormat/>
    <w:rPr>
      <w:sz w:val="18"/>
      <w:szCs w:val="18"/>
    </w:rPr>
  </w:style>
  <w:style w:type="paragraph" w:styleId="1044" w:customStyle="1">
    <w:name w:val="页眉11"/>
    <w:basedOn w:val="834"/>
    <w:link w:val="104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99"/>
    <w:qFormat/>
    <w:rPr>
      <w:sz w:val="18"/>
      <w:szCs w:val="18"/>
    </w:rPr>
  </w:style>
  <w:style w:type="paragraph" w:styleId="1046" w:customStyle="1">
    <w:name w:val="目录 11"/>
    <w:basedOn w:val="834"/>
    <w:next w:val="834"/>
    <w:uiPriority w:val="39"/>
    <w:unhideWhenUsed/>
    <w:qFormat/>
    <w:rPr>
      <w:rFonts w:ascii="Calibri" w:hAnsi="Calibri" w:eastAsia="宋体" w:cs="Times New Roman"/>
    </w:rPr>
  </w:style>
  <w:style w:type="paragraph" w:styleId="1047" w:customStyle="1">
    <w:name w:val="目录 21"/>
    <w:basedOn w:val="834"/>
    <w:next w:val="834"/>
    <w:uiPriority w:val="39"/>
    <w:unhideWhenUsed/>
    <w:qFormat/>
    <w:pPr>
      <w:ind w:left="420"/>
    </w:pPr>
  </w:style>
  <w:style w:type="paragraph" w:styleId="1048" w:customStyle="1">
    <w:name w:val="普通(网站)1"/>
    <w:basedOn w:val="834"/>
    <w:uiPriority w:val="0"/>
    <w:unhideWhenUsed/>
    <w:qFormat/>
    <w:pPr>
      <w:jc w:val="left"/>
    </w:pPr>
    <w:rPr>
      <w:rFonts w:ascii="Calibri" w:hAnsi="Calibri" w:eastAsia="宋体" w:cs="Times New Roman"/>
      <w:sz w:val="24"/>
      <w:szCs w:val="24"/>
    </w:rPr>
  </w:style>
  <w:style w:type="character" w:styleId="1049" w:customStyle="1">
    <w:name w:val="要点1"/>
    <w:link w:val="834"/>
    <w:uiPriority w:val="0"/>
    <w:qFormat/>
    <w:rPr>
      <w:b/>
    </w:rPr>
  </w:style>
  <w:style w:type="paragraph" w:styleId="1050" w:customStyle="1">
    <w:name w:val="正文（缩进）"/>
    <w:basedOn w:val="834"/>
    <w:uiPriority w:val="0"/>
    <w:qFormat/>
    <w:pPr>
      <w:ind w:firstLine="480"/>
    </w:pPr>
    <w:rPr>
      <w:rFonts w:ascii="Calibri" w:hAnsi="Calibri" w:eastAsia="宋体" w:cs="Times New Roman"/>
      <w:szCs w:val="24"/>
    </w:rPr>
  </w:style>
  <w:style w:type="paragraph" w:styleId="1051" w:customStyle="1">
    <w:name w:val="正文1"/>
    <w:basedOn w:val="834"/>
    <w:next w:val="1052"/>
    <w:uiPriority w:val="0"/>
    <w:qFormat/>
    <w:pPr>
      <w:jc w:val="left"/>
      <w:spacing w:line="360" w:lineRule="atLeast"/>
    </w:pPr>
    <w:rPr>
      <w:rFonts w:ascii="宋体" w:hAnsi="Calibri" w:eastAsia="宋体" w:cs="Times New Roman"/>
      <w:sz w:val="24"/>
      <w:szCs w:val="20"/>
    </w:rPr>
  </w:style>
  <w:style w:type="paragraph" w:styleId="1052" w:customStyle="1">
    <w:name w:val="正文文本1"/>
    <w:basedOn w:val="1051"/>
    <w:next w:val="1053"/>
    <w:uiPriority w:val="0"/>
    <w:qFormat/>
    <w:pPr>
      <w:spacing w:after="120"/>
    </w:pPr>
    <w:rPr>
      <w:lang w:val="en-US" w:eastAsia="en-US"/>
    </w:r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next w:val="8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5" w:customStyle="1">
    <w:name w:val="段"/>
    <w:basedOn w:val="1051"/>
    <w:next w:val="834"/>
    <w:uiPriority w:val="0"/>
    <w:qFormat/>
    <w:pPr>
      <w:ind w:firstLine="200"/>
      <w:widowControl/>
    </w:pPr>
    <w:rPr>
      <w:rFonts w:ascii="宋体"/>
      <w:sz w:val="20"/>
      <w:szCs w:val="20"/>
    </w:rPr>
  </w:style>
  <w:style w:type="paragraph" w:styleId="1056" w:customStyle="1">
    <w:name w:val="首行缩进"/>
    <w:basedOn w:val="834"/>
    <w:uiPriority w:val="0"/>
    <w:qFormat/>
    <w:pPr>
      <w:ind w:firstLine="480"/>
    </w:pPr>
    <w:rPr>
      <w:rFonts w:ascii="Times New Roman" w:hAnsi="Times New Roman"/>
    </w:rPr>
  </w:style>
  <w:style w:type="character" w:styleId="1057" w:customStyle="1">
    <w:name w:val="htd0"/>
    <w:link w:val="834"/>
    <w:uiPriority w:val="0"/>
    <w:qFormat/>
  </w:style>
  <w:style w:type="character" w:styleId="1058" w:customStyle="1">
    <w:name w:val="页脚 Char1"/>
    <w:link w:val="834"/>
    <w:uiPriority w:val="99"/>
    <w:semiHidden/>
    <w:qFormat/>
    <w:rPr>
      <w:sz w:val="18"/>
      <w:szCs w:val="18"/>
    </w:rPr>
  </w:style>
  <w:style w:type="character" w:styleId="1059" w:customStyle="1">
    <w:name w:val="纯文本 Char1"/>
    <w:link w:val="834"/>
    <w:uiPriority w:val="99"/>
    <w:semiHidden/>
    <w:qFormat/>
    <w:rPr>
      <w:rFonts w:ascii="宋体" w:hAnsi="Courier New" w:eastAsia="宋体" w:cs="Courier New"/>
      <w:szCs w:val="21"/>
    </w:rPr>
  </w:style>
  <w:style w:type="character" w:styleId="1060" w:customStyle="1">
    <w:name w:val="批注引用1"/>
    <w:link w:val="1061"/>
    <w:uiPriority w:val="0"/>
    <w:qFormat/>
    <w:rPr>
      <w:rFonts w:ascii="Calibri" w:hAnsi="Calibri"/>
      <w:sz w:val="21"/>
      <w:szCs w:val="24"/>
      <w:lang w:val="en-US" w:eastAsia="zh-CN" w:bidi="ar-SA"/>
    </w:rPr>
  </w:style>
  <w:style w:type="paragraph" w:styleId="1061" w:customStyle="1">
    <w:name w:val="正文111"/>
    <w:next w:val="1062"/>
    <w:link w:val="1060"/>
    <w:uiPriority w:val="0"/>
    <w:qFormat/>
    <w:pPr>
      <w:jc w:val="both"/>
      <w:widowControl w:val="off"/>
    </w:pPr>
    <w:rPr>
      <w:rFonts w:hint="default" w:ascii="Calibri" w:hAnsi="Calibri" w:eastAsia="宋体" w:cs="Times New Roman"/>
      <w:sz w:val="21"/>
      <w:szCs w:val="24"/>
      <w:lang w:val="en-US" w:eastAsia="zh-CN" w:bidi="ar-SA"/>
    </w:rPr>
  </w:style>
  <w:style w:type="paragraph" w:styleId="1062" w:customStyle="1">
    <w:name w:val="文本块1"/>
    <w:basedOn w:val="1061"/>
    <w:uiPriority w:val="0"/>
    <w:qFormat/>
    <w:pPr>
      <w:ind w:left="567" w:right="454" w:firstLine="498"/>
      <w:jc w:val="left"/>
      <w:widowControl/>
    </w:pPr>
    <w:rPr>
      <w:rFonts w:ascii="仿宋_GB2312" w:eastAsia="仿宋_GB2312"/>
      <w:sz w:val="30"/>
      <w:szCs w:val="20"/>
    </w:rPr>
  </w:style>
  <w:style w:type="character" w:styleId="1063" w:customStyle="1">
    <w:name w:val="页眉 Char1"/>
    <w:link w:val="834"/>
    <w:uiPriority w:val="99"/>
    <w:semiHidden/>
    <w:qFormat/>
    <w:rPr>
      <w:sz w:val="18"/>
      <w:szCs w:val="18"/>
    </w:rPr>
  </w:style>
  <w:style w:type="character" w:styleId="1064" w:customStyle="1">
    <w:name w:val="日期 Char1"/>
    <w:link w:val="834"/>
    <w:uiPriority w:val="99"/>
    <w:semiHidden/>
    <w:qFormat/>
  </w:style>
  <w:style w:type="paragraph" w:styleId="1065" w:customStyle="1">
    <w:name w:val="纯文本1"/>
    <w:basedOn w:val="1061"/>
    <w:uiPriority w:val="0"/>
    <w:qFormat/>
    <w:rPr>
      <w:rFonts w:ascii="宋体" w:hAnsi="Courier New"/>
      <w:sz w:val="21"/>
      <w:szCs w:val="21"/>
    </w:rPr>
  </w:style>
  <w:style w:type="paragraph" w:styleId="1066" w:customStyle="1">
    <w:name w:val="页眉1"/>
    <w:basedOn w:val="1061"/>
    <w:uiPriority w:val="0"/>
    <w:qFormat/>
    <w:pPr>
      <w:jc w:val="center"/>
      <w:tabs>
        <w:tab w:val="center" w:pos="4153" w:leader="none"/>
        <w:tab w:val="right" w:pos="8306" w:leader="none"/>
      </w:tabs>
      <w:pBdr>
        <w:bottom w:val="single" w:color="000000" w:sz="6" w:space="1"/>
      </w:pBdr>
    </w:pPr>
    <w:rPr>
      <w:sz w:val="18"/>
      <w:szCs w:val="18"/>
    </w:rPr>
  </w:style>
  <w:style w:type="paragraph" w:styleId="1067" w:customStyle="1">
    <w:name w:val="普通正文"/>
    <w:basedOn w:val="834"/>
    <w:uiPriority w:val="0"/>
    <w:qFormat/>
    <w:pPr>
      <w:ind w:firstLine="480"/>
      <w:jc w:val="left"/>
      <w:spacing w:before="120" w:after="120" w:line="360" w:lineRule="auto"/>
    </w:pPr>
    <w:rPr>
      <w:rFonts w:ascii="Arial" w:hAnsi="Arial" w:eastAsia="宋体" w:cs="Times New Roman"/>
      <w:sz w:val="24"/>
      <w:szCs w:val="24"/>
    </w:rPr>
  </w:style>
  <w:style w:type="paragraph" w:styleId="1068" w:customStyle="1">
    <w:name w:val="默认段落字体 Para Char Char Char Char Char Char Char"/>
    <w:basedOn w:val="834"/>
    <w:next w:val="834"/>
    <w:uiPriority w:val="99"/>
    <w:qFormat/>
    <w:pPr>
      <w:ind w:firstLine="200"/>
    </w:pPr>
    <w:rPr>
      <w:rFonts w:ascii="Calibri" w:hAnsi="Calibri" w:eastAsia="宋体" w:cs="Arial"/>
      <w:szCs w:val="24"/>
    </w:rPr>
  </w:style>
  <w:style w:type="paragraph" w:styleId="1069"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70" w:customStyle="1">
    <w:name w:val="Char"/>
    <w:basedOn w:val="834"/>
    <w:uiPriority w:val="0"/>
    <w:qFormat/>
    <w:pPr>
      <w:ind w:firstLine="200"/>
      <w:tabs>
        <w:tab w:val="left" w:pos="360" w:leader="none"/>
      </w:tabs>
    </w:pPr>
    <w:rPr>
      <w:rFonts w:ascii="Times New Roman" w:hAnsi="Times New Roman" w:eastAsia="宋体" w:cs="Times New Roman"/>
      <w:sz w:val="28"/>
      <w:szCs w:val="30"/>
    </w:rPr>
  </w:style>
  <w:style w:type="paragraph" w:styleId="10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页脚1"/>
    <w:basedOn w:val="1061"/>
    <w:uiPriority w:val="0"/>
    <w:qFormat/>
    <w:pPr>
      <w:jc w:val="left"/>
      <w:tabs>
        <w:tab w:val="center" w:pos="4153" w:leader="none"/>
        <w:tab w:val="right" w:pos="8306" w:leader="none"/>
      </w:tabs>
    </w:pPr>
    <w:rPr>
      <w:sz w:val="18"/>
      <w:szCs w:val="18"/>
    </w:rPr>
  </w:style>
  <w:style w:type="paragraph" w:styleId="1075" w:customStyle="1">
    <w:name w:val="_Style 4"/>
    <w:next w:val="834"/>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76" w:customStyle="1">
    <w:name w:val="正文_2"/>
    <w:uiPriority w:val="0"/>
    <w:qFormat/>
    <w:rPr>
      <w:rFonts w:hint="default" w:ascii="Times New Roman" w:hAnsi="Times New Roman" w:eastAsia="宋体" w:cs="Times New Roman"/>
      <w:lang w:val="en-US" w:eastAsia="zh-CN" w:bidi="ar-SA"/>
    </w:rPr>
  </w:style>
  <w:style w:type="paragraph" w:styleId="1077" w:customStyle="1">
    <w:name w:val="WPSOffice手动目录 1"/>
    <w:uiPriority w:val="0"/>
    <w:qFormat/>
    <w:rPr>
      <w:rFonts w:hint="default" w:ascii="Times New Roman" w:hAnsi="Times New Roman" w:eastAsia="宋体" w:cs="Times New Roman"/>
      <w:lang w:val="en-US" w:eastAsia="zh-CN" w:bidi="ar-SA"/>
    </w:rPr>
  </w:style>
  <w:style w:type="character" w:styleId="1078" w:customStyle="1">
    <w:name w:val="font51"/>
    <w:basedOn w:val="844"/>
    <w:uiPriority w:val="0"/>
    <w:qFormat/>
    <w:rPr>
      <w:rFonts w:ascii="宋体" w:hAnsi="宋体" w:eastAsia="宋体" w:cs="宋体"/>
      <w:color w:val="000000"/>
      <w:sz w:val="18"/>
      <w:szCs w:val="18"/>
      <w:u w:val="none"/>
    </w:rPr>
  </w:style>
  <w:style w:type="character" w:styleId="1079" w:customStyle="1">
    <w:name w:val="font31"/>
    <w:basedOn w:val="844"/>
    <w:uiPriority w:val="0"/>
    <w:qFormat/>
    <w:rPr>
      <w:rFonts w:ascii="宋体" w:hAnsi="宋体" w:eastAsia="宋体" w:cs="宋体"/>
      <w:b/>
      <w:bCs/>
      <w:color w:val="000000"/>
      <w:sz w:val="18"/>
      <w:szCs w:val="18"/>
      <w:u w:val="none"/>
    </w:rPr>
  </w:style>
  <w:style w:type="character" w:styleId="1080" w:customStyle="1">
    <w:name w:val="font101"/>
    <w:basedOn w:val="844"/>
    <w:uiPriority w:val="0"/>
    <w:qFormat/>
    <w:rPr>
      <w:rFonts w:hint="default" w:ascii="Arial" w:hAnsi="Arial" w:cs="Arial"/>
      <w:color w:val="000000"/>
      <w:sz w:val="16"/>
      <w:szCs w:val="16"/>
      <w:u w:val="none"/>
    </w:rPr>
  </w:style>
  <w:style w:type="character" w:styleId="1081" w:customStyle="1">
    <w:name w:val="font61"/>
    <w:basedOn w:val="844"/>
    <w:uiPriority w:val="0"/>
    <w:qFormat/>
    <w:rPr>
      <w:rFonts w:ascii="宋体" w:hAnsi="宋体" w:eastAsia="宋体" w:cs="宋体"/>
      <w:color w:val="000000"/>
      <w:sz w:val="16"/>
      <w:szCs w:val="16"/>
      <w:u w:val="none"/>
    </w:rPr>
  </w:style>
  <w:style w:type="character" w:styleId="1082" w:customStyle="1">
    <w:name w:val="font71"/>
    <w:basedOn w:val="844"/>
    <w:uiPriority w:val="0"/>
    <w:qFormat/>
    <w:rPr>
      <w:rFonts w:hint="eastAsia" w:ascii="宋体" w:hAnsi="宋体" w:eastAsia="宋体" w:cs="宋体"/>
      <w:color w:val="000000"/>
      <w:sz w:val="16"/>
      <w:szCs w:val="16"/>
      <w:u w:val="none"/>
    </w:rPr>
  </w:style>
  <w:style w:type="table" w:styleId="1083" w:customStyle="1">
    <w:name w:val="Table Grid"/>
    <w:uiPriority w:val="0"/>
    <w:qFormat/>
    <w:rPr>
      <w:rFonts w:ascii="Times New Roman" w:hAnsi="Times New Roman"/>
    </w:rPr>
    <w:tblPr>
      <w:tblCellMar>
        <w:left w:w="0" w:type="dxa"/>
        <w:top w:w="0" w:type="dxa"/>
        <w:right w:w="0" w:type="dxa"/>
        <w:bottom w:w="0" w:type="dxa"/>
      </w:tblCellMar>
    </w:tblPr>
  </w:style>
  <w:style w:type="character" w:styleId="1084" w:customStyle="1">
    <w:name w:val="超链接1"/>
    <w:basedOn w:val="1024"/>
    <w:link w:val="834"/>
    <w:uiPriority w:val="99"/>
    <w:unhideWhenUsed/>
    <w:qFormat/>
    <w:rPr>
      <w:color w:val="0000ff"/>
      <w:u w:val="single"/>
    </w:rPr>
  </w:style>
  <w:style w:type="paragraph" w:styleId="1085" w:customStyle="1">
    <w:name w:val="Heading 2"/>
    <w:basedOn w:val="1086"/>
    <w:next w:val="1086"/>
    <w:uiPriority w:val="0"/>
    <w:qFormat/>
    <w:pPr>
      <w:ind w:left="1276"/>
      <w:jc w:val="left"/>
      <w:outlineLvl w:val="2"/>
    </w:pPr>
    <w:rPr>
      <w:rFonts w:ascii="宋体" w:hAnsi="宋体" w:cstheme="minorBidi"/>
      <w:b/>
      <w:bCs/>
      <w:sz w:val="32"/>
      <w:szCs w:val="32"/>
      <w:lang w:eastAsia="en-US"/>
    </w:rPr>
  </w:style>
  <w:style w:type="paragraph" w:styleId="1086" w:customStyle="1">
    <w:name w:val="正文4"/>
    <w:uiPriority w:val="0"/>
    <w:qFormat/>
    <w:pPr>
      <w:jc w:val="both"/>
      <w:widowControl w:val="off"/>
    </w:pPr>
    <w:rPr>
      <w:rFonts w:hint="default" w:ascii="Times New Roman" w:hAnsi="Times New Roman" w:eastAsia="宋体" w:cs="Times New Roman"/>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53135</dc:creator>
  <cp:lastModifiedBy>郭静</cp:lastModifiedBy>
  <cp:revision>10</cp:revision>
  <dcterms:created xsi:type="dcterms:W3CDTF">2025-03-11T09:55:00Z</dcterms:created>
  <dcterms:modified xsi:type="dcterms:W3CDTF">2026-04-20T04:04:53Z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eyJoZGlkIjoiZGEwZTdiNmVmMTdmOTU3ZGZmZjdjNzQ4ZmM0OTgwNTkiLCJ1c2VySWQiOiIzMTUwOTE3NCJ9</vt:lpwstr>
  </property>
  <property fmtid="{D5CDD505-2E9C-101B-9397-08002B2CF9AE}" pid="3" name="KSOProductBuildVer">
    <vt:lpwstr>2052-12.1.0.25225</vt:lpwstr>
  </property>
  <property fmtid="{D5CDD505-2E9C-101B-9397-08002B2CF9AE}" pid="4" name="ICV">
    <vt:lpwstr>7DFE66272BDB4627B98C7B5C1A8327B1_13</vt:lpwstr>
  </property>
</Properties>
</file>