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4"/>
        <w:jc w:val="center"/>
        <w:rPr>
          <w:rFonts w:hint="eastAsia" w:ascii="宋体" w:hAnsi="宋体" w:eastAsia="宋体" w:cs="宋体"/>
          <w:color w:val="000000" w:themeColor="text1"/>
          <w:sz w:val="40"/>
          <w:szCs w:val="36"/>
          <w:highlight w:val="none"/>
          <w14:textFill>
            <w14:solidFill>
              <w14:schemeClr w14:val="tx1"/>
            </w14:solidFill>
          </w14:textFill>
        </w:rPr>
      </w:pPr>
      <w:r/>
      <w:bookmarkStart w:id="0" w:name="_Hlk69393945"/>
      <w:r/>
      <w:bookmarkStart w:id="1" w:name="_Toc528771312"/>
      <w:r/>
      <w:bookmarkStart w:id="2" w:name="_Toc27744861"/>
      <w:r>
        <w:rPr>
          <w:rFonts w:hint="eastAsia" w:ascii="宋体" w:hAnsi="宋体"/>
          <w:sz w:val="32"/>
          <w:szCs w:val="32"/>
          <w:highlight w:val="none"/>
          <w:lang w:val="en-US" w:eastAsia="zh-CN"/>
        </w:rPr>
        <w:t xml:space="preserve">                                  SSXZB</w:t>
      </w:r>
      <w:r>
        <w:rPr>
          <w:rFonts w:hint="eastAsia" w:ascii="宋体" w:hAnsi="宋体"/>
          <w:sz w:val="32"/>
          <w:szCs w:val="32"/>
          <w:highlight w:val="none"/>
        </w:rPr>
        <w:t xml:space="preserve">-202</w:t>
      </w:r>
      <w:r>
        <w:rPr>
          <w:rFonts w:hint="eastAsia" w:ascii="宋体" w:hAnsi="宋体"/>
          <w:sz w:val="32"/>
          <w:szCs w:val="32"/>
          <w:highlight w:val="none"/>
          <w:lang w:val="en-US" w:eastAsia="zh-CN"/>
        </w:rPr>
        <w:t xml:space="preserve">6</w:t>
      </w:r>
      <w:r>
        <w:rPr>
          <w:rFonts w:hint="eastAsia" w:ascii="宋体" w:hAnsi="宋体"/>
          <w:sz w:val="32"/>
          <w:szCs w:val="32"/>
          <w:highlight w:val="none"/>
        </w:rPr>
        <w:t xml:space="preserve">0</w:t>
      </w:r>
      <w:r>
        <w:rPr>
          <w:rFonts w:hint="eastAsia" w:ascii="宋体" w:hAnsi="宋体"/>
          <w:sz w:val="32"/>
          <w:szCs w:val="32"/>
          <w:highlight w:val="none"/>
          <w:lang w:val="en-US" w:eastAsia="zh-CN"/>
        </w:rPr>
        <w:t xml:space="preserve">4</w:t>
      </w:r>
      <w:r>
        <w:rPr>
          <w:rFonts w:hint="eastAsia" w:ascii="宋体" w:hAnsi="宋体"/>
          <w:sz w:val="32"/>
          <w:szCs w:val="32"/>
          <w:highlight w:val="none"/>
        </w:rPr>
        <w:t xml:space="preserve">0</w:t>
      </w:r>
      <w:r>
        <w:rPr>
          <w:rFonts w:hint="eastAsia" w:ascii="宋体" w:hAnsi="宋体"/>
          <w:sz w:val="32"/>
          <w:szCs w:val="32"/>
          <w:highlight w:val="none"/>
          <w:lang w:val="en-US" w:eastAsia="zh-CN"/>
        </w:rPr>
        <w:t xml:space="preserve">9</w:t>
      </w:r>
      <w:r>
        <w:rPr>
          <w:rFonts w:hint="eastAsia" w:ascii="宋体" w:hAnsi="宋体"/>
          <w:sz w:val="32"/>
          <w:szCs w:val="32"/>
          <w:highlight w:val="none"/>
        </w:rPr>
        <w:t xml:space="preserve">号</w:t>
      </w:r>
      <w:r/>
    </w:p>
    <w:p>
      <w:pPr>
        <w:ind w:right="84"/>
        <w:jc w:val="center"/>
        <w:rPr>
          <w:rFonts w:hint="eastAsia" w:ascii="宋体" w:hAnsi="宋体" w:eastAsia="宋体" w:cs="宋体"/>
          <w:color w:val="000000" w:themeColor="text1"/>
          <w:sz w:val="40"/>
          <w:szCs w:val="36"/>
          <w:highlight w:val="none"/>
          <w14:textFill>
            <w14:solidFill>
              <w14:schemeClr w14:val="tx1"/>
            </w14:solidFill>
          </w14:textFill>
        </w:rPr>
      </w:pPr>
      <w:r>
        <w:rPr>
          <w:rFonts w:hint="eastAsia" w:ascii="宋体" w:hAnsi="宋体" w:eastAsia="宋体" w:cs="宋体"/>
          <w:color w:val="000000" w:themeColor="text1"/>
          <w:sz w:val="40"/>
          <w:szCs w:val="36"/>
          <w:highlight w:val="none"/>
          <w14:textFill>
            <w14:solidFill>
              <w14:schemeClr w14:val="tx1"/>
            </w14:solidFill>
          </w14:textFill>
        </w:rPr>
      </w:r>
      <w:r/>
    </w:p>
    <w:p>
      <w:pPr>
        <w:ind w:right="84"/>
        <w:jc w:val="center"/>
        <w:rPr>
          <w:rFonts w:hint="eastAsia" w:ascii="宋体" w:hAnsi="宋体" w:cs="宋体"/>
          <w:color w:val="000000" w:themeColor="text1"/>
          <w:sz w:val="44"/>
          <w:szCs w:val="44"/>
          <w:highlight w:val="yellow"/>
          <w:lang w:eastAsia="zh-CN"/>
          <w14:textFill>
            <w14:solidFill>
              <w14:schemeClr w14:val="tx1"/>
            </w14:solidFill>
          </w14:textFill>
        </w:rPr>
        <w:outlineLvl w:val="0"/>
      </w:pPr>
      <w:r/>
      <w:bookmarkStart w:id="3" w:name="_Toc23403"/>
      <w:r/>
      <w:r/>
    </w:p>
    <w:p>
      <w:pPr>
        <w:ind w:right="84"/>
        <w:jc w:val="center"/>
        <w:rPr>
          <w:rFonts w:hint="eastAsia" w:ascii="宋体" w:hAnsi="宋体" w:eastAsia="宋体" w:cs="宋体"/>
          <w:color w:val="000000" w:themeColor="text1"/>
          <w:sz w:val="44"/>
          <w:szCs w:val="44"/>
          <w:highlight w:val="none"/>
          <w14:textFill>
            <w14:solidFill>
              <w14:schemeClr w14:val="tx1"/>
            </w14:solidFill>
          </w14:textFill>
        </w:rPr>
        <w:outlineLvl w:val="0"/>
      </w:pPr>
      <w:r>
        <w:rPr>
          <w:rFonts w:hint="eastAsia" w:ascii="宋体" w:hAnsi="宋体" w:cs="宋体"/>
          <w:color w:val="000000" w:themeColor="text1"/>
          <w:sz w:val="44"/>
          <w:szCs w:val="44"/>
          <w:highlight w:val="none"/>
          <w:lang w:eastAsia="zh-CN"/>
          <w14:textFill>
            <w14:solidFill>
              <w14:schemeClr w14:val="tx1"/>
            </w14:solidFill>
          </w14:textFill>
        </w:rPr>
        <w:t xml:space="preserve">扬州市江都区2026年农村生态河道建设项目二标段(小纪镇)</w:t>
      </w:r>
      <w:r>
        <w:rPr>
          <w:rFonts w:hint="eastAsia" w:ascii="宋体" w:hAnsi="宋体" w:eastAsia="宋体" w:cs="宋体"/>
          <w:color w:val="000000" w:themeColor="text1"/>
          <w:sz w:val="44"/>
          <w:szCs w:val="44"/>
          <w:highlight w:val="none"/>
          <w14:textFill>
            <w14:solidFill>
              <w14:schemeClr w14:val="tx1"/>
            </w14:solidFill>
          </w14:textFill>
        </w:rPr>
        <w:t xml:space="preserve">竞争性磋商文件</w:t>
      </w:r>
      <w:bookmarkEnd w:id="3"/>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pStyle w:val="1023"/>
        <w:spacing w:before="0" w:after="0" w:line="24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rPr>
          <w:rFonts w:hint="eastAsia"/>
          <w:lang w:val="en-US" w:eastAsia="zh-CN"/>
        </w:rPr>
      </w:pPr>
      <w:r>
        <w:rPr>
          <w:rFonts w:hint="eastAsia"/>
          <w:lang w:val="en-US" w:eastAsia="zh-CN"/>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sz w:val="36"/>
          <w:lang w:val="en-US" w:eastAsia="zh-CN"/>
        </w:rPr>
        <w:t xml:space="preserve">          </w:t>
      </w:r>
      <w:r>
        <w:rPr>
          <w:rFonts w:ascii="宋体" w:hAnsi="宋体"/>
          <w:sz w:val="36"/>
          <w:lang w:val="zh-CN"/>
        </w:rPr>
        <mc:AlternateContent>
          <mc:Choice Requires="wpg">
            <w:drawing>
              <wp:inline xmlns:wp="http://schemas.openxmlformats.org/drawingml/2006/wordprocessingDrawing" distT="0" distB="0" distL="0" distR="0">
                <wp:extent cx="2982595" cy="2022475"/>
                <wp:effectExtent l="0" t="0" r="8255" b="1587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2982595" cy="202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34.8pt;height:159.2pt;mso-wrap-distance-left:0.0pt;mso-wrap-distance-top:0.0pt;mso-wrap-distance-right:0.0pt;mso-wrap-distance-bottom:0.0pt;" stroked="f">
                <v:path textboxrect="0,0,0,0"/>
                <v:imagedata r:id="rId16" o:title=""/>
              </v:shape>
            </w:pict>
          </mc:Fallback>
        </mc:AlternateContent>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ind w:right="934"/>
        <w:jc w:val="center"/>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ind w:right="934"/>
        <w:jc w:val="both"/>
        <w:rPr>
          <w:rFonts w:hint="eastAsia" w:ascii="宋体" w:hAnsi="宋体" w:eastAsia="宋体" w:cs="宋体"/>
          <w:color w:val="000000" w:themeColor="text1"/>
          <w:sz w:val="32"/>
          <w:szCs w:val="36"/>
          <w:highlight w:val="none"/>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r>
      <w:r/>
    </w:p>
    <w:p>
      <w:pPr>
        <w:pStyle w:val="1023"/>
        <w:rPr>
          <w:rFonts w:hint="eastAsia" w:ascii="宋体" w:hAnsi="宋体" w:eastAsia="宋体" w:cs="宋体"/>
          <w:color w:val="000000" w:themeColor="text1"/>
          <w:szCs w:val="36"/>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r>
      <w:r/>
    </w:p>
    <w:p>
      <w:pPr>
        <w:ind w:right="934" w:firstLine="640"/>
        <w:jc w:val="both"/>
        <w:rPr>
          <w:rFonts w:hint="eastAsia" w:ascii="宋体" w:hAnsi="宋体" w:eastAsia="宋体" w:cs="宋体"/>
          <w:color w:val="000000" w:themeColor="text1"/>
          <w:sz w:val="32"/>
          <w:szCs w:val="36"/>
          <w:highlight w:val="none"/>
          <w:lang w:eastAsia="zh-CN"/>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t xml:space="preserve">采</w:t>
      </w:r>
      <w:r>
        <w:rPr>
          <w:rFonts w:hint="eastAsia" w:ascii="宋体" w:hAnsi="宋体" w:eastAsia="宋体" w:cs="宋体"/>
          <w:color w:val="000000" w:themeColor="text1"/>
          <w:sz w:val="32"/>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6"/>
          <w:highlight w:val="none"/>
          <w14:textFill>
            <w14:solidFill>
              <w14:schemeClr w14:val="tx1"/>
            </w14:solidFill>
          </w14:textFill>
        </w:rPr>
        <w:t xml:space="preserve">购</w:t>
      </w:r>
      <w:r>
        <w:rPr>
          <w:rFonts w:hint="eastAsia" w:ascii="宋体" w:hAnsi="宋体" w:eastAsia="宋体" w:cs="宋体"/>
          <w:color w:val="000000" w:themeColor="text1"/>
          <w:sz w:val="32"/>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6"/>
          <w:highlight w:val="none"/>
          <w14:textFill>
            <w14:solidFill>
              <w14:schemeClr w14:val="tx1"/>
            </w14:solidFill>
          </w14:textFill>
        </w:rPr>
        <w:t xml:space="preserve">人：</w:t>
      </w:r>
      <w:r>
        <w:rPr>
          <w:rFonts w:hint="eastAsia" w:ascii="宋体" w:hAnsi="宋体" w:cs="宋体"/>
          <w:color w:val="000000" w:themeColor="text1"/>
          <w:sz w:val="32"/>
          <w:szCs w:val="36"/>
          <w:highlight w:val="none"/>
          <w:lang w:eastAsia="zh-CN"/>
          <w14:textFill>
            <w14:solidFill>
              <w14:schemeClr w14:val="tx1"/>
            </w14:solidFill>
          </w14:textFill>
        </w:rPr>
        <w:t xml:space="preserve">扬州市江都区小纪镇人民政府</w:t>
      </w:r>
      <w:r/>
    </w:p>
    <w:p>
      <w:pPr>
        <w:ind w:right="934" w:firstLine="640"/>
        <w:jc w:val="both"/>
        <w:rPr>
          <w:rFonts w:hint="eastAsia" w:ascii="宋体" w:hAnsi="宋体" w:eastAsia="宋体" w:cs="宋体"/>
          <w:color w:val="000000" w:themeColor="text1"/>
          <w:sz w:val="32"/>
          <w:szCs w:val="36"/>
          <w:highlight w:val="none"/>
          <w:lang w:eastAsia="zh-CN"/>
          <w14:textFill>
            <w14:solidFill>
              <w14:schemeClr w14:val="tx1"/>
            </w14:solidFill>
          </w14:textFill>
        </w:rPr>
      </w:pPr>
      <w:r>
        <w:rPr>
          <w:rFonts w:hint="eastAsia" w:ascii="宋体" w:hAnsi="宋体" w:eastAsia="宋体" w:cs="宋体"/>
          <w:color w:val="000000" w:themeColor="text1"/>
          <w:sz w:val="32"/>
          <w:szCs w:val="36"/>
          <w:highlight w:val="none"/>
          <w14:textFill>
            <w14:solidFill>
              <w14:schemeClr w14:val="tx1"/>
            </w14:solidFill>
          </w14:textFill>
        </w:rPr>
        <w:t xml:space="preserve">代理机构：</w:t>
      </w:r>
      <w:r>
        <w:rPr>
          <w:rFonts w:hint="eastAsia" w:ascii="宋体" w:hAnsi="宋体" w:cs="宋体"/>
          <w:color w:val="000000" w:themeColor="text1"/>
          <w:sz w:val="32"/>
          <w:szCs w:val="36"/>
          <w:highlight w:val="none"/>
          <w:lang w:eastAsia="zh-CN"/>
          <w14:textFill>
            <w14:solidFill>
              <w14:schemeClr w14:val="tx1"/>
            </w14:solidFill>
          </w14:textFill>
        </w:rPr>
        <w:t xml:space="preserve">江苏三思行房地产评估造价有限公司</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二〇二</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6"/>
          <w:szCs w:val="36"/>
          <w:highlight w:val="none"/>
          <w14:textFill>
            <w14:solidFill>
              <w14:schemeClr w14:val="tx1"/>
            </w14:solidFill>
          </w14:textFill>
        </w:rPr>
        <w:t xml:space="preserve">年</w:t>
      </w:r>
      <w:r>
        <w:rPr>
          <w:rFonts w:hint="eastAsia" w:ascii="宋体" w:hAnsi="宋体" w:cs="宋体"/>
          <w:color w:val="000000" w:themeColor="text1"/>
          <w:sz w:val="36"/>
          <w:szCs w:val="36"/>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6"/>
          <w:szCs w:val="36"/>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 录</w:t>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"1-3" \f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第一章 竞争性磋商采购公告</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_Toc24299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磋商须知</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_Toc23352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_Toc24601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项目需求</w:t>
      </w:r>
      <w:r>
        <w:rPr>
          <w:rFonts w:hint="eastAsia" w:ascii="宋体" w:hAnsi="宋体" w:cs="宋体"/>
          <w:color w:val="000000" w:themeColor="text1"/>
          <w:sz w:val="28"/>
          <w:szCs w:val="28"/>
          <w:highlight w:val="none"/>
          <w:lang w:val="en-US" w:eastAsia="zh-CN"/>
          <w14:textFill>
            <w14:solidFill>
              <w14:schemeClr w14:val="tx1"/>
            </w14:solidFill>
          </w14:textFill>
        </w:rPr>
        <w:t xml:space="preserve">........................................31</w:t>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评审方法及评审标准</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_Toc10645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b/>
        </w:rPr>
        <w:t xml:space="preserve">错误！未定义书签。</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46"/>
        <w:jc w:val="both"/>
        <w:spacing w:line="360" w:lineRule="auto"/>
        <w:tabs>
          <w:tab w:val="right" w:pos="9922"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竞争性磋商响应文件式</w:t>
      </w:r>
      <w:r>
        <w:rPr>
          <w:rFonts w:hint="eastAsia" w:ascii="宋体" w:hAnsi="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_Toc7178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37</w:t>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1020"/>
        <w:spacing w:line="360" w:lineRule="auto"/>
        <w:rPr>
          <w:rFonts w:hint="eastAsia" w:ascii="宋体" w:hAnsi="宋体" w:eastAsia="宋体" w:cs="宋体"/>
          <w:color w:val="000000" w:themeColor="text1"/>
          <w:szCs w:val="36"/>
          <w:highlight w:val="none"/>
          <w14:textFill>
            <w14:solidFill>
              <w14:schemeClr w14:val="tx1"/>
            </w14:solidFill>
          </w14:textFill>
        </w:rPr>
        <w:sectPr>
          <w:headerReference w:type="default" r:id="rId9"/>
          <w:footerReference w:type="default" r:id="rId11"/>
          <w:footerReference w:type="first" r:id="rId12"/>
          <w:footnotePr/>
          <w:endnotePr/>
          <w:type w:val="nextPage"/>
          <w:pgSz w:w="11906" w:h="16838" w:orient="portrait"/>
          <w:pgMar w:top="1440" w:right="1803" w:bottom="1440" w:left="1803" w:header="851" w:footer="992" w:gutter="0"/>
          <w:pgNumType w:start="1"/>
          <w:cols w:num="1" w:sep="0" w:space="720" w:equalWidth="1"/>
          <w:docGrid w:linePitch="360"/>
          <w:titlePg/>
        </w:sectPr>
      </w:pPr>
      <w:r/>
      <w:bookmarkStart w:id="4" w:name="_Toc109304965"/>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5" w:name="_Toc152"/>
      <w:r/>
      <w:bookmarkStart w:id="6" w:name="_Toc24299"/>
      <w:r>
        <w:rPr>
          <w:rFonts w:hint="eastAsia" w:ascii="宋体" w:hAnsi="宋体" w:eastAsia="宋体" w:cs="宋体"/>
          <w:color w:val="000000" w:themeColor="text1"/>
          <w:sz w:val="36"/>
          <w:szCs w:val="36"/>
          <w:highlight w:val="none"/>
          <w14:textFill>
            <w14:solidFill>
              <w14:schemeClr w14:val="tx1"/>
            </w14:solidFill>
          </w14:textFill>
        </w:rPr>
        <w:t xml:space="preserve">第一章 </w:t>
      </w:r>
      <w:r>
        <w:rPr>
          <w:rFonts w:hint="eastAsia" w:ascii="宋体" w:hAnsi="宋体" w:cs="宋体"/>
          <w:color w:val="000000" w:themeColor="text1"/>
          <w:sz w:val="36"/>
          <w:szCs w:val="36"/>
          <w:highlight w:val="none"/>
          <w:lang w:eastAsia="zh-CN"/>
          <w14:textFill>
            <w14:solidFill>
              <w14:schemeClr w14:val="tx1"/>
            </w14:solidFill>
          </w14:textFill>
        </w:rPr>
        <w:t xml:space="preserve">扬州市江都区2026年农村生态河道建设项目二标段(小纪镇)</w:t>
      </w:r>
      <w:r>
        <w:rPr>
          <w:rFonts w:hint="eastAsia" w:ascii="宋体" w:hAnsi="宋体" w:eastAsia="宋体" w:cs="宋体"/>
          <w:color w:val="000000" w:themeColor="text1"/>
          <w:sz w:val="36"/>
          <w:szCs w:val="36"/>
          <w:highlight w:val="none"/>
          <w14:textFill>
            <w14:solidFill>
              <w14:schemeClr w14:val="tx1"/>
            </w14:solidFill>
          </w14:textFill>
        </w:rPr>
        <w:t xml:space="preserve">竞争性磋商采购公告</w:t>
      </w:r>
      <w:bookmarkEnd w:id="5"/>
      <w:r/>
      <w:bookmarkEnd w:id="6"/>
      <w:r/>
      <w:r/>
    </w:p>
    <w:p>
      <w:pPr>
        <w:ind w:firstLine="48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扬州市江都区小纪镇人民政府</w:t>
      </w:r>
      <w:r>
        <w:rPr>
          <w:rFonts w:hint="eastAsia" w:ascii="宋体" w:hAnsi="宋体" w:eastAsia="宋体" w:cs="宋体"/>
          <w:color w:val="000000" w:themeColor="text1"/>
          <w:sz w:val="21"/>
          <w:szCs w:val="21"/>
          <w:highlight w:val="none"/>
          <w14:textFill>
            <w14:solidFill>
              <w14:schemeClr w14:val="tx1"/>
            </w14:solidFill>
          </w14:textFill>
        </w:rPr>
        <w:t xml:space="preserve">）的委托，（</w:t>
      </w:r>
      <w:r>
        <w:rPr>
          <w:rFonts w:hint="eastAsia" w:ascii="宋体" w:hAnsi="宋体" w:cs="宋体"/>
          <w:color w:val="000000" w:themeColor="text1"/>
          <w:sz w:val="21"/>
          <w:szCs w:val="21"/>
          <w:highlight w:val="none"/>
          <w:lang w:eastAsia="zh-CN"/>
          <w14:textFill>
            <w14:solidFill>
              <w14:schemeClr w14:val="tx1"/>
            </w14:solidFill>
          </w14:textFill>
        </w:rPr>
        <w:t xml:space="preserve">江苏三思行房地产评估造价有限公司</w:t>
      </w:r>
      <w:r>
        <w:rPr>
          <w:rFonts w:hint="eastAsia" w:ascii="宋体" w:hAnsi="宋体" w:eastAsia="宋体" w:cs="宋体"/>
          <w:color w:val="000000" w:themeColor="text1"/>
          <w:sz w:val="21"/>
          <w:szCs w:val="21"/>
          <w:highlight w:val="none"/>
          <w14:textFill>
            <w14:solidFill>
              <w14:schemeClr w14:val="tx1"/>
            </w14:solidFill>
          </w14:textFill>
        </w:rPr>
        <w:t xml:space="preserve">）关于（</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扬州市江都区2026年农村生态河道建设项目二标段(小纪镇)</w:t>
      </w:r>
      <w:r>
        <w:rPr>
          <w:rFonts w:hint="eastAsia" w:ascii="宋体" w:hAnsi="宋体" w:eastAsia="宋体" w:cs="宋体"/>
          <w:color w:val="000000" w:themeColor="text1"/>
          <w:sz w:val="21"/>
          <w:szCs w:val="21"/>
          <w:highlight w:val="none"/>
          <w14:textFill>
            <w14:solidFill>
              <w14:schemeClr w14:val="tx1"/>
            </w14:solidFill>
          </w14:textFill>
        </w:rPr>
        <w:t xml:space="preserve">）实施政府采购，本次采购采用竞争性磋商方式，欢迎符合条件的供应商参加磋商。</w:t>
      </w:r>
      <w:r/>
    </w:p>
    <w:p>
      <w:pPr>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000000" w:themeColor="text1"/>
          <w:sz w:val="21"/>
          <w:szCs w:val="21"/>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扬州市江都区2026年农村生态河道建设项目二标段(小纪镇)</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采购项目的潜在供应商</w:t>
      </w:r>
      <w:r>
        <w:rPr>
          <w:rFonts w:hint="eastAsia" w:ascii="宋体" w:hAnsi="宋体" w:eastAsia="宋体" w:cs="宋体"/>
          <w:color w:val="000000" w:themeColor="text1"/>
          <w:sz w:val="21"/>
          <w:szCs w:val="21"/>
          <w:highlight w:val="none"/>
          <w:u w:val="single"/>
          <w14:textFill>
            <w14:solidFill>
              <w14:schemeClr w14:val="tx1"/>
            </w14:solidFill>
          </w14:textFill>
        </w:rPr>
        <w:t xml:space="preserve">可在“扬州市政府采购网”、“江苏省政府采购网”、自行免费下载</w:t>
      </w:r>
      <w:r>
        <w:rPr>
          <w:rFonts w:hint="eastAsia" w:ascii="宋体" w:hAnsi="宋体" w:eastAsia="宋体" w:cs="宋体"/>
          <w:color w:val="000000" w:themeColor="text1"/>
          <w:sz w:val="21"/>
          <w:szCs w:val="21"/>
          <w:highlight w:val="none"/>
          <w14:textFill>
            <w14:solidFill>
              <w14:schemeClr w14:val="tx1"/>
            </w14:solidFill>
          </w14:textFill>
        </w:rPr>
        <w:t xml:space="preserve">采购文件，并于</w:t>
      </w:r>
      <w:bookmarkStart w:id="448" w:name="_GoBack"/>
      <w:r/>
      <w:bookmarkEnd w:id="448"/>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2026年5月8日14点00分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（北京时间）前提交响应文件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7" w:name="_Toc30774"/>
      <w:r/>
      <w:bookmarkStart w:id="8" w:name="_Toc109304963"/>
      <w:r>
        <w:rPr>
          <w:rFonts w:hint="eastAsia" w:ascii="宋体" w:hAnsi="宋体" w:eastAsia="宋体" w:cs="宋体"/>
          <w:bCs w:val="0"/>
          <w:color w:val="000000" w:themeColor="text1"/>
          <w:sz w:val="21"/>
          <w:szCs w:val="21"/>
          <w:highlight w:val="none"/>
          <w14:textFill>
            <w14:solidFill>
              <w14:schemeClr w14:val="tx1"/>
            </w14:solidFill>
          </w14:textFill>
        </w:rPr>
        <w:t xml:space="preserve">一、项目基本情况</w:t>
      </w:r>
      <w:bookmarkEnd w:id="7"/>
      <w:r/>
      <w:bookmarkEnd w:id="8"/>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SSXZB-20260409</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扬州市江都区2026年农村生态河道建设项目二标段(小纪镇)</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3.采购方式：竞争性磋商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4.预算价：</w:t>
      </w:r>
      <w:r>
        <w:rPr>
          <w:rFonts w:hint="eastAsia" w:ascii="宋体" w:hAnsi="宋体" w:cs="宋体"/>
          <w:color w:val="000000" w:themeColor="text1"/>
          <w:sz w:val="21"/>
          <w:szCs w:val="21"/>
          <w:highlight w:val="yellow"/>
          <w:lang w:eastAsia="zh-CN"/>
          <w14:textFill>
            <w14:solidFill>
              <w14:schemeClr w14:val="tx1"/>
            </w14:solidFill>
          </w14:textFill>
        </w:rPr>
        <w:t xml:space="preserve">183.113609</w:t>
      </w:r>
      <w:r>
        <w:rPr>
          <w:rFonts w:hint="eastAsia" w:ascii="宋体" w:hAnsi="宋体" w:eastAsia="宋体" w:cs="宋体"/>
          <w:color w:val="000000" w:themeColor="text1"/>
          <w:sz w:val="21"/>
          <w:szCs w:val="21"/>
          <w:highlight w:val="yellow"/>
          <w14:textFill>
            <w14:solidFill>
              <w14:schemeClr w14:val="tx1"/>
            </w14:solidFill>
          </w14:textFill>
        </w:rPr>
        <w:t xml:space="preserve">万元</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cs="宋体"/>
          <w:color w:val="000000" w:themeColor="text1"/>
          <w:sz w:val="21"/>
          <w:szCs w:val="21"/>
          <w:highlight w:val="yellow"/>
          <w:lang w:eastAsia="zh-CN"/>
          <w14:textFill>
            <w14:solidFill>
              <w14:schemeClr w14:val="tx1"/>
            </w14:solidFill>
          </w14:textFill>
        </w:rPr>
        <w:t xml:space="preserve">183.113609</w:t>
      </w:r>
      <w:r>
        <w:rPr>
          <w:rFonts w:hint="eastAsia" w:ascii="宋体" w:hAnsi="宋体" w:eastAsia="宋体" w:cs="宋体"/>
          <w:color w:val="000000" w:themeColor="text1"/>
          <w:sz w:val="21"/>
          <w:szCs w:val="21"/>
          <w:highlight w:val="yellow"/>
          <w14:textFill>
            <w14:solidFill>
              <w14:schemeClr w14:val="tx1"/>
            </w14:solidFill>
          </w14:textFill>
        </w:rPr>
        <w:t xml:space="preserve">万元</w:t>
      </w:r>
      <w:r>
        <w:rPr>
          <w:rFonts w:hint="eastAsia" w:ascii="宋体" w:hAnsi="宋体" w:eastAsia="宋体" w:cs="宋体"/>
          <w:color w:val="000000" w:themeColor="text1"/>
          <w:sz w:val="21"/>
          <w:szCs w:val="21"/>
          <w:highlight w:val="none"/>
          <w14:textFill>
            <w14:solidFill>
              <w14:schemeClr w14:val="tx1"/>
            </w14:solidFill>
          </w14:textFill>
        </w:rPr>
        <w:t xml:space="preserve">，报价高于最高限价的为无效标。</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5.采购需求：</w:t>
      </w:r>
      <w:r>
        <w:rPr>
          <w:rFonts w:hint="eastAsia" w:ascii="宋体" w:hAnsi="宋体" w:eastAsia="宋体" w:cs="宋体"/>
          <w:color w:val="000000" w:themeColor="text1"/>
          <w:sz w:val="21"/>
          <w:szCs w:val="21"/>
          <w:highlight w:val="none"/>
          <w:u w:val="none"/>
          <w14:textFill>
            <w14:solidFill>
              <w14:schemeClr w14:val="tx1"/>
            </w14:solidFill>
          </w14:textFill>
        </w:rPr>
        <w:t xml:space="preserve">详见磋商文件第四章</w:t>
      </w:r>
      <w:r>
        <w:rPr>
          <w:rFonts w:hint="eastAsia" w:ascii="宋体" w:hAnsi="宋体" w:cs="宋体"/>
          <w:color w:val="000000" w:themeColor="text1"/>
          <w:sz w:val="21"/>
          <w:szCs w:val="21"/>
          <w:highlight w:val="none"/>
          <w:u w:val="none"/>
          <w:lang w:eastAsia="zh-CN"/>
          <w14:textFill>
            <w14:solidFill>
              <w14:schemeClr w14:val="tx1"/>
            </w14:solidFill>
          </w14:textFill>
        </w:rPr>
        <w:t xml:space="preserve">。</w:t>
      </w:r>
      <w:r/>
    </w:p>
    <w:p>
      <w:pPr>
        <w:ind w:firstLine="420"/>
        <w:spacing w:line="360" w:lineRule="auto"/>
        <w:rPr>
          <w:rFonts w:hint="default" w:ascii="宋体" w:hAnsi="宋体" w:eastAsia="宋体" w:cs="宋体"/>
          <w:color w:val="000000" w:themeColor="text1"/>
          <w:sz w:val="21"/>
          <w:szCs w:val="21"/>
          <w:highlight w:val="none"/>
          <w:u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6.合同履行期限：</w:t>
      </w:r>
      <w:r>
        <w:rPr>
          <w:rFonts w:hint="eastAsia" w:ascii="宋体" w:hAnsi="宋体" w:cs="宋体"/>
          <w:color w:val="000000" w:themeColor="text1"/>
          <w:sz w:val="21"/>
          <w:szCs w:val="21"/>
          <w:highlight w:val="yellow"/>
          <w:lang w:val="en-US" w:eastAsia="zh-CN"/>
          <w14:textFill>
            <w14:solidFill>
              <w14:schemeClr w14:val="tx1"/>
            </w14:solidFill>
          </w14:textFill>
        </w:rPr>
        <w:t xml:space="preserve">150日历天。</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7.本项目不接受联合体投标。</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9" w:name="_Toc32345"/>
      <w:r/>
      <w:bookmarkStart w:id="10" w:name="_Toc109304964"/>
      <w:r>
        <w:rPr>
          <w:rFonts w:hint="eastAsia" w:ascii="宋体" w:hAnsi="宋体" w:eastAsia="宋体" w:cs="宋体"/>
          <w:bCs w:val="0"/>
          <w:color w:val="000000" w:themeColor="text1"/>
          <w:sz w:val="21"/>
          <w:szCs w:val="21"/>
          <w:highlight w:val="none"/>
          <w14:textFill>
            <w14:solidFill>
              <w14:schemeClr w14:val="tx1"/>
            </w14:solidFill>
          </w14:textFill>
        </w:rPr>
        <w:t xml:space="preserve">二、申请人的资格要求：</w:t>
      </w:r>
      <w:bookmarkEnd w:id="9"/>
      <w:r/>
      <w:bookmarkEnd w:id="10"/>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法人或者其他组织的营业执照等证明文件，自然人的身份证明（身份证为正、反面）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 依法缴纳职工社会保障资金的证明材料（可提供“基本资格条件承诺函”）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 依法纳税的缴款凭证（可提供“基本资格条件承诺函”）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 具有良好的商业信誉和健全的财务会计制度（可提供“基本资格条件承诺函”）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 具备履行合同所必需的设备和专业技术能力（可提供“基本资格条件承诺函”）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14:ligatures w14:val="none"/>
        </w:rPr>
      </w:pPr>
      <w:r>
        <w:rPr>
          <w:rFonts w:hint="eastAsia" w:ascii="宋体" w:hAnsi="宋体" w:eastAsia="宋体" w:cs="宋体"/>
          <w:color w:val="000000" w:themeColor="text1"/>
          <w:sz w:val="21"/>
          <w:szCs w:val="21"/>
          <w:highlight w:val="none"/>
          <w14:textFill>
            <w14:solidFill>
              <w14:schemeClr w14:val="tx1"/>
            </w14:solidFill>
          </w14:textFill>
        </w:rPr>
        <w:t xml:space="preserve">1.6</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参加本次政府采购活动前3年内在经营活动中没有重大违法记录的书面声明（可提供“基本资格条件承诺函”）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供应商信用承诺函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落实政府采购政策需满足的资格要求：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3.本项目的特定资格要求：</w:t>
      </w:r>
      <w:bookmarkStart w:id="11" w:name="_Toc17557"/>
      <w:r/>
      <w:r/>
    </w:p>
    <w:p>
      <w:pPr>
        <w:ind w:left="0" w:right="0" w:firstLine="420"/>
        <w:jc w:val="both"/>
        <w:pageBreakBefore w:val="0"/>
        <w:spacing w:before="0" w:after="0" w:line="360" w:lineRule="auto"/>
        <w:rPr>
          <w:rFonts w:hint="eastAsia" w:ascii="宋体" w:hAnsi="宋体" w:eastAsia="宋体" w:cs="宋体"/>
          <w:i/>
          <w:iCs/>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lang w:val="en-US" w:eastAsia="zh-CN"/>
        </w:rPr>
        <w:t xml:space="preserve">3.</w:t>
      </w:r>
      <w:r>
        <w:rPr>
          <w:rFonts w:hint="eastAsia" w:ascii="宋体" w:hAnsi="宋体" w:eastAsia="宋体" w:cs="宋体"/>
          <w:i/>
          <w:iCs/>
          <w:color w:val="000000"/>
          <w:sz w:val="21"/>
          <w:szCs w:val="21"/>
          <w:u w:val="single"/>
        </w:rPr>
        <w:t xml:space="preserve">1供应商应具备水利水电工程施工总承包三级（含）以上资质</w:t>
      </w:r>
      <w:r>
        <w:rPr>
          <w:rFonts w:hint="eastAsia" w:ascii="宋体" w:hAnsi="宋体" w:eastAsia="宋体" w:cs="宋体"/>
          <w:b/>
          <w:bCs/>
          <w:i/>
          <w:iCs/>
          <w:color w:val="000000"/>
          <w:sz w:val="21"/>
          <w:szCs w:val="21"/>
          <w:u w:val="single"/>
        </w:rPr>
        <w:t xml:space="preserve">(供应商提供证书原件扫描上传）</w:t>
      </w:r>
      <w:r/>
    </w:p>
    <w:p>
      <w:pPr>
        <w:ind w:left="0" w:right="0" w:firstLine="420"/>
        <w:jc w:val="both"/>
        <w:pageBreakBefore w:val="0"/>
        <w:spacing w:before="0" w:after="0" w:line="360" w:lineRule="auto"/>
        <w:rPr>
          <w:rFonts w:hint="eastAsia" w:ascii="宋体" w:hAnsi="宋体" w:eastAsia="宋体" w:cs="宋体"/>
          <w:i/>
          <w:iCs/>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lang w:val="en-US" w:eastAsia="zh-CN"/>
        </w:rPr>
        <w:t xml:space="preserve">3.</w:t>
      </w:r>
      <w:r>
        <w:rPr>
          <w:rFonts w:hint="eastAsia" w:ascii="宋体" w:hAnsi="宋体" w:eastAsia="宋体" w:cs="宋体"/>
          <w:i/>
          <w:iCs/>
          <w:color w:val="000000"/>
          <w:sz w:val="21"/>
          <w:szCs w:val="21"/>
          <w:u w:val="single"/>
        </w:rPr>
        <w:t xml:space="preserve">2拟派项目经理为本公司正式员工，正常缴纳社会保险，无在建工程，应具有水利水电工程专业注册建造师二级（含）以上资格</w:t>
      </w:r>
      <w:r>
        <w:rPr>
          <w:rFonts w:hint="eastAsia" w:ascii="宋体" w:hAnsi="宋体" w:eastAsia="宋体" w:cs="宋体"/>
          <w:b/>
          <w:bCs/>
          <w:i/>
          <w:iCs/>
          <w:color w:val="000000"/>
          <w:sz w:val="21"/>
          <w:szCs w:val="21"/>
          <w:u w:val="single"/>
        </w:rPr>
        <w:t xml:space="preserve">（供应商提供上述人员证书原件扫描上传、供应商为其缴纳的近三个月内任意一个月社保证明原件扫描上传、项目经理无在建工程承诺书原件扫描上传）</w:t>
      </w:r>
      <w:r/>
    </w:p>
    <w:p>
      <w:pPr>
        <w:ind w:left="0" w:right="0" w:firstLine="420"/>
        <w:jc w:val="both"/>
        <w:pageBreakBefore w:val="0"/>
        <w:spacing w:before="0" w:after="0" w:line="360" w:lineRule="auto"/>
        <w:rPr>
          <w:rFonts w:hint="eastAsia" w:ascii="宋体" w:hAnsi="宋体" w:eastAsia="宋体" w:cs="宋体"/>
          <w:i/>
          <w:iCs/>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lang w:val="en-US" w:eastAsia="zh-CN"/>
        </w:rPr>
        <w:t xml:space="preserve">3.</w:t>
      </w:r>
      <w:r>
        <w:rPr>
          <w:rFonts w:hint="eastAsia" w:ascii="宋体" w:hAnsi="宋体" w:eastAsia="宋体" w:cs="宋体"/>
          <w:i/>
          <w:iCs/>
          <w:color w:val="000000"/>
          <w:sz w:val="21"/>
          <w:szCs w:val="21"/>
          <w:u w:val="single"/>
        </w:rPr>
        <w:t xml:space="preserve">3供应商具备安全生产条件，并取得有效期内的安全生产许可证</w:t>
      </w:r>
      <w:r>
        <w:rPr>
          <w:rFonts w:hint="eastAsia" w:ascii="宋体" w:hAnsi="宋体" w:eastAsia="宋体" w:cs="宋体"/>
          <w:b/>
          <w:bCs/>
          <w:i/>
          <w:iCs/>
          <w:color w:val="000000"/>
          <w:sz w:val="21"/>
          <w:szCs w:val="21"/>
          <w:u w:val="single"/>
        </w:rPr>
        <w:t xml:space="preserve">(供应商提供证书原件扫描上传）</w:t>
      </w:r>
      <w:r/>
    </w:p>
    <w:p>
      <w:pPr>
        <w:ind w:left="0" w:right="0" w:firstLine="420"/>
        <w:jc w:val="both"/>
        <w:pageBreakBefore w:val="0"/>
        <w:spacing w:before="0" w:after="0" w:line="360" w:lineRule="auto"/>
        <w:rPr>
          <w:rFonts w:ascii="宋体" w:hAnsi="宋体" w:eastAsia="宋体" w:cs="宋体"/>
          <w:b/>
          <w:bCs/>
          <w:i/>
          <w:color w:val="000000"/>
          <w:sz w:val="21"/>
          <w:szCs w:val="21"/>
          <w:u w:val="singl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lang w:val="en-US" w:eastAsia="zh-CN"/>
        </w:rPr>
        <w:t xml:space="preserve">3.</w:t>
      </w:r>
      <w:r>
        <w:rPr>
          <w:rFonts w:hint="eastAsia" w:ascii="宋体" w:hAnsi="宋体" w:eastAsia="宋体" w:cs="宋体"/>
          <w:i/>
          <w:iCs/>
          <w:color w:val="000000"/>
          <w:sz w:val="21"/>
          <w:szCs w:val="21"/>
          <w:u w:val="single"/>
        </w:rPr>
        <w:t xml:space="preserve">4供应商主要负责人、项目经理、专职安全员（下称“三类人员”）均应具有水行政主管部门颁发的安全生产考核合格证（分别为A、B、C类）。</w:t>
      </w:r>
      <w:r>
        <w:rPr>
          <w:rFonts w:hint="eastAsia" w:ascii="宋体" w:hAnsi="宋体" w:eastAsia="宋体" w:cs="宋体"/>
          <w:b/>
          <w:bCs/>
          <w:i/>
          <w:iCs/>
          <w:color w:val="000000"/>
          <w:sz w:val="21"/>
          <w:szCs w:val="21"/>
          <w:u w:val="single"/>
        </w:rPr>
        <w:t xml:space="preserve">(供应商提供证书原件扫描上传、供应商为其缴纳的近三个月内任意一个月社保证明原件扫描上传）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三、获取采购文件</w:t>
      </w:r>
      <w:bookmarkEnd w:id="4"/>
      <w:r/>
      <w:bookmarkEnd w:id="11"/>
      <w:r/>
      <w:r/>
    </w:p>
    <w:p>
      <w:pPr>
        <w:ind w:firstLine="5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1.时间：自磋商公告发布之日起5个工作日。5个工作日后仍可下载采购文件，但不作为供应商权益受到损害的证明材料和依据</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2.获取方式：本项目采用网上注册登记方式。</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3.潜在供应商访问政府采购管理交易系统（苏采云）的网络地址和方法：</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宋体"/>
          <w:b w:val="0"/>
          <w:bCs w:val="0"/>
          <w:color w:val="000000" w:themeColor="text1"/>
          <w:sz w:val="21"/>
          <w:szCs w:val="21"/>
          <w:highlight w:val="none"/>
          <w:u w:val="singl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（7）苏采云系统使用谷歌浏览器参与不见面开标。</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2" w:name="_Toc15334"/>
      <w:r/>
      <w:bookmarkStart w:id="13" w:name="_Toc109304966"/>
      <w:r>
        <w:rPr>
          <w:rFonts w:hint="eastAsia" w:ascii="宋体" w:hAnsi="宋体" w:eastAsia="宋体" w:cs="宋体"/>
          <w:bCs w:val="0"/>
          <w:color w:val="000000" w:themeColor="text1"/>
          <w:sz w:val="21"/>
          <w:szCs w:val="21"/>
          <w:highlight w:val="none"/>
          <w14:textFill>
            <w14:solidFill>
              <w14:schemeClr w14:val="tx1"/>
            </w14:solidFill>
          </w14:textFill>
        </w:rPr>
        <w:t xml:space="preserve">四、响应文件提交</w:t>
      </w:r>
      <w:bookmarkEnd w:id="12"/>
      <w:r/>
      <w:bookmarkEnd w:id="13"/>
      <w:r/>
      <w:r/>
    </w:p>
    <w:p>
      <w:pPr>
        <w:ind w:firstLine="420"/>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1.截止时间：</w:t>
      </w:r>
      <w:r>
        <w:rPr>
          <w:rFonts w:hint="eastAsia" w:ascii="宋体" w:hAnsi="宋体" w:cs="宋体"/>
          <w:bCs/>
          <w:color w:val="000000" w:themeColor="text1"/>
          <w:sz w:val="21"/>
          <w:szCs w:val="21"/>
          <w:highlight w:val="yellow"/>
          <w:u w:val="single"/>
          <w:lang w:eastAsia="zh-CN"/>
          <w14:textFill>
            <w14:solidFill>
              <w14:schemeClr w14:val="tx1"/>
            </w14:solidFill>
          </w14:textFill>
        </w:rPr>
        <w:t xml:space="preserve">2026年5月8日14点00分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val="0"/>
          <w:bCs w:val="0"/>
          <w:color w:val="000000" w:themeColor="text1"/>
          <w:sz w:val="21"/>
          <w:szCs w:val="21"/>
          <w:highlight w:val="none"/>
          <w:u w:val="single"/>
          <w14:textFill>
            <w14:solidFill>
              <w14:schemeClr w14:val="tx1"/>
            </w14:solidFill>
          </w14:textFill>
        </w:rPr>
      </w:pPr>
      <w:r/>
      <w:bookmarkStart w:id="14" w:name="_Toc109304967"/>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2.投标地点：“苏采云”系统（网址：http://jszfcg.jsczt.cn/）“报名详情”</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5" w:name="_Toc15383"/>
      <w:r>
        <w:rPr>
          <w:rFonts w:hint="eastAsia" w:ascii="宋体" w:hAnsi="宋体" w:eastAsia="宋体" w:cs="宋体"/>
          <w:bCs w:val="0"/>
          <w:color w:val="000000" w:themeColor="text1"/>
          <w:sz w:val="21"/>
          <w:szCs w:val="21"/>
          <w:highlight w:val="none"/>
          <w14:textFill>
            <w14:solidFill>
              <w14:schemeClr w14:val="tx1"/>
            </w14:solidFill>
          </w14:textFill>
        </w:rPr>
        <w:t xml:space="preserve">五、开启</w:t>
      </w:r>
      <w:bookmarkEnd w:id="14"/>
      <w:r/>
      <w:bookmarkEnd w:id="15"/>
      <w:r/>
      <w:r/>
    </w:p>
    <w:p>
      <w:pPr>
        <w:pStyle w:val="1022"/>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1.时间</w:t>
      </w:r>
      <w:r>
        <w:rPr>
          <w:rFonts w:hint="eastAsia" w:ascii="宋体" w:hAnsi="宋体" w:cs="宋体"/>
          <w:bCs/>
          <w:color w:val="000000" w:themeColor="text1"/>
          <w:sz w:val="21"/>
          <w:szCs w:val="21"/>
          <w:highlight w:val="yellow"/>
          <w:u w:val="single"/>
          <w:lang w:eastAsia="zh-CN"/>
          <w14:textFill>
            <w14:solidFill>
              <w14:schemeClr w14:val="tx1"/>
            </w14:solidFill>
          </w14:textFill>
        </w:rPr>
        <w:t xml:space="preserve">2026年5月8日14点00分</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ind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bookmarkStart w:id="16" w:name="_Toc109304968"/>
      <w:r>
        <w:rPr>
          <w:rFonts w:hint="eastAsia" w:ascii="宋体" w:hAnsi="宋体" w:eastAsia="宋体" w:cs="宋体"/>
          <w:b w:val="0"/>
          <w:bCs/>
          <w:color w:val="000000" w:themeColor="text1"/>
          <w:sz w:val="21"/>
          <w:szCs w:val="21"/>
          <w:highlight w:val="none"/>
          <w14:textFill>
            <w14:solidFill>
              <w14:schemeClr w14:val="tx1"/>
            </w14:solidFill>
          </w14:textFill>
        </w:rPr>
        <w:t xml:space="preserve">2.开标地点：“苏采云”系统（网址：http://jszfcg.jsczt.cn/）“开标大厅”</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17" w:name="_Toc31874"/>
      <w:r>
        <w:rPr>
          <w:rFonts w:hint="eastAsia" w:ascii="宋体" w:hAnsi="宋体" w:eastAsia="宋体" w:cs="宋体"/>
          <w:bCs w:val="0"/>
          <w:color w:val="000000" w:themeColor="text1"/>
          <w:sz w:val="21"/>
          <w:szCs w:val="21"/>
          <w:highlight w:val="none"/>
          <w14:textFill>
            <w14:solidFill>
              <w14:schemeClr w14:val="tx1"/>
            </w14:solidFill>
          </w14:textFill>
        </w:rPr>
        <w:t xml:space="preserve">六、公告期限</w:t>
      </w:r>
      <w:bookmarkEnd w:id="16"/>
      <w:r/>
      <w:bookmarkEnd w:id="17"/>
      <w:r/>
      <w:r/>
    </w:p>
    <w:p>
      <w:pPr>
        <w:ind w:firstLine="422"/>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自本公告发布之日起5个工作日。</w:t>
      </w:r>
      <w:r/>
    </w:p>
    <w:p>
      <w:pPr>
        <w:pStyle w:val="1021"/>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8" w:name="_Toc24056"/>
      <w:r/>
      <w:bookmarkStart w:id="19" w:name="_Toc109304969"/>
      <w:r>
        <w:rPr>
          <w:rFonts w:hint="eastAsia" w:ascii="宋体" w:hAnsi="宋体" w:eastAsia="宋体" w:cs="宋体"/>
          <w:color w:val="000000" w:themeColor="text1"/>
          <w:sz w:val="21"/>
          <w:szCs w:val="21"/>
          <w:highlight w:val="none"/>
          <w14:textFill>
            <w14:solidFill>
              <w14:schemeClr w14:val="tx1"/>
            </w14:solidFill>
          </w14:textFill>
        </w:rPr>
        <w:t xml:space="preserve">七、其他补充事宜</w:t>
      </w:r>
      <w:bookmarkEnd w:id="18"/>
      <w:r/>
      <w:bookmarkEnd w:id="19"/>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无</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0" w:name="_Toc24673"/>
      <w:r/>
      <w:bookmarkStart w:id="21" w:name="_Toc109304970"/>
      <w:r>
        <w:rPr>
          <w:rFonts w:hint="eastAsia" w:ascii="宋体" w:hAnsi="宋体" w:eastAsia="宋体" w:cs="宋体"/>
          <w:bCs w:val="0"/>
          <w:color w:val="000000" w:themeColor="text1"/>
          <w:sz w:val="21"/>
          <w:szCs w:val="21"/>
          <w:highlight w:val="none"/>
          <w14:textFill>
            <w14:solidFill>
              <w14:schemeClr w14:val="tx1"/>
            </w14:solidFill>
          </w14:textFill>
        </w:rPr>
        <w:t xml:space="preserve">八、本次竞争性磋商联系方式</w:t>
      </w:r>
      <w:bookmarkEnd w:id="20"/>
      <w:r/>
      <w:bookmarkEnd w:id="21"/>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称：</w:t>
      </w:r>
      <w:r>
        <w:rPr>
          <w:rFonts w:hint="eastAsia" w:ascii="宋体" w:hAnsi="宋体" w:cs="宋体"/>
          <w:color w:val="000000" w:themeColor="text1"/>
          <w:sz w:val="21"/>
          <w:szCs w:val="21"/>
          <w:highlight w:val="yellow"/>
          <w:u w:val="none"/>
          <w:lang w:eastAsia="zh-CN"/>
          <w14:textFill>
            <w14:solidFill>
              <w14:schemeClr w14:val="tx1"/>
            </w14:solidFill>
          </w14:textFill>
        </w:rPr>
        <w:t xml:space="preserve">扬州市江都区小纪镇人民政府</w:t>
      </w:r>
      <w:r/>
    </w:p>
    <w:p>
      <w:pPr>
        <w:ind w:firstLine="420"/>
        <w:jc w:val="left"/>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址：</w:t>
      </w:r>
      <w:r>
        <w:rPr>
          <w:rFonts w:hint="eastAsia" w:ascii="宋体" w:hAnsi="宋体" w:cs="宋体"/>
          <w:color w:val="000000" w:themeColor="text1"/>
          <w:sz w:val="21"/>
          <w:szCs w:val="21"/>
          <w:highlight w:val="yellow"/>
          <w:u w:val="none"/>
          <w:lang w:eastAsia="zh-CN"/>
          <w14:textFill>
            <w14:solidFill>
              <w14:schemeClr w14:val="tx1"/>
            </w14:solidFill>
          </w14:textFill>
        </w:rPr>
        <w:t xml:space="preserve">扬州市江都区小纪镇人民中路15号</w:t>
      </w:r>
      <w:r/>
    </w:p>
    <w:p>
      <w:pPr>
        <w:ind w:firstLine="420"/>
        <w:jc w:val="left"/>
        <w:spacing w:line="360" w:lineRule="auto"/>
        <w:rPr>
          <w:rFonts w:hint="eastAsia" w:ascii="宋体" w:hAnsi="宋体" w:eastAsia="宋体" w:cs="宋体"/>
          <w:color w:val="000000" w:themeColor="text1"/>
          <w:sz w:val="21"/>
          <w:szCs w:val="21"/>
          <w:highlight w:val="none"/>
          <w:u w:val="none"/>
          <w:lang w:eastAsia="zh-CN"/>
          <w14:textFill>
            <w14:solidFill>
              <w14:schemeClr w14:val="tx1"/>
            </w14:solidFill>
          </w14:textFill>
        </w:rPr>
      </w:pPr>
      <w:r>
        <w:rPr>
          <w:rFonts w:hint="eastAsia" w:ascii="宋体" w:hAnsi="宋体" w:cs="宋体"/>
          <w:color w:val="000000" w:themeColor="text1"/>
          <w:sz w:val="21"/>
          <w:szCs w:val="21"/>
          <w:highlight w:val="none"/>
          <w:u w:val="none"/>
          <w:lang w:val="en-US"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u w:val="none"/>
          <w14:textFill>
            <w14:solidFill>
              <w14:schemeClr w14:val="tx1"/>
            </w14:solidFill>
          </w14:textFill>
        </w:rPr>
        <w:t xml:space="preserve">：</w:t>
      </w:r>
      <w:r>
        <w:rPr>
          <w:rFonts w:hint="eastAsia" w:ascii="宋体" w:hAnsi="宋体" w:cs="宋体"/>
          <w:color w:val="000000" w:themeColor="text1"/>
          <w:sz w:val="21"/>
          <w:szCs w:val="21"/>
          <w:highlight w:val="yellow"/>
          <w:u w:val="none"/>
          <w:lang w:val="en-US" w:eastAsia="zh-CN"/>
          <w14:textFill>
            <w14:solidFill>
              <w14:schemeClr w14:val="tx1"/>
            </w14:solidFill>
          </w14:textFill>
        </w:rPr>
        <w:t xml:space="preserve">马先生</w:t>
      </w:r>
      <w:r/>
    </w:p>
    <w:p>
      <w:pPr>
        <w:ind w:firstLine="420"/>
        <w:jc w:val="left"/>
        <w:spacing w:line="360" w:lineRule="auto"/>
        <w:rPr>
          <w:rFonts w:hint="default" w:ascii="宋体" w:hAnsi="宋体" w:eastAsia="宋体" w:cs="宋体"/>
          <w:color w:val="000000" w:themeColor="text1"/>
          <w:sz w:val="21"/>
          <w:szCs w:val="21"/>
          <w:highlight w:val="yellow"/>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联系方式：</w:t>
      </w:r>
      <w:r>
        <w:rPr>
          <w:rFonts w:hint="eastAsia" w:ascii="宋体" w:hAnsi="宋体" w:cs="宋体"/>
          <w:color w:val="000000" w:themeColor="text1"/>
          <w:sz w:val="21"/>
          <w:szCs w:val="21"/>
          <w:highlight w:val="yellow"/>
          <w:lang w:val="en-US" w:eastAsia="zh-CN"/>
          <w14:textFill>
            <w14:solidFill>
              <w14:schemeClr w14:val="tx1"/>
            </w14:solidFill>
          </w14:textFill>
        </w:rPr>
        <w:t xml:space="preserve">15715253116</w:t>
      </w:r>
      <w:r/>
    </w:p>
    <w:p>
      <w:pPr>
        <w:pStyle w:val="1037"/>
        <w:ind w:firstLine="4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2.采购代理机构信息</w:t>
      </w:r>
      <w:r/>
    </w:p>
    <w:p>
      <w:pPr>
        <w:pStyle w:val="1037"/>
        <w:ind w:firstLine="40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hAnsi="宋体" w:cs="宋体"/>
          <w:color w:val="000000" w:themeColor="text1"/>
          <w:sz w:val="21"/>
          <w:szCs w:val="21"/>
          <w:highlight w:val="none"/>
          <w:lang w:eastAsia="zh-CN"/>
          <w14:textFill>
            <w14:solidFill>
              <w14:schemeClr w14:val="tx1"/>
            </w14:solidFill>
          </w14:textFill>
        </w:rPr>
        <w:t xml:space="preserve">江苏三思行房地产评估造价有限公司</w:t>
      </w:r>
      <w:r/>
    </w:p>
    <w:p>
      <w:pPr>
        <w:pStyle w:val="1037"/>
        <w:ind w:firstLine="40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hAnsi="宋体" w:cs="宋体"/>
          <w:color w:val="000000" w:themeColor="text1"/>
          <w:sz w:val="21"/>
          <w:szCs w:val="21"/>
          <w:highlight w:val="none"/>
          <w:lang w:eastAsia="zh-CN"/>
          <w14:textFill>
            <w14:solidFill>
              <w14:schemeClr w14:val="tx1"/>
            </w14:solidFill>
          </w14:textFill>
        </w:rPr>
        <w:t xml:space="preserve">扬州市江都区工农西路41号3楼</w:t>
      </w:r>
      <w:r/>
    </w:p>
    <w:p>
      <w:pPr>
        <w:pStyle w:val="1037"/>
        <w:ind w:firstLine="40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彭震</w:t>
      </w:r>
      <w:r/>
    </w:p>
    <w:p>
      <w:pPr>
        <w:pStyle w:val="1037"/>
        <w:ind w:firstLine="40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hAnsi="宋体" w:cs="宋体"/>
          <w:color w:val="000000" w:themeColor="text1"/>
          <w:sz w:val="21"/>
          <w:szCs w:val="21"/>
          <w:highlight w:val="none"/>
          <w:lang w:eastAsia="zh-CN"/>
          <w14:textFill>
            <w14:solidFill>
              <w14:schemeClr w14:val="tx1"/>
            </w14:solidFill>
          </w14:textFill>
        </w:rPr>
        <w:t xml:space="preserve">13101858999</w:t>
      </w:r>
      <w:r/>
    </w:p>
    <w:p>
      <w:pPr>
        <w:pStyle w:val="1037"/>
        <w:ind w:firstLine="40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    箱：</w:t>
      </w:r>
      <w:r>
        <w:rPr>
          <w:rFonts w:hint="eastAsia" w:hAnsi="宋体" w:cs="宋体"/>
          <w:color w:val="000000" w:themeColor="text1"/>
          <w:sz w:val="21"/>
          <w:szCs w:val="21"/>
          <w:highlight w:val="none"/>
          <w:lang w:eastAsia="zh-CN"/>
          <w14:textFill>
            <w14:solidFill>
              <w14:schemeClr w14:val="tx1"/>
            </w14:solidFill>
          </w14:textFill>
        </w:rPr>
        <w:t xml:space="preserve">3417219</w:t>
      </w:r>
      <w:r>
        <w:rPr>
          <w:rFonts w:hint="eastAsia" w:ascii="宋体" w:hAnsi="宋体" w:eastAsia="宋体" w:cs="宋体"/>
          <w:color w:val="000000" w:themeColor="text1"/>
          <w:sz w:val="21"/>
          <w:szCs w:val="21"/>
          <w:highlight w:val="none"/>
          <w14:textFill>
            <w14:solidFill>
              <w14:schemeClr w14:val="tx1"/>
            </w14:solidFill>
          </w14:textFill>
        </w:rPr>
        <w:t xml:space="preserve">@qq.com</w:t>
      </w:r>
      <w:r/>
    </w:p>
    <w:p>
      <w:pPr>
        <w:pStyle w:val="1037"/>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九、</w:t>
      </w:r>
      <w:r>
        <w:rPr>
          <w:rFonts w:hint="eastAsia" w:ascii="宋体" w:hAnsi="宋体" w:eastAsia="宋体" w:cs="宋体"/>
          <w:b w:val="0"/>
          <w:bCs/>
          <w:color w:val="000000" w:themeColor="text1"/>
          <w:sz w:val="21"/>
          <w:szCs w:val="21"/>
          <w:highlight w:val="none"/>
          <w14:textFill>
            <w14:solidFill>
              <w14:schemeClr w14:val="tx1"/>
            </w14:solidFill>
          </w14:textFill>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21"/>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22" w:name="_Toc30711"/>
      <w:r/>
      <w:bookmarkStart w:id="23" w:name="_Toc109304971"/>
      <w:r>
        <w:rPr>
          <w:rFonts w:hint="eastAsia" w:ascii="宋体" w:hAnsi="宋体" w:eastAsia="宋体" w:cs="宋体"/>
          <w:bCs w:val="0"/>
          <w:color w:val="000000" w:themeColor="text1"/>
          <w:sz w:val="21"/>
          <w:szCs w:val="21"/>
          <w:highlight w:val="none"/>
          <w14:textFill>
            <w14:solidFill>
              <w14:schemeClr w14:val="tx1"/>
            </w14:solidFill>
          </w14:textFill>
        </w:rPr>
        <w:t xml:space="preserve">十、其他</w:t>
      </w:r>
      <w:bookmarkEnd w:id="22"/>
      <w:r/>
      <w:bookmarkEnd w:id="23"/>
      <w:r/>
      <w:bookmarkEnd w:id="0"/>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w:t>
      </w:r>
      <w:r>
        <w:rPr>
          <w:rFonts w:hint="eastAsia" w:ascii="宋体" w:hAnsi="宋体" w:eastAsia="宋体" w:cs="宋体"/>
          <w:b w:val="0"/>
          <w:bCs/>
          <w:color w:val="000000" w:themeColor="text1"/>
          <w:spacing w:val="0"/>
          <w:sz w:val="21"/>
          <w:szCs w:val="21"/>
          <w:highlight w:val="none"/>
          <w14:textFill>
            <w14:solidFill>
              <w14:schemeClr w14:val="tx1"/>
            </w14:solidFill>
          </w14:textFill>
        </w:rPr>
        <w:t xml:space="preserve">方式：13813140731。</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5.落实好政府采购履约资金扶持政策。中标/成交供应商可凭政府采购合同办理融资贷款，详见江苏政府采购网“政采贷”专栏。</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6.严格执行政府采购关于支持</w:t>
      </w:r>
      <w:r>
        <w:rPr>
          <w:rFonts w:hint="eastAsia" w:ascii="宋体" w:hAnsi="宋体" w:eastAsia="宋体" w:cs="宋体"/>
          <w:b w:val="0"/>
          <w:bCs/>
          <w:color w:val="000000" w:themeColor="text1"/>
          <w:sz w:val="21"/>
          <w:szCs w:val="2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7.潜在供应商对采购文件项目需求部分的询问、质疑请向采购人提出，由采购人负责答复。</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8.本次采购不收取保证金。</w:t>
      </w:r>
      <w:r/>
    </w:p>
    <w:p>
      <w:pPr>
        <w:ind w:firstLine="420"/>
        <w:jc w:val="left"/>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9.有关本次采购的事项若存在变动或修改，敬请及时关注“扬州市政府采购网”、”江苏省政府采购网”发布的信息。</w:t>
      </w:r>
      <w:r/>
    </w:p>
    <w:p>
      <w:pPr>
        <w:pStyle w:val="1037"/>
        <w:ind w:firstLine="400"/>
        <w:spacing w:line="360" w:lineRule="auto"/>
        <w:rPr>
          <w:rFonts w:hint="eastAsia" w:ascii="宋体" w:hAnsi="宋体" w:eastAsia="宋体" w:cs="宋体"/>
          <w:b/>
          <w:i/>
          <w:iCs/>
          <w:color w:val="000000" w:themeColor="text1"/>
          <w:sz w:val="21"/>
          <w:szCs w:val="21"/>
          <w:highlight w:val="none"/>
          <w:u w:val="singl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10.本项目采购文件中所有斜体下划线部分为实质性条款，如不满足，则为无效响应。</w:t>
      </w:r>
      <w:r/>
    </w:p>
    <w:p>
      <w:pPr>
        <w:pStyle w:val="1020"/>
        <w:jc w:val="center"/>
        <w:spacing w:line="360" w:lineRule="auto"/>
        <w:rPr>
          <w:rFonts w:hint="eastAsia" w:ascii="宋体" w:hAnsi="宋体" w:eastAsia="宋体" w:cs="宋体"/>
          <w:color w:val="000000" w:themeColor="text1"/>
          <w:highlight w:val="none"/>
          <w14:textFill>
            <w14:solidFill>
              <w14:schemeClr w14:val="tx1"/>
            </w14:solidFill>
          </w14:textFill>
        </w:rPr>
      </w:pPr>
      <w:r/>
      <w:bookmarkStart w:id="24" w:name="_Toc23352"/>
      <w:r>
        <w:rPr>
          <w:rFonts w:hint="eastAsia" w:ascii="宋体" w:hAnsi="宋体" w:eastAsia="宋体" w:cs="宋体"/>
          <w:color w:val="000000" w:themeColor="text1"/>
          <w:highlight w:val="none"/>
          <w14:textFill>
            <w14:solidFill>
              <w14:schemeClr w14:val="tx1"/>
            </w14:solidFill>
          </w14:textFill>
        </w:rPr>
        <w:br w:type="page" w:clear="all"/>
      </w:r>
      <w:bookmarkStart w:id="25" w:name="_Toc25416"/>
      <w:r>
        <w:rPr>
          <w:rFonts w:hint="eastAsia" w:ascii="宋体" w:hAnsi="宋体" w:eastAsia="宋体" w:cs="宋体"/>
          <w:color w:val="000000" w:themeColor="text1"/>
          <w:sz w:val="36"/>
          <w:szCs w:val="36"/>
          <w:highlight w:val="none"/>
          <w14:textFill>
            <w14:solidFill>
              <w14:schemeClr w14:val="tx1"/>
            </w14:solidFill>
          </w14:textFill>
        </w:rPr>
        <w:t xml:space="preserve">第二章 磋商须知</w:t>
      </w:r>
      <w:bookmarkEnd w:id="24"/>
      <w:r/>
      <w:bookmarkEnd w:id="25"/>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1、采购方式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 本次采购采取竞争性磋商方式，本采购文件仅适用于</w:t>
      </w:r>
      <w:r>
        <w:rPr>
          <w:rFonts w:hint="eastAsia" w:ascii="宋体" w:hAnsi="宋体" w:cs="宋体"/>
          <w:color w:val="000000" w:themeColor="text1"/>
          <w:highlight w:val="yellow"/>
          <w:lang w:eastAsia="zh-CN"/>
          <w14:textFill>
            <w14:solidFill>
              <w14:schemeClr w14:val="tx1"/>
            </w14:solidFill>
          </w14:textFill>
        </w:rPr>
        <w:t xml:space="preserve">SSXZB-20260409</w:t>
      </w:r>
      <w:r>
        <w:rPr>
          <w:rFonts w:hint="eastAsia" w:ascii="宋体" w:hAnsi="宋体" w:eastAsia="宋体" w:cs="宋体"/>
          <w:color w:val="000000" w:themeColor="text1"/>
          <w:highlight w:val="none"/>
          <w14:textFill>
            <w14:solidFill>
              <w14:schemeClr w14:val="tx1"/>
            </w14:solidFill>
          </w14:textFill>
        </w:rPr>
        <w:t xml:space="preserve">号项目。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2.2合格的供应商</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2.2.1 满足采购公告中供应商的资格条件要求的规定。</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2.2.2 满足本文件实质性条款的规定。</w:t>
      </w:r>
      <w:r/>
    </w:p>
    <w:p>
      <w:pPr>
        <w:ind w:firstLine="42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3、适用法律</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4、参加磋商费用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供应商应自行承担所有与参加磋商有关的费用，无论磋商过程中的做法和结果如何，（</w:t>
      </w:r>
      <w:r>
        <w:rPr>
          <w:rFonts w:hint="eastAsia" w:ascii="宋体" w:hAnsi="宋体" w:cs="宋体"/>
          <w:color w:val="000000" w:themeColor="text1"/>
          <w:highlight w:val="none"/>
          <w:lang w:eastAsia="zh-CN"/>
          <w14:textFill>
            <w14:solidFill>
              <w14:schemeClr w14:val="tx1"/>
            </w14:solidFill>
          </w14:textFill>
        </w:rPr>
        <w:t xml:space="preserve">江苏三思行房地产评估造价有限公司</w:t>
      </w:r>
      <w:r>
        <w:rPr>
          <w:rFonts w:hint="eastAsia" w:ascii="宋体" w:hAnsi="宋体" w:eastAsia="宋体" w:cs="宋体"/>
          <w:color w:val="000000" w:themeColor="text1"/>
          <w:highlight w:val="none"/>
          <w14:textFill>
            <w14:solidFill>
              <w14:schemeClr w14:val="tx1"/>
            </w14:solidFill>
          </w14:textFill>
        </w:rPr>
        <w:t xml:space="preserve">）(以下简称代理机构)在任何情况下均无义务和责任承担这些费用。</w:t>
      </w:r>
      <w:r/>
    </w:p>
    <w:p>
      <w:pPr>
        <w:ind w:firstLine="420"/>
        <w:spacing w:line="360" w:lineRule="auto"/>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4.2</w:t>
      </w:r>
      <w:bookmarkStart w:id="26" w:name="_Hlk115095815"/>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本次采购由成交单位在领取成交通知书前按照</w:t>
      </w:r>
      <w:r>
        <w:rPr>
          <w:rFonts w:hint="eastAsia" w:ascii="宋体" w:hAnsi="宋体" w:eastAsia="宋体" w:cs="宋体"/>
          <w:color w:val="000000" w:themeColor="text1"/>
          <w:highlight w:val="yellow"/>
          <w14:textFill>
            <w14:solidFill>
              <w14:schemeClr w14:val="tx1"/>
            </w14:solidFill>
          </w14:textFill>
        </w:rPr>
        <w:t xml:space="preserve">苏招协（2022）2号文</w:t>
      </w:r>
      <w:r>
        <w:rPr>
          <w:rFonts w:hint="eastAsia" w:ascii="宋体" w:hAnsi="宋体" w:cs="宋体"/>
          <w:color w:val="000000" w:themeColor="text1"/>
          <w:highlight w:val="yellow"/>
          <w:lang w:eastAsia="zh-CN"/>
          <w14:textFill>
            <w14:solidFill>
              <w14:schemeClr w14:val="tx1"/>
            </w14:solidFill>
          </w14:textFill>
        </w:rPr>
        <w:t xml:space="preserve">、</w:t>
      </w:r>
      <w:r>
        <w:rPr>
          <w:rFonts w:hint="eastAsia" w:ascii="宋体" w:hAnsi="宋体" w:cs="宋体"/>
          <w:color w:val="000000" w:themeColor="text1"/>
          <w:highlight w:val="yellow"/>
          <w:lang w:val="en-US" w:eastAsia="zh-CN"/>
          <w14:textFill>
            <w14:solidFill>
              <w14:schemeClr w14:val="tx1"/>
            </w14:solidFill>
          </w14:textFill>
        </w:rPr>
        <w:t xml:space="preserve">苏建价协（2022）7号文</w:t>
      </w:r>
      <w:r>
        <w:rPr>
          <w:rFonts w:hint="eastAsia" w:ascii="宋体" w:hAnsi="宋体" w:eastAsia="宋体" w:cs="宋体"/>
          <w:color w:val="000000" w:themeColor="text1"/>
          <w:highlight w:val="none"/>
          <w14:textFill>
            <w14:solidFill>
              <w14:schemeClr w14:val="tx1"/>
            </w14:solidFill>
          </w14:textFill>
        </w:rPr>
        <w:t xml:space="preserve">标准一次性支付给招标代理机构代理服务费</w:t>
      </w:r>
      <w:r>
        <w:rPr>
          <w:rFonts w:hint="eastAsia" w:ascii="宋体" w:hAnsi="宋体" w:eastAsia="宋体" w:cs="宋体"/>
          <w:color w:val="000000" w:themeColor="text1"/>
          <w:highlight w:val="none"/>
          <w:lang w:val="en-US" w:eastAsia="zh-CN"/>
          <w14:textFill>
            <w14:solidFill>
              <w14:schemeClr w14:val="tx1"/>
            </w14:solidFill>
          </w14:textFill>
        </w:rPr>
        <w:t xml:space="preserve">及招标控制价编制费</w:t>
      </w:r>
      <w:r>
        <w:rPr>
          <w:rFonts w:hint="eastAsia" w:ascii="宋体" w:hAnsi="宋体" w:cs="宋体"/>
          <w:color w:val="000000" w:themeColor="text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yellow"/>
          <w14:textFill>
            <w14:solidFill>
              <w14:schemeClr w14:val="tx1"/>
            </w14:solidFill>
          </w14:textFill>
        </w:rPr>
        <w:t xml:space="preserve">专家评审费按扬州市政府采购专家评审费标准执行结算</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（1）代理服务费以人民币支付；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（2）代理服务费一次性以电汇、转账等非现金形式支付；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（3）招标代理服务费不在磋商报价中单列，包含在磋商总价中，由成交单位支付给代理机构。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代理单位名称：</w:t>
      </w:r>
      <w:r>
        <w:rPr>
          <w:rFonts w:hint="eastAsia" w:ascii="宋体" w:hAnsi="宋体" w:cs="宋体"/>
          <w:color w:val="000000" w:themeColor="text1"/>
          <w:highlight w:val="none"/>
          <w:lang w:eastAsia="zh-CN"/>
          <w14:textFill>
            <w14:solidFill>
              <w14:schemeClr w14:val="tx1"/>
            </w14:solidFill>
          </w14:textFill>
        </w:rPr>
        <w:t xml:space="preserve">江苏三思行房地产评估造价有限公司</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税        号：91321091MA1Y9EKW63</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   户   行：</w:t>
      </w:r>
      <w:r>
        <w:rPr>
          <w:rFonts w:hint="eastAsia" w:ascii="宋体" w:hAnsi="宋体" w:cs="宋体"/>
          <w:color w:val="000000" w:themeColor="text1"/>
          <w:highlight w:val="none"/>
          <w:lang w:eastAsia="zh-CN"/>
          <w14:textFill>
            <w14:solidFill>
              <w14:schemeClr w14:val="tx1"/>
            </w14:solidFill>
          </w14:textFill>
        </w:rPr>
        <w:t xml:space="preserve">交通银行扬州邗江支行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w:t>
      </w:r>
      <w:r>
        <w:rPr>
          <w:rFonts w:hint="eastAsia" w:ascii="宋体" w:hAnsi="宋体" w:cs="宋体"/>
          <w:color w:val="000000" w:themeColor="text1"/>
          <w:highlight w:val="none"/>
          <w:lang w:eastAsia="zh-CN"/>
          <w14:textFill>
            <w14:solidFill>
              <w14:schemeClr w14:val="tx1"/>
            </w14:solidFill>
          </w14:textFill>
        </w:rPr>
        <w:t xml:space="preserve">395068100018010111639</w:t>
      </w:r>
      <w:r>
        <w:rPr>
          <w:rFonts w:hint="eastAsia" w:ascii="宋体" w:hAnsi="宋体" w:eastAsia="宋体" w:cs="宋体"/>
          <w:color w:val="000000" w:themeColor="text1"/>
          <w:highlight w:val="none"/>
          <w14:textFill>
            <w14:solidFill>
              <w14:schemeClr w14:val="tx1"/>
            </w14:solidFill>
          </w14:textFill>
        </w:rPr>
        <w:t xml:space="preserve"> </w:t>
      </w:r>
      <w:bookmarkEnd w:id="26"/>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5、采购文件的约束力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6、采购文件构成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6.1 采购文件有以下部分组成：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（1）采购公告</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（2）磋商须知</w:t>
      </w:r>
      <w:r>
        <w:rPr>
          <w:rFonts w:hint="eastAsia" w:ascii="宋体" w:hAnsi="宋体" w:eastAsia="宋体" w:cs="宋体"/>
          <w:color w:val="000000" w:themeColor="text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（3）合同条款及格式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（4）项目需求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（5）评审方法与评审标准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（6）竞争性磋商响应文件格式</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采购文件的修改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9、采购文件的语言、度量衡单位、货币</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10、响应文件构成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（5）分项报价表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（6）技术参数响应及偏离表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（7）商务条款响应及偏离表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（8）设计方案（如有）：如未成功上传“设计投标文件”，投标单位需将电子投标光盘（设计图纸光盘密封并注明供应商单位名称）递交至代理机构（地址），招标代理单位将派工作人员在</w:t>
      </w:r>
      <w:r>
        <w:rPr>
          <w:rFonts w:hint="eastAsia" w:ascii="宋体" w:hAnsi="宋体" w:cs="宋体"/>
          <w:color w:val="auto"/>
          <w:highlight w:val="yellow"/>
          <w:shd w:val="clear" w:color="auto" w:fill="auto"/>
          <w:lang w:eastAsia="zh-CN"/>
        </w:rPr>
        <w:t xml:space="preserve">2026年5月8日14点00分</w:t>
      </w:r>
      <w:r>
        <w:rPr>
          <w:rFonts w:hint="eastAsia" w:ascii="宋体" w:hAnsi="宋体" w:eastAsia="宋体" w:cs="宋体"/>
          <w:color w:val="000000" w:themeColor="text1"/>
          <w:highlight w:val="none"/>
          <w14:textFill>
            <w14:solidFill>
              <w14:schemeClr w14:val="tx1"/>
            </w14:solidFill>
          </w14:textFill>
        </w:rPr>
        <w:t xml:space="preserve">时间内接收电子投标光盘。将电子投标光盘递交至招标代理工作人员处，逾期不予接收。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（9）其他（供应商认为有必要提供的声明和文件，如有自拟并自行添加。设计方案）</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11、证明供应商资格及符合采购文件规定的文件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供应商应按要求提交资格证明文件及符合采购文件规定的文件。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供应商应提交证明其有资格参加磋商和成交后有能力独立履行合同的文件。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供应商应提交根据合同要求提供的证明服务质量合格以及符合采购文件规定的证明文件。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证明供应商所提供服务与采购文件的要求相一致的文件可以是手册、图纸、文字资料和数据。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12、磋商响应报价表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 详细阐述所投服务的主要组成部分、功能设计、实现思路及关键技术；</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14、服务承诺及售后服务机构、人员的情况介绍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供应商的服务承诺应按不低于采购文件中商务要求的标准。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15、磋商响应函</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供应商应按照扬州市政府采购交易管理系统提供的格式完整、正确填写磋商响应函。</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16、磋商响应有效期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 磋商响应有效期为代理机构规定的响应文件接收截止时间后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。磋商响应有效期比规定短的将被视为非实质性响应性而予以拒绝。</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27" w:name="_Toc20823297"/>
      <w:r/>
      <w:bookmarkStart w:id="28" w:name="_Toc16938541"/>
      <w:r>
        <w:rPr>
          <w:rFonts w:hint="eastAsia" w:ascii="宋体" w:hAnsi="宋体" w:eastAsia="宋体" w:cs="宋体"/>
          <w:color w:val="000000" w:themeColor="text1"/>
          <w:highlight w:val="none"/>
          <w14:textFill>
            <w14:solidFill>
              <w14:schemeClr w14:val="tx1"/>
            </w14:solidFill>
          </w14:textFill>
        </w:rPr>
        <w:t xml:space="preserve">17、响应文件</w:t>
      </w:r>
      <w:bookmarkEnd w:id="27"/>
      <w:r/>
      <w:bookmarkEnd w:id="28"/>
      <w:r>
        <w:rPr>
          <w:rFonts w:hint="eastAsia" w:ascii="宋体" w:hAnsi="宋体" w:eastAsia="宋体" w:cs="宋体"/>
          <w:color w:val="000000" w:themeColor="text1"/>
          <w:highlight w:val="none"/>
          <w14:textFill>
            <w14:solidFill>
              <w14:schemeClr w14:val="tx1"/>
            </w14:solidFill>
          </w14:textFill>
        </w:rPr>
        <w:t xml:space="preserve">的递交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29" w:name="_Toc20823298"/>
      <w:r/>
      <w:bookmarkStart w:id="30" w:name="_Toc16938542"/>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17.2</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政府采购管理交易系统（苏采云）相关要求是本采购文件的组成部分。</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17.3</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供应商应对 CA 证书妥善保管，如被他人盗用投标，因此带来的结果均由供应商自行承担。</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17.4</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供应商应当对采购文件提出的要求和条件作出实质性响应，并在电子投标系统逐条应答。</w:t>
      </w:r>
      <w:r/>
    </w:p>
    <w:p>
      <w:pPr>
        <w:ind w:firstLine="422"/>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17.5</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highlight w:val="none"/>
          <w14:textFill>
            <w14:solidFill>
              <w14:schemeClr w14:val="tx1"/>
            </w14:solidFill>
          </w14:textFill>
        </w:rPr>
        <w:t xml:space="preserve">供应商</w:t>
      </w:r>
      <w:r>
        <w:rPr>
          <w:rFonts w:hint="eastAsia" w:ascii="宋体" w:hAnsi="宋体" w:eastAsia="宋体" w:cs="宋体"/>
          <w:b w:val="0"/>
          <w:bCs/>
          <w:color w:val="000000" w:themeColor="text1"/>
          <w:szCs w:val="21"/>
          <w:highlight w:val="none"/>
          <w14:textFill>
            <w14:solidFill>
              <w14:schemeClr w14:val="tx1"/>
            </w14:solidFill>
          </w14:textFill>
        </w:rPr>
        <w:t xml:space="preserve">应对要求提供的资格证明文件（如资质证书、资格证书）、技术资料（如白皮书、彩页、手册、检测报告等）原件扫描上传至投标系统。</w:t>
      </w:r>
      <w:r/>
    </w:p>
    <w:p>
      <w:pPr>
        <w:ind w:firstLine="422"/>
        <w:spacing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17.6</w:t>
      </w:r>
      <w:r>
        <w:rPr>
          <w:rFonts w:hint="eastAsia" w:ascii="宋体" w:hAnsi="宋体" w:eastAsia="宋体" w:cs="宋体"/>
          <w:b w:val="0"/>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Cs w:val="21"/>
          <w:highlight w:val="none"/>
          <w14:textFill>
            <w14:solidFill>
              <w14:schemeClr w14:val="tx1"/>
            </w14:solidFill>
          </w14:textFill>
        </w:rPr>
        <w:t xml:space="preserve">各</w:t>
      </w:r>
      <w:r>
        <w:rPr>
          <w:rFonts w:hint="eastAsia" w:ascii="宋体" w:hAnsi="宋体" w:eastAsia="宋体" w:cs="宋体"/>
          <w:b w:val="0"/>
          <w:bCs/>
          <w:color w:val="000000" w:themeColor="text1"/>
          <w:highlight w:val="none"/>
          <w14:textFill>
            <w14:solidFill>
              <w14:schemeClr w14:val="tx1"/>
            </w14:solidFill>
          </w14:textFill>
        </w:rPr>
        <w:t xml:space="preserve">供应商</w:t>
      </w:r>
      <w:r>
        <w:rPr>
          <w:rFonts w:hint="eastAsia" w:ascii="宋体" w:hAnsi="宋体" w:eastAsia="宋体" w:cs="宋体"/>
          <w:b w:val="0"/>
          <w:bCs/>
          <w:color w:val="000000" w:themeColor="text1"/>
          <w:szCs w:val="21"/>
          <w:highlight w:val="none"/>
          <w14:textFill>
            <w14:solidFill>
              <w14:schemeClr w14:val="tx1"/>
            </w14:solidFill>
          </w14:textFill>
        </w:rPr>
        <w:t xml:space="preserve">应在规定时间内凭CA证书进行网上解密。</w:t>
      </w:r>
      <w:r/>
    </w:p>
    <w:p>
      <w:pPr>
        <w:ind w:firstLine="422"/>
        <w:spacing w:line="360" w:lineRule="auto"/>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18、磋商响应截止日期</w:t>
      </w:r>
      <w:bookmarkEnd w:id="29"/>
      <w:r/>
      <w:bookmarkEnd w:id="30"/>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31" w:name="_Toc20823299"/>
      <w:r/>
      <w:bookmarkStart w:id="32" w:name="_Toc16938543"/>
      <w:r>
        <w:rPr>
          <w:rFonts w:hint="eastAsia" w:ascii="宋体" w:hAnsi="宋体" w:eastAsia="宋体" w:cs="宋体"/>
          <w:color w:val="000000" w:themeColor="text1"/>
          <w:highlight w:val="none"/>
          <w14:textFill>
            <w14:solidFill>
              <w14:schemeClr w14:val="tx1"/>
            </w14:solidFill>
          </w14:textFill>
        </w:rPr>
        <w:t xml:space="preserve">19、响应文件</w:t>
      </w:r>
      <w:bookmarkEnd w:id="31"/>
      <w:r/>
      <w:bookmarkEnd w:id="32"/>
      <w:r>
        <w:rPr>
          <w:rFonts w:hint="eastAsia" w:ascii="宋体" w:hAnsi="宋体" w:eastAsia="宋体" w:cs="宋体"/>
          <w:color w:val="000000" w:themeColor="text1"/>
          <w:highlight w:val="none"/>
          <w14:textFill>
            <w14:solidFill>
              <w14:schemeClr w14:val="tx1"/>
            </w14:solidFill>
          </w14:textFill>
        </w:rPr>
        <w:t xml:space="preserve">的拒收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代理机构拒绝接收在其规定的磋商截止时间后上传的任何响应文件。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33" w:name="_Toc16938544"/>
      <w:r/>
      <w:bookmarkStart w:id="34" w:name="_Toc20823300"/>
      <w:r>
        <w:rPr>
          <w:rFonts w:hint="eastAsia" w:ascii="宋体" w:hAnsi="宋体" w:eastAsia="宋体" w:cs="宋体"/>
          <w:color w:val="000000" w:themeColor="text1"/>
          <w:highlight w:val="none"/>
          <w14:textFill>
            <w14:solidFill>
              <w14:schemeClr w14:val="tx1"/>
            </w14:solidFill>
          </w14:textFill>
        </w:rPr>
        <w:t xml:space="preserve">20、响应文件的撤回和修改</w:t>
      </w:r>
      <w:bookmarkEnd w:id="33"/>
      <w:r/>
      <w:bookmarkEnd w:id="34"/>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供应商撤回电子响应文件，则认为其不再参与本项目磋商谈判。</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在磋商截止时间之后，供应商不得对其电子响应文件作任何修改。</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21、磋商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22、磋商小组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磋商开始后，代理机构将立即组织磋商小组进行评审。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磋商小组独立工作，负责评审有效响应文件并确定成交候选供应商。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23、评审过程的保密与公正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评审专家应当遵守评审工作纪律，不得泄露评审情况和评审中获悉的商业秘密。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24、磋商的澄清</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接到磋商小组澄清要求的供应商应按磋商小组规定的时间和格式在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25、对响应文件的初审</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响应文件初审分为资格审查和符合性审查。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未通过资格审查或符合性审查的供应商，代理机构将在</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26、磋商程序及评审方法和标准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26.1磋商程序</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ascii="宋体" w:hAnsi="宋体" w:eastAsia="宋体" w:cs="宋体"/>
          <w:b w:val="0"/>
          <w:bCs w:val="0"/>
          <w:color w:val="000000" w:themeColor="text1"/>
          <w:highlight w:val="none"/>
          <w:shd w:val="clear" w:color="ffffff" w:fill="ffffff"/>
          <w14:textFill>
            <w14:solidFill>
              <w14:schemeClr w14:val="tx1"/>
            </w14:solidFill>
          </w14:textFill>
        </w:rPr>
        <w:t xml:space="preserve">政府采购管理交易系统（苏采云）</w:t>
      </w:r>
      <w:r>
        <w:rPr>
          <w:rFonts w:hint="eastAsia" w:ascii="宋体" w:hAnsi="宋体" w:eastAsia="宋体" w:cs="宋体"/>
          <w:b w:val="0"/>
          <w:bCs w:val="0"/>
          <w:color w:val="000000" w:themeColor="text1"/>
          <w:highlight w:val="none"/>
          <w14:textFill>
            <w14:solidFill>
              <w14:schemeClr w14:val="tx1"/>
            </w14:solidFill>
          </w14:textFill>
        </w:rPr>
        <w:t xml:space="preserve">”中分别进行磋商。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 评审方法和标准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26.2.2评审标准</w:t>
      </w:r>
      <w:r/>
    </w:p>
    <w:p>
      <w:pPr>
        <w:ind w:firstLine="42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见本采购文件第五章规定。</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27、无效响应及采购活动终止的情况</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供应商未按照采购文件要求上传电子磋商响应文件的。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供应商未成功解密电子磋商响应文件的。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27.1.3 供应商不具备采购文件中规定资格要求的。</w:t>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27.1.4 未通过符合性审查的。</w:t>
      </w:r>
      <w:r/>
    </w:p>
    <w:p>
      <w:pPr>
        <w:ind w:firstLine="42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27.1.5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27.1.6 </w:t>
      </w:r>
      <w:r>
        <w:rPr>
          <w:rFonts w:hint="eastAsia" w:ascii="宋体" w:hAnsi="宋体" w:eastAsia="宋体" w:cs="宋体"/>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27.1.8 响应文件未按照采购文件要求加盖电子签章。</w:t>
      </w:r>
      <w:r/>
    </w:p>
    <w:p>
      <w:pPr>
        <w:ind w:firstLine="420"/>
        <w:spacing w:line="360" w:lineRule="auto"/>
        <w:rPr>
          <w:rFonts w:hint="eastAsia" w:ascii="宋体" w:hAnsi="宋体" w:eastAsia="宋体" w:cs="宋体"/>
          <w:b/>
          <w:bCs w:val="0"/>
          <w:color w:val="000000" w:themeColor="text1"/>
          <w:highlight w:val="yellow"/>
          <w14:textFill>
            <w14:solidFill>
              <w14:schemeClr w14:val="tx1"/>
            </w14:solidFill>
          </w14:textFill>
        </w:rPr>
      </w:pPr>
      <w:r>
        <w:rPr>
          <w:rFonts w:hint="eastAsia" w:ascii="宋体" w:hAnsi="宋体" w:eastAsia="宋体" w:cs="宋体"/>
          <w:b/>
          <w:bCs w:val="0"/>
          <w:color w:val="000000" w:themeColor="text1"/>
          <w:highlight w:val="yellow"/>
          <w14:textFill>
            <w14:solidFill>
              <w14:schemeClr w14:val="tx1"/>
            </w14:solidFill>
          </w14:textFill>
        </w:rPr>
        <w:t xml:space="preserve">27.1.9 异常低价投标（响应）</w:t>
      </w:r>
      <w:r/>
    </w:p>
    <w:p>
      <w:pPr>
        <w:ind w:firstLine="420"/>
        <w:spacing w:line="360" w:lineRule="auto"/>
        <w:rPr>
          <w:rFonts w:hint="eastAsia" w:ascii="宋体" w:hAnsi="宋体" w:eastAsia="宋体" w:cs="宋体"/>
          <w:bCs/>
          <w:color w:val="000000" w:themeColor="text1"/>
          <w:highlight w:val="yellow"/>
          <w14:textFill>
            <w14:solidFill>
              <w14:schemeClr w14:val="tx1"/>
            </w14:solidFill>
          </w14:textFill>
        </w:rPr>
      </w:pPr>
      <w:r>
        <w:rPr>
          <w:rFonts w:hint="eastAsia" w:ascii="宋体" w:hAnsi="宋体" w:eastAsia="宋体" w:cs="宋体"/>
          <w:bCs/>
          <w:color w:val="000000" w:themeColor="text1"/>
          <w:highlight w:val="yellow"/>
          <w14:textFill>
            <w14:solidFill>
              <w14:schemeClr w14:val="tx1"/>
            </w14:solidFill>
          </w14:textFill>
        </w:rPr>
        <w:t xml:space="preserve">27.1.9.1投标（响应）报价低于全部通过符合性审查供应商投标（响应）报价平均值</w:t>
      </w:r>
      <w:r>
        <w:rPr>
          <w:rFonts w:hint="eastAsia" w:ascii="宋体" w:hAnsi="宋体" w:cs="宋体"/>
          <w:bCs/>
          <w:color w:val="000000" w:themeColor="text1"/>
          <w:highlight w:val="yellow"/>
          <w:lang w:eastAsia="zh-CN"/>
          <w14:textFill>
            <w14:solidFill>
              <w14:schemeClr w14:val="tx1"/>
            </w14:solidFill>
          </w14:textFill>
        </w:rPr>
        <w:t xml:space="preserve">65%</w:t>
      </w:r>
      <w:r>
        <w:rPr>
          <w:rFonts w:hint="eastAsia" w:ascii="宋体" w:hAnsi="宋体" w:eastAsia="宋体" w:cs="宋体"/>
          <w:bCs/>
          <w:color w:val="000000" w:themeColor="text1"/>
          <w:highlight w:val="yellow"/>
          <w14:textFill>
            <w14:solidFill>
              <w14:schemeClr w14:val="tx1"/>
            </w14:solidFill>
          </w14:textFill>
        </w:rPr>
        <w:t xml:space="preserve">的，即投标（响应）报价&lt;全部通过符合性审查供应商投标（响应）报价平均值×</w:t>
      </w:r>
      <w:r>
        <w:rPr>
          <w:rFonts w:hint="eastAsia" w:ascii="宋体" w:hAnsi="宋体" w:cs="宋体"/>
          <w:bCs/>
          <w:color w:val="000000" w:themeColor="text1"/>
          <w:highlight w:val="yellow"/>
          <w:lang w:eastAsia="zh-CN"/>
          <w14:textFill>
            <w14:solidFill>
              <w14:schemeClr w14:val="tx1"/>
            </w14:solidFill>
          </w14:textFill>
        </w:rPr>
        <w:t xml:space="preserve">65%</w:t>
      </w:r>
      <w:r>
        <w:rPr>
          <w:rFonts w:hint="eastAsia" w:ascii="宋体" w:hAnsi="宋体" w:eastAsia="宋体" w:cs="宋体"/>
          <w:bCs/>
          <w:color w:val="000000" w:themeColor="text1"/>
          <w:highlight w:val="yellow"/>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yellow"/>
          <w14:textFill>
            <w14:solidFill>
              <w14:schemeClr w14:val="tx1"/>
            </w14:solidFill>
          </w14:textFill>
        </w:rPr>
      </w:pPr>
      <w:r>
        <w:rPr>
          <w:rFonts w:hint="eastAsia" w:ascii="宋体" w:hAnsi="宋体" w:eastAsia="宋体" w:cs="宋体"/>
          <w:bCs/>
          <w:color w:val="000000" w:themeColor="text1"/>
          <w:highlight w:val="yellow"/>
          <w14:textFill>
            <w14:solidFill>
              <w14:schemeClr w14:val="tx1"/>
            </w14:solidFill>
          </w14:textFill>
        </w:rPr>
        <w:t xml:space="preserve">27.1.9.2投标（响应）报价低于通过符合性审查的次低报价供应商投标（响应）报价</w:t>
      </w:r>
      <w:r>
        <w:rPr>
          <w:rFonts w:hint="eastAsia" w:ascii="宋体" w:hAnsi="宋体" w:cs="宋体"/>
          <w:bCs/>
          <w:color w:val="000000" w:themeColor="text1"/>
          <w:highlight w:val="yellow"/>
          <w:lang w:eastAsia="zh-CN"/>
          <w14:textFill>
            <w14:solidFill>
              <w14:schemeClr w14:val="tx1"/>
            </w14:solidFill>
          </w14:textFill>
        </w:rPr>
        <w:t xml:space="preserve">65%</w:t>
      </w:r>
      <w:r>
        <w:rPr>
          <w:rFonts w:hint="eastAsia" w:ascii="宋体" w:hAnsi="宋体" w:eastAsia="宋体" w:cs="宋体"/>
          <w:bCs/>
          <w:color w:val="000000" w:themeColor="text1"/>
          <w:highlight w:val="yellow"/>
          <w14:textFill>
            <w14:solidFill>
              <w14:schemeClr w14:val="tx1"/>
            </w14:solidFill>
          </w14:textFill>
        </w:rPr>
        <w:t xml:space="preserve">的，即投标（响应）报价&lt;通过符合性审查的次低报价供应商投标（响应）报价×</w:t>
      </w:r>
      <w:r>
        <w:rPr>
          <w:rFonts w:hint="eastAsia" w:ascii="宋体" w:hAnsi="宋体" w:cs="宋体"/>
          <w:bCs/>
          <w:color w:val="000000" w:themeColor="text1"/>
          <w:highlight w:val="yellow"/>
          <w:lang w:eastAsia="zh-CN"/>
          <w14:textFill>
            <w14:solidFill>
              <w14:schemeClr w14:val="tx1"/>
            </w14:solidFill>
          </w14:textFill>
        </w:rPr>
        <w:t xml:space="preserve">65%</w:t>
      </w:r>
      <w:r>
        <w:rPr>
          <w:rFonts w:hint="eastAsia" w:ascii="宋体" w:hAnsi="宋体" w:eastAsia="宋体" w:cs="宋体"/>
          <w:bCs/>
          <w:color w:val="000000" w:themeColor="text1"/>
          <w:highlight w:val="yellow"/>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yellow"/>
          <w14:textFill>
            <w14:solidFill>
              <w14:schemeClr w14:val="tx1"/>
            </w14:solidFill>
          </w14:textFill>
        </w:rPr>
      </w:pPr>
      <w:r>
        <w:rPr>
          <w:rFonts w:hint="eastAsia" w:ascii="宋体" w:hAnsi="宋体" w:eastAsia="宋体" w:cs="宋体"/>
          <w:bCs/>
          <w:color w:val="000000" w:themeColor="text1"/>
          <w:highlight w:val="yellow"/>
          <w14:textFill>
            <w14:solidFill>
              <w14:schemeClr w14:val="tx1"/>
            </w14:solidFill>
          </w14:textFill>
        </w:rPr>
        <w:t xml:space="preserve">27.1.9.3投标（响应）报价低于采购项目最高限价</w:t>
      </w:r>
      <w:r>
        <w:rPr>
          <w:rFonts w:hint="eastAsia" w:ascii="宋体" w:hAnsi="宋体" w:cs="宋体"/>
          <w:bCs/>
          <w:color w:val="000000" w:themeColor="text1"/>
          <w:highlight w:val="yellow"/>
          <w:lang w:eastAsia="zh-CN"/>
          <w14:textFill>
            <w14:solidFill>
              <w14:schemeClr w14:val="tx1"/>
            </w14:solidFill>
          </w14:textFill>
        </w:rPr>
        <w:t xml:space="preserve">65%</w:t>
      </w:r>
      <w:r>
        <w:rPr>
          <w:rFonts w:hint="eastAsia" w:ascii="宋体" w:hAnsi="宋体" w:eastAsia="宋体" w:cs="宋体"/>
          <w:bCs/>
          <w:color w:val="000000" w:themeColor="text1"/>
          <w:highlight w:val="yellow"/>
          <w14:textFill>
            <w14:solidFill>
              <w14:schemeClr w14:val="tx1"/>
            </w14:solidFill>
          </w14:textFill>
        </w:rPr>
        <w:t xml:space="preserve">的，即投标（响应）报价&lt;采购项目最高限价×</w:t>
      </w:r>
      <w:r>
        <w:rPr>
          <w:rFonts w:hint="eastAsia" w:ascii="宋体" w:hAnsi="宋体" w:cs="宋体"/>
          <w:bCs/>
          <w:color w:val="000000" w:themeColor="text1"/>
          <w:highlight w:val="yellow"/>
          <w:lang w:eastAsia="zh-CN"/>
          <w14:textFill>
            <w14:solidFill>
              <w14:schemeClr w14:val="tx1"/>
            </w14:solidFill>
          </w14:textFill>
        </w:rPr>
        <w:t xml:space="preserve">65%</w:t>
      </w:r>
      <w:r>
        <w:rPr>
          <w:rFonts w:hint="eastAsia" w:ascii="宋体" w:hAnsi="宋体" w:eastAsia="宋体" w:cs="宋体"/>
          <w:bCs/>
          <w:color w:val="000000" w:themeColor="text1"/>
          <w:highlight w:val="yellow"/>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yellow"/>
          <w14:textFill>
            <w14:solidFill>
              <w14:schemeClr w14:val="tx1"/>
            </w14:solidFill>
          </w14:textFill>
        </w:rPr>
      </w:pPr>
      <w:r>
        <w:rPr>
          <w:rFonts w:hint="eastAsia" w:ascii="宋体" w:hAnsi="宋体" w:eastAsia="宋体" w:cs="宋体"/>
          <w:bCs/>
          <w:color w:val="000000" w:themeColor="text1"/>
          <w:highlight w:val="yellow"/>
          <w14:textFill>
            <w14:solidFill>
              <w14:schemeClr w14:val="tx1"/>
            </w14:solidFill>
          </w14:textFill>
        </w:rPr>
        <w:t xml:space="preserve">27.1.9.4评审委员会基于专业判断，认为供应商报价过低，有可能影响产品质量或者不能诚信履约的其他情形。</w:t>
      </w:r>
      <w:r/>
    </w:p>
    <w:p>
      <w:pPr>
        <w:ind w:firstLine="420"/>
        <w:spacing w:line="360" w:lineRule="auto"/>
        <w:rPr>
          <w:rFonts w:hint="eastAsia" w:ascii="宋体" w:hAnsi="宋体" w:eastAsia="宋体" w:cs="宋体"/>
          <w:bCs/>
          <w:color w:val="000000" w:themeColor="text1"/>
          <w:highlight w:val="yellow"/>
          <w14:textFill>
            <w14:solidFill>
              <w14:schemeClr w14:val="tx1"/>
            </w14:solidFill>
          </w14:textFill>
        </w:rPr>
      </w:pPr>
      <w:r>
        <w:rPr>
          <w:rFonts w:hint="eastAsia" w:ascii="宋体" w:hAnsi="宋体" w:eastAsia="宋体" w:cs="宋体"/>
          <w:bCs/>
          <w:color w:val="000000" w:themeColor="text1"/>
          <w:highlight w:val="yellow"/>
          <w14:textFill>
            <w14:solidFill>
              <w14:schemeClr w14:val="tx1"/>
            </w14:solidFill>
          </w14:textFill>
        </w:rPr>
        <w:t xml:space="preserve">注：采购人可以结合具体项目实际情况，提高上述第1项至第3项中启动异常低价投标（响应）审查的数值标准，但是最高不得超过65%。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Cs/>
          <w:color w:val="000000" w:themeColor="text1"/>
          <w:highlight w:val="yellow"/>
          <w14:textFill>
            <w14:solidFill>
              <w14:schemeClr w14:val="tx1"/>
            </w14:solidFill>
          </w14:textFill>
        </w:rPr>
      </w:pPr>
      <w:r>
        <w:rPr>
          <w:rFonts w:hint="eastAsia" w:ascii="宋体" w:hAnsi="宋体" w:eastAsia="宋体" w:cs="宋体"/>
          <w:bCs/>
          <w:color w:val="000000" w:themeColor="text1"/>
          <w:highlight w:val="yellow"/>
          <w14:textFill>
            <w14:solidFill>
              <w14:schemeClr w14:val="tx1"/>
            </w14:solidFill>
          </w14:textFill>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27.1.10</w:t>
      </w:r>
      <w:r>
        <w:rPr>
          <w:rFonts w:hint="eastAsia" w:ascii="宋体" w:hAnsi="宋体" w:eastAsia="宋体" w:cs="宋体"/>
          <w:bCs/>
          <w:color w:val="000000" w:themeColor="text1"/>
          <w:highlight w:val="none"/>
          <w14:textFill>
            <w14:solidFill>
              <w14:schemeClr w14:val="tx1"/>
            </w14:solidFill>
          </w14:textFill>
        </w:rPr>
        <w:t xml:space="preserve">其他法律、法规及本采购文件规定的属无效响应的情形。</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因情况变化，不再符合规定的竞争性磋商采购方式适用情形的；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 </w:t>
      </w:r>
      <w:r>
        <w:rPr>
          <w:rFonts w:hint="eastAsia" w:ascii="宋体" w:hAnsi="宋体" w:eastAsia="宋体" w:cs="宋体"/>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28、确定成交单位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 采购人应根据磋商推荐的成交候选人，按照排序由高到低的原件确定成交供应商。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28.3 代理机构将在“扬州市政府采购网”、”江苏省政府采购网”发布成交公告，公告期限为1个工作日。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 恶意竞争，最终总报价明显低于其自身合理成本且又无法提供证明的；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 属于本文件规定的无效条件，但在评审过程中又未被磋商小组发现的；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 与采购人或者其他供应商恶意串通的；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 采取不正当手段诋毁、排挤其他供应商的；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 不符合法律、法规的规定的。</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29、质疑处理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b w:val="0"/>
          <w:bCs w:val="0"/>
          <w:color w:val="000000"/>
          <w:highlight w:val="yellow"/>
        </w:rPr>
        <w:t xml:space="preserve">提出质疑的供应商应当是参与所质疑项目采购活动</w:t>
      </w:r>
      <w:r>
        <w:rPr>
          <w:rFonts w:hint="eastAsia" w:ascii="宋体" w:hAnsi="宋体" w:cs="宋体"/>
          <w:b w:val="0"/>
          <w:bCs w:val="0"/>
          <w:color w:val="000000"/>
          <w:highlight w:val="yellow"/>
          <w:lang w:val="en-US" w:eastAsia="zh-CN"/>
        </w:rPr>
        <w:t xml:space="preserve">且满足采购活动相关资质要求</w:t>
      </w:r>
      <w:r>
        <w:rPr>
          <w:rFonts w:hint="eastAsia" w:ascii="宋体" w:hAnsi="宋体" w:eastAsia="宋体" w:cs="宋体"/>
          <w:b w:val="0"/>
          <w:bCs w:val="0"/>
          <w:color w:val="000000"/>
          <w:highlight w:val="yellow"/>
        </w:rPr>
        <w:t xml:space="preserve">的供应商。潜在供应商依法获取其可质疑的采购文件的，可以对采购文件提出质疑。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30、成交通知书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签订合同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31.3合同在“政府采购管理交易系统（苏采云）”中签订，签订合同后，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32、其他</w:t>
      </w:r>
      <w:r/>
    </w:p>
    <w:p>
      <w:pPr>
        <w:ind w:firstLine="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32.1依据《政府采购促进中小企业发展管理办法》享受扶持政策获得政府采购合同的，小微企业不得将合同分包给大中型企业，中型企业不得将合同分包给大型企业。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35" w:name="_Toc11480"/>
      <w:r/>
      <w:bookmarkStart w:id="36" w:name="_Toc107582398"/>
      <w:r/>
      <w:bookmarkStart w:id="37" w:name="_Toc24601"/>
      <w:r>
        <w:rPr>
          <w:rFonts w:hint="eastAsia" w:ascii="宋体" w:hAnsi="宋体" w:eastAsia="宋体" w:cs="宋体"/>
          <w:color w:val="000000" w:themeColor="text1"/>
          <w:sz w:val="36"/>
          <w:szCs w:val="36"/>
          <w:highlight w:val="none"/>
          <w14:textFill>
            <w14:solidFill>
              <w14:schemeClr w14:val="tx1"/>
            </w14:solidFill>
          </w14:textFill>
        </w:rPr>
        <w:t xml:space="preserve">第三章 合同条款及格式</w:t>
      </w:r>
      <w:bookmarkEnd w:id="35"/>
      <w:r/>
      <w:bookmarkEnd w:id="36"/>
      <w:r/>
      <w:bookmarkEnd w:id="37"/>
      <w:r/>
      <w:r/>
    </w:p>
    <w:p>
      <w:pPr>
        <w:ind w:firstLine="40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bookmarkStart w:id="38" w:name="_Toc32629"/>
      <w:r/>
      <w:bookmarkStart w:id="39" w:name="_Toc16315"/>
      <w:r>
        <w:rPr>
          <w:rFonts w:hint="eastAsia" w:ascii="宋体" w:hAnsi="宋体" w:eastAsia="宋体" w:cs="宋体"/>
          <w:bCs/>
          <w:color w:val="000000" w:themeColor="text1"/>
          <w:sz w:val="21"/>
          <w:szCs w:val="21"/>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ind w:firstLine="402"/>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0"/>
        </w:rPr>
        <w:t xml:space="preserve">扬州市政府采购合同</w:t>
      </w:r>
      <w:r/>
    </w:p>
    <w:p>
      <w:pPr>
        <w:ind w:firstLine="420"/>
        <w:spacing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甲方（采购人/买方）：      </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乙方（供应商/卖方）：</w:t>
      </w:r>
      <w:r>
        <w:rPr>
          <w:rFonts w:hint="eastAsia" w:ascii="宋体" w:hAnsi="宋体" w:eastAsia="宋体" w:cs="宋体"/>
          <w:color w:val="000000"/>
          <w:sz w:val="21"/>
          <w:szCs w:val="21"/>
          <w:u w:val="single"/>
        </w:rPr>
        <w:t xml:space="preserve">              </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根据《中华人民共和国政府采购法》、《中华人民共和国民法典》等法律法规的规定，甲乙双方按照</w:t>
      </w:r>
      <w:r>
        <w:rPr>
          <w:rFonts w:hint="eastAsia" w:ascii="宋体" w:hAnsi="宋体" w:cs="宋体"/>
          <w:color w:val="000000"/>
          <w:sz w:val="21"/>
          <w:szCs w:val="21"/>
          <w:lang w:eastAsia="zh-CN"/>
        </w:rPr>
        <w:t xml:space="preserve">江苏三思行房地产评估造价有限公司</w:t>
      </w:r>
      <w:r>
        <w:rPr>
          <w:rFonts w:hint="eastAsia" w:ascii="宋体" w:hAnsi="宋体" w:eastAsia="宋体" w:cs="宋体"/>
          <w:color w:val="000000"/>
          <w:sz w:val="21"/>
          <w:szCs w:val="21"/>
        </w:rPr>
        <w:t xml:space="preserve">关于本项目磋商结果签订本合同。</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1、合同组成</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下列关于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文件、乙方提交的响应文件均是构成本合同不可分割的部分，还包括：</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（1）合同条款；</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（2）响应承诺函；</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（3）最后报价表；</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（4）报价明细表；</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（5）工程方案及服务承诺；</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（6）成交通知书；</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（7）图纸（如有）；</w:t>
      </w:r>
      <w:r/>
    </w:p>
    <w:p>
      <w:pPr>
        <w:ind w:firstLine="31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（8）甲方、乙方商定的其他必要文件。</w:t>
      </w:r>
      <w:r/>
    </w:p>
    <w:p>
      <w:pPr>
        <w:ind w:firstLine="422"/>
        <w:spacing w:line="360" w:lineRule="auto"/>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2、工程概况</w:t>
      </w:r>
      <w:r/>
    </w:p>
    <w:p>
      <w:pPr>
        <w:ind w:firstLine="420"/>
        <w:spacing w:line="360" w:lineRule="auto"/>
        <w:rPr>
          <w:rFonts w:hint="eastAsia" w:ascii="宋体" w:hAnsi="宋体" w:eastAsia="宋体" w:cs="宋体"/>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 工程名称：</w:t>
      </w:r>
      <w:r>
        <w:rPr>
          <w:rFonts w:hint="eastAsia" w:ascii="宋体" w:hAnsi="宋体" w:eastAsia="宋体" w:cs="宋体"/>
          <w:color w:val="000000"/>
          <w:sz w:val="21"/>
          <w:szCs w:val="21"/>
          <w:u w:val="single"/>
          <w:lang w:val="en-US" w:eastAsia="zh-CN"/>
        </w:rPr>
        <w:t xml:space="preserve">                                   </w:t>
      </w:r>
      <w:r/>
    </w:p>
    <w:p>
      <w:pPr>
        <w:ind w:firstLine="420"/>
        <w:spacing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工程地点：扬州市江都区</w:t>
      </w:r>
      <w:r>
        <w:rPr>
          <w:rFonts w:hint="eastAsia" w:ascii="宋体" w:hAnsi="宋体" w:eastAsia="宋体" w:cs="宋体"/>
          <w:color w:val="000000"/>
          <w:sz w:val="21"/>
          <w:szCs w:val="21"/>
          <w:lang w:val="en-US" w:eastAsia="zh-CN"/>
        </w:rPr>
        <w:t xml:space="preserve">小纪镇</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 承包范围：包含但不限于工程施工图纸及工程量清单范围内的所有工程施工</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 承包方式：包工包料</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 工期：本工程工期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天，拟于</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日开工，</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日完工，具体开工时间以采购人通知为准。</w:t>
      </w:r>
      <w:r/>
    </w:p>
    <w:p>
      <w:pPr>
        <w:ind w:firstLine="42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 工程质量：本工程质量等级为合格标准，符合《水利工程施工质量检验与评定规范》（DB32/T2334-2013）。</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 合同价款（人民币大写）：</w:t>
      </w:r>
      <w:r>
        <w:rPr>
          <w:rFonts w:hint="eastAsia" w:ascii="宋体" w:hAnsi="宋体" w:eastAsia="宋体" w:cs="宋体"/>
          <w:color w:val="000000"/>
          <w:sz w:val="21"/>
          <w:szCs w:val="21"/>
          <w:u w:val="single"/>
        </w:rPr>
        <w:t xml:space="preserve">             元，￥： 元。</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本项目合同采用固定单价，合同价格明细清单见投标清单附件，施工过程中严格控制变更。</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本工程结算价须经甲方认可的造价咨询单位审核确定</w:t>
      </w:r>
      <w:r>
        <w:rPr>
          <w:rFonts w:hint="eastAsia" w:ascii="宋体" w:hAnsi="宋体" w:eastAsia="宋体" w:cs="宋体"/>
          <w:color w:val="000000"/>
          <w:sz w:val="21"/>
          <w:szCs w:val="21"/>
          <w:highlight w:val="white"/>
        </w:rPr>
        <w:t xml:space="preserve">，最终合同价以审计部门审定结算价为准。</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合同价中安全文明措施费、工伤保险在投标报价时为不可竞争费，费用为招标清单提供的费用。</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本合同价格采用固定单价，为防止高估冒算或清单漏项，合同签订前甲乙双方对照现场、招标清单、施工图核实有关工程量。</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 付款方式：</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 本项目合同为固定单价合同，合同总价中，包含了工程的施工、安装、调试结束，直至交付买方使用止的所有费用，即包括人工费、全部设备、材料的价格、随设备提供的备品配件及专用工具的价格、包装费、运杂费（含二次搬运费、垂直运输费）、脚手架费、管理费、保险费、安装费、配合费、调试费，完工检测费、买方有关人员培训费、配合费、本工程税金、利润、风险及投标人认为需要的其他所有费用等。</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工程款支付</w:t>
      </w:r>
      <w:r/>
    </w:p>
    <w:p>
      <w:pPr>
        <w:ind w:firstLine="420"/>
        <w:spacing w:line="360" w:lineRule="auto"/>
        <w:rPr>
          <w:rFonts w:hint="eastAsia" w:ascii="宋体" w:hAnsi="宋体" w:eastAsia="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yellow"/>
        </w:rPr>
        <w:t xml:space="preserve">中标价即为合同价，工程竣工验收合格且待上级资金到位后付至合同价的60%，审计结束付至审定价的97%，剩余款项为3%质量保证金，质保金质保期满1年(完工验收之日起算)，且无质量问题一次性无息付清(如承包人提供3%质量保证金的保函或保险，招标人支付至审定价的100%，保函或保险期限至缺陷责任期结束)。资金支付具体进度以财政部门拨付为准。</w:t>
      </w:r>
      <w:r/>
    </w:p>
    <w:p>
      <w:pPr>
        <w:ind w:firstLine="420"/>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ind w:firstLine="422"/>
        <w:spacing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3、甲方权利义务</w:t>
      </w:r>
      <w:r/>
    </w:p>
    <w:p>
      <w:pPr>
        <w:ind w:firstLine="42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3.1 开工前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天，甲方向乙方提供经确认的施工图纸或做法说明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份，并向乙方进行现场交底。向乙方提供施工所有的水、电、气及电讯等设备并说明使用注意事项。</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 </w:t>
      </w:r>
      <w:r>
        <w:rPr>
          <w:rFonts w:hint="eastAsia" w:ascii="宋体" w:hAnsi="宋体" w:eastAsia="宋体" w:cs="宋体"/>
          <w:color w:val="000000"/>
          <w:sz w:val="21"/>
          <w:szCs w:val="21"/>
          <w:highlight w:val="yellow"/>
        </w:rPr>
        <w:t xml:space="preserve">扬州市江都区</w:t>
      </w:r>
      <w:r>
        <w:rPr>
          <w:rFonts w:hint="eastAsia" w:ascii="宋体" w:hAnsi="宋体" w:eastAsia="宋体" w:cs="宋体"/>
          <w:color w:val="000000"/>
          <w:sz w:val="21"/>
          <w:szCs w:val="21"/>
          <w:highlight w:val="yellow"/>
          <w:lang w:val="en-US" w:eastAsia="zh-CN"/>
        </w:rPr>
        <w:t xml:space="preserve">小纪</w:t>
      </w:r>
      <w:r>
        <w:rPr>
          <w:rFonts w:hint="eastAsia" w:ascii="宋体" w:hAnsi="宋体" w:cs="宋体"/>
          <w:color w:val="000000"/>
          <w:sz w:val="21"/>
          <w:szCs w:val="21"/>
          <w:highlight w:val="yellow"/>
          <w:lang w:val="en-US" w:eastAsia="zh-CN"/>
        </w:rPr>
        <w:t xml:space="preserve">镇人民政府小纪</w:t>
      </w:r>
      <w:r>
        <w:rPr>
          <w:rFonts w:hint="eastAsia" w:ascii="宋体" w:hAnsi="宋体" w:eastAsia="宋体" w:cs="宋体"/>
          <w:color w:val="000000"/>
          <w:sz w:val="21"/>
          <w:szCs w:val="21"/>
          <w:highlight w:val="yellow"/>
          <w:lang w:val="en-US" w:eastAsia="zh-CN"/>
        </w:rPr>
        <w:t xml:space="preserve">水务站</w:t>
      </w:r>
      <w:r>
        <w:rPr>
          <w:rFonts w:hint="eastAsia" w:ascii="宋体" w:hAnsi="宋体" w:eastAsia="宋体" w:cs="宋体"/>
          <w:color w:val="000000"/>
          <w:sz w:val="21"/>
          <w:szCs w:val="21"/>
        </w:rPr>
        <w:t xml:space="preserve">负责合同履行。对工程质量控制、进度控制、安全生产等工作进行监督检查，办理验收，变更，登记手续和其他事宜，施工中严格控制变更；发出经发包人同意的工程指令；对支付工程款进行审核等。</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3.3 如确实需要拆改原建筑物结构或设备管线，负责到有关部门办理相应审批手续。</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3.4 协调有关部门做好现场保卫、消防、垃圾处理等工作。</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4、乙方权利义务</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 参加甲方组织的施工图纸或作法说明的现场交底，拟定施工方案和进度计划，交甲方审定。</w:t>
      </w:r>
      <w:r/>
    </w:p>
    <w:p>
      <w:pPr>
        <w:ind w:firstLine="420"/>
        <w:spacing w:line="360" w:lineRule="auto"/>
        <w:rPr>
          <w:rFonts w:hint="eastAsia" w:ascii="宋体" w:hAnsi="宋体" w:eastAsia="宋体" w:cs="宋体"/>
          <w:color w:val="000000"/>
          <w:sz w:val="24"/>
          <w:szCs w:val="24"/>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cyan"/>
        </w:rPr>
        <w:t xml:space="preserve">4.2 </w:t>
      </w:r>
      <w:r>
        <w:rPr>
          <w:rFonts w:hint="eastAsia" w:ascii="宋体" w:hAnsi="宋体" w:cs="宋体"/>
          <w:color w:val="000000"/>
          <w:sz w:val="24"/>
          <w:szCs w:val="24"/>
          <w:highlight w:val="cyan"/>
          <w:lang w:val="en-US" w:eastAsia="zh-CN"/>
        </w:rPr>
        <w:t xml:space="preserve">乙方</w:t>
      </w:r>
      <w:r>
        <w:rPr>
          <w:rFonts w:hint="eastAsia" w:ascii="宋体" w:hAnsi="宋体" w:eastAsia="宋体" w:cs="宋体"/>
          <w:color w:val="000000"/>
          <w:sz w:val="24"/>
          <w:szCs w:val="24"/>
          <w:highlight w:val="cyan"/>
        </w:rPr>
        <w:t xml:space="preserve">进场施工前邀请监理、测绘、业主单位进行复测，如有问题由测绘单位会同监理、甲方共同协商解决。</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4.3 </w:t>
      </w:r>
      <w:r>
        <w:rPr>
          <w:rFonts w:hint="eastAsia" w:ascii="宋体" w:hAnsi="宋体" w:eastAsia="宋体" w:cs="宋体"/>
          <w:color w:val="000000"/>
          <w:sz w:val="21"/>
          <w:szCs w:val="21"/>
        </w:rPr>
        <w:t xml:space="preserve">指派</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为乙方项目负责人（项目经理），身份证号：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，建造师执业资格等级：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，建造师注册证书号：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 乙方项目经理应在采购人签发进场通知后的7日内到职，项目经理不得更换。特殊情况下确需更换的，应提出书面申请并征得甲方同意，且不得降低项目经理资质。项目副经理（若有，下同）、技术负责人除特殊情况外不得更换。项目经理、项目副经理、技术负责人、安全负责人、质检负责人在工程施工期间调换不得超过2人（甲方要求变更的除外）。</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 乙方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报价中，甲方不再另行支付。</w:t>
      </w:r>
      <w:r>
        <w:rPr>
          <w:rFonts w:hint="eastAsia" w:ascii="宋体" w:hAnsi="宋体" w:eastAsia="宋体" w:cs="宋体"/>
          <w:color w:val="000000"/>
          <w:sz w:val="21"/>
          <w:szCs w:val="21"/>
          <w:highlight w:val="cyan"/>
        </w:rPr>
        <w:t xml:space="preserve">并提供工程主要节点施工前、中、后对比照片资料1套，档案相关的一切费用包含在报价中，甲方不再另行支付。</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 严格执行施工规范、安全操作规程、防火安全规定、环境保护规定。严格按照图纸或做法说明进行施工，做好各项质量检查记录，参加完工验收，编制工程决算。</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 施工中未经甲方同意或有关部门批准，不得随意拆改原建筑物结构及各种设备管线。</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 工程完工未移交甲方之前，负责对现场的一切设施和工程成品进行保护，所涉及的费用包含在报价中，甲方不再另行支付。</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 乙方向甲方承诺按照合同约定进行施工、完工并在质量保修期内承担工程质量保修责任。</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乙方有责任在工程中间验收、完工验收、档案验收过程中为甲方提供与政府相关部门的沟通与协调的服务，并与甲方一起办理相应手续。</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 承担本工程所有应属于乙方责任内的检验费用（行业管理另有规定的，从其行业规定），乙方应在投标报价中考虑，甲方不再另行支付。</w:t>
      </w:r>
      <w:r/>
    </w:p>
    <w:p>
      <w:pPr>
        <w:ind w:firstLine="42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spacing w:line="360" w:lineRule="auto"/>
        <w:rPr>
          <w:rFonts w:hint="eastAsia" w:ascii="宋体" w:hAnsi="宋体" w:eastAsia="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highlight w:val="yellow"/>
        </w:rPr>
        <w:t xml:space="preserve">在施工期间所产生的矛盾及苗木赔青由乙方自行负责，所产生的费用包含报价中，不得另计。</w:t>
      </w:r>
      <w:r/>
    </w:p>
    <w:p>
      <w:pPr>
        <w:ind w:firstLine="420"/>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cyan"/>
          <w:lang w:val="en-US" w:eastAsia="zh-CN"/>
        </w:rPr>
        <w:t xml:space="preserve">4.1</w:t>
      </w:r>
      <w:r>
        <w:rPr>
          <w:rFonts w:hint="eastAsia" w:ascii="宋体" w:hAnsi="宋体" w:cs="宋体"/>
          <w:color w:val="000000"/>
          <w:sz w:val="24"/>
          <w:szCs w:val="24"/>
          <w:highlight w:val="cyan"/>
          <w:lang w:val="en-US" w:eastAsia="zh-CN"/>
        </w:rPr>
        <w:t xml:space="preserve">5</w:t>
      </w:r>
      <w:r>
        <w:rPr>
          <w:rFonts w:hint="eastAsia" w:ascii="宋体" w:hAnsi="宋体" w:eastAsia="宋体" w:cs="宋体"/>
          <w:color w:val="000000"/>
          <w:sz w:val="24"/>
          <w:szCs w:val="24"/>
          <w:highlight w:val="cyan"/>
          <w:lang w:val="en-US" w:eastAsia="zh-CN"/>
        </w:rPr>
        <w:t xml:space="preserve"> 合同价包含一些不可预见的费用，包括但不限于弃土区（排泥场）、临时用地、临时用电的矛盾协调、赔青、土源及运距、排泥管线输送长度、破坏的路面等原状恢复等</w:t>
      </w:r>
      <w:r>
        <w:rPr>
          <w:rFonts w:hint="eastAsia" w:ascii="宋体" w:hAnsi="宋体" w:cs="宋体"/>
          <w:color w:val="000000"/>
          <w:sz w:val="24"/>
          <w:szCs w:val="24"/>
          <w:highlight w:val="cyan"/>
          <w:lang w:val="en-US" w:eastAsia="zh-CN"/>
        </w:rPr>
        <w:t xml:space="preserve">，相关施工措施费用包含在合同总价中，甲方不在另行支付。</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5、税费</w:t>
      </w:r>
      <w:r/>
    </w:p>
    <w:p>
      <w:pPr>
        <w:ind w:firstLine="396"/>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rPr>
        <w:t xml:space="preserve">5.1 中国政府根据现行税法规定对甲方征收的与本合同有关的一切税费均由甲方负担（免税部分除外）。</w:t>
      </w:r>
      <w:r/>
    </w:p>
    <w:p>
      <w:pPr>
        <w:ind w:firstLine="396"/>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rPr>
        <w:t xml:space="preserve">5.2 中国政府根据现行税法规定对乙方征收的与本合同有关的一切税费均由乙方负担（免税部分除外）。</w:t>
      </w:r>
      <w:r/>
    </w:p>
    <w:p>
      <w:pPr>
        <w:ind w:firstLine="40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6、履约保证金：无</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7、关于工期的约定及其他相关的约定</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 甲方要求比合同约定的工期提前完工时，应与乙方协商，并支付乙方因赶工采取的措施费用。</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因甲方未按约定完成工作，影响工期，工期顺延，但不增加费用。</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7.3 因乙方责任，不能按期开工或中途无故停工，影响工期，工期不顺延，且不增加费用。</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7.4 因设计变更或非乙方原因造成的停电、停水、停气及不可抗力因素影响，导致停工8小时以上（一周内累计计算）工期相应顺延。政府环保、安全等要求引起的暂停施工时间不包含在总工期内，相关费用由乙方承担。</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8、关于工程质量、验收及质保的约定</w:t>
      </w:r>
      <w:r/>
    </w:p>
    <w:p>
      <w:pPr>
        <w:ind w:firstLine="404"/>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1"/>
          <w:szCs w:val="21"/>
        </w:rPr>
        <w:t xml:space="preserve">8.1 本工程以施工图纸或作法说明、设计变更和国家制订的最新施工及验收规范为质量评定验收标准。</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乙方自行考虑为完成本工程计划施工工期所发生的施工赶工措施，甲发不再额外增加此类费用。</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工程质量必须达到相关现行的国家规范、行业标准、地方标准和满足甲方根据合同规定对工程质量的合理要求，质量标准为合格。</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8.6 由于乙方原因造成质量事故，其返工费用由乙方承担，工期不顺延。</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8.7 工程完工后，乙方应通知甲方验收，甲方自接到验收通知</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日内组织验收，并办理验收、移交手续。如甲方在规定时间内未能组织验收，需及时通知乙方，另定验收日期。但甲方应承认乙方完工日期。如验收不通过，乙方应无条件进行整改直至验收通过。本工程验收按</w:t>
      </w:r>
      <w:r>
        <w:rPr>
          <w:rFonts w:hint="eastAsia" w:ascii="宋体" w:hAnsi="宋体" w:cs="宋体"/>
          <w:color w:val="000000"/>
          <w:sz w:val="21"/>
          <w:szCs w:val="21"/>
          <w:highlight w:val="cyan"/>
          <w:lang w:eastAsia="zh-CN"/>
        </w:rPr>
        <w:t xml:space="preserve">《水利水电建设工程验收规程》（SLT223—2025）</w:t>
      </w:r>
      <w:r>
        <w:rPr>
          <w:rFonts w:hint="eastAsia" w:ascii="宋体" w:hAnsi="宋体" w:eastAsia="宋体" w:cs="宋体"/>
          <w:color w:val="000000"/>
          <w:sz w:val="21"/>
          <w:szCs w:val="21"/>
        </w:rPr>
        <w:t xml:space="preserve">的规定执行。</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8.8 本工程应符合国家环保质量要求,否则，甲方有权要求乙方返工，并要求乙方承担违约责任并赔偿甲方损失。</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8.9 工程交付尚未使用期间凡属工程遗留问题，乙方在接到甲方书面通知后三天内组织整改。逾期甲方将组织整改，一切费用由乙方承担。</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8.11 本工程质量保修期为</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u w:val="single"/>
          <w:lang w:val="en-US" w:eastAsia="zh-CN"/>
        </w:rPr>
        <w:t xml:space="preserve"> </w:t>
      </w:r>
      <w:r>
        <w:rPr>
          <w:rFonts w:hint="eastAsia" w:ascii="宋体" w:hAnsi="宋体" w:cs="宋体"/>
          <w:color w:val="000000"/>
          <w:sz w:val="21"/>
          <w:szCs w:val="21"/>
          <w:highlight w:val="yellow"/>
          <w:u w:val="single"/>
          <w:lang w:val="en-US" w:eastAsia="zh-CN"/>
        </w:rPr>
        <w:t xml:space="preserve">1 </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rPr>
        <w:t xml:space="preserve">年</w:t>
      </w:r>
      <w:r>
        <w:rPr>
          <w:rFonts w:hint="eastAsia" w:ascii="宋体" w:hAnsi="宋体" w:eastAsia="宋体" w:cs="宋体"/>
          <w:color w:val="000000"/>
          <w:sz w:val="21"/>
          <w:szCs w:val="21"/>
        </w:rPr>
        <w:t xml:space="preserve">，自工程完工验收合格之日起算。保修期届满前，乙方须对工程进行全面检查，使本工程达到合同所要求的标准及甲方认为合格的程度。</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8.13</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甲方及工程师有权要求乙方立即从工程中撤换在甲方认为行为不轨或在履行其职责时不能胜任、玩忽职守的人员及甲方认为其在现场出现是不适宜的人员。被要求撤换的人员应从速离场，无甲方的批准不得重新进入现场工作。否则，甲发有权解除合同，并依法追究乙方的责任，同时报相应的建设主管部门处理。</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8.15</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乙方应遵守政府和甲方对施工现场的规定和要求，承担因自身原因违反有关规定造成的损失和罚款。</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8.16</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360" w:lineRule="auto"/>
        <w:tabs>
          <w:tab w:val="left" w:pos="900"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8.17</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360" w:lineRule="auto"/>
        <w:tabs>
          <w:tab w:val="left" w:pos="900"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8.18</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因乙方违反本合同约定而发生诉讼或仲裁的，甲方因此所产生的包括但不限于诉讼费、仲裁费、律师费等均由乙方承担。</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9、关于工程价款及结算的约定</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 双方商定本合同价款采用第</w:t>
      </w:r>
      <w:r>
        <w:rPr>
          <w:rFonts w:hint="eastAsia" w:ascii="宋体" w:hAnsi="宋体" w:eastAsia="宋体" w:cs="宋体"/>
          <w:color w:val="000000"/>
          <w:sz w:val="21"/>
          <w:szCs w:val="21"/>
          <w:u w:val="single"/>
        </w:rPr>
        <w:t xml:space="preserve">（1）</w:t>
      </w:r>
      <w:r>
        <w:rPr>
          <w:rFonts w:hint="eastAsia" w:ascii="宋体" w:hAnsi="宋体" w:eastAsia="宋体" w:cs="宋体"/>
          <w:color w:val="000000"/>
          <w:sz w:val="21"/>
          <w:szCs w:val="21"/>
        </w:rPr>
        <w:t xml:space="preserve">种：</w:t>
      </w:r>
      <w:r/>
    </w:p>
    <w:p>
      <w:pPr>
        <w:ind w:firstLine="396"/>
        <w:spacing w:line="360" w:lineRule="auto"/>
        <w:rPr>
          <w:rFonts w:hint="eastAsia" w:ascii="宋体" w:hAnsi="宋体" w:eastAsia="宋体" w:cs="宋体"/>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yellow"/>
        </w:rPr>
        <w:t xml:space="preserve">(1)</w:t>
      </w:r>
      <w:r>
        <w:rPr>
          <w:rFonts w:hint="eastAsia" w:ascii="宋体" w:hAnsi="宋体" w:eastAsia="宋体" w:cs="宋体"/>
          <w:color w:val="000000"/>
          <w:spacing w:val="-6"/>
          <w:sz w:val="21"/>
          <w:szCs w:val="21"/>
          <w:highlight w:val="yellow"/>
          <w:lang w:val="en-US" w:eastAsia="zh-CN"/>
        </w:rPr>
        <w:t xml:space="preserve"> </w:t>
      </w:r>
      <w:r>
        <w:rPr>
          <w:rFonts w:hint="eastAsia" w:ascii="宋体" w:hAnsi="宋体" w:eastAsia="宋体" w:cs="宋体"/>
          <w:color w:val="000000"/>
          <w:spacing w:val="-6"/>
          <w:sz w:val="21"/>
          <w:szCs w:val="21"/>
          <w:highlight w:val="yellow"/>
        </w:rPr>
        <w:t xml:space="preserve">固定价格（风险费已包含在报价中，其它合同以外价款的调整方法为</w:t>
      </w:r>
      <w:r>
        <w:rPr>
          <w:rFonts w:hint="eastAsia" w:ascii="宋体" w:hAnsi="宋体" w:eastAsia="宋体" w:cs="宋体"/>
          <w:color w:val="000000"/>
          <w:spacing w:val="-6"/>
          <w:sz w:val="21"/>
          <w:szCs w:val="21"/>
          <w:highlight w:val="yellow"/>
          <w:u w:val="single"/>
        </w:rPr>
        <w:t xml:space="preserve">工程量清单中有的项目（项目特征相同）按报价的综合单价计算；报价中没有综合单价的新的工程量清单项目，按照《水利</w:t>
      </w:r>
      <w:r>
        <w:rPr>
          <w:rFonts w:hint="eastAsia" w:ascii="宋体" w:hAnsi="宋体" w:eastAsia="宋体" w:cs="宋体"/>
          <w:color w:val="000000"/>
          <w:spacing w:val="-6"/>
          <w:sz w:val="21"/>
          <w:szCs w:val="21"/>
          <w:highlight w:val="yellow"/>
          <w:u w:val="single"/>
        </w:rPr>
        <w:t xml:space="preserve">工程量清单计价规范》（GB50501-2007）、《关于印发&lt;江苏省水利工程招标投标文件工程量清单格式&gt;的通知》（苏水基〔2011〕21号）；《省水利厅关于印发&lt;江苏省水利建设工程安全文明措施费管理办法&gt;的通知》（苏水规〔2017〕2号）；《省水利厅关于印发&lt;江苏省水利建设工程安全文明措施费分解表&gt;的通知》（苏水安〔2017〕3号）；《江苏省水利建筑工程定额》（2010年）；国家、省、市级水利建设行政主管部门颁发的有关计量计费依据和规定；与本工程项目有关的标准、规范、技术资料；主要材料价格参照扬州市 202</w:t>
      </w:r>
      <w:r>
        <w:rPr>
          <w:rFonts w:hint="eastAsia" w:ascii="宋体" w:hAnsi="宋体" w:eastAsia="宋体" w:cs="宋体"/>
          <w:color w:val="000000"/>
          <w:spacing w:val="-6"/>
          <w:sz w:val="21"/>
          <w:szCs w:val="21"/>
          <w:highlight w:val="yellow"/>
          <w:u w:val="single"/>
          <w:lang w:val="en-US" w:eastAsia="zh-CN"/>
        </w:rPr>
        <w:t xml:space="preserve">6</w:t>
      </w:r>
      <w:r>
        <w:rPr>
          <w:rFonts w:hint="eastAsia" w:ascii="宋体" w:hAnsi="宋体" w:eastAsia="宋体" w:cs="宋体"/>
          <w:color w:val="000000"/>
          <w:spacing w:val="-6"/>
          <w:sz w:val="21"/>
          <w:szCs w:val="21"/>
          <w:highlight w:val="yellow"/>
          <w:u w:val="single"/>
        </w:rPr>
        <w:t xml:space="preserve"> 年 2 月扬州工程造价管理；部分材料的价格采用市场价格等,没有的按市场询价，具体按建设工程工程量清单计价规范执行，经甲方（造价跟踪方）确认后报甲方安排的审计部门核定。</w:t>
      </w:r>
      <w:r/>
    </w:p>
    <w:p>
      <w:pPr>
        <w:ind w:firstLine="396"/>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 固定价格加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%包干风险系数计算。包干风险包括内容：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ind w:firstLine="396"/>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 可调价格：按照国家有关工程计价规定计算造价，并按有关规定进行调整和完工结算。</w:t>
      </w:r>
      <w:r/>
    </w:p>
    <w:p>
      <w:p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9.2结算</w:t>
      </w:r>
      <w:r/>
    </w:p>
    <w:p>
      <w:p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本工程结算价需经有关部门审定确认，具体如下：</w:t>
      </w:r>
      <w:r/>
    </w:p>
    <w:p>
      <w:pPr>
        <w:numPr>
          <w:ilvl w:val="0"/>
          <w:numId w:val="1"/>
        </w:num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本工程结算价需经有关部门审定确认，本工程安全文明措施费计取基本费及扬尘污染防治增加费，结算时按有关部门核定调整。</w:t>
      </w:r>
      <w:r/>
    </w:p>
    <w:p>
      <w:pPr>
        <w:numPr>
          <w:ilvl w:val="0"/>
          <w:numId w:val="1"/>
        </w:num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乙方完工验收合格后30天内提交结算送审资料进行结算。超过合同约定时间报送的关于工程量变更等导致工程款变化的结算资料不作为审查的依据。</w:t>
      </w:r>
      <w:r/>
    </w:p>
    <w:p>
      <w:pPr>
        <w:numPr>
          <w:ilvl w:val="0"/>
          <w:numId w:val="1"/>
        </w:num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乙方提供的完工资料如有缺项（如试验记录、调试记录等），则视为该项工序现场未做，在工程结算中此部分费用将予以扣除。</w:t>
      </w:r>
      <w:r/>
    </w:p>
    <w:p>
      <w:pPr>
        <w:numPr>
          <w:ilvl w:val="0"/>
          <w:numId w:val="1"/>
        </w:num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本工程最终结算价以审计单位审核为准。</w:t>
      </w:r>
      <w:r/>
    </w:p>
    <w:p>
      <w:pPr>
        <w:numPr>
          <w:ilvl w:val="0"/>
          <w:numId w:val="1"/>
        </w:numPr>
        <w:ind w:firstLine="525"/>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乙方需提供发票。</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本工程固定单价结算。</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10、有关安全生产和防火的约定</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甲方提供的施工图纸或作法说明，应符合《中华人民共和国消防条例》和有关防火设计规范。</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 乙方在施工期间应严格遵守《建设工程安全生产管理条例》、《建筑安装工人安全技术操作规程》、《中华人民共和国消防条例》和其它相关的法规、规范。</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 对于甲方确认的图纸或作法说明，有违反有关安全操作规程、消防条例和防火设计规范或可能导致发生安全或火灾事故的，乙方应及时提出并通知甲方，会同设计单位对图纸或作法进行修改。</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 乙方在施工生产过程中不得违反有关安全操作规程、消防条例，并对施工场所负有安全管理责任，如发生安全或火灾等事故，乙方应承担由此引发的一切经济损失及法律责任。</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 本建筑安装工程必须达到现行版的国家及江苏省的一切有关法律、法规要求，若本工程实施期间有新的相关法律、法规标准出台，则仍应满足新的标准要求。</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10.6</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10.7</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000000"/>
          <w:sz w:val="21"/>
          <w:szCs w:val="21"/>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10.8</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本工程所涉及的施工现场内安全防护措施费用均已在合同价款和合同计价方法中综合考虑，不再另行计取。</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10.9</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因乙方原因造成的任何事故或工伤（包括第三者人员在内）所发生的依法应该支付的损失、赔偿费、补偿费用等责任由乙方承担。</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10.10</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若发生安全事故，乙方承担全部责任，与甲方无关。乙方应按规定立即报告建设主管部门并通知甲发。如因此造成甲方承担责任的，甲发有权向乙方索赔。</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11、奖励和违约责任</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 由于乙方原因，逾期完工，每逾期一天，乙方支付甲方</w:t>
      </w:r>
      <w:r>
        <w:rPr>
          <w:rFonts w:hint="eastAsia" w:ascii="宋体" w:hAnsi="宋体" w:eastAsia="宋体" w:cs="宋体"/>
          <w:color w:val="000000"/>
          <w:sz w:val="21"/>
          <w:szCs w:val="21"/>
          <w:u w:val="single"/>
        </w:rPr>
        <w:t xml:space="preserve">1000</w:t>
      </w:r>
      <w:r>
        <w:rPr>
          <w:rFonts w:hint="eastAsia" w:ascii="宋体" w:hAnsi="宋体" w:eastAsia="宋体" w:cs="宋体"/>
          <w:color w:val="000000"/>
          <w:sz w:val="21"/>
          <w:szCs w:val="21"/>
        </w:rPr>
        <w:t xml:space="preserve">元/天违约金，逾期完工超过 30天的甲方还有权解除合同并要求乙方支付合同总价30%的违约金。</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 项目经理、项目副经理、技术负责人短期离开工地，应事先提出书面申请并征得同意后方可离开。3天以内（含3天）报采购人批准，报甲方核备，同时应委派代表代行其职，3天以上报甲方批准。一般情况，每人每月在工期间不得少于22天。项目经理、技术负责人不得同时离开工地。项目经理、项目副经理、技术负责人、质检员、安全员在工由采购人对其考勤，对于月在工天数少于22天的，每少一天，扣除工程款2000元/（人*天）。上述罚款的最高限额为合同价的2%。上述人员的考勤由采购人指定专人负责，考勤结果后装订成册后移存档。</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 如甲方因乙方原因要求撤换项目经理，乙方须及时更换相同资质与资历的项目经理，并承担相应损失。</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 乙方按本项目的合同约定，积极履行质量及安全责任。对省、市、区的各级稽查、质量安全监督、甲方组织的质量及安全生产活动中，对下达的检查意见落实不及时、未按要求整改或整改不到位的、或其类似质量及安全问题整改不到位的，予以扣罚2000元/次。以甲方下发的处罚通知或联系单等为依据，在进度款支付时予以扣除。</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11.5 乙方应妥善保护甲方提供的设备及工程成品，如造成损失，应照价赔偿。</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11.6 甲方未办理任何手续，擅自同意拆改原有建筑物或设备管线，由此发生的损失或事故（包括罚款），由甲方负责并承担损失。</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11.7 未经甲方同意，乙方擅自拆改原建筑物结构或设备管线，由此发生的损失或事故（包括罚款），由乙方负责并承担损失。</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11.8 未办理验收手续，甲方提前使用或擅自动用造成损失由甲方负责。</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11.9 因一方原因，合同无法继续履行时，应通知对方，办理合同终止协议，并由责任方赔偿对方由此造成的经济损失。</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11.10甲乙双方应严格履约，如违约，由违约方向对方支付本合同标的总价 5﹪的违约金，并赔偿对方由此造成的一切经济损失。</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11.11 乙方应承担的违约金，甲方均有权在工程款中扣除。</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12、不可抗力</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在执行合同期限内，任何一方因不可抗力事件造成不能履行合同时，应立即通知对方，并寄送有关权威机构出具的证明，则合同履行期可延长，延长期与不可抗力影响期相同。</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 不可抗力影响时间持续 30 日以上时，甲乙双方及时解除合同；</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 本条所述“不可抗力”是指不可预见、不能克服及不能避免的事件，包括战争、严重火灾、洪水、地震等。</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13、纠纷解决办法</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 在执行本合同中所发生的或与本合同有关的一切争端，甲方和乙方应通过友好协商的办法进行解决。如协商仍不能解决，则通过由甲方所在地人民法院诉讼。</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14、破产终止合同</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 如果乙方破产或无履行能力时，甲方在任何时候书面通知乙方解除合同而不给乙方补偿。该终止合同将不损害或影响甲方已经或将要采取的补救措施的权利。</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15、分包和转让</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 本合同中的权利和义务不得转让。</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16、</w:t>
      </w:r>
      <w:r>
        <w:rPr>
          <w:rFonts w:hint="eastAsia" w:ascii="宋体" w:hAnsi="宋体" w:eastAsia="宋体" w:cs="宋体"/>
          <w:color w:val="000000"/>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17、合同生效及其它</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 合同经双方法定代表人或授权代表签字并加盖单位公章后生效。</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17.2 本合同正本一式陆份，具有同等法律效力，</w:t>
      </w:r>
      <w:r>
        <w:rPr>
          <w:rFonts w:hint="eastAsia" w:ascii="宋体" w:hAnsi="宋体" w:eastAsia="宋体" w:cs="宋体"/>
          <w:color w:val="000000"/>
          <w:sz w:val="21"/>
          <w:szCs w:val="21"/>
          <w:lang w:val="en-US" w:eastAsia="zh-CN"/>
        </w:rPr>
        <w:t xml:space="preserve">甲方、乙方及见证方</w:t>
      </w:r>
      <w:r>
        <w:rPr>
          <w:rFonts w:hint="eastAsia" w:ascii="宋体" w:hAnsi="宋体" w:eastAsia="宋体" w:cs="宋体"/>
          <w:color w:val="000000"/>
          <w:sz w:val="21"/>
          <w:szCs w:val="21"/>
        </w:rPr>
        <w:t xml:space="preserve">各执</w:t>
      </w:r>
      <w:r>
        <w:rPr>
          <w:rFonts w:hint="eastAsia" w:ascii="宋体" w:hAnsi="宋体" w:eastAsia="宋体" w:cs="宋体"/>
          <w:color w:val="000000"/>
          <w:sz w:val="21"/>
          <w:szCs w:val="21"/>
          <w:lang w:val="en-US" w:eastAsia="zh-CN"/>
        </w:rPr>
        <w:t xml:space="preserve">贰</w:t>
      </w:r>
      <w:r>
        <w:rPr>
          <w:rFonts w:hint="eastAsia" w:ascii="宋体" w:hAnsi="宋体" w:eastAsia="宋体" w:cs="宋体"/>
          <w:color w:val="000000"/>
          <w:sz w:val="21"/>
          <w:szCs w:val="21"/>
        </w:rPr>
        <w:t xml:space="preserve">份。</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17.3 本合同服务实施期间所发生的合同纠纷，甲方与乙方进行处理。</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17.4</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合同在执行过程中，如随项目的深化，如合同内容需修改，应经甲方、乙方协商，并签署书面修改协议。该协议将作为本合同不可分割的一部分。</w:t>
      </w:r>
      <w:r/>
    </w:p>
    <w:p>
      <w:pPr>
        <w:ind w:firstLine="420"/>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17.5 本合同未尽事宜，遵照《</w:t>
      </w:r>
      <w:r>
        <w:rPr>
          <w:rFonts w:hint="eastAsia" w:ascii="宋体" w:hAnsi="宋体" w:eastAsia="宋体" w:cs="宋体"/>
          <w:color w:val="000000"/>
          <w:sz w:val="21"/>
          <w:szCs w:val="21"/>
          <w:lang w:val="en-US" w:eastAsia="zh-CN"/>
        </w:rPr>
        <w:t xml:space="preserve">中华人民共和国</w:t>
      </w:r>
      <w:r>
        <w:rPr>
          <w:rFonts w:hint="eastAsia" w:ascii="宋体" w:hAnsi="宋体" w:eastAsia="宋体" w:cs="宋体"/>
          <w:color w:val="000000"/>
          <w:sz w:val="21"/>
          <w:szCs w:val="21"/>
        </w:rPr>
        <w:t xml:space="preserve">民法典》有关条文执行。</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r>
            <w:r/>
          </w:p>
          <w:p>
            <w:pPr>
              <w:ind w:firstLine="420"/>
              <w:spacing w:after="0" w:line="36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见证方：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textDirection w:val="lrTb"/>
            <w:noWrap/>
          </w:tcPr>
          <w:p>
            <w:pPr>
              <w:ind w:firstLine="420"/>
              <w:spacing w:after="0" w:line="36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r>
    </w:tbl>
    <w:p>
      <w:pPr>
        <w:ind w:firstLine="420"/>
        <w:spacing w:line="439"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rPr>
          <w:rFonts w:ascii="Times New Roman" w:hAnsi="Times New Roman"/>
          <w:b w:val="0"/>
          <w:bCs w:val="0"/>
          <w:sz w:val="28"/>
          <w:lang w:eastAsia="zh-CN"/>
        </w:rPr>
      </w:pPr>
      <w:r>
        <w:rPr>
          <w:rFonts w:ascii="Times New Roman" w:hAnsi="Times New Roman"/>
          <w:b w:val="0"/>
          <w:bCs w:val="0"/>
          <w:sz w:val="28"/>
          <w:lang w:eastAsia="zh-CN"/>
        </w:rPr>
        <w:br w:type="page" w:clear="all"/>
      </w:r>
      <w:r/>
    </w:p>
    <w:p>
      <w:pPr>
        <w:pStyle w:val="1085"/>
        <w:ind w:left="1274" w:hanging="1274"/>
        <w:spacing w:before="120" w:line="360" w:lineRule="auto"/>
        <w:rPr>
          <w:rFonts w:ascii="Times New Roman" w:hAnsi="Times New Roman"/>
          <w:b w:val="0"/>
          <w:bCs w:val="0"/>
          <w:sz w:val="28"/>
          <w:lang w:eastAsia="zh-CN"/>
        </w:rPr>
      </w:pPr>
      <w:r>
        <w:rPr>
          <w:rFonts w:ascii="Times New Roman" w:hAnsi="Times New Roman"/>
          <w:b/>
          <w:bCs/>
          <w:sz w:val="21"/>
          <w:szCs w:val="21"/>
          <w:lang w:eastAsia="zh-CN"/>
        </w:rPr>
        <w:t xml:space="preserve">附件</w:t>
      </w:r>
      <w:r>
        <w:rPr>
          <w:rFonts w:hint="eastAsia" w:ascii="Times New Roman" w:hAnsi="Times New Roman"/>
          <w:b/>
          <w:bCs/>
          <w:sz w:val="21"/>
          <w:szCs w:val="21"/>
          <w:lang w:eastAsia="zh-CN"/>
        </w:rPr>
        <w:t xml:space="preserve">一</w:t>
      </w:r>
      <w:r>
        <w:rPr>
          <w:rFonts w:ascii="Times New Roman" w:hAnsi="Times New Roman"/>
          <w:b/>
          <w:bCs/>
          <w:sz w:val="21"/>
          <w:szCs w:val="21"/>
          <w:lang w:eastAsia="zh-CN"/>
        </w:rPr>
        <w:t xml:space="preserve">：安全生产合同</w:t>
      </w:r>
      <w:r/>
    </w:p>
    <w:p>
      <w:pPr>
        <w:pStyle w:val="108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(建设单位与施工单位)</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甲方：(以下简称“甲方”)</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乙方：(以下简称“乙方”)</w:t>
      </w:r>
      <w:r/>
    </w:p>
    <w:p>
      <w:pPr>
        <w:ind w:firstLine="420"/>
        <w:spacing w:line="360" w:lineRule="auto"/>
        <w:rPr>
          <w:rFonts w:hint="eastAsia" w:ascii="宋体" w:hAnsi="宋体" w:eastAsia="宋体" w:cs="宋体"/>
          <w:szCs w:val="24"/>
        </w:rPr>
      </w:pPr>
      <w:r>
        <w:rPr>
          <w:rFonts w:hint="eastAsia" w:ascii="宋体" w:hAnsi="宋体" w:eastAsia="宋体" w:cs="宋体"/>
          <w:szCs w:val="24"/>
          <w:highlight w:val="yellow"/>
        </w:rPr>
        <w:t xml:space="preserve">为贯彻落实财政部、水利部《水利基本建设资金管理办法》、国家四部委《关于加强</w:t>
      </w:r>
      <w:r>
        <w:rPr>
          <w:rFonts w:hint="eastAsia" w:ascii="宋体" w:hAnsi="宋体" w:eastAsia="宋体" w:cs="宋体"/>
          <w:szCs w:val="24"/>
        </w:rPr>
        <w:t xml:space="preserve">公益性水利工程建设管理的若干意见》，确保实现江苏水利厅党组要求的“三个安全”目标，甲方与乙方协商一致，自愿签订以下资金安全合同。</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一、甲方职责</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1、严格遵守国家有关安全生产的法律法规，认真执行工程承包合同中的有关安全要求。</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2、按照“安全第一、预防为主”和坚持“管生产必需管安全”的原则进行安全生产管理，做到生产与安全工作同时计划、布置、检查、总结和评比。</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3、定期召开安全生产协调会，及时传达中央及地方有关安全生产的精神。</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4、组织对乙方施工现场安全生产检查，建立安全生产责任制网络、汇总重要危险源、监督乙方及时处理发现的各种安全隐患。</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二、乙方职责</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1、严格遵守国家有关安全生产的法律法规、有关安全生产的规定，认真执行工程承包合同中的有关安全要求，接受甲方和监督理工程师对安全生产工作的指导。</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3、建立健全安全产生责任制网络。从派驻项</w:t>
      </w:r>
      <w:r>
        <w:rPr>
          <w:rFonts w:hint="eastAsia" w:ascii="宋体" w:hAnsi="宋体" w:eastAsia="宋体" w:cs="宋体"/>
          <w:sz w:val="21"/>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4、乙方在任何时候都应采取各种合理的预防措施，防止其人员发生任何违法、违禁、暴力、违规或妨碍治安的行为</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6、加强施工中交通运输安全管理，各种运输机械等需划定运输线路行驶。</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7、对于易燃易爆的材料除应专门有效封闭、妥善保管之处，还应配备有足够的消防设施所有施工人员都应熟悉消防设备的性能和使用方法。</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8、操作人员上岗，必须按规定穿戴防护用品。施工负责人和安全检查员随时检查劳动防护用品的穿戴情况，不按规定穿戴防护用品的人员不得上岗。</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10、施工现场必须具有相关的安全标志牌。</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11、建立主要危险源备案制度，要明确潜在隐患、防范措施和落实责任人。</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三、违约责任</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如因甲方或乙方违约造成安全事故，将报请有关部门依法追究责任。</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本合同一式陆份，甲、乙方各执叁份，由双方法定代表人或其授权的代理人签署和加盖公章后生效，全部工程竣工验收后失效。</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   方：                          乙  方：</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法定代表人(或授权代理人)：</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地址：</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电话：</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日期：</w:t>
      </w:r>
      <w:r/>
    </w:p>
    <w:p>
      <w:pPr>
        <w:pStyle w:val="1086"/>
        <w:ind w:firstLine="420"/>
        <w:spacing w:line="440" w:lineRule="exact"/>
        <w:rPr>
          <w:rFonts w:ascii="宋体" w:hAnsi="宋体"/>
          <w:sz w:val="21"/>
        </w:rPr>
      </w:pPr>
      <w:r>
        <w:rPr>
          <w:rFonts w:ascii="宋体" w:hAnsi="宋体"/>
          <w:sz w:val="21"/>
        </w:rPr>
      </w:r>
      <w:r/>
    </w:p>
    <w:p>
      <w:pPr>
        <w:rPr>
          <w:rFonts w:ascii="宋体" w:hAnsi="宋体"/>
          <w:sz w:val="21"/>
        </w:rPr>
      </w:pPr>
      <w:r>
        <w:rPr>
          <w:rFonts w:ascii="宋体" w:hAnsi="宋体"/>
          <w:sz w:val="21"/>
        </w:rPr>
        <w:br w:type="page" w:clear="all"/>
      </w:r>
      <w:r/>
    </w:p>
    <w:p>
      <w:pPr>
        <w:pStyle w:val="1086"/>
        <w:spacing w:line="440" w:lineRule="exact"/>
        <w:tabs>
          <w:tab w:val="left" w:pos="4245" w:leader="none"/>
          <w:tab w:val="center" w:pos="4535" w:leader="none"/>
        </w:tabs>
        <w:rPr>
          <w:rFonts w:ascii="Times New Roman" w:hAnsi="Times New Roman"/>
          <w:b/>
          <w:bCs/>
          <w:sz w:val="21"/>
          <w:szCs w:val="21"/>
          <w:lang w:eastAsia="zh-CN"/>
        </w:rPr>
      </w:pPr>
      <w:r/>
      <w:bookmarkStart w:id="40" w:name="_Toc30408"/>
      <w:r/>
      <w:bookmarkStart w:id="41" w:name="_Toc405822527"/>
      <w:r/>
      <w:bookmarkStart w:id="42" w:name="_Toc346698511"/>
      <w:r/>
      <w:bookmarkStart w:id="43" w:name="_Toc507066175"/>
      <w:r/>
      <w:bookmarkStart w:id="44" w:name="_Toc4215"/>
      <w:r/>
      <w:bookmarkStart w:id="45" w:name="_Toc486434552"/>
      <w:r/>
      <w:bookmarkStart w:id="46" w:name="_Toc405822031"/>
      <w:r/>
      <w:bookmarkStart w:id="47" w:name="_Toc58680767"/>
      <w:r/>
      <w:bookmarkStart w:id="48" w:name="_Toc341532550"/>
      <w:r/>
      <w:bookmarkStart w:id="49" w:name="_Toc485976257"/>
      <w:r/>
      <w:bookmarkStart w:id="50" w:name="_Toc392858970"/>
      <w:r/>
      <w:bookmarkStart w:id="51" w:name="_Toc256000104"/>
      <w:r>
        <w:rPr>
          <w:rFonts w:ascii="Times New Roman" w:hAnsi="Times New Roman"/>
          <w:b/>
          <w:bCs/>
          <w:sz w:val="21"/>
          <w:szCs w:val="21"/>
          <w:lang w:eastAsia="zh-CN"/>
        </w:rPr>
        <w:t xml:space="preserve">附件</w:t>
      </w:r>
      <w:r>
        <w:rPr>
          <w:rFonts w:hint="eastAsia" w:ascii="Times New Roman" w:hAnsi="Times New Roman"/>
          <w:b/>
          <w:bCs/>
          <w:sz w:val="21"/>
          <w:szCs w:val="21"/>
          <w:lang w:eastAsia="zh-CN"/>
        </w:rPr>
        <w:t xml:space="preserve">二</w:t>
      </w:r>
      <w:r>
        <w:rPr>
          <w:rFonts w:ascii="Times New Roman" w:hAnsi="Times New Roman"/>
          <w:b/>
          <w:bCs/>
          <w:sz w:val="21"/>
          <w:szCs w:val="21"/>
          <w:lang w:eastAsia="zh-CN"/>
        </w:rPr>
        <w:t xml:space="preserve">：</w:t>
      </w:r>
      <w:bookmarkEnd w:id="40"/>
      <w:r/>
      <w:bookmarkEnd w:id="41"/>
      <w:r/>
      <w:bookmarkEnd w:id="42"/>
      <w:r/>
      <w:bookmarkEnd w:id="43"/>
      <w:r/>
      <w:bookmarkEnd w:id="44"/>
      <w:r/>
      <w:bookmarkEnd w:id="45"/>
      <w:r/>
      <w:bookmarkEnd w:id="46"/>
      <w:r/>
      <w:bookmarkEnd w:id="47"/>
      <w:r/>
      <w:bookmarkEnd w:id="48"/>
      <w:r/>
      <w:bookmarkEnd w:id="49"/>
      <w:r/>
      <w:bookmarkEnd w:id="50"/>
      <w:r/>
      <w:bookmarkEnd w:id="51"/>
      <w:r/>
      <w:bookmarkStart w:id="52" w:name="_Toc7778"/>
      <w:r/>
      <w:bookmarkStart w:id="53" w:name="_Toc392858971"/>
      <w:r/>
      <w:bookmarkStart w:id="54" w:name="_Toc58680768"/>
      <w:r/>
      <w:bookmarkStart w:id="55" w:name="_Toc30720"/>
      <w:r/>
      <w:bookmarkStart w:id="56" w:name="_Toc256000105"/>
      <w:r/>
      <w:bookmarkStart w:id="57" w:name="_Toc369081680"/>
      <w:r>
        <w:rPr>
          <w:rFonts w:ascii="Times New Roman" w:hAnsi="Times New Roman"/>
          <w:b/>
          <w:bCs/>
          <w:sz w:val="21"/>
          <w:szCs w:val="21"/>
          <w:lang w:eastAsia="zh-CN"/>
        </w:rPr>
        <w:t xml:space="preserve">建设项目廉政合同</w:t>
      </w:r>
      <w:bookmarkEnd w:id="52"/>
      <w:r/>
      <w:bookmarkEnd w:id="53"/>
      <w:r/>
      <w:bookmarkEnd w:id="54"/>
      <w:r/>
      <w:bookmarkEnd w:id="55"/>
      <w:r/>
      <w:bookmarkEnd w:id="56"/>
      <w:r/>
      <w:bookmarkEnd w:id="57"/>
      <w:r/>
      <w:r/>
    </w:p>
    <w:p>
      <w:pPr>
        <w:pStyle w:val="108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(建设单位与施工单位)</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甲方：(以下简称“甲方”)</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乙方：(以下简称“乙方”)</w:t>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为贯彻落实党中央、国务院《关于实行党风廉政建设责任制的规定》，为了加强工程建设中的党风廉政建设，保证本工程建设优质、高效、有序地进行，</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(以下简称甲方)，与承担</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项目名称</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的施工单位</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(以下简称“乙方”)，经双方协商一致，自愿签订以下廉政合同。</w:t>
      </w:r>
      <w:r/>
    </w:p>
    <w:p>
      <w:pPr>
        <w:pStyle w:val="1086"/>
        <w:spacing w:line="360" w:lineRule="auto"/>
        <w:rPr>
          <w:rFonts w:hint="eastAsia" w:ascii="宋体" w:hAnsi="宋体" w:eastAsia="宋体" w:cs="宋体"/>
          <w:b/>
          <w:sz w:val="21"/>
          <w:szCs w:val="21"/>
        </w:rPr>
      </w:pPr>
      <w:r/>
      <w:bookmarkStart w:id="58" w:name="_Toc469923276"/>
      <w:r/>
      <w:bookmarkStart w:id="59" w:name="_Toc28007300"/>
      <w:r/>
      <w:bookmarkStart w:id="60" w:name="_Toc283573539"/>
      <w:r/>
      <w:bookmarkStart w:id="61" w:name="_Toc486434553"/>
      <w:r/>
      <w:bookmarkStart w:id="62" w:name="_Toc453949175"/>
      <w:r/>
      <w:bookmarkStart w:id="63" w:name="_Toc339135324"/>
      <w:r/>
      <w:bookmarkStart w:id="64" w:name="_Toc369859526"/>
      <w:r/>
      <w:bookmarkStart w:id="65" w:name="_Toc391971645"/>
      <w:r/>
      <w:bookmarkStart w:id="66" w:name="_Toc454438824"/>
      <w:r/>
      <w:bookmarkStart w:id="67" w:name="_Toc425757894"/>
      <w:r/>
      <w:bookmarkStart w:id="68" w:name="_Toc499103028"/>
      <w:r/>
      <w:bookmarkStart w:id="69" w:name="_Toc2673959"/>
      <w:r/>
      <w:bookmarkStart w:id="70" w:name="_Toc341532552"/>
      <w:r/>
      <w:bookmarkStart w:id="71" w:name="_Toc350697682"/>
      <w:r/>
      <w:bookmarkStart w:id="72" w:name="_Toc392858972"/>
      <w:r/>
      <w:bookmarkStart w:id="73" w:name="_Toc532646223"/>
      <w:r/>
      <w:bookmarkStart w:id="74" w:name="_Toc338745987"/>
      <w:r/>
      <w:bookmarkStart w:id="75" w:name="_Toc405822528"/>
      <w:r/>
      <w:bookmarkStart w:id="76" w:name="_Toc416442325"/>
      <w:r/>
      <w:bookmarkStart w:id="77" w:name="_Toc346700667"/>
      <w:r/>
      <w:bookmarkStart w:id="78" w:name="_Toc455395791"/>
      <w:r/>
      <w:bookmarkStart w:id="79" w:name="_Toc18065739"/>
      <w:r/>
      <w:bookmarkStart w:id="80" w:name="_Toc428869212"/>
      <w:r/>
      <w:bookmarkStart w:id="81" w:name="_Toc532394130"/>
      <w:r/>
      <w:bookmarkStart w:id="82" w:name="_Toc405822032"/>
      <w:r/>
      <w:bookmarkStart w:id="83" w:name="_Toc351017577"/>
      <w:r/>
      <w:bookmarkStart w:id="84" w:name="_Toc456023902"/>
      <w:r/>
      <w:bookmarkStart w:id="85" w:name="_Toc346698513"/>
      <w:r/>
      <w:bookmarkStart w:id="86" w:name="_Toc346709274"/>
      <w:r/>
      <w:bookmarkStart w:id="87" w:name="_Toc470253164"/>
      <w:r/>
      <w:bookmarkStart w:id="88" w:name="_Toc406502941"/>
      <w:r/>
      <w:bookmarkStart w:id="89" w:name="_Toc505259413"/>
      <w:r/>
      <w:bookmarkStart w:id="90" w:name="_Toc440352446"/>
      <w:r/>
      <w:bookmarkStart w:id="91" w:name="_Toc369081681"/>
      <w:r/>
      <w:bookmarkStart w:id="92" w:name="_Toc283577281"/>
      <w:r/>
      <w:bookmarkStart w:id="93" w:name="_Toc340330312"/>
      <w:r/>
      <w:bookmarkStart w:id="94" w:name="_Toc339352495"/>
      <w:r/>
      <w:bookmarkStart w:id="95" w:name="_Toc489274455"/>
      <w:r/>
      <w:bookmarkStart w:id="96" w:name="_Toc454520003"/>
      <w:r/>
      <w:bookmarkStart w:id="97" w:name="_Toc426445895"/>
      <w:r/>
      <w:bookmarkStart w:id="98" w:name="_Toc485976258"/>
      <w:r/>
      <w:bookmarkStart w:id="99" w:name="_Toc350520334"/>
      <w:r/>
      <w:bookmarkStart w:id="100" w:name="_Toc339183515"/>
      <w:r/>
      <w:bookmarkStart w:id="101" w:name="_Toc507066176"/>
      <w:r/>
      <w:bookmarkStart w:id="102" w:name="_Toc402189276"/>
      <w:r/>
      <w:bookmarkStart w:id="103" w:name="_Toc418751240"/>
      <w:r>
        <w:rPr>
          <w:rFonts w:hint="eastAsia" w:ascii="宋体" w:hAnsi="宋体" w:eastAsia="宋体" w:cs="宋体"/>
          <w:b/>
          <w:sz w:val="21"/>
          <w:szCs w:val="21"/>
        </w:rPr>
        <w:t xml:space="preserve">一、甲、乙双方约定</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1、甲、乙双方应加强对本方人员的廉政监督，建立和健全廉政制度。</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2、甲、乙双方有对本方人员开展廉政告知、廉政教育和职业道德教育的义务。</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3、甲、乙双方及其工作人员应共同遵守国家和省、市以及行业主管部门关于加强水利基础设施建设管理以及党风廉政建设的各项规定。</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4、甲、乙双方及其工作人员应认真执行双方签订的廉政合同文件，自觉按合同办事。</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5、除法律认定的商业秘密或合同文件另有规定之外，甲、乙双方的业务活动应坚持公开、公正、诚实信用的原则，严禁损害国家和集体利益，严禁违反工程建设管理规章制度的不正当交易。</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6、甲、乙双方如发现对方在业务活动中有不廉洁行为，有及时提醒对方并督促其纠正的权利和义务，并认真查处本方的违法违纪行为。</w:t>
      </w:r>
      <w:r/>
    </w:p>
    <w:p>
      <w:pPr>
        <w:pStyle w:val="1086"/>
        <w:spacing w:line="360" w:lineRule="auto"/>
        <w:rPr>
          <w:rFonts w:hint="eastAsia" w:ascii="宋体" w:hAnsi="宋体" w:eastAsia="宋体" w:cs="宋体"/>
          <w:b/>
          <w:sz w:val="21"/>
          <w:szCs w:val="21"/>
        </w:rPr>
      </w:pPr>
      <w:r/>
      <w:bookmarkStart w:id="104" w:name="_Toc405822529"/>
      <w:r/>
      <w:bookmarkStart w:id="105" w:name="_Toc283577282"/>
      <w:r/>
      <w:bookmarkStart w:id="106" w:name="_Toc406502942"/>
      <w:r/>
      <w:bookmarkStart w:id="107" w:name="_Toc489274456"/>
      <w:r/>
      <w:bookmarkStart w:id="108" w:name="_Toc346709275"/>
      <w:r/>
      <w:bookmarkStart w:id="109" w:name="_Toc416442326"/>
      <w:r/>
      <w:bookmarkStart w:id="110" w:name="_Toc392858973"/>
      <w:r/>
      <w:bookmarkStart w:id="111" w:name="_Toc532394131"/>
      <w:r/>
      <w:bookmarkStart w:id="112" w:name="_Toc440352447"/>
      <w:r/>
      <w:bookmarkStart w:id="113" w:name="_Toc455395792"/>
      <w:r/>
      <w:bookmarkStart w:id="114" w:name="_Toc505259414"/>
      <w:r/>
      <w:bookmarkStart w:id="115" w:name="_Toc350520335"/>
      <w:r/>
      <w:bookmarkStart w:id="116" w:name="_Toc283573540"/>
      <w:r/>
      <w:bookmarkStart w:id="117" w:name="_Toc346700668"/>
      <w:r/>
      <w:bookmarkStart w:id="118" w:name="_Toc425757895"/>
      <w:r/>
      <w:bookmarkStart w:id="119" w:name="_Toc453949176"/>
      <w:r/>
      <w:bookmarkStart w:id="120" w:name="_Toc402189277"/>
      <w:r/>
      <w:bookmarkStart w:id="121" w:name="_Toc340330313"/>
      <w:r/>
      <w:bookmarkStart w:id="122" w:name="_Toc418751241"/>
      <w:r/>
      <w:bookmarkStart w:id="123" w:name="_Toc350697683"/>
      <w:r/>
      <w:bookmarkStart w:id="124" w:name="_Toc391971646"/>
      <w:r/>
      <w:bookmarkStart w:id="125" w:name="_Toc341532553"/>
      <w:r/>
      <w:bookmarkStart w:id="126" w:name="_Toc369859527"/>
      <w:r/>
      <w:bookmarkStart w:id="127" w:name="_Toc470253165"/>
      <w:r/>
      <w:bookmarkStart w:id="128" w:name="_Toc499103029"/>
      <w:r/>
      <w:bookmarkStart w:id="129" w:name="_Toc2673960"/>
      <w:r/>
      <w:bookmarkStart w:id="130" w:name="_Toc339352496"/>
      <w:r/>
      <w:bookmarkStart w:id="131" w:name="_Toc339135325"/>
      <w:r/>
      <w:bookmarkStart w:id="132" w:name="_Toc426445896"/>
      <w:r/>
      <w:bookmarkStart w:id="133" w:name="_Toc469923277"/>
      <w:r/>
      <w:bookmarkStart w:id="134" w:name="_Toc351017578"/>
      <w:r/>
      <w:bookmarkStart w:id="135" w:name="_Toc485976259"/>
      <w:r/>
      <w:bookmarkStart w:id="136" w:name="_Toc369081682"/>
      <w:r/>
      <w:bookmarkStart w:id="137" w:name="_Toc532646224"/>
      <w:r/>
      <w:bookmarkStart w:id="138" w:name="_Toc405822033"/>
      <w:r/>
      <w:bookmarkStart w:id="139" w:name="_Toc18065740"/>
      <w:r/>
      <w:bookmarkStart w:id="140" w:name="_Toc454520004"/>
      <w:r/>
      <w:bookmarkStart w:id="141" w:name="_Toc338745988"/>
      <w:r/>
      <w:bookmarkStart w:id="142" w:name="_Toc346698514"/>
      <w:r/>
      <w:bookmarkStart w:id="143" w:name="_Toc507066177"/>
      <w:r/>
      <w:bookmarkStart w:id="144" w:name="_Toc486434554"/>
      <w:r/>
      <w:bookmarkStart w:id="145" w:name="_Toc339183516"/>
      <w:r/>
      <w:bookmarkStart w:id="146" w:name="_Toc454438825"/>
      <w:r/>
      <w:bookmarkStart w:id="147" w:name="_Toc456023903"/>
      <w:r/>
      <w:bookmarkStart w:id="148" w:name="_Toc28007301"/>
      <w:r/>
      <w:bookmarkStart w:id="149" w:name="_Toc428869213"/>
      <w:r>
        <w:rPr>
          <w:rFonts w:hint="eastAsia" w:ascii="宋体" w:hAnsi="宋体" w:eastAsia="宋体" w:cs="宋体"/>
          <w:b/>
          <w:sz w:val="21"/>
          <w:szCs w:val="21"/>
        </w:rPr>
        <w:t xml:space="preserve">二、甲方在廉政建设方面的责任</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1、甲方及其工作人员不得以任何形式向乙方索要和收受金钱、有价证券、贵重物品等财物；对推辞不掉的礼金、有价证券和贵重物品等，应立即上缴纪检监察部门或廉政帐户</w:t>
      </w:r>
      <w:r>
        <w:rPr>
          <w:rFonts w:hint="eastAsia" w:ascii="宋体" w:hAnsi="宋体" w:eastAsia="宋体" w:cs="宋体"/>
          <w:sz w:val="21"/>
          <w:szCs w:val="21"/>
          <w:highlight w:val="yellow"/>
        </w:rPr>
        <w:t xml:space="preserve">“510”</w:t>
      </w:r>
      <w:r>
        <w:rPr>
          <w:rFonts w:hint="eastAsia" w:ascii="宋体" w:hAnsi="宋体" w:eastAsia="宋体" w:cs="宋体"/>
          <w:sz w:val="21"/>
          <w:szCs w:val="21"/>
        </w:rPr>
        <w:t xml:space="preserve">。</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2、甲方不得在乙方报销任何费用。</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3、甲方工作人员不得参加乙方的宴请和旅游等活动；不得要求乙方为其提供吃、住、交通工具、通讯工具、高档办公用品等。</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4、甲方及其工作人员不得要求或者接受乙方为其住房装修、婚丧嫁娶、亲属的工作安排以及出国等提供方便。</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5、甲方及其工作人员不得要求乙方为其亲朋好友及有利害关系的人安排工作或劳务；不得违规从事与乙方工程有关的材料设备供应、工程分包、劳务等经济活动。</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6、甲方及其工作人员不得滥用职权影响工程的质量、进度和安全。</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7、甲方及其工作人员不得与乙方私下进行交易。</w:t>
      </w:r>
      <w:r/>
    </w:p>
    <w:p>
      <w:pPr>
        <w:pStyle w:val="1086"/>
        <w:spacing w:line="360" w:lineRule="auto"/>
        <w:rPr>
          <w:rFonts w:hint="eastAsia" w:ascii="宋体" w:hAnsi="宋体" w:eastAsia="宋体" w:cs="宋体"/>
          <w:b/>
          <w:sz w:val="21"/>
          <w:szCs w:val="21"/>
        </w:rPr>
      </w:pPr>
      <w:r/>
      <w:bookmarkStart w:id="150" w:name="_Toc416442327"/>
      <w:r/>
      <w:bookmarkStart w:id="151" w:name="_Toc351017579"/>
      <w:r/>
      <w:bookmarkStart w:id="152" w:name="_Toc440352448"/>
      <w:r/>
      <w:bookmarkStart w:id="153" w:name="_Toc507066178"/>
      <w:r/>
      <w:bookmarkStart w:id="154" w:name="_Toc369081683"/>
      <w:r/>
      <w:bookmarkStart w:id="155" w:name="_Toc418751242"/>
      <w:r/>
      <w:bookmarkStart w:id="156" w:name="_Toc405822530"/>
      <w:r/>
      <w:bookmarkStart w:id="157" w:name="_Toc405822034"/>
      <w:r/>
      <w:bookmarkStart w:id="158" w:name="_Toc456023904"/>
      <w:r/>
      <w:bookmarkStart w:id="159" w:name="_Toc340330314"/>
      <w:r/>
      <w:bookmarkStart w:id="160" w:name="_Toc392858974"/>
      <w:r/>
      <w:bookmarkStart w:id="161" w:name="_Toc454438826"/>
      <w:r/>
      <w:bookmarkStart w:id="162" w:name="_Toc283573541"/>
      <w:r/>
      <w:bookmarkStart w:id="163" w:name="_Toc406502943"/>
      <w:r/>
      <w:bookmarkStart w:id="164" w:name="_Toc489274457"/>
      <w:r/>
      <w:bookmarkStart w:id="165" w:name="_Toc391971647"/>
      <w:r/>
      <w:bookmarkStart w:id="166" w:name="_Toc341532554"/>
      <w:r/>
      <w:bookmarkStart w:id="167" w:name="_Toc350520336"/>
      <w:r/>
      <w:bookmarkStart w:id="168" w:name="_Toc283577283"/>
      <w:r/>
      <w:bookmarkStart w:id="169" w:name="_Toc453949177"/>
      <w:r/>
      <w:bookmarkStart w:id="170" w:name="_Toc499103030"/>
      <w:r/>
      <w:bookmarkStart w:id="171" w:name="_Toc455395793"/>
      <w:r/>
      <w:bookmarkStart w:id="172" w:name="_Toc426445897"/>
      <w:r/>
      <w:bookmarkStart w:id="173" w:name="_Toc339183517"/>
      <w:r/>
      <w:bookmarkStart w:id="174" w:name="_Toc532394132"/>
      <w:r/>
      <w:bookmarkStart w:id="175" w:name="_Toc428869214"/>
      <w:r/>
      <w:bookmarkStart w:id="176" w:name="_Toc486434555"/>
      <w:r/>
      <w:bookmarkStart w:id="177" w:name="_Toc505259415"/>
      <w:r/>
      <w:bookmarkStart w:id="178" w:name="_Toc369859528"/>
      <w:r/>
      <w:bookmarkStart w:id="179" w:name="_Toc339352497"/>
      <w:r/>
      <w:bookmarkStart w:id="180" w:name="_Toc350697684"/>
      <w:r/>
      <w:bookmarkStart w:id="181" w:name="_Toc346698515"/>
      <w:r/>
      <w:bookmarkStart w:id="182" w:name="_Toc346700669"/>
      <w:r/>
      <w:bookmarkStart w:id="183" w:name="_Toc470253166"/>
      <w:r/>
      <w:bookmarkStart w:id="184" w:name="_Toc425757896"/>
      <w:r/>
      <w:bookmarkStart w:id="185" w:name="_Toc18065741"/>
      <w:r/>
      <w:bookmarkStart w:id="186" w:name="_Toc532646225"/>
      <w:r/>
      <w:bookmarkStart w:id="187" w:name="_Toc402189278"/>
      <w:r/>
      <w:bookmarkStart w:id="188" w:name="_Toc454520005"/>
      <w:r/>
      <w:bookmarkStart w:id="189" w:name="_Toc338745989"/>
      <w:r/>
      <w:bookmarkStart w:id="190" w:name="_Toc28007302"/>
      <w:r/>
      <w:bookmarkStart w:id="191" w:name="_Toc346709276"/>
      <w:r/>
      <w:bookmarkStart w:id="192" w:name="_Toc339135326"/>
      <w:r/>
      <w:bookmarkStart w:id="193" w:name="_Toc469923278"/>
      <w:r/>
      <w:bookmarkStart w:id="194" w:name="_Toc485976260"/>
      <w:r/>
      <w:bookmarkStart w:id="195" w:name="_Toc2673961"/>
      <w:r>
        <w:rPr>
          <w:rFonts w:hint="eastAsia" w:ascii="宋体" w:hAnsi="宋体" w:eastAsia="宋体" w:cs="宋体"/>
          <w:b/>
          <w:sz w:val="21"/>
          <w:szCs w:val="21"/>
        </w:rPr>
        <w:t xml:space="preserve">三、乙方在廉政建设方面的责任</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1、乙方不得以任何理由向甲方及其工作人员馈赠礼金、礼品和有价证券等财产性权益。</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2、乙方不得以任何名义为甲方及其工作人员报销由甲方或个人支付的任何不当费用。</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3、乙方不得以任何理由邀请甲方工作人员参加对承建的施工项目有影响的宴请、及娱乐活动；不得为其购置或提供通讯工具、交通工具、家电和高档办公用品等财物。</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4、乙方不准为甲方工作人员住房装修、婚丧嫁娶、配偶、子女、亲友出国(境)旅游提供方便；不准为甲方工作人员的配偶、子女及有利害关系的人员安排工作或劳务。</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5、乙方不准违反规定将承建的施工项目分包或转包。</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6、乙方及其工作人员不准与该工程的造价跟踪单位串通，违反工程计量、资金支付、质量验评、竣工验收等有关规定和程序，损害甲方利益，影响工程质量、进度和安全。</w:t>
      </w:r>
      <w:r/>
    </w:p>
    <w:p>
      <w:pPr>
        <w:pStyle w:val="1086"/>
        <w:spacing w:line="360" w:lineRule="auto"/>
        <w:rPr>
          <w:rFonts w:hint="eastAsia" w:ascii="宋体" w:hAnsi="宋体" w:eastAsia="宋体" w:cs="宋体"/>
          <w:b/>
          <w:sz w:val="21"/>
          <w:szCs w:val="21"/>
        </w:rPr>
      </w:pPr>
      <w:r/>
      <w:bookmarkStart w:id="196" w:name="_Toc416442328"/>
      <w:r/>
      <w:bookmarkStart w:id="197" w:name="_Toc406502944"/>
      <w:r/>
      <w:bookmarkStart w:id="198" w:name="_Toc405822531"/>
      <w:r/>
      <w:bookmarkStart w:id="199" w:name="_Toc18065742"/>
      <w:r/>
      <w:bookmarkStart w:id="200" w:name="_Toc402189279"/>
      <w:r/>
      <w:bookmarkStart w:id="201" w:name="_Toc453949178"/>
      <w:r/>
      <w:bookmarkStart w:id="202" w:name="_Toc338745990"/>
      <w:r/>
      <w:bookmarkStart w:id="203" w:name="_Toc350697685"/>
      <w:r/>
      <w:bookmarkStart w:id="204" w:name="_Toc369081684"/>
      <w:r/>
      <w:bookmarkStart w:id="205" w:name="_Toc428869215"/>
      <w:r/>
      <w:bookmarkStart w:id="206" w:name="_Toc369859529"/>
      <w:r/>
      <w:bookmarkStart w:id="207" w:name="_Toc440352449"/>
      <w:r/>
      <w:bookmarkStart w:id="208" w:name="_Toc507066179"/>
      <w:r/>
      <w:bookmarkStart w:id="209" w:name="_Toc470253167"/>
      <w:r/>
      <w:bookmarkStart w:id="210" w:name="_Toc350520337"/>
      <w:r/>
      <w:bookmarkStart w:id="211" w:name="_Toc505259416"/>
      <w:r/>
      <w:bookmarkStart w:id="212" w:name="_Toc499103031"/>
      <w:r/>
      <w:bookmarkStart w:id="213" w:name="_Toc454438827"/>
      <w:r/>
      <w:bookmarkStart w:id="214" w:name="_Toc454520006"/>
      <w:r/>
      <w:bookmarkStart w:id="215" w:name="_Toc532646226"/>
      <w:r/>
      <w:bookmarkStart w:id="216" w:name="_Toc283577284"/>
      <w:r/>
      <w:bookmarkStart w:id="217" w:name="_Toc456023905"/>
      <w:r/>
      <w:bookmarkStart w:id="218" w:name="_Toc339352498"/>
      <w:r/>
      <w:bookmarkStart w:id="219" w:name="_Toc469923279"/>
      <w:r/>
      <w:bookmarkStart w:id="220" w:name="_Toc346698516"/>
      <w:r/>
      <w:bookmarkStart w:id="221" w:name="_Toc532394133"/>
      <w:r/>
      <w:bookmarkStart w:id="222" w:name="_Toc346700670"/>
      <w:r/>
      <w:bookmarkStart w:id="223" w:name="_Toc351017580"/>
      <w:r/>
      <w:bookmarkStart w:id="224" w:name="_Toc28007303"/>
      <w:r/>
      <w:bookmarkStart w:id="225" w:name="_Toc341532555"/>
      <w:r/>
      <w:bookmarkStart w:id="226" w:name="_Toc283573542"/>
      <w:r/>
      <w:bookmarkStart w:id="227" w:name="_Toc485976261"/>
      <w:r/>
      <w:bookmarkStart w:id="228" w:name="_Toc339183518"/>
      <w:r/>
      <w:bookmarkStart w:id="229" w:name="_Toc486434556"/>
      <w:r/>
      <w:bookmarkStart w:id="230" w:name="_Toc455395794"/>
      <w:r/>
      <w:bookmarkStart w:id="231" w:name="_Toc405822035"/>
      <w:r/>
      <w:bookmarkStart w:id="232" w:name="_Toc340330315"/>
      <w:r/>
      <w:bookmarkStart w:id="233" w:name="_Toc425757897"/>
      <w:r/>
      <w:bookmarkStart w:id="234" w:name="_Toc339135327"/>
      <w:r/>
      <w:bookmarkStart w:id="235" w:name="_Toc392858975"/>
      <w:r/>
      <w:bookmarkStart w:id="236" w:name="_Toc418751243"/>
      <w:r/>
      <w:bookmarkStart w:id="237" w:name="_Toc426445898"/>
      <w:r/>
      <w:bookmarkStart w:id="238" w:name="_Toc346709277"/>
      <w:r/>
      <w:bookmarkStart w:id="239" w:name="_Toc391971648"/>
      <w:r/>
      <w:bookmarkStart w:id="240" w:name="_Toc2673962"/>
      <w:r/>
      <w:bookmarkStart w:id="241" w:name="_Toc489274458"/>
      <w:r>
        <w:rPr>
          <w:rFonts w:hint="eastAsia" w:ascii="宋体" w:hAnsi="宋体" w:eastAsia="宋体" w:cs="宋体"/>
          <w:b/>
          <w:sz w:val="21"/>
          <w:szCs w:val="21"/>
        </w:rPr>
        <w:t xml:space="preserve">四、违约责任</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1、甲方若违反本“廉政合同”的，对违法违纪人员，由甲方主管部门依据有关规定查处，给乙方造成的损失，按有关规定予以赔偿。</w:t>
      </w:r>
      <w:r/>
    </w:p>
    <w:p>
      <w:pPr>
        <w:pStyle w:val="1086"/>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乙方若违反本“廉政合同”的，视情节轻重，每次给予1～5万元的违约罚款，若严惩违反《廉政合同》的，在2年内不得进入扬州市水利工程建设市场，对违法违纪人员，由乙方主管部门依据有关规定查处，给甲方造成的损失，按有关规定予以赔偿。</w:t>
      </w:r>
      <w:r/>
    </w:p>
    <w:p>
      <w:pPr>
        <w:pStyle w:val="1086"/>
        <w:spacing w:line="360" w:lineRule="auto"/>
        <w:rPr>
          <w:rFonts w:hint="eastAsia" w:ascii="宋体" w:hAnsi="宋体" w:eastAsia="宋体" w:cs="宋体"/>
          <w:b/>
          <w:sz w:val="21"/>
          <w:szCs w:val="21"/>
        </w:rPr>
      </w:pPr>
      <w:r/>
      <w:bookmarkStart w:id="242" w:name="_Toc339183519"/>
      <w:r/>
      <w:bookmarkStart w:id="243" w:name="_Toc489274459"/>
      <w:r/>
      <w:bookmarkStart w:id="244" w:name="_Toc425757898"/>
      <w:r/>
      <w:bookmarkStart w:id="245" w:name="_Toc283573543"/>
      <w:r/>
      <w:bookmarkStart w:id="246" w:name="_Toc369859530"/>
      <w:r/>
      <w:bookmarkStart w:id="247" w:name="_Toc341532556"/>
      <w:r/>
      <w:bookmarkStart w:id="248" w:name="_Toc346698517"/>
      <w:r/>
      <w:bookmarkStart w:id="249" w:name="_Toc369081685"/>
      <w:r/>
      <w:bookmarkStart w:id="250" w:name="_Toc339352499"/>
      <w:r/>
      <w:bookmarkStart w:id="251" w:name="_Toc454520007"/>
      <w:r/>
      <w:bookmarkStart w:id="252" w:name="_Toc406502945"/>
      <w:r/>
      <w:bookmarkStart w:id="253" w:name="_Toc392858976"/>
      <w:r/>
      <w:bookmarkStart w:id="254" w:name="_Toc532646227"/>
      <w:r/>
      <w:bookmarkStart w:id="255" w:name="_Toc346709278"/>
      <w:r/>
      <w:bookmarkStart w:id="256" w:name="_Toc346700671"/>
      <w:r/>
      <w:bookmarkStart w:id="257" w:name="_Toc18065743"/>
      <w:r/>
      <w:bookmarkStart w:id="258" w:name="_Toc470253168"/>
      <w:r/>
      <w:bookmarkStart w:id="259" w:name="_Toc2673963"/>
      <w:r/>
      <w:bookmarkStart w:id="260" w:name="_Toc440352450"/>
      <w:r/>
      <w:bookmarkStart w:id="261" w:name="_Toc28007304"/>
      <w:r/>
      <w:bookmarkStart w:id="262" w:name="_Toc454438828"/>
      <w:r/>
      <w:bookmarkStart w:id="263" w:name="_Toc418751244"/>
      <w:r/>
      <w:bookmarkStart w:id="264" w:name="_Toc486434557"/>
      <w:r/>
      <w:bookmarkStart w:id="265" w:name="_Toc428869216"/>
      <w:r/>
      <w:bookmarkStart w:id="266" w:name="_Toc469923280"/>
      <w:r/>
      <w:bookmarkStart w:id="267" w:name="_Toc532394134"/>
      <w:r/>
      <w:bookmarkStart w:id="268" w:name="_Toc499103032"/>
      <w:r/>
      <w:bookmarkStart w:id="269" w:name="_Toc456023906"/>
      <w:r/>
      <w:bookmarkStart w:id="270" w:name="_Toc416442329"/>
      <w:r/>
      <w:bookmarkStart w:id="271" w:name="_Toc405822532"/>
      <w:r/>
      <w:bookmarkStart w:id="272" w:name="_Toc426445899"/>
      <w:r/>
      <w:bookmarkStart w:id="273" w:name="_Toc350697686"/>
      <w:r/>
      <w:bookmarkStart w:id="274" w:name="_Toc339135328"/>
      <w:r/>
      <w:bookmarkStart w:id="275" w:name="_Toc283577285"/>
      <w:r/>
      <w:bookmarkStart w:id="276" w:name="_Toc402189280"/>
      <w:r/>
      <w:bookmarkStart w:id="277" w:name="_Toc507066180"/>
      <w:r/>
      <w:bookmarkStart w:id="278" w:name="_Toc453949179"/>
      <w:r/>
      <w:bookmarkStart w:id="279" w:name="_Toc485976262"/>
      <w:r/>
      <w:bookmarkStart w:id="280" w:name="_Toc391971649"/>
      <w:r/>
      <w:bookmarkStart w:id="281" w:name="_Toc351017581"/>
      <w:r/>
      <w:bookmarkStart w:id="282" w:name="_Toc340330316"/>
      <w:r/>
      <w:bookmarkStart w:id="283" w:name="_Toc338745991"/>
      <w:r/>
      <w:bookmarkStart w:id="284" w:name="_Toc350520338"/>
      <w:r/>
      <w:bookmarkStart w:id="285" w:name="_Toc405822036"/>
      <w:r/>
      <w:bookmarkStart w:id="286" w:name="_Toc455395795"/>
      <w:r/>
      <w:bookmarkStart w:id="287" w:name="_Toc505259417"/>
      <w:r>
        <w:rPr>
          <w:rFonts w:hint="eastAsia" w:ascii="宋体" w:hAnsi="宋体" w:eastAsia="宋体" w:cs="宋体"/>
          <w:b/>
          <w:sz w:val="21"/>
          <w:szCs w:val="21"/>
        </w:rPr>
        <w:t xml:space="preserve">五、对督促单位的约定和授权</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双方约定：本合同自愿接受上级纪检监察部门的监督。双方授权督查单位主持本“合同”执行情况的督查，提出在本合同规定规范内的裁定意见，执行本“合同”第四条所规定的处罚。</w:t>
      </w:r>
      <w:r/>
    </w:p>
    <w:p>
      <w:pPr>
        <w:pStyle w:val="1086"/>
        <w:spacing w:line="360" w:lineRule="auto"/>
        <w:rPr>
          <w:rFonts w:hint="eastAsia" w:ascii="宋体" w:hAnsi="宋体" w:eastAsia="宋体" w:cs="宋体"/>
          <w:b/>
          <w:sz w:val="21"/>
          <w:szCs w:val="21"/>
        </w:rPr>
      </w:pPr>
      <w:r/>
      <w:bookmarkStart w:id="288" w:name="_Toc391971650"/>
      <w:r/>
      <w:bookmarkStart w:id="289" w:name="_Toc486434558"/>
      <w:r/>
      <w:bookmarkStart w:id="290" w:name="_Toc453949180"/>
      <w:r/>
      <w:bookmarkStart w:id="291" w:name="_Toc28007305"/>
      <w:r/>
      <w:bookmarkStart w:id="292" w:name="_Toc418751245"/>
      <w:r/>
      <w:bookmarkStart w:id="293" w:name="_Toc283573544"/>
      <w:r/>
      <w:bookmarkStart w:id="294" w:name="_Toc18065744"/>
      <w:r/>
      <w:bookmarkStart w:id="295" w:name="_Toc402189281"/>
      <w:r/>
      <w:bookmarkStart w:id="296" w:name="_Toc426445900"/>
      <w:r/>
      <w:bookmarkStart w:id="297" w:name="_Toc425757899"/>
      <w:r/>
      <w:bookmarkStart w:id="298" w:name="_Toc428869217"/>
      <w:r/>
      <w:bookmarkStart w:id="299" w:name="_Toc440352451"/>
      <w:r/>
      <w:bookmarkStart w:id="300" w:name="_Toc489274460"/>
      <w:r/>
      <w:bookmarkStart w:id="301" w:name="_Toc369859531"/>
      <w:r/>
      <w:bookmarkStart w:id="302" w:name="_Toc2673964"/>
      <w:r/>
      <w:bookmarkStart w:id="303" w:name="_Toc346698518"/>
      <w:r/>
      <w:bookmarkStart w:id="304" w:name="_Toc416442330"/>
      <w:r/>
      <w:bookmarkStart w:id="305" w:name="_Toc455395796"/>
      <w:r/>
      <w:bookmarkStart w:id="306" w:name="_Toc338745992"/>
      <w:r/>
      <w:bookmarkStart w:id="307" w:name="_Toc532646228"/>
      <w:r/>
      <w:bookmarkStart w:id="308" w:name="_Toc369081686"/>
      <w:r/>
      <w:bookmarkStart w:id="309" w:name="_Toc339135329"/>
      <w:r/>
      <w:bookmarkStart w:id="310" w:name="_Toc469923281"/>
      <w:r/>
      <w:bookmarkStart w:id="311" w:name="_Toc532394135"/>
      <w:r/>
      <w:bookmarkStart w:id="312" w:name="_Toc341532557"/>
      <w:r/>
      <w:bookmarkStart w:id="313" w:name="_Toc405822533"/>
      <w:r/>
      <w:bookmarkStart w:id="314" w:name="_Toc499103033"/>
      <w:r/>
      <w:bookmarkStart w:id="315" w:name="_Toc350520339"/>
      <w:r/>
      <w:bookmarkStart w:id="316" w:name="_Toc507066181"/>
      <w:r/>
      <w:bookmarkStart w:id="317" w:name="_Toc351017582"/>
      <w:r/>
      <w:bookmarkStart w:id="318" w:name="_Toc346709279"/>
      <w:r/>
      <w:bookmarkStart w:id="319" w:name="_Toc283577286"/>
      <w:r/>
      <w:bookmarkStart w:id="320" w:name="_Toc454438829"/>
      <w:r/>
      <w:bookmarkStart w:id="321" w:name="_Toc340330317"/>
      <w:r/>
      <w:bookmarkStart w:id="322" w:name="_Toc392858977"/>
      <w:r/>
      <w:bookmarkStart w:id="323" w:name="_Toc339183520"/>
      <w:r/>
      <w:bookmarkStart w:id="324" w:name="_Toc505259418"/>
      <w:r/>
      <w:bookmarkStart w:id="325" w:name="_Toc346700672"/>
      <w:r/>
      <w:bookmarkStart w:id="326" w:name="_Toc485976263"/>
      <w:r/>
      <w:bookmarkStart w:id="327" w:name="_Toc339352500"/>
      <w:r/>
      <w:bookmarkStart w:id="328" w:name="_Toc350697687"/>
      <w:r/>
      <w:bookmarkStart w:id="329" w:name="_Toc470253169"/>
      <w:r/>
      <w:bookmarkStart w:id="330" w:name="_Toc456023907"/>
      <w:r/>
      <w:bookmarkStart w:id="331" w:name="_Toc406502946"/>
      <w:r/>
      <w:bookmarkStart w:id="332" w:name="_Toc405822037"/>
      <w:r/>
      <w:bookmarkStart w:id="333" w:name="_Toc454520008"/>
      <w:r>
        <w:rPr>
          <w:rFonts w:hint="eastAsia" w:ascii="宋体" w:hAnsi="宋体" w:eastAsia="宋体" w:cs="宋体"/>
          <w:b/>
          <w:sz w:val="21"/>
          <w:szCs w:val="21"/>
        </w:rPr>
        <w:t xml:space="preserve">六、检查方式</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10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p>
    <w:p>
      <w:pPr>
        <w:pStyle w:val="1086"/>
        <w:spacing w:line="360" w:lineRule="auto"/>
        <w:rPr>
          <w:rFonts w:hint="eastAsia" w:ascii="宋体" w:hAnsi="宋体" w:eastAsia="宋体" w:cs="宋体"/>
          <w:sz w:val="21"/>
          <w:szCs w:val="21"/>
        </w:rPr>
      </w:pPr>
      <w:r/>
      <w:bookmarkStart w:id="334" w:name="_Toc455395797"/>
      <w:r/>
      <w:bookmarkStart w:id="335" w:name="_Toc426445901"/>
      <w:r/>
      <w:bookmarkStart w:id="336" w:name="_Toc338745993"/>
      <w:r/>
      <w:bookmarkStart w:id="337" w:name="_Toc532646229"/>
      <w:r/>
      <w:bookmarkStart w:id="338" w:name="_Toc369859532"/>
      <w:r/>
      <w:bookmarkStart w:id="339" w:name="_Toc392858978"/>
      <w:r/>
      <w:bookmarkStart w:id="340" w:name="_Toc489274461"/>
      <w:r/>
      <w:bookmarkStart w:id="341" w:name="_Toc283577287"/>
      <w:r/>
      <w:bookmarkStart w:id="342" w:name="_Toc350697688"/>
      <w:r/>
      <w:bookmarkStart w:id="343" w:name="_Toc402189282"/>
      <w:r/>
      <w:bookmarkStart w:id="344" w:name="_Toc340330318"/>
      <w:r/>
      <w:bookmarkStart w:id="345" w:name="_Toc346700673"/>
      <w:r/>
      <w:bookmarkStart w:id="346" w:name="_Toc469923282"/>
      <w:r/>
      <w:bookmarkStart w:id="347" w:name="_Toc440352452"/>
      <w:r/>
      <w:bookmarkStart w:id="348" w:name="_Toc346698519"/>
      <w:r/>
      <w:bookmarkStart w:id="349" w:name="_Toc418751246"/>
      <w:r/>
      <w:bookmarkStart w:id="350" w:name="_Toc391971651"/>
      <w:r/>
      <w:bookmarkStart w:id="351" w:name="_Toc499103034"/>
      <w:r/>
      <w:bookmarkStart w:id="352" w:name="_Toc485976264"/>
      <w:r/>
      <w:bookmarkStart w:id="353" w:name="_Toc283573545"/>
      <w:r/>
      <w:bookmarkStart w:id="354" w:name="_Toc507066182"/>
      <w:r/>
      <w:bookmarkStart w:id="355" w:name="_Toc425757900"/>
      <w:r/>
      <w:bookmarkStart w:id="356" w:name="_Toc369081687"/>
      <w:r/>
      <w:bookmarkStart w:id="357" w:name="_Toc339183521"/>
      <w:r/>
      <w:bookmarkStart w:id="358" w:name="_Toc456023908"/>
      <w:r/>
      <w:bookmarkStart w:id="359" w:name="_Toc341532558"/>
      <w:r/>
      <w:bookmarkStart w:id="360" w:name="_Toc406502947"/>
      <w:r/>
      <w:bookmarkStart w:id="361" w:name="_Toc28007306"/>
      <w:r/>
      <w:bookmarkStart w:id="362" w:name="_Toc486434559"/>
      <w:r/>
      <w:bookmarkStart w:id="363" w:name="_Toc339135330"/>
      <w:r/>
      <w:bookmarkStart w:id="364" w:name="_Toc428869218"/>
      <w:r/>
      <w:bookmarkStart w:id="365" w:name="_Toc405822038"/>
      <w:r/>
      <w:bookmarkStart w:id="366" w:name="_Toc454520009"/>
      <w:r/>
      <w:bookmarkStart w:id="367" w:name="_Toc532394136"/>
      <w:r/>
      <w:bookmarkStart w:id="368" w:name="_Toc346709280"/>
      <w:r/>
      <w:bookmarkStart w:id="369" w:name="_Toc350520340"/>
      <w:r/>
      <w:bookmarkStart w:id="370" w:name="_Toc2673965"/>
      <w:r/>
      <w:bookmarkStart w:id="371" w:name="_Toc405822534"/>
      <w:r/>
      <w:bookmarkStart w:id="372" w:name="_Toc351017583"/>
      <w:r/>
      <w:bookmarkStart w:id="373" w:name="_Toc453949181"/>
      <w:r/>
      <w:bookmarkStart w:id="374" w:name="_Toc18065745"/>
      <w:r/>
      <w:bookmarkStart w:id="375" w:name="_Toc416442331"/>
      <w:r/>
      <w:bookmarkStart w:id="376" w:name="_Toc339352501"/>
      <w:r/>
      <w:bookmarkStart w:id="377" w:name="_Toc470253170"/>
      <w:r/>
      <w:bookmarkStart w:id="378" w:name="_Toc505259419"/>
      <w:r/>
      <w:bookmarkStart w:id="379" w:name="_Toc454438830"/>
      <w:r>
        <w:rPr>
          <w:rFonts w:hint="eastAsia" w:ascii="宋体" w:hAnsi="宋体" w:eastAsia="宋体" w:cs="宋体"/>
          <w:b/>
          <w:sz w:val="21"/>
          <w:szCs w:val="21"/>
        </w:rPr>
        <w:t xml:space="preserve">七、</w:t>
      </w:r>
      <w:r>
        <w:rPr>
          <w:rFonts w:hint="eastAsia" w:ascii="宋体" w:hAnsi="宋体" w:eastAsia="宋体" w:cs="宋体"/>
          <w:sz w:val="21"/>
          <w:szCs w:val="21"/>
        </w:rPr>
        <w:t xml:space="preserve">本“合同”有效期为工程开工之日起至该合同段工程项目竣工验收后止。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1086"/>
        <w:spacing w:line="360" w:lineRule="auto"/>
        <w:rPr>
          <w:rFonts w:hint="eastAsia" w:ascii="宋体" w:hAnsi="宋体" w:eastAsia="宋体" w:cs="宋体"/>
          <w:sz w:val="21"/>
          <w:szCs w:val="21"/>
        </w:rPr>
      </w:pPr>
      <w:r/>
      <w:bookmarkStart w:id="380" w:name="_Toc340330319"/>
      <w:r/>
      <w:bookmarkStart w:id="381" w:name="_Toc351017584"/>
      <w:r/>
      <w:bookmarkStart w:id="382" w:name="_Toc283577288"/>
      <w:r/>
      <w:bookmarkStart w:id="383" w:name="_Toc369859533"/>
      <w:r/>
      <w:bookmarkStart w:id="384" w:name="_Toc425757901"/>
      <w:r/>
      <w:bookmarkStart w:id="385" w:name="_Toc402189283"/>
      <w:r/>
      <w:bookmarkStart w:id="386" w:name="_Toc507066183"/>
      <w:r/>
      <w:bookmarkStart w:id="387" w:name="_Toc469923283"/>
      <w:r/>
      <w:bookmarkStart w:id="388" w:name="_Toc470253171"/>
      <w:r/>
      <w:bookmarkStart w:id="389" w:name="_Toc405822535"/>
      <w:r/>
      <w:bookmarkStart w:id="390" w:name="_Toc489274462"/>
      <w:r/>
      <w:bookmarkStart w:id="391" w:name="_Toc339183522"/>
      <w:r/>
      <w:bookmarkStart w:id="392" w:name="_Toc369081688"/>
      <w:r/>
      <w:bookmarkStart w:id="393" w:name="_Toc455395798"/>
      <w:r/>
      <w:bookmarkStart w:id="394" w:name="_Toc532394137"/>
      <w:r/>
      <w:bookmarkStart w:id="395" w:name="_Toc346709281"/>
      <w:r/>
      <w:bookmarkStart w:id="396" w:name="_Toc454438831"/>
      <w:r/>
      <w:bookmarkStart w:id="397" w:name="_Toc18065746"/>
      <w:r/>
      <w:bookmarkStart w:id="398" w:name="_Toc391971652"/>
      <w:r/>
      <w:bookmarkStart w:id="399" w:name="_Toc532646230"/>
      <w:r/>
      <w:bookmarkStart w:id="400" w:name="_Toc454520010"/>
      <w:r/>
      <w:bookmarkStart w:id="401" w:name="_Toc341532559"/>
      <w:r/>
      <w:bookmarkStart w:id="402" w:name="_Toc350697689"/>
      <w:r/>
      <w:bookmarkStart w:id="403" w:name="_Toc339352502"/>
      <w:r/>
      <w:bookmarkStart w:id="404" w:name="_Toc426445902"/>
      <w:r/>
      <w:bookmarkStart w:id="405" w:name="_Toc416442332"/>
      <w:r/>
      <w:bookmarkStart w:id="406" w:name="_Toc453949182"/>
      <w:r/>
      <w:bookmarkStart w:id="407" w:name="_Toc499103035"/>
      <w:r/>
      <w:bookmarkStart w:id="408" w:name="_Toc418751247"/>
      <w:r/>
      <w:bookmarkStart w:id="409" w:name="_Toc346698520"/>
      <w:r/>
      <w:bookmarkStart w:id="410" w:name="_Toc28007307"/>
      <w:r/>
      <w:bookmarkStart w:id="411" w:name="_Toc405822039"/>
      <w:r/>
      <w:bookmarkStart w:id="412" w:name="_Toc485976265"/>
      <w:r/>
      <w:bookmarkStart w:id="413" w:name="_Toc428869219"/>
      <w:r/>
      <w:bookmarkStart w:id="414" w:name="_Toc2673966"/>
      <w:r/>
      <w:bookmarkStart w:id="415" w:name="_Toc486434560"/>
      <w:r/>
      <w:bookmarkStart w:id="416" w:name="_Toc440352453"/>
      <w:r/>
      <w:bookmarkStart w:id="417" w:name="_Toc392858979"/>
      <w:r/>
      <w:bookmarkStart w:id="418" w:name="_Toc346700674"/>
      <w:r/>
      <w:bookmarkStart w:id="419" w:name="_Toc350520341"/>
      <w:r/>
      <w:bookmarkStart w:id="420" w:name="_Toc505259420"/>
      <w:r/>
      <w:bookmarkStart w:id="421" w:name="_Toc456023909"/>
      <w:r/>
      <w:bookmarkStart w:id="422" w:name="_Toc339135331"/>
      <w:r/>
      <w:bookmarkStart w:id="423" w:name="_Toc338745994"/>
      <w:r/>
      <w:bookmarkStart w:id="424" w:name="_Toc283573546"/>
      <w:r/>
      <w:bookmarkStart w:id="425" w:name="_Toc406502948"/>
      <w:r>
        <w:rPr>
          <w:rFonts w:hint="eastAsia" w:ascii="宋体" w:hAnsi="宋体" w:eastAsia="宋体" w:cs="宋体"/>
          <w:b/>
          <w:sz w:val="21"/>
          <w:szCs w:val="21"/>
        </w:rPr>
        <w:t xml:space="preserve">八、</w:t>
      </w:r>
      <w:r>
        <w:rPr>
          <w:rFonts w:hint="eastAsia" w:ascii="宋体" w:hAnsi="宋体" w:eastAsia="宋体" w:cs="宋体"/>
          <w:sz w:val="21"/>
          <w:szCs w:val="21"/>
        </w:rPr>
        <w:t xml:space="preserve">本“合同”一式陆份，甲、乙双方各持叁份。</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甲  方：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乙方：</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法定代表人(或授权代理人)：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法定代表人(或授权代理人)：</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地址：</w:t>
      </w:r>
      <w:r/>
    </w:p>
    <w:p>
      <w:pPr>
        <w:pStyle w:val="1086"/>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电话：</w:t>
      </w:r>
      <w:r/>
    </w:p>
    <w:p>
      <w:pPr>
        <w:pStyle w:val="852"/>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日期：</w:t>
      </w:r>
      <w:r/>
    </w:p>
    <w:p>
      <w:pPr>
        <w:pStyle w:val="102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36"/>
          <w:szCs w:val="36"/>
          <w:highlight w:val="none"/>
          <w14:textFill>
            <w14:solidFill>
              <w14:schemeClr w14:val="tx1"/>
            </w14:solidFill>
          </w14:textFill>
        </w:rPr>
        <w:t xml:space="preserve">第四章 项目需求</w:t>
      </w:r>
      <w:bookmarkEnd w:id="38"/>
      <w:r/>
      <w:bookmarkEnd w:id="39"/>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其他要求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themeColor="text1"/>
          <w:szCs w:val="21"/>
          <w:highlight w:val="none"/>
          <w:u w:val="singl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Cs w:val="21"/>
          <w:highlight w:val="none"/>
          <w14:textFill>
            <w14:solidFill>
              <w14:schemeClr w14:val="tx1"/>
            </w14:solidFill>
          </w14:textFill>
        </w:rPr>
        <w:t xml:space="preserve">。其他条件相同情况下，应当优先采购节能产品、环境标志产品。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bookmarkEnd w:id="1"/>
      <w:r/>
      <w:r/>
    </w:p>
    <w:p>
      <w:pPr>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所属行业：建筑业</w:t>
      </w:r>
      <w:r/>
    </w:p>
    <w:p>
      <w:pPr>
        <w:numPr>
          <w:ilvl w:val="0"/>
          <w:numId w:val="2"/>
        </w:numPr>
        <w:ind w:firstLine="422"/>
        <w:pageBreakBefore w:val="0"/>
        <w:spacing w:line="360" w:lineRule="auto"/>
        <w:rPr>
          <w:rFonts w:hint="eastAsia" w:ascii="宋体" w:hAnsi="宋体" w:eastAsia="宋体" w:cs="宋体"/>
          <w:b/>
        </w:rPr>
      </w:pPr>
      <w:r>
        <w:rPr>
          <w:rFonts w:hint="eastAsia" w:ascii="宋体" w:hAnsi="宋体" w:eastAsia="宋体" w:cs="宋体"/>
          <w:b/>
        </w:rPr>
        <w:t xml:space="preserve">工程概况</w:t>
      </w:r>
      <w:r/>
    </w:p>
    <w:p>
      <w:pPr>
        <w:numPr>
          <w:ilvl w:val="0"/>
          <w:numId w:val="3"/>
        </w:num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ascii="宋体" w:hAnsi="宋体" w:cs="宋体"/>
          <w:sz w:val="21"/>
          <w:szCs w:val="21"/>
          <w:lang w:eastAsia="zh-CN"/>
        </w:rPr>
        <w:t xml:space="preserve">扬州市江都区2026年农村生态河道建设项目二标段(小纪镇)</w:t>
      </w:r>
      <w:r/>
    </w:p>
    <w:p>
      <w:pPr>
        <w:numPr>
          <w:ilvl w:val="0"/>
          <w:numId w:val="3"/>
        </w:numPr>
        <w:ind w:firstLine="42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项目地点：扬州市江都区</w:t>
      </w:r>
      <w:r>
        <w:rPr>
          <w:rFonts w:hint="eastAsia" w:ascii="宋体" w:hAnsi="宋体" w:eastAsia="宋体" w:cs="宋体"/>
          <w:sz w:val="21"/>
          <w:szCs w:val="21"/>
          <w:lang w:val="en-US" w:eastAsia="zh-CN"/>
        </w:rPr>
        <w:t xml:space="preserve">小纪镇</w:t>
      </w:r>
      <w:r/>
    </w:p>
    <w:p>
      <w:pPr>
        <w:ind w:left="0" w:right="0" w:firstLine="420"/>
        <w:jc w:val="both"/>
        <w:pageBreakBefore w:val="0"/>
        <w:spacing w:before="0"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（三）项目范围：施工图纸及工程量清单内的施工</w:t>
      </w:r>
      <w:r>
        <w:rPr>
          <w:rFonts w:hint="eastAsia" w:ascii="宋体" w:hAnsi="宋体" w:eastAsia="宋体" w:cs="宋体"/>
          <w:sz w:val="21"/>
          <w:szCs w:val="21"/>
          <w:lang w:eastAsia="zh-CN"/>
        </w:rPr>
        <w:t xml:space="preserve">。</w:t>
      </w:r>
      <w:r/>
    </w:p>
    <w:p>
      <w:pPr>
        <w:ind w:left="420" w:firstLine="420"/>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highlight w:val="yellow"/>
          <w:lang w:eastAsia="zh-CN"/>
        </w:rPr>
        <w:t xml:space="preserve">吴家河，胜利河，石家河，杨中河，四条河约10.72公里</w:t>
      </w:r>
      <w:r>
        <w:rPr>
          <w:rFonts w:hint="eastAsia" w:ascii="宋体" w:hAnsi="宋体" w:eastAsia="宋体" w:cs="宋体"/>
          <w:sz w:val="21"/>
          <w:szCs w:val="21"/>
          <w:highlight w:val="yellow"/>
        </w:rPr>
        <w:t xml:space="preserve">，河道疏浚、清障、清杂、整坡及绿化等</w:t>
      </w:r>
      <w:r>
        <w:rPr>
          <w:rFonts w:hint="eastAsia" w:ascii="宋体" w:hAnsi="宋体" w:eastAsia="宋体" w:cs="宋体"/>
          <w:sz w:val="21"/>
          <w:szCs w:val="21"/>
          <w:highlight w:val="yellow"/>
          <w:lang w:eastAsia="zh-CN"/>
        </w:rPr>
        <w:t xml:space="preserve">。</w:t>
      </w:r>
      <w:r/>
    </w:p>
    <w:p>
      <w:pPr>
        <w:ind w:left="420" w:firstLine="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（四）工期：</w:t>
      </w:r>
      <w:r>
        <w:rPr>
          <w:rFonts w:hint="eastAsia" w:ascii="宋体" w:hAnsi="宋体" w:cs="宋体"/>
          <w:color w:val="000000"/>
          <w:sz w:val="21"/>
          <w:szCs w:val="21"/>
          <w:highlight w:val="yellow"/>
          <w:lang w:val="en-US" w:eastAsia="zh-CN"/>
        </w:rPr>
        <w:t xml:space="preserve">150日历天</w:t>
      </w:r>
      <w:r>
        <w:rPr>
          <w:rFonts w:hint="eastAsia" w:ascii="宋体" w:hAnsi="宋体" w:eastAsia="宋体" w:cs="宋体"/>
          <w:color w:val="000000"/>
          <w:sz w:val="21"/>
          <w:szCs w:val="21"/>
          <w:highlight w:val="none"/>
        </w:rPr>
        <w:t xml:space="preserve">（开工日期以采购人签发开工令的时间为准）</w:t>
      </w:r>
      <w:r>
        <w:rPr>
          <w:rFonts w:hint="eastAsia" w:ascii="宋体" w:hAnsi="宋体" w:eastAsia="宋体" w:cs="宋体"/>
          <w:b w:val="0"/>
          <w:bCs w:val="0"/>
          <w:sz w:val="21"/>
          <w:szCs w:val="21"/>
          <w:highlight w:val="none"/>
          <w:lang w:eastAsia="zh-CN"/>
        </w:rPr>
        <w:t xml:space="preserve">。</w:t>
      </w:r>
      <w:r/>
    </w:p>
    <w:p>
      <w:pPr>
        <w:ind w:left="0" w:right="0" w:firstLine="425"/>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（五）质量要求：合格，</w:t>
      </w:r>
      <w:r>
        <w:rPr>
          <w:rFonts w:hint="eastAsia" w:ascii="宋体" w:hAnsi="宋体" w:eastAsia="宋体" w:cs="宋体"/>
          <w:sz w:val="21"/>
          <w:szCs w:val="21"/>
          <w:highlight w:val="none"/>
        </w:rPr>
        <w:t xml:space="preserve">本工程质量检验与评定执行符合《水利工程施工质量检验与评定规范》（DB32/T2334-2013）</w:t>
      </w:r>
      <w:r/>
    </w:p>
    <w:p>
      <w:pPr>
        <w:ind w:left="0" w:right="0" w:firstLine="425"/>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（六）最高限价</w:t>
      </w:r>
      <w:r>
        <w:rPr>
          <w:rFonts w:hint="eastAsia" w:ascii="宋体" w:hAnsi="宋体" w:eastAsia="宋体" w:cs="宋体"/>
          <w:sz w:val="21"/>
          <w:szCs w:val="21"/>
          <w:highlight w:val="none"/>
        </w:rPr>
        <w:t xml:space="preserve">：</w:t>
      </w:r>
      <w:r>
        <w:rPr>
          <w:rFonts w:hint="eastAsia" w:ascii="宋体" w:hAnsi="宋体" w:cs="宋体"/>
          <w:sz w:val="21"/>
          <w:szCs w:val="21"/>
          <w:highlight w:val="yellow"/>
          <w:lang w:val="en-US" w:eastAsia="zh-CN"/>
        </w:rPr>
        <w:t xml:space="preserve">183.113609</w:t>
      </w:r>
      <w:r>
        <w:rPr>
          <w:rFonts w:hint="eastAsia" w:ascii="宋体" w:hAnsi="宋体" w:eastAsia="宋体" w:cs="宋体"/>
          <w:sz w:val="21"/>
          <w:szCs w:val="21"/>
          <w:highlight w:val="yellow"/>
          <w:lang w:val="en-US" w:eastAsia="zh-CN"/>
        </w:rPr>
        <w:t xml:space="preserve">万元</w:t>
      </w:r>
      <w:r>
        <w:rPr>
          <w:rFonts w:hint="eastAsia" w:ascii="宋体" w:hAnsi="宋体" w:eastAsia="宋体" w:cs="宋体"/>
          <w:sz w:val="21"/>
          <w:szCs w:val="21"/>
          <w:highlight w:val="none"/>
          <w:lang w:val="en-US" w:eastAsia="zh-CN"/>
        </w:rPr>
        <w:t xml:space="preserve">。报价高于最高限价的为无效标，按照无效响应处理。</w:t>
      </w:r>
      <w:r/>
    </w:p>
    <w:p>
      <w:pPr>
        <w:pStyle w:val="849"/>
        <w:spacing w:line="360" w:lineRule="auto"/>
        <w:rPr>
          <w:rFonts w:hint="eastAsia" w:ascii="宋体" w:hAnsi="宋体" w:eastAsia="宋体" w:cs="宋体"/>
          <w:b/>
          <w:bCs/>
          <w:szCs w:val="21"/>
        </w:rPr>
      </w:pPr>
      <w:r>
        <w:rPr>
          <w:rFonts w:hint="eastAsia" w:ascii="宋体" w:hAnsi="宋体" w:eastAsia="宋体" w:cs="宋体"/>
          <w:b/>
          <w:bCs/>
          <w:szCs w:val="21"/>
        </w:rPr>
        <w:t xml:space="preserve">二、技术要求（项目需求）</w:t>
      </w:r>
      <w:r/>
    </w:p>
    <w:p>
      <w:pPr>
        <w:pStyle w:val="849"/>
        <w:ind w:left="0" w:firstLine="420"/>
        <w:spacing w:line="360" w:lineRule="auto"/>
        <w:rPr>
          <w:rFonts w:hint="eastAsia" w:ascii="宋体" w:hAnsi="宋体" w:eastAsia="宋体" w:cs="宋体"/>
          <w:szCs w:val="22"/>
        </w:rPr>
      </w:pPr>
      <w:r>
        <w:rPr>
          <w:rFonts w:hint="eastAsia" w:ascii="宋体" w:hAnsi="宋体" w:eastAsia="宋体" w:cs="宋体"/>
          <w:szCs w:val="22"/>
        </w:rPr>
        <w:t xml:space="preserve">1、服务质量要求：符合法律、法规的要求；投标中所涉及的所有技术指标均应满足国家现行的相关施工规范和标准。满足招标人要求，质量标准为合格。</w:t>
      </w:r>
      <w:r/>
    </w:p>
    <w:p>
      <w:pPr>
        <w:pStyle w:val="849"/>
        <w:spacing w:line="360" w:lineRule="auto"/>
        <w:rPr>
          <w:rFonts w:hint="eastAsia" w:ascii="宋体" w:hAnsi="宋体" w:eastAsia="宋体" w:cs="宋体"/>
          <w:szCs w:val="22"/>
        </w:rPr>
      </w:pPr>
      <w:r>
        <w:rPr>
          <w:rFonts w:hint="eastAsia" w:ascii="宋体" w:hAnsi="宋体" w:eastAsia="宋体" w:cs="宋体"/>
          <w:szCs w:val="22"/>
        </w:rPr>
        <w:t xml:space="preserve">2、供应商必须按照国家有关规范、标准完成施工。</w:t>
      </w:r>
      <w:r/>
    </w:p>
    <w:p>
      <w:pPr>
        <w:pStyle w:val="849"/>
        <w:spacing w:line="360" w:lineRule="auto"/>
        <w:rPr>
          <w:rFonts w:hint="eastAsia" w:ascii="宋体" w:hAnsi="宋体" w:eastAsia="宋体" w:cs="宋体"/>
          <w:szCs w:val="22"/>
        </w:rPr>
      </w:pPr>
      <w:r>
        <w:rPr>
          <w:rFonts w:hint="eastAsia" w:ascii="宋体" w:hAnsi="宋体" w:eastAsia="宋体" w:cs="宋体"/>
          <w:szCs w:val="22"/>
        </w:rPr>
        <w:t xml:space="preserve">3、供应商根据招标清单进行施工。</w:t>
      </w:r>
      <w:r/>
    </w:p>
    <w:p>
      <w:pPr>
        <w:pStyle w:val="849"/>
        <w:ind w:left="0" w:firstLine="420"/>
        <w:spacing w:line="360" w:lineRule="auto"/>
        <w:rPr>
          <w:rFonts w:hint="eastAsia" w:ascii="宋体" w:hAnsi="宋体" w:eastAsia="宋体" w:cs="宋体"/>
          <w:szCs w:val="22"/>
        </w:rPr>
      </w:pPr>
      <w:r>
        <w:rPr>
          <w:rFonts w:hint="eastAsia" w:ascii="宋体" w:hAnsi="宋体" w:eastAsia="宋体" w:cs="宋体"/>
          <w:szCs w:val="22"/>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p>
    <w:p>
      <w:pPr>
        <w:pStyle w:val="849"/>
        <w:ind w:left="0" w:firstLine="420"/>
        <w:spacing w:line="360" w:lineRule="auto"/>
        <w:rPr>
          <w:rFonts w:hint="eastAsia" w:ascii="宋体" w:hAnsi="宋体" w:eastAsia="宋体" w:cs="宋体"/>
          <w:szCs w:val="22"/>
        </w:rPr>
      </w:pPr>
      <w:r>
        <w:rPr>
          <w:rFonts w:hint="eastAsia" w:ascii="宋体" w:hAnsi="宋体" w:eastAsia="宋体" w:cs="宋体"/>
          <w:szCs w:val="22"/>
        </w:rPr>
        <w:t xml:space="preserve">5、根据《水利水电工程等级划分及洪水标准》（SL252-2017）有关规定，确定本工程：</w:t>
      </w:r>
      <w:r>
        <w:rPr>
          <w:rFonts w:hint="eastAsia" w:ascii="宋体" w:hAnsi="宋体" w:eastAsia="宋体" w:cs="宋体"/>
          <w:szCs w:val="22"/>
          <w:highlight w:val="cyan"/>
        </w:rPr>
        <w:t xml:space="preserve">工程等别为IV等，河道工程级别为4级。</w:t>
      </w:r>
      <w:r>
        <w:rPr>
          <w:rFonts w:hint="eastAsia" w:ascii="宋体" w:hAnsi="宋体" w:eastAsia="宋体" w:cs="宋体"/>
          <w:szCs w:val="22"/>
        </w:rPr>
        <w:t xml:space="preserve">。</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p>
    <w:p>
      <w:pPr>
        <w:pStyle w:val="849"/>
        <w:ind w:left="0" w:firstLine="42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7、</w:t>
      </w:r>
      <w:r>
        <w:rPr>
          <w:rFonts w:hint="eastAsia" w:ascii="宋体" w:hAnsi="宋体" w:eastAsia="宋体" w:cs="宋体"/>
          <w:szCs w:val="22"/>
          <w:highlight w:val="none"/>
        </w:rPr>
        <w:t xml:space="preserve">验收：采购项目总体验收。项目施工完成后，由采购人会同本项目供应商组织开展对所有施工项目的验收工作并形成专门的验收报告。如验收不通过的项目，供应商应无条件进行整改直至验收通过。本工程验收按</w:t>
      </w:r>
      <w:r>
        <w:rPr>
          <w:rFonts w:hint="eastAsia" w:ascii="宋体" w:hAnsi="宋体" w:cs="宋体"/>
          <w:szCs w:val="22"/>
          <w:highlight w:val="cyan"/>
          <w:lang w:eastAsia="zh-CN"/>
        </w:rPr>
        <w:t xml:space="preserve">《水利水电建设工程验收规程》（SLT223—2025）</w:t>
      </w:r>
      <w:r>
        <w:rPr>
          <w:rFonts w:hint="eastAsia" w:ascii="宋体" w:hAnsi="宋体" w:eastAsia="宋体" w:cs="宋体"/>
          <w:szCs w:val="22"/>
          <w:highlight w:val="none"/>
        </w:rPr>
        <w:t xml:space="preserve">的规定执行。</w:t>
      </w:r>
      <w:r/>
    </w:p>
    <w:p>
      <w:pPr>
        <w:ind w:firstLine="304"/>
        <w:spacing w:line="360" w:lineRule="auto"/>
        <w:rPr>
          <w:rFonts w:hint="eastAsia" w:ascii="宋体" w:hAnsi="宋体" w:eastAsia="宋体" w:cs="宋体"/>
          <w:b/>
          <w:bCs/>
          <w:szCs w:val="21"/>
        </w:rPr>
      </w:pPr>
      <w:r>
        <w:rPr>
          <w:rFonts w:hint="eastAsia" w:ascii="宋体" w:hAnsi="宋体" w:eastAsia="宋体" w:cs="宋体"/>
          <w:b/>
          <w:bCs/>
          <w:szCs w:val="21"/>
        </w:rPr>
        <w:t xml:space="preserve">三、投标报价说明</w:t>
      </w:r>
      <w:r/>
    </w:p>
    <w:p>
      <w:pPr>
        <w:pStyle w:val="849"/>
        <w:ind w:left="0" w:firstLine="420"/>
        <w:spacing w:line="360" w:lineRule="auto"/>
        <w:rPr>
          <w:rFonts w:hint="eastAsia" w:ascii="宋体" w:hAnsi="宋体" w:eastAsia="宋体" w:cs="宋体"/>
          <w:bCs/>
          <w:szCs w:val="21"/>
        </w:rPr>
      </w:pPr>
      <w:r>
        <w:rPr>
          <w:rFonts w:hint="eastAsia" w:ascii="宋体" w:hAnsi="宋体" w:eastAsia="宋体" w:cs="宋体"/>
          <w:bCs/>
          <w:szCs w:val="21"/>
        </w:rPr>
        <w:t xml:space="preserve">1、工程量清单仅是投标人投标报价的共同基础，除另有约定外，工程量清单中的工程量是按</w:t>
      </w:r>
      <w:r>
        <w:rPr>
          <w:rFonts w:hint="eastAsia" w:ascii="宋体" w:hAnsi="宋体" w:eastAsia="宋体" w:cs="宋体"/>
          <w:bCs/>
          <w:szCs w:val="21"/>
          <w:highlight w:val="yellow"/>
        </w:rPr>
        <w:t xml:space="preserve">《水利工程工程量清单计价规范》（GB50501-2007）</w:t>
      </w:r>
      <w:r>
        <w:rPr>
          <w:rFonts w:hint="eastAsia" w:ascii="宋体" w:hAnsi="宋体" w:eastAsia="宋体" w:cs="宋体"/>
          <w:bCs/>
          <w:szCs w:val="21"/>
        </w:rPr>
        <w:t xml:space="preserve">计算规则计算的用于投标报价的估算工程量，不作为最终结算的工程量；最终结算工程量是承包人实际完成并符合技术标准和要求和《水利工程工程量清单计价规范》（GB50501-2007）计算规则等规定，按施工图纸计算的有效工程量。</w:t>
      </w:r>
      <w:r/>
    </w:p>
    <w:p>
      <w:pPr>
        <w:pStyle w:val="849"/>
        <w:ind w:left="0" w:firstLine="420"/>
        <w:spacing w:line="360" w:lineRule="auto"/>
        <w:rPr>
          <w:rFonts w:hint="eastAsia" w:ascii="宋体" w:hAnsi="宋体" w:eastAsia="宋体" w:cs="宋体"/>
          <w:bCs/>
          <w:szCs w:val="21"/>
        </w:rPr>
      </w:pPr>
      <w:r>
        <w:rPr>
          <w:rFonts w:hint="eastAsia" w:ascii="宋体" w:hAnsi="宋体" w:eastAsia="宋体" w:cs="宋体"/>
          <w:bCs/>
          <w:szCs w:val="21"/>
        </w:rPr>
        <w:t xml:space="preserve">2、工程量清单中各项目的工作内容和要求应同时符合《水利工程工程量清单计价规范》（GB50501-2007）、江苏省水利厅苏水基[2011]21号《江苏省水利工程招标投标文件工程量清单格式》和相关技术标准和要求的规定，并以技术标准和要求的约定优先。</w:t>
      </w:r>
      <w:r/>
    </w:p>
    <w:p>
      <w:pPr>
        <w:pStyle w:val="849"/>
        <w:ind w:left="0"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3、工程价款的支付遵循合同条款的约定。</w:t>
      </w:r>
      <w:r/>
    </w:p>
    <w:p>
      <w:pPr>
        <w:pStyle w:val="849"/>
        <w:ind w:left="0"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4、本合同为</w:t>
      </w:r>
      <w:r>
        <w:rPr>
          <w:rFonts w:hint="eastAsia" w:ascii="宋体" w:hAnsi="宋体" w:eastAsia="宋体" w:cs="宋体"/>
          <w:bCs/>
          <w:szCs w:val="21"/>
          <w:highlight w:val="red"/>
        </w:rPr>
        <w:t xml:space="preserve">固定单价合同（部分为总价）</w:t>
      </w:r>
      <w:r>
        <w:rPr>
          <w:rFonts w:hint="eastAsia" w:ascii="宋体" w:hAnsi="宋体" w:eastAsia="宋体" w:cs="宋体"/>
          <w:bCs/>
          <w:szCs w:val="21"/>
        </w:rPr>
        <w:t xml:space="preserve">，除合同条款另有约定外，不作任何价格调整。</w:t>
      </w:r>
      <w:r/>
    </w:p>
    <w:p>
      <w:pPr>
        <w:pStyle w:val="849"/>
        <w:ind w:left="0" w:firstLine="420"/>
        <w:spacing w:line="360" w:lineRule="auto"/>
        <w:rPr>
          <w:rFonts w:hint="eastAsia" w:ascii="宋体" w:hAnsi="宋体" w:eastAsia="宋体" w:cs="宋体"/>
          <w:bCs/>
          <w:sz w:val="24"/>
          <w:szCs w:val="24"/>
          <w:highlight w:val="cyan"/>
        </w:rPr>
      </w:pPr>
      <w:r>
        <w:rPr>
          <w:rFonts w:hint="eastAsia" w:ascii="宋体" w:hAnsi="宋体" w:cs="宋体"/>
          <w:bCs/>
          <w:sz w:val="24"/>
          <w:szCs w:val="24"/>
          <w:highlight w:val="yellow"/>
          <w:lang w:val="en-US" w:eastAsia="zh-CN"/>
        </w:rPr>
        <w:t xml:space="preserve">5</w:t>
      </w:r>
      <w:r>
        <w:rPr>
          <w:rFonts w:hint="eastAsia" w:ascii="宋体" w:hAnsi="宋体" w:eastAsia="宋体" w:cs="宋体"/>
          <w:bCs/>
          <w:sz w:val="24"/>
          <w:szCs w:val="24"/>
          <w:highlight w:val="yellow"/>
        </w:rPr>
        <w:t xml:space="preserve">、</w:t>
      </w:r>
      <w:r>
        <w:rPr>
          <w:rFonts w:hint="eastAsia" w:ascii="宋体" w:hAnsi="宋体" w:eastAsia="宋体" w:cs="宋体"/>
          <w:bCs/>
          <w:sz w:val="24"/>
          <w:szCs w:val="24"/>
          <w:highlight w:val="cyan"/>
        </w:rPr>
        <w:t xml:space="preserve">供应商报价时应考虑一些不可预见的费用，包括但不限于弃土区（排泥场）、临时用地、临时用电的矛盾协调、赔青、土源及运距、排泥管线输送长度、破坏的路面等原状恢复等；供应商报价时应将上述费用在投标报价中综合考虑，必要时采购人予以协助，供应商还应综合考虑相关施工措施费用，并包含在投标报价中，采购人不另行支付。</w:t>
      </w:r>
      <w:r/>
    </w:p>
    <w:p>
      <w:pPr>
        <w:pStyle w:val="849"/>
        <w:ind w:left="0" w:firstLine="420"/>
        <w:spacing w:line="360" w:lineRule="auto"/>
        <w:rPr>
          <w:rFonts w:hint="eastAsia" w:ascii="宋体" w:hAnsi="宋体" w:eastAsia="宋体" w:cs="宋体"/>
          <w:bCs/>
          <w:sz w:val="24"/>
          <w:szCs w:val="24"/>
          <w:highlight w:val="cyan"/>
        </w:rPr>
      </w:pPr>
      <w:r>
        <w:rPr>
          <w:rFonts w:hint="eastAsia" w:ascii="宋体" w:hAnsi="宋体" w:cs="宋体"/>
          <w:bCs/>
          <w:sz w:val="24"/>
          <w:szCs w:val="24"/>
          <w:highlight w:val="cyan"/>
          <w:lang w:val="en-US" w:eastAsia="zh-CN"/>
        </w:rPr>
        <w:t xml:space="preserve">6</w:t>
      </w:r>
      <w:r>
        <w:rPr>
          <w:rFonts w:hint="eastAsia" w:ascii="宋体" w:hAnsi="宋体" w:eastAsia="宋体" w:cs="宋体"/>
          <w:bCs/>
          <w:sz w:val="24"/>
          <w:szCs w:val="24"/>
          <w:highlight w:val="cyan"/>
        </w:rPr>
        <w:t xml:space="preserve">、成交供应商进场施工前邀请监理、测绘、业主单位进行复测，如有问题由测绘单位会同监理、甲方共同协商解决。</w:t>
      </w:r>
      <w:r/>
    </w:p>
    <w:p>
      <w:pPr>
        <w:pStyle w:val="849"/>
        <w:ind w:left="0"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7</w:t>
      </w:r>
      <w:r>
        <w:rPr>
          <w:rFonts w:hint="eastAsia" w:ascii="宋体" w:hAnsi="宋体" w:eastAsia="宋体" w:cs="宋体"/>
          <w:bCs/>
          <w:szCs w:val="21"/>
        </w:rPr>
        <w:t xml:space="preserve">、工程量清单中实行固定总价承包的项目所提供的工程量是用作投标报价的工程量（此工程量为设计估算工</w:t>
      </w:r>
      <w:r>
        <w:rPr>
          <w:rFonts w:hint="eastAsia" w:ascii="宋体" w:hAnsi="宋体" w:eastAsia="宋体" w:cs="宋体"/>
          <w:bCs/>
          <w:szCs w:val="21"/>
        </w:rPr>
        <w:t xml:space="preserve">程量，仅供参考。承包人应按提供的招标图纸及现场查勘资料认真复核实际工程量，进行计算和填报总价），由监理人审查确认按专用条款付款进度要求以工程量清单提供的细目和项目总价支付、结算；实行固定单价承包的项目工程量是用作投标报价的估算工程量，不作为最终结算的工程量，用于结算的工程量是承包人实际完成的，并按合同有关计量规定计量的工程量，支付应以施工详图和按监理工程师指示完成的实际数量为依据。月计量支付由承包人测量、监理人审查确认并按工程量清单的细目按专用条款付款进度要求结算，最终结算以国家审计核算的工程项目总价为准。</w:t>
      </w:r>
      <w:r/>
    </w:p>
    <w:p>
      <w:pPr>
        <w:pStyle w:val="849"/>
        <w:ind w:left="0"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8</w:t>
      </w:r>
      <w:r>
        <w:rPr>
          <w:rFonts w:hint="eastAsia" w:ascii="宋体" w:hAnsi="宋体" w:eastAsia="宋体" w:cs="宋体"/>
          <w:bCs/>
          <w:szCs w:val="21"/>
        </w:rPr>
        <w:t xml:space="preserve">、工程量清单中未注明总价承包的项目，均为单价承包项目。</w:t>
      </w:r>
      <w:r/>
    </w:p>
    <w:p>
      <w:pPr>
        <w:pStyle w:val="849"/>
        <w:ind w:left="0"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9</w:t>
      </w:r>
      <w:r>
        <w:rPr>
          <w:rFonts w:hint="eastAsia" w:ascii="宋体" w:hAnsi="宋体" w:eastAsia="宋体" w:cs="宋体"/>
          <w:bCs/>
          <w:szCs w:val="21"/>
        </w:rPr>
        <w:t xml:space="preserve">、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p>
    <w:p>
      <w:pPr>
        <w:pStyle w:val="849"/>
        <w:ind w:left="0"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10</w:t>
      </w:r>
      <w:r>
        <w:rPr>
          <w:rFonts w:hint="eastAsia" w:ascii="宋体" w:hAnsi="宋体" w:eastAsia="宋体" w:cs="宋体"/>
          <w:bCs/>
          <w:szCs w:val="21"/>
        </w:rPr>
        <w:t xml:space="preserve">、在施工过程中，与交通、城市管理、运输管理部门的协调及对当地居民生活影响所造成的矛盾处置等所发生的费用，由承包人自行考虑，包含在投标报价中。</w:t>
      </w:r>
      <w:r/>
    </w:p>
    <w:p>
      <w:pPr>
        <w:pStyle w:val="849"/>
        <w:ind w:left="0" w:firstLine="420"/>
        <w:spacing w:line="360" w:lineRule="auto"/>
        <w:rPr>
          <w:rFonts w:hint="eastAsia" w:ascii="宋体" w:hAnsi="宋体" w:eastAsia="宋体" w:cs="宋体"/>
          <w:bCs/>
          <w:szCs w:val="21"/>
        </w:rPr>
      </w:pPr>
      <w:r>
        <w:rPr>
          <w:rFonts w:hint="eastAsia" w:ascii="宋体" w:hAnsi="宋体" w:cs="宋体"/>
          <w:bCs/>
          <w:szCs w:val="21"/>
          <w:lang w:val="en-US" w:eastAsia="zh-CN"/>
        </w:rPr>
        <w:t xml:space="preserve">11</w:t>
      </w:r>
      <w:r>
        <w:rPr>
          <w:rFonts w:hint="eastAsia" w:ascii="宋体" w:hAnsi="宋体" w:eastAsia="宋体" w:cs="宋体"/>
          <w:bCs/>
          <w:szCs w:val="21"/>
        </w:rPr>
        <w:t xml:space="preserve">、安全生产与文明施工措施费其费用组成应执行</w:t>
      </w:r>
      <w:r>
        <w:rPr>
          <w:rFonts w:hint="eastAsia" w:ascii="宋体" w:hAnsi="宋体" w:eastAsia="宋体" w:cs="宋体"/>
          <w:bCs/>
          <w:szCs w:val="21"/>
          <w:highlight w:val="yellow"/>
        </w:rPr>
        <w:t xml:space="preserve">江苏省水利厅苏水安【2017】3号文</w:t>
      </w:r>
      <w:r>
        <w:rPr>
          <w:rFonts w:hint="eastAsia" w:ascii="宋体" w:hAnsi="宋体" w:eastAsia="宋体" w:cs="宋体"/>
          <w:bCs/>
          <w:szCs w:val="21"/>
        </w:rPr>
        <w:t xml:space="preserve">的规定内容（详见本招标文件工程量清单措施项目费用清单“江苏省水利工程文明措施费分解表”）。投标文件已标价的工程量清单中应按本招标文件附件所提供的格式及内容提交安全文明措施费分解表明细组成，逐项报价，并作为投标报价必要的组成部分、作为今后的支付依据。进场后由承包人申报并经审核后，所报各子项项目合计费用高于中标的“安全生产与文明施工措施费”总价费用的，超出部分不予支付，按中标的“安全生产与文明施工措施费”总价费用支付；所报各子项项目合计费用低于中标的“安全生产与文明施工措施费”总价费用的，按实支付。</w:t>
      </w:r>
      <w:r/>
    </w:p>
    <w:p>
      <w:pPr>
        <w:pStyle w:val="849"/>
        <w:ind w:left="0" w:firstLine="420"/>
        <w:spacing w:line="360" w:lineRule="auto"/>
        <w:rPr>
          <w:rFonts w:hint="eastAsia" w:ascii="宋体" w:hAnsi="宋体" w:eastAsia="宋体" w:cs="宋体"/>
          <w:b/>
          <w:bCs w:val="0"/>
          <w:i/>
          <w:iCs/>
          <w:szCs w:val="21"/>
          <w:u w:val="single"/>
        </w:rPr>
      </w:pPr>
      <w:r>
        <w:rPr>
          <w:rFonts w:hint="eastAsia" w:ascii="宋体" w:hAnsi="宋体" w:eastAsia="宋体" w:cs="宋体"/>
          <w:b/>
          <w:bCs w:val="0"/>
          <w:i/>
          <w:iCs/>
          <w:szCs w:val="21"/>
          <w:u w:val="single"/>
        </w:rPr>
        <w:t xml:space="preserve">1</w:t>
      </w:r>
      <w:r>
        <w:rPr>
          <w:rFonts w:hint="eastAsia" w:ascii="宋体" w:hAnsi="宋体" w:cs="宋体"/>
          <w:b/>
          <w:bCs w:val="0"/>
          <w:i/>
          <w:iCs/>
          <w:szCs w:val="21"/>
          <w:u w:val="single"/>
          <w:lang w:val="en-US" w:eastAsia="zh-CN"/>
        </w:rPr>
        <w:t xml:space="preserve">2</w:t>
      </w:r>
      <w:r>
        <w:rPr>
          <w:rFonts w:hint="eastAsia" w:ascii="宋体" w:hAnsi="宋体" w:eastAsia="宋体" w:cs="宋体"/>
          <w:b/>
          <w:bCs w:val="0"/>
          <w:i/>
          <w:iCs/>
          <w:szCs w:val="21"/>
          <w:u w:val="single"/>
        </w:rPr>
        <w:t xml:space="preserve">、本项目另附工程量清单，</w:t>
      </w:r>
      <w:r>
        <w:rPr>
          <w:rFonts w:hint="eastAsia" w:ascii="宋体" w:hAnsi="宋体" w:eastAsia="宋体" w:cs="宋体"/>
          <w:b/>
          <w:bCs w:val="0"/>
          <w:i/>
          <w:iCs/>
          <w:szCs w:val="21"/>
          <w:highlight w:val="yellow"/>
          <w:u w:val="single"/>
        </w:rPr>
        <w:t xml:space="preserve">投标人需按按招标文件和《水利工程工程量清单计价规范》（GB50501-2007）、江苏省水利厅苏水基[2011]21号《江苏省水利工程招标投标文件工程量清单格式》</w:t>
      </w:r>
      <w:r>
        <w:rPr>
          <w:rFonts w:hint="eastAsia" w:ascii="宋体" w:hAnsi="宋体" w:eastAsia="宋体" w:cs="宋体"/>
          <w:b/>
          <w:bCs w:val="0"/>
          <w:i/>
          <w:iCs/>
          <w:szCs w:val="21"/>
          <w:u w:val="single"/>
        </w:rPr>
        <w:t xml:space="preserve">和相关技术标准和要求的规定规定报价。</w:t>
      </w:r>
      <w:r/>
    </w:p>
    <w:p>
      <w:pPr>
        <w:pStyle w:val="849"/>
        <w:ind w:left="0" w:firstLine="420"/>
        <w:spacing w:line="360" w:lineRule="auto"/>
        <w:rPr>
          <w:rFonts w:hint="eastAsia" w:ascii="宋体" w:hAnsi="宋体" w:eastAsia="宋体" w:cs="宋体"/>
          <w:b/>
          <w:bCs w:val="0"/>
          <w:i/>
          <w:iCs/>
          <w:szCs w:val="21"/>
          <w:highlight w:val="none"/>
          <w:u w:val="single"/>
        </w:rPr>
      </w:pPr>
      <w:r>
        <w:rPr>
          <w:rFonts w:hint="eastAsia" w:ascii="宋体" w:hAnsi="宋体" w:eastAsia="宋体" w:cs="宋体"/>
          <w:b/>
          <w:bCs w:val="0"/>
          <w:i/>
          <w:iCs/>
          <w:szCs w:val="21"/>
          <w:highlight w:val="none"/>
          <w:u w:val="single"/>
        </w:rPr>
        <w:t xml:space="preserve">1</w:t>
      </w:r>
      <w:r>
        <w:rPr>
          <w:rFonts w:hint="eastAsia" w:ascii="宋体" w:hAnsi="宋体" w:cs="宋体"/>
          <w:b/>
          <w:bCs w:val="0"/>
          <w:i/>
          <w:iCs/>
          <w:szCs w:val="21"/>
          <w:highlight w:val="none"/>
          <w:u w:val="single"/>
          <w:lang w:val="en-US" w:eastAsia="zh-CN"/>
        </w:rPr>
        <w:t xml:space="preserve">3</w:t>
      </w:r>
      <w:r>
        <w:rPr>
          <w:rFonts w:hint="eastAsia" w:ascii="宋体" w:hAnsi="宋体" w:eastAsia="宋体" w:cs="宋体"/>
          <w:b/>
          <w:bCs w:val="0"/>
          <w:i/>
          <w:iCs/>
          <w:szCs w:val="21"/>
          <w:highlight w:val="none"/>
          <w:u w:val="single"/>
        </w:rPr>
        <w:t xml:space="preserve">、总价应等于“磋商报价一览表”中的投标总价。</w:t>
      </w:r>
      <w:r/>
    </w:p>
    <w:p>
      <w:pPr>
        <w:pStyle w:val="849"/>
        <w:ind w:left="0"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考虑到本工程实际情况，投标人自行对工程施工现场场地条件和周围环境进行勘察，以获取编制投标文件和签署合同所需的所有资料，勘察现场所发生的费用由投标人承担，在踏勘现场中所发生的人员伤亡和财产损失由投标人自行负责。</w:t>
      </w:r>
      <w:r/>
    </w:p>
    <w:p>
      <w:pPr>
        <w:pStyle w:val="849"/>
        <w:ind w:left="0"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投标人到现场实地勘踏，应充分了解工地位置、情况、道路、储存空间、装卸限制及任何其他足以影响承包价的情况，任何忽视或误解</w:t>
      </w:r>
      <w:r>
        <w:rPr>
          <w:rFonts w:hint="eastAsia" w:ascii="宋体" w:hAnsi="宋体" w:eastAsia="宋体" w:cs="宋体"/>
          <w:bCs/>
          <w:szCs w:val="21"/>
          <w:highlight w:val="none"/>
          <w:lang w:val="en-US" w:eastAsia="zh-CN"/>
        </w:rPr>
        <w:t xml:space="preserve">项目</w:t>
      </w:r>
      <w:r>
        <w:rPr>
          <w:rFonts w:hint="eastAsia" w:ascii="宋体" w:hAnsi="宋体" w:eastAsia="宋体" w:cs="宋体"/>
          <w:bCs/>
          <w:szCs w:val="21"/>
          <w:highlight w:val="none"/>
        </w:rPr>
        <w:t xml:space="preserve">情况而导致的索赔或工期延长申请将不获得批准。</w:t>
      </w:r>
      <w:r/>
    </w:p>
    <w:p>
      <w:pPr>
        <w:ind w:firstLine="304"/>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四、其他投标须知</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1、对与本合同实施有关的各类验收（如档案、消防、评审、审计、各阶段验收、竣工验收、工程移交等）、第三方检测等承包人应积极配合、参加，并承担相应费用。</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档案相关的一切费用包含在投标报价中，不另行支付。</w:t>
      </w:r>
      <w:r>
        <w:rPr>
          <w:rFonts w:hint="eastAsia" w:ascii="宋体" w:hAnsi="宋体" w:eastAsia="宋体" w:cs="宋体"/>
          <w:color w:val="000000"/>
          <w:sz w:val="21"/>
          <w:szCs w:val="21"/>
          <w:highlight w:val="cyan"/>
        </w:rPr>
        <w:t xml:space="preserve">并提供工程主要节点施工前、中、后对比照片资料1套，档案相关的一切费用包含在报价中，甲方不再另行支付。</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3、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4、承包人与发包人签订廉政合同、安全生产合同</w:t>
      </w:r>
      <w:r>
        <w:rPr>
          <w:rFonts w:hint="eastAsia"/>
          <w:szCs w:val="21"/>
          <w:highlight w:val="cyan"/>
        </w:rPr>
        <w:t xml:space="preserve">、资金安全合同</w:t>
      </w:r>
      <w:r>
        <w:rPr>
          <w:rFonts w:hint="eastAsia" w:ascii="宋体" w:hAnsi="宋体" w:eastAsia="宋体" w:cs="宋体"/>
          <w:szCs w:val="22"/>
          <w:highlight w:val="none"/>
        </w:rPr>
        <w:t xml:space="preserve">。</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5、配合工程竣工后各类审计、评审等各类工作。</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6、承担本工程所有应属于承包人责任内的检验费用（行业管理另有规定的，从其行业规定），承包人应在投标报价中考虑，发包人不另行支付。</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7、施工过程中非发包人原因引起的地方矛盾由承包人负责解决并承担相关费用。</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8、本项目采用固定单价（部分总价），承包范围为工程量清单、施工图和招标文件范围内的所有施工内容。</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9、工程实施过程中，如遇变更事项，必须通知采购人，办理相应的申报手续，在得到采购人认可的情况下，方可实施。如未通知采购人或未经采购人认可，变更相关费用将不能得到支付。</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0</w:t>
      </w:r>
      <w:r>
        <w:rPr>
          <w:rFonts w:hint="eastAsia" w:ascii="宋体" w:hAnsi="宋体" w:eastAsia="宋体" w:cs="宋体"/>
          <w:szCs w:val="22"/>
          <w:highlight w:val="none"/>
        </w:rPr>
        <w:t xml:space="preserve">、工程保险</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约定：成交供应商应以采购人和成交供应商的共同名义向双方同意的保险人投保建筑、安装工程一切险，保额为工程成交合同价，保险期限为工程合同工期。</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0</w:t>
      </w:r>
      <w:r>
        <w:rPr>
          <w:rFonts w:hint="eastAsia" w:ascii="宋体" w:hAnsi="宋体" w:eastAsia="宋体" w:cs="宋体"/>
          <w:szCs w:val="22"/>
          <w:highlight w:val="none"/>
        </w:rPr>
        <w:t xml:space="preserve">.1工伤保险</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成交供应商人员工伤保险按照“省人力资源和社会保障厅省住房和城乡建设厅、省交通运输厅、省水利厅、省安全生产监督管理局、省总工会关于深入推进建筑交通运输水利建设项目参加工伤保险工作的通知（苏人社发【2017】126号）”以及扬州市相关文件要求为其履行合同所雇佣的全部人员参加工伤保险，缴纳工伤保险费。</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0</w:t>
      </w:r>
      <w:r>
        <w:rPr>
          <w:rFonts w:hint="eastAsia" w:ascii="宋体" w:hAnsi="宋体" w:eastAsia="宋体" w:cs="宋体"/>
          <w:szCs w:val="22"/>
          <w:highlight w:val="none"/>
        </w:rPr>
        <w:t xml:space="preserve">.2保险费由成交供应商自行承担。</w:t>
      </w:r>
      <w:r/>
    </w:p>
    <w:p>
      <w:pPr>
        <w:pStyle w:val="849"/>
        <w:ind w:left="0" w:firstLine="420"/>
        <w:spacing w:line="360" w:lineRule="auto"/>
        <w:rPr>
          <w:rFonts w:hint="eastAsia" w:ascii="宋体" w:hAnsi="宋体" w:eastAsia="宋体" w:cs="宋体"/>
          <w:szCs w:val="22"/>
          <w:highlight w:val="yellow"/>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0</w:t>
      </w:r>
      <w:r>
        <w:rPr>
          <w:rFonts w:hint="eastAsia" w:ascii="宋体" w:hAnsi="宋体" w:eastAsia="宋体" w:cs="宋体"/>
          <w:szCs w:val="22"/>
          <w:highlight w:val="none"/>
        </w:rPr>
        <w:t xml:space="preserve">.3其他保险：</w:t>
      </w:r>
      <w:r>
        <w:rPr>
          <w:rFonts w:hint="eastAsia" w:ascii="宋体" w:hAnsi="宋体" w:eastAsia="宋体" w:cs="宋体"/>
          <w:b/>
          <w:bCs/>
          <w:szCs w:val="22"/>
          <w:highlight w:val="yellow"/>
        </w:rPr>
        <w:t xml:space="preserve">承包人需根据《水利部印发关于推进水利工程建设安全生产责任保险工作的指导意见》（水监督﹝2023﹞347号）要求，投保安全生产责任险，安责险费用在安全措施费中列支。</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0</w:t>
      </w:r>
      <w:r>
        <w:rPr>
          <w:rFonts w:hint="eastAsia" w:ascii="宋体" w:hAnsi="宋体" w:eastAsia="宋体" w:cs="宋体"/>
          <w:szCs w:val="22"/>
          <w:highlight w:val="none"/>
        </w:rPr>
        <w:t xml:space="preserve">.4第三者责任险：</w:t>
      </w:r>
      <w:r>
        <w:rPr>
          <w:rFonts w:hint="eastAsia" w:ascii="宋体" w:hAnsi="宋体" w:eastAsia="宋体" w:cs="宋体"/>
          <w:szCs w:val="22"/>
          <w:highlight w:val="yellow"/>
        </w:rPr>
        <w:t xml:space="preserve">最低保额</w:t>
      </w:r>
      <w:r>
        <w:rPr>
          <w:rFonts w:hint="eastAsia" w:ascii="宋体" w:hAnsi="宋体" w:cs="宋体"/>
          <w:szCs w:val="22"/>
          <w:highlight w:val="yellow"/>
          <w:lang w:val="en-US" w:eastAsia="zh-CN"/>
        </w:rPr>
        <w:t xml:space="preserve">2</w:t>
      </w:r>
      <w:r>
        <w:rPr>
          <w:rFonts w:hint="eastAsia" w:ascii="宋体" w:hAnsi="宋体" w:eastAsia="宋体" w:cs="宋体"/>
          <w:szCs w:val="22"/>
          <w:highlight w:val="yellow"/>
        </w:rPr>
        <w:t xml:space="preserve">00万</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1</w:t>
      </w:r>
      <w:r>
        <w:rPr>
          <w:rFonts w:hint="eastAsia" w:ascii="宋体" w:hAnsi="宋体" w:eastAsia="宋体" w:cs="宋体"/>
          <w:szCs w:val="22"/>
          <w:highlight w:val="none"/>
        </w:rPr>
        <w:t xml:space="preserve">、临时占地：涉及到取、弃土区等其他涉及的临时用地由供应商自行考虑，并将费用在投标报价中综合考虑，必要时采购人予以协助，供应商应综合考虑环保、水保措施费用，并包含在投标报价中，采购人不另行支付。</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成交供应商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49"/>
        <w:ind w:left="0" w:firstLine="420"/>
        <w:spacing w:line="360" w:lineRule="auto"/>
        <w:rPr>
          <w:rFonts w:hint="eastAsia" w:ascii="宋体" w:hAnsi="宋体" w:eastAsia="宋体" w:cs="宋体"/>
          <w:b/>
          <w:bCs/>
          <w:i/>
          <w:iCs/>
          <w:szCs w:val="22"/>
          <w:highlight w:val="none"/>
          <w:u w:val="single"/>
        </w:rPr>
      </w:pPr>
      <w:r>
        <w:rPr>
          <w:rFonts w:hint="eastAsia" w:ascii="宋体" w:hAnsi="宋体" w:eastAsia="宋体" w:cs="宋体"/>
          <w:b/>
          <w:bCs/>
          <w:i/>
          <w:iCs/>
          <w:szCs w:val="22"/>
          <w:highlight w:val="none"/>
          <w:u w:val="single"/>
        </w:rPr>
        <w:t xml:space="preserve">1</w:t>
      </w:r>
      <w:r>
        <w:rPr>
          <w:rFonts w:hint="eastAsia" w:ascii="宋体" w:hAnsi="宋体" w:eastAsia="宋体" w:cs="宋体"/>
          <w:b/>
          <w:bCs/>
          <w:i/>
          <w:iCs/>
          <w:szCs w:val="22"/>
          <w:highlight w:val="none"/>
          <w:u w:val="single"/>
          <w:lang w:val="en-US" w:eastAsia="zh-CN"/>
        </w:rPr>
        <w:t xml:space="preserve">3</w:t>
      </w:r>
      <w:r>
        <w:rPr>
          <w:rFonts w:hint="eastAsia" w:ascii="宋体" w:hAnsi="宋体" w:eastAsia="宋体" w:cs="宋体"/>
          <w:b/>
          <w:bCs/>
          <w:i/>
          <w:iCs/>
          <w:szCs w:val="22"/>
          <w:highlight w:val="none"/>
          <w:u w:val="single"/>
        </w:rPr>
        <w:t xml:space="preserve">、供应商承诺不拖欠农民工工资。（供应商需提供承诺</w:t>
      </w:r>
      <w:r>
        <w:rPr>
          <w:rFonts w:hint="eastAsia" w:ascii="宋体" w:hAnsi="宋体" w:eastAsia="宋体" w:cs="宋体"/>
          <w:b/>
          <w:bCs/>
          <w:i/>
          <w:iCs/>
          <w:szCs w:val="22"/>
          <w:highlight w:val="none"/>
          <w:u w:val="single"/>
          <w:lang w:val="en-US" w:eastAsia="zh-CN"/>
        </w:rPr>
        <w:t xml:space="preserve">书原件扫描上传</w:t>
      </w:r>
      <w:r>
        <w:rPr>
          <w:rFonts w:hint="eastAsia" w:ascii="宋体" w:hAnsi="宋体" w:eastAsia="宋体" w:cs="宋体"/>
          <w:b/>
          <w:bCs/>
          <w:i/>
          <w:iCs/>
          <w:szCs w:val="22"/>
          <w:highlight w:val="none"/>
          <w:u w:val="single"/>
        </w:rPr>
        <w:t xml:space="preserve">，格式自拟）</w:t>
      </w:r>
      <w:r/>
    </w:p>
    <w:p>
      <w:pPr>
        <w:pStyle w:val="849"/>
        <w:ind w:left="0" w:firstLine="420"/>
        <w:spacing w:line="360" w:lineRule="auto"/>
        <w:rPr>
          <w:rFonts w:hint="eastAsia" w:ascii="宋体" w:hAnsi="宋体" w:eastAsia="宋体" w:cs="宋体"/>
          <w:i/>
          <w:iCs/>
          <w:szCs w:val="22"/>
          <w:highlight w:val="none"/>
          <w:u w:val="single"/>
        </w:rPr>
      </w:pPr>
      <w:r>
        <w:rPr>
          <w:rFonts w:hint="eastAsia" w:ascii="宋体" w:hAnsi="宋体" w:eastAsia="宋体" w:cs="宋体"/>
          <w:b/>
          <w:bCs/>
          <w:i/>
          <w:iCs/>
          <w:szCs w:val="22"/>
          <w:highlight w:val="none"/>
          <w:u w:val="single"/>
        </w:rPr>
        <w:t xml:space="preserve">1</w:t>
      </w:r>
      <w:r>
        <w:rPr>
          <w:rFonts w:hint="eastAsia" w:ascii="宋体" w:hAnsi="宋体" w:eastAsia="宋体" w:cs="宋体"/>
          <w:b/>
          <w:bCs/>
          <w:i/>
          <w:iCs/>
          <w:szCs w:val="22"/>
          <w:highlight w:val="none"/>
          <w:u w:val="single"/>
          <w:lang w:val="en-US" w:eastAsia="zh-CN"/>
        </w:rPr>
        <w:t xml:space="preserve">4</w:t>
      </w:r>
      <w:r>
        <w:rPr>
          <w:rFonts w:hint="eastAsia" w:ascii="宋体" w:hAnsi="宋体" w:eastAsia="宋体" w:cs="宋体"/>
          <w:b/>
          <w:bCs/>
          <w:i/>
          <w:iCs/>
          <w:szCs w:val="22"/>
          <w:highlight w:val="none"/>
          <w:u w:val="single"/>
        </w:rPr>
        <w:t xml:space="preserve">、供应商承诺不违法违规投标。（供应商需提供承诺</w:t>
      </w:r>
      <w:r>
        <w:rPr>
          <w:rFonts w:hint="eastAsia" w:ascii="宋体" w:hAnsi="宋体" w:eastAsia="宋体" w:cs="宋体"/>
          <w:b/>
          <w:bCs/>
          <w:i/>
          <w:iCs/>
          <w:szCs w:val="22"/>
          <w:highlight w:val="none"/>
          <w:u w:val="single"/>
          <w:lang w:val="en-US" w:eastAsia="zh-CN"/>
        </w:rPr>
        <w:t xml:space="preserve">书原件扫描上传</w:t>
      </w:r>
      <w:r>
        <w:rPr>
          <w:rFonts w:hint="eastAsia" w:ascii="宋体" w:hAnsi="宋体" w:eastAsia="宋体" w:cs="宋体"/>
          <w:b/>
          <w:bCs/>
          <w:i/>
          <w:iCs/>
          <w:szCs w:val="22"/>
          <w:highlight w:val="none"/>
          <w:u w:val="single"/>
        </w:rPr>
        <w:t xml:space="preserve">，格式自拟）</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5</w:t>
      </w:r>
      <w:r>
        <w:rPr>
          <w:rFonts w:hint="eastAsia" w:ascii="宋体" w:hAnsi="宋体" w:eastAsia="宋体" w:cs="宋体"/>
          <w:szCs w:val="22"/>
          <w:highlight w:val="none"/>
        </w:rPr>
        <w:t xml:space="preserve">、农民工工资的要求按照《保障农民工工资支付条例》（中华人民共和国国务院724令）、《江苏省工程建设领域农民工工资专用账户管理细则》（苏人社规〔2022〕3号）、《江苏省工程建设领域农民工工资保证金管理办法》（苏人社规〔2022〕4号）、《扬州市工程建设领域农民工工资保证金管理细则》扬人社规（2022）2号文等文件执行。</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成交供应商应按本项目的合同约定，积极履行质量及安全责任。对省、市、区的各级稽查、质量安全监督、采购人组织的质量及安全生产活动中，对下达的检查意见落实不及时、未按要求整改或整改不到位的、或其类似质量及安全问题整改不到位的，予以扣罚2000元/次。以采购人下发的处罚通知或联系单等为依据，在进度款支付时予以扣除。</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7</w:t>
      </w:r>
      <w:r>
        <w:rPr>
          <w:rFonts w:hint="eastAsia" w:ascii="宋体" w:hAnsi="宋体" w:eastAsia="宋体" w:cs="宋体"/>
          <w:szCs w:val="22"/>
          <w:highlight w:val="none"/>
        </w:rPr>
        <w:t xml:space="preserve">、成交供应商项目经理应在采购人签发进场通知后的3日内到职，项目经理不得更换。特殊情况下确需更换的，应提出书面申请并征得采购人同意，且不得降低项目经理资质。项目副经理（若有，下同）、技术负责人除特殊情况外不得更换。项目经理、项目副经理、技术负责人、安全负责人、质检负责人在工程施工期间调换不得超过2人（发包人要求变更的除外）。</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18</w:t>
      </w:r>
      <w:r>
        <w:rPr>
          <w:rFonts w:hint="eastAsia" w:ascii="宋体" w:hAnsi="宋体" w:eastAsia="宋体" w:cs="宋体"/>
          <w:szCs w:val="22"/>
          <w:highlight w:val="none"/>
        </w:rPr>
        <w:t xml:space="preserve">、项目经理、项目副经理、技术负责人短期离开工地，应事先提出书面申请并征得同意后方可离开。3天以内（含3天）报采购人核备，同时应委派代表代行其职，3天以上报采购人批准。一般情况，每人每月在工期间不得少于22天。项目经理、技术负责人不得同时离开工地。</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19</w:t>
      </w:r>
      <w:r>
        <w:rPr>
          <w:rFonts w:hint="eastAsia" w:ascii="宋体" w:hAnsi="宋体" w:eastAsia="宋体" w:cs="宋体"/>
          <w:szCs w:val="22"/>
          <w:highlight w:val="none"/>
        </w:rPr>
        <w:t xml:space="preserve">、项目经理、项目副经理、技术负责人、质检员、安全员在工由采购人对其考勤，对于月在工天数少于22天的，每少一天，扣除工程款2000元/（人*天）。上述罚款的最高限额为合同价的2%。上述人员的考勤由采购人指定专人负责，考勤结果装订成册后存档。</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0</w:t>
      </w:r>
      <w:r>
        <w:rPr>
          <w:rFonts w:hint="eastAsia" w:ascii="宋体" w:hAnsi="宋体" w:eastAsia="宋体" w:cs="宋体"/>
          <w:szCs w:val="22"/>
          <w:highlight w:val="none"/>
        </w:rPr>
        <w:t xml:space="preserve">、如采购人因成交供应商原因要求撤换项目经理，成交供应商须及时更换相同资质与资历的项目经理，并承担相应损失。</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1</w:t>
      </w:r>
      <w:r>
        <w:rPr>
          <w:rFonts w:hint="eastAsia" w:ascii="宋体" w:hAnsi="宋体" w:eastAsia="宋体" w:cs="宋体"/>
          <w:szCs w:val="22"/>
          <w:highlight w:val="none"/>
        </w:rPr>
        <w:t xml:space="preserve">、采购人可根据工程需要协助承包人办理取得出入施工场地的专用和临时道路的通行权，以及取得为工程建设所需修建场外设施的权利，但相关费用由成交供应商承担。成交供应商材料组织、弃土运送等应服从交通运输、城市管理等部门的规定与要求，由此产生的任何费用均由承包人自行承担。若对外交通所经过或使用的现有道路发生破损、毁坏等引起的补偿或修复费用，由成交供应商自行负责。</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w:t>
      </w:r>
      <w:bookmarkStart w:id="426" w:name="OLE_LINK6"/>
      <w:r>
        <w:rPr>
          <w:rFonts w:hint="eastAsia" w:ascii="宋体" w:hAnsi="宋体" w:eastAsia="宋体" w:cs="宋体"/>
          <w:szCs w:val="22"/>
          <w:highlight w:val="none"/>
        </w:rPr>
        <w:t xml:space="preserve">采购人</w:t>
      </w:r>
      <w:bookmarkEnd w:id="426"/>
      <w:r>
        <w:rPr>
          <w:rFonts w:hint="eastAsia" w:ascii="宋体" w:hAnsi="宋体" w:eastAsia="宋体" w:cs="宋体"/>
          <w:szCs w:val="22"/>
          <w:highlight w:val="none"/>
        </w:rPr>
        <w:t xml:space="preserve">发出进场通知7天内，采购人向承包人提供测量基准点、基准线和水准点及其书面资料。承包人应在收到开工通知后7天内，将施工控制网资料报送采购人审批。成交供应商应在施工区外围（不受施工影响）埋设永久性水准测量标志，做好施工期保护，确保在工程移交时完好，并列入工程竣工移交范围。</w:t>
      </w:r>
      <w:r/>
    </w:p>
    <w:p>
      <w:pPr>
        <w:pStyle w:val="849"/>
        <w:ind w:left="0" w:firstLine="42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已标价工程量清单中如无适用或类似子目的单价供参考，可根据水利行业现行预算定额（涉道路等可采用相关行业定额）及相关取费标准、投标当月的《扬州工程造价管理》材料市场指导价格编制补充单价，并按最高限价及承包人中标价的让利幅度进行下浮（投标最高限价与中标价的下浮比例）经造价跟踪单位审核，报发包人批准后执行，最终以审计结果为准。对材料价格不进行价差调整。</w:t>
      </w:r>
      <w:r/>
    </w:p>
    <w:p>
      <w:pPr>
        <w:numPr>
          <w:ilvl w:val="0"/>
          <w:numId w:val="0"/>
        </w:numPr>
        <w:ind w:firstLine="210"/>
        <w:jc w:val="left"/>
        <w:spacing w:before="120" w:after="12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bookmarkStart w:id="427" w:name="_Toc7178"/>
      <w:r/>
      <w:bookmarkStart w:id="428" w:name="_Toc11906"/>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6"/>
          <w:szCs w:val="36"/>
          <w:highlight w:val="none"/>
          <w14:textFill>
            <w14:solidFill>
              <w14:schemeClr w14:val="tx1"/>
            </w14:solidFill>
          </w14:textFill>
        </w:rPr>
        <w:t xml:space="preserve">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评审方法和评审标准</w:t>
      </w:r>
      <w:r/>
    </w:p>
    <w:p>
      <w:pPr>
        <w:pStyle w:val="1067"/>
        <w:numPr>
          <w:ilvl w:val="0"/>
          <w:numId w:val="4"/>
        </w:numPr>
        <w:pageBreakBefore w:val="0"/>
        <w:spacing w:line="360" w:lineRule="auto"/>
        <w:rPr>
          <w:rFonts w:ascii="宋体" w:hAnsi="宋体"/>
          <w:b/>
          <w:sz w:val="21"/>
          <w:szCs w:val="21"/>
        </w:rPr>
        <w:outlineLvl w:val="1"/>
      </w:pPr>
      <w:r>
        <w:rPr>
          <w:rFonts w:hint="eastAsia" w:ascii="宋体" w:hAnsi="宋体"/>
          <w:b/>
          <w:sz w:val="21"/>
          <w:szCs w:val="21"/>
        </w:rPr>
        <w:t xml:space="preserve">评标方法</w:t>
      </w:r>
      <w:r/>
    </w:p>
    <w:p>
      <w:pPr>
        <w:ind w:firstLine="420"/>
        <w:pageBreakBefore w:val="0"/>
        <w:spacing w:line="360" w:lineRule="auto"/>
      </w:pPr>
      <w:r>
        <w:rPr>
          <w:rFonts w:hint="eastAsia"/>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ind w:left="422"/>
        <w:pageBreakBefore w:val="0"/>
        <w:spacing w:line="360" w:lineRule="auto"/>
        <w:rPr>
          <w:b/>
        </w:rPr>
        <w:outlineLvl w:val="1"/>
      </w:pPr>
      <w:r/>
      <w:bookmarkStart w:id="429" w:name="_Toc449016388"/>
      <w:r/>
      <w:bookmarkStart w:id="430" w:name="_Toc449017024"/>
      <w:r>
        <w:rPr>
          <w:b/>
        </w:rPr>
        <w:t xml:space="preserve">二、</w:t>
      </w:r>
      <w:bookmarkEnd w:id="429"/>
      <w:r/>
      <w:bookmarkEnd w:id="430"/>
      <w:r>
        <w:rPr>
          <w:rFonts w:hint="eastAsia"/>
          <w:b/>
        </w:rPr>
        <w:t xml:space="preserve">政府采购政策功能落实</w:t>
      </w:r>
      <w:r/>
    </w:p>
    <w:p>
      <w:pPr>
        <w:ind w:firstLine="420"/>
        <w:pageBreakBefore w:val="0"/>
        <w:spacing w:line="360" w:lineRule="auto"/>
        <w:rPr>
          <w:rFonts w:ascii="宋体" w:hAnsi="宋体"/>
          <w:bCs/>
        </w:rPr>
      </w:pPr>
      <w:r>
        <w:rPr>
          <w:rFonts w:hint="eastAsia" w:ascii="宋体" w:hAnsi="宋体"/>
          <w:bCs/>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pageBreakBefore w:val="0"/>
        <w:spacing w:line="360" w:lineRule="auto"/>
        <w:rPr>
          <w:rFonts w:ascii="宋体" w:hAnsi="宋体"/>
          <w:bCs/>
        </w:rPr>
      </w:pPr>
      <w:r>
        <w:rPr>
          <w:rFonts w:hint="eastAsia" w:ascii="宋体" w:hAnsi="宋体"/>
          <w:bCs/>
        </w:rPr>
        <w:t xml:space="preserve">1、小微型企业价格扣除</w:t>
      </w:r>
      <w:r/>
    </w:p>
    <w:p>
      <w:pPr>
        <w:ind w:firstLine="420"/>
        <w:pageBreakBefore w:val="0"/>
        <w:spacing w:line="360" w:lineRule="auto"/>
        <w:rPr>
          <w:rFonts w:ascii="宋体" w:hAnsi="宋体"/>
          <w:bCs/>
        </w:rPr>
      </w:pPr>
      <w:r>
        <w:rPr>
          <w:rFonts w:hint="eastAsia" w:ascii="宋体" w:hAnsi="宋体"/>
          <w:bCs/>
        </w:rPr>
        <w:t xml:space="preserve">（1）根据《政府采购促进中小企业发展管理办法》（财库【2020】46号）文件的要求，本项目对小型和微型企业产品价格给予20%的扣除，用扣除后的价格参与评审。</w:t>
      </w:r>
      <w:r/>
    </w:p>
    <w:p>
      <w:pPr>
        <w:ind w:firstLine="420"/>
        <w:pageBreakBefore w:val="0"/>
        <w:spacing w:line="360" w:lineRule="auto"/>
        <w:rPr>
          <w:rFonts w:ascii="宋体" w:hAnsi="宋体"/>
          <w:bCs/>
        </w:rPr>
      </w:pPr>
      <w:r>
        <w:rPr>
          <w:rFonts w:hint="eastAsia" w:ascii="宋体" w:hAnsi="宋体"/>
          <w:bCs/>
        </w:rPr>
        <w:t xml:space="preserve">（2）供应商需按照采购文件的要求提供相应的《中小企业声明函》。</w:t>
      </w:r>
      <w:r/>
    </w:p>
    <w:p>
      <w:pPr>
        <w:ind w:firstLine="420"/>
        <w:pageBreakBefore w:val="0"/>
        <w:spacing w:line="360" w:lineRule="auto"/>
        <w:rPr>
          <w:rFonts w:ascii="宋体" w:hAnsi="宋体"/>
          <w:bCs/>
        </w:rPr>
      </w:pPr>
      <w:r>
        <w:rPr>
          <w:rFonts w:hint="eastAsia" w:ascii="宋体" w:hAnsi="宋体"/>
          <w:bCs/>
        </w:rPr>
        <w:t xml:space="preserve">（3）企业标准请参照《关于印发中小企业划型标准规定的通知》（工信部联企业[2011]300号）文件规定自行填写。</w:t>
      </w:r>
      <w:r/>
    </w:p>
    <w:p>
      <w:pPr>
        <w:ind w:firstLine="420"/>
        <w:pageBreakBefore w:val="0"/>
        <w:spacing w:line="360" w:lineRule="auto"/>
        <w:rPr>
          <w:rFonts w:ascii="宋体" w:hAnsi="宋体"/>
          <w:bCs/>
        </w:rPr>
      </w:pPr>
      <w:r>
        <w:rPr>
          <w:rFonts w:hint="eastAsia" w:ascii="宋体" w:hAnsi="宋体"/>
          <w:bCs/>
        </w:rPr>
        <w:t xml:space="preserve">2、残疾人福利单位价格扣除</w:t>
      </w:r>
      <w:r/>
    </w:p>
    <w:p>
      <w:pPr>
        <w:ind w:firstLine="420"/>
        <w:pageBreakBefore w:val="0"/>
        <w:spacing w:line="360" w:lineRule="auto"/>
        <w:rPr>
          <w:rFonts w:ascii="宋体" w:hAnsi="宋体"/>
          <w:bCs/>
        </w:rPr>
      </w:pPr>
      <w:r>
        <w:rPr>
          <w:rFonts w:hint="eastAsia" w:ascii="宋体" w:hAnsi="宋体"/>
          <w:bCs/>
        </w:rPr>
        <w:t xml:space="preserve">（1）本项目对残疾人福利性单位视同小型、微型企业，给予20%的价格扣除，用扣除后的价格参与评审。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（2）残疾人福利单位需按照采购文件的要求提供《残疾人福利性单位声明函》。</w:t>
      </w:r>
      <w:r/>
    </w:p>
    <w:p>
      <w:pPr>
        <w:ind w:firstLine="420"/>
        <w:pageBreakBefore w:val="0"/>
        <w:spacing w:line="360" w:lineRule="auto"/>
        <w:rPr>
          <w:rFonts w:ascii="宋体" w:hAnsi="宋体"/>
          <w:bCs/>
        </w:rPr>
      </w:pPr>
      <w:r>
        <w:rPr>
          <w:rFonts w:hint="eastAsia" w:ascii="宋体" w:hAnsi="宋体"/>
          <w:bCs/>
        </w:rPr>
        <w:t xml:space="preserve">（3）残疾人福利单位标准请参照《关于促进残疾人就业政府采购政策的通知》（财库</w:t>
      </w:r>
      <w:r/>
    </w:p>
    <w:p>
      <w:pPr>
        <w:ind w:firstLine="420"/>
        <w:pageBreakBefore w:val="0"/>
        <w:spacing w:line="360" w:lineRule="auto"/>
        <w:rPr>
          <w:rFonts w:ascii="宋体" w:hAnsi="宋体"/>
          <w:bCs/>
        </w:rPr>
      </w:pPr>
      <w:r>
        <w:rPr>
          <w:rFonts w:hint="eastAsia" w:ascii="宋体" w:hAnsi="宋体"/>
          <w:bCs/>
        </w:rPr>
        <w:t xml:space="preserve">〔2017〕141号）。</w:t>
      </w:r>
      <w:r/>
    </w:p>
    <w:p>
      <w:pPr>
        <w:ind w:firstLine="420"/>
        <w:pageBreakBefore w:val="0"/>
        <w:spacing w:line="360" w:lineRule="auto"/>
        <w:rPr>
          <w:rFonts w:ascii="宋体" w:hAnsi="宋体"/>
          <w:bCs/>
        </w:rPr>
      </w:pPr>
      <w:r>
        <w:rPr>
          <w:rFonts w:hint="eastAsia" w:ascii="宋体" w:hAnsi="宋体"/>
          <w:bCs/>
        </w:rPr>
        <w:t xml:space="preserve">3、监狱和戒毒企业价格扣除</w:t>
      </w:r>
      <w:r/>
    </w:p>
    <w:p>
      <w:pPr>
        <w:ind w:firstLine="420"/>
        <w:pageBreakBefore w:val="0"/>
        <w:spacing w:line="360" w:lineRule="auto"/>
        <w:rPr>
          <w:rFonts w:ascii="宋体" w:hAnsi="宋体"/>
          <w:bCs/>
        </w:rPr>
      </w:pPr>
      <w:r>
        <w:rPr>
          <w:rFonts w:hint="eastAsia" w:ascii="宋体" w:hAnsi="宋体"/>
          <w:bCs/>
        </w:rPr>
        <w:t xml:space="preserve">（1）本项目对监狱和戒毒企业（简称监狱企业）视同小型、微型企业，给予20%的价格扣除，用扣除后的价格参与评审。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ascii="宋体" w:hAnsi="宋体"/>
          <w:bCs/>
        </w:rPr>
      </w:pPr>
      <w:r>
        <w:rPr>
          <w:rFonts w:hint="eastAsia" w:ascii="宋体" w:hAnsi="宋体"/>
          <w:bCs/>
        </w:rPr>
        <w:t xml:space="preserve">（3）监狱企业标准请参照《关于政府采购支持监狱企业发展有关问题的通知》（财库[2014]68号）。</w:t>
      </w:r>
      <w:r/>
    </w:p>
    <w:p>
      <w:pPr>
        <w:ind w:firstLine="420"/>
        <w:pageBreakBefore w:val="0"/>
        <w:spacing w:line="360" w:lineRule="auto"/>
        <w:rPr>
          <w:rFonts w:ascii="宋体" w:hAnsi="宋体"/>
          <w:bCs/>
        </w:rPr>
      </w:pPr>
      <w:r>
        <w:rPr>
          <w:rFonts w:hint="eastAsia" w:ascii="宋体" w:hAnsi="宋体"/>
          <w:bCs/>
        </w:rPr>
        <w:t xml:space="preserve">4、残疾人福利单位、监狱企业属于小型、微型企业的，不重复享受政策。</w:t>
      </w:r>
      <w:r/>
    </w:p>
    <w:p>
      <w:pPr>
        <w:ind w:firstLine="420"/>
        <w:pageBreakBefore w:val="0"/>
        <w:spacing w:line="360" w:lineRule="auto"/>
        <w:rPr>
          <w:rFonts w:ascii="宋体" w:hAnsi="宋体"/>
          <w:bCs/>
        </w:rPr>
      </w:pPr>
      <w:r>
        <w:rPr>
          <w:rFonts w:hint="eastAsia" w:ascii="宋体" w:hAnsi="宋体"/>
          <w:bCs/>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6、组成联合体的小微企业与联合体内其他企业之间存在直接控股、管理关系的，不享受价格扣除优惠政策。 </w:t>
      </w:r>
      <w:r/>
    </w:p>
    <w:p>
      <w:pPr>
        <w:ind w:firstLine="420"/>
        <w:pageBreakBefore w:val="0"/>
        <w:spacing w:line="360" w:lineRule="auto"/>
        <w:rPr>
          <w:rFonts w:ascii="宋体" w:hAnsi="宋体"/>
          <w:bCs/>
        </w:rPr>
      </w:pPr>
      <w:r>
        <w:rPr>
          <w:rFonts w:hint="eastAsia" w:ascii="宋体" w:hAnsi="宋体"/>
          <w:bCs/>
        </w:rPr>
        <w:t xml:space="preserve">7、联合体各方均为小型、微型企业（残疾人福利单位、监狱企业）的，联合体享受20%的价格扣除，用扣除后的价格参与评审。</w:t>
      </w:r>
      <w:r/>
    </w:p>
    <w:p>
      <w:pPr>
        <w:ind w:firstLine="420"/>
        <w:pageBreakBefore w:val="0"/>
        <w:spacing w:line="360" w:lineRule="auto"/>
        <w:rPr>
          <w:rFonts w:ascii="宋体" w:hAnsi="宋体"/>
          <w:bCs/>
        </w:rPr>
      </w:pPr>
      <w:r>
        <w:rPr>
          <w:rFonts w:hint="eastAsia" w:ascii="宋体" w:hAnsi="宋体"/>
          <w:bCs/>
        </w:rPr>
        <w:t xml:space="preserve"> </w:t>
      </w:r>
      <w:r/>
    </w:p>
    <w:p>
      <w:pPr>
        <w:numPr>
          <w:ilvl w:val="0"/>
          <w:numId w:val="4"/>
        </w:numPr>
        <w:pageBreakBefore w:val="0"/>
        <w:spacing w:line="360" w:lineRule="auto"/>
        <w:rPr>
          <w:b/>
          <w:bCs/>
        </w:rPr>
        <w:outlineLvl w:val="1"/>
      </w:pPr>
      <w:r>
        <w:rPr>
          <w:rFonts w:hint="eastAsia"/>
          <w:b/>
          <w:bCs/>
        </w:rPr>
        <w:t xml:space="preserve">评分标准</w:t>
      </w:r>
      <w:r/>
    </w:p>
    <w:tbl>
      <w:tblPr>
        <w:tblStyle w:val="845"/>
        <w:tblpPr w:horzAnchor="page" w:tblpX="1247" w:vertAnchor="page" w:tblpY="5730" w:leftFromText="180" w:topFromText="0" w:rightFromText="180" w:bottomFromText="0"/>
        <w:tblW w:w="9319" w:type="dxa"/>
        <w:tblInd w:w="0"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项  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评  分  标  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价  格  （</w:t>
            </w:r>
            <w:r>
              <w:rPr>
                <w:rFonts w:hint="eastAsia" w:ascii="宋体" w:hAnsi="宋体" w:cs="宋体"/>
                <w:sz w:val="21"/>
                <w:szCs w:val="21"/>
                <w:lang w:val="en-US" w:eastAsia="zh-CN"/>
              </w:rPr>
              <w:t xml:space="preserve">3</w:t>
            </w:r>
            <w:r>
              <w:rPr>
                <w:rFonts w:hint="eastAsia" w:ascii="宋体" w:hAnsi="宋体" w:cs="宋体"/>
                <w:sz w:val="21"/>
                <w:szCs w:val="21"/>
              </w:rPr>
              <w:t xml:space="preserve">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spacing w:line="360" w:lineRule="auto"/>
              <w:widowControl/>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以满足磋商文件要求且最后报价最低的供应商的价格为磋商基准价，其价格为满分</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分。其他供应商的价格分统一按照下列公式计算：磋商报价得分=（磋商基准价/最后磋商报价）×</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×100%（保留两位小数）</w:t>
            </w:r>
            <w:r/>
          </w:p>
        </w:tc>
      </w:tr>
      <w:tr>
        <w:trPr>
          <w:trHeight w:val="860"/>
        </w:trPr>
        <w:tc>
          <w:tcPr>
            <w:shd w:val="clear" w:color="auto" w:fill="auto"/>
            <w:tcBorders>
              <w:top w:val="single" w:color="000000" w:sz="4" w:space="0"/>
              <w:left w:val="single" w:color="000000" w:sz="4" w:space="0"/>
              <w:right w:val="single" w:color="000000" w:sz="4" w:space="0"/>
            </w:tcBorders>
            <w:tcW w:w="1134" w:type="dxa"/>
            <w:vAlign w:val="center"/>
            <w:vMerge w:val="restart"/>
            <w:textDirection w:val="lrTb"/>
            <w:noWrap w:val="false"/>
          </w:tcPr>
          <w:p>
            <w:pPr>
              <w:spacing w:line="360" w:lineRule="auto"/>
              <w:widowControl/>
              <w:rPr>
                <w:rFonts w:ascii="宋体" w:hAnsi="宋体" w:cs="宋体"/>
                <w:sz w:val="21"/>
                <w:szCs w:val="21"/>
              </w:rPr>
            </w:pPr>
            <w:r>
              <w:rPr>
                <w:rFonts w:hint="eastAsia" w:ascii="宋体" w:hAnsi="宋体" w:cs="宋体"/>
                <w:sz w:val="21"/>
                <w:szCs w:val="21"/>
                <w:lang w:val="en-US" w:eastAsia="zh-CN"/>
              </w:rPr>
              <w:t xml:space="preserve">实施方案</w:t>
            </w:r>
            <w:r>
              <w:rPr>
                <w:rFonts w:hint="eastAsia" w:ascii="宋体" w:hAnsi="宋体" w:cs="宋体"/>
                <w:sz w:val="21"/>
                <w:szCs w:val="21"/>
              </w:rPr>
              <w:t xml:space="preserve">（</w:t>
            </w:r>
            <w:r>
              <w:rPr>
                <w:rFonts w:hint="eastAsia" w:ascii="宋体" w:hAnsi="宋体" w:cs="宋体"/>
                <w:sz w:val="21"/>
                <w:szCs w:val="21"/>
                <w:lang w:val="en-US" w:eastAsia="zh-CN"/>
              </w:rPr>
              <w:t xml:space="preserve">52</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施工总体部署</w:t>
            </w:r>
            <w:r/>
          </w:p>
          <w:p>
            <w:pPr>
              <w:jc w:val="center"/>
              <w:spacing w:line="360" w:lineRule="auto"/>
              <w:rPr>
                <w:rFonts w:ascii="宋体" w:hAnsi="宋体" w:cs="宋体"/>
                <w:sz w:val="21"/>
                <w:szCs w:val="21"/>
              </w:rPr>
            </w:pPr>
            <w:r>
              <w:rPr>
                <w:rFonts w:ascii="宋体" w:hAnsi="宋体" w:cs="宋体"/>
                <w:color w:val="000000"/>
                <w:sz w:val="21"/>
                <w:szCs w:val="21"/>
              </w:rPr>
              <w:t xml:space="preserve">（</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rPr>
                <w:rFonts w:ascii="宋体" w:hAnsi="宋体" w:cs="宋体"/>
                <w:color w:val="000000"/>
                <w:sz w:val="21"/>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1067"/>
              <w:ind w:hanging="15"/>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概述科学、严密、合理，描述详细且具有针对性的得 </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分；</w:t>
            </w:r>
            <w:r/>
          </w:p>
          <w:p>
            <w:pPr>
              <w:pStyle w:val="1067"/>
              <w:ind w:hanging="15"/>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概述基本合理、描述一般、存在可操作性得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w:t>
            </w:r>
            <w:r/>
          </w:p>
          <w:p>
            <w:pPr>
              <w:pStyle w:val="1067"/>
              <w:ind w:hanging="15"/>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概述具有明显不合理项、描述欠缺、存在实施难度得 </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jc w:val="left"/>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主要分部、分项工程方案</w:t>
            </w:r>
            <w:r/>
          </w:p>
          <w:p>
            <w:pPr>
              <w:jc w:val="center"/>
              <w:spacing w:line="360" w:lineRule="auto"/>
              <w:rPr>
                <w:rFonts w:ascii="宋体" w:hAnsi="宋体" w:cs="宋体"/>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7</w:t>
            </w:r>
            <w:r>
              <w:rPr>
                <w:rFonts w:hint="eastAsia" w:ascii="宋体" w:hAnsi="宋体" w:cs="宋体"/>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pStyle w:val="847"/>
              <w:ind w:left="0"/>
              <w:spacing w:line="360" w:lineRule="auto"/>
              <w:rPr>
                <w:sz w:val="21"/>
                <w:szCs w:val="21"/>
              </w:rPr>
            </w:pPr>
            <w:r>
              <w:rPr>
                <w:rFonts w:hint="eastAsia" w:ascii="宋体" w:hAnsi="宋体" w:cs="宋体"/>
                <w:color w:val="000000"/>
                <w:sz w:val="21"/>
                <w:szCs w:val="21"/>
              </w:rPr>
              <w:t xml:space="preserve">方案较科学，描述较为详细，针对性较强、不存在实施难度的得</w:t>
            </w:r>
            <w:r>
              <w:rPr>
                <w:rFonts w:ascii="宋体" w:hAnsi="宋体" w:cs="宋体"/>
                <w:color w:val="000000"/>
                <w:sz w:val="21"/>
                <w:szCs w:val="21"/>
              </w:rPr>
              <w:t xml:space="preserve">5</w:t>
            </w:r>
            <w:r>
              <w:rPr>
                <w:rFonts w:hint="eastAsia" w:ascii="宋体" w:hAnsi="宋体" w:cs="宋体"/>
                <w:color w:val="000000"/>
                <w:sz w:val="21"/>
                <w:szCs w:val="21"/>
              </w:rPr>
              <w:t xml:space="preserve">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方案基本合理、描述一般、存在可操作性得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方案具有明显不合理项、描述欠缺、存在实施难度得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jc w:val="left"/>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1067"/>
              <w:ind w:firstLine="0"/>
              <w:jc w:val="center"/>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结合本工程特点的针对性措施</w:t>
            </w:r>
            <w:r/>
          </w:p>
          <w:p>
            <w:pPr>
              <w:jc w:val="center"/>
              <w:spacing w:line="360" w:lineRule="auto"/>
              <w:rPr>
                <w:rFonts w:ascii="宋体" w:hAnsi="宋体" w:cs="宋体"/>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7</w:t>
            </w:r>
            <w:r>
              <w:rPr>
                <w:rFonts w:hint="eastAsia" w:ascii="宋体" w:hAnsi="宋体" w:cs="宋体"/>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措施科学、严密、合理，描述详细且具有针对性的得</w:t>
            </w:r>
            <w:r>
              <w:rPr>
                <w:rFonts w:ascii="宋体" w:hAnsi="宋体" w:cs="宋体"/>
                <w:color w:val="000000"/>
                <w:sz w:val="21"/>
                <w:szCs w:val="21"/>
              </w:rPr>
              <w:t xml:space="preserve">7</w:t>
            </w:r>
            <w:r>
              <w:rPr>
                <w:rFonts w:hint="eastAsia" w:ascii="宋体" w:hAnsi="宋体" w:cs="宋体"/>
                <w:color w:val="000000"/>
                <w:sz w:val="21"/>
                <w:szCs w:val="21"/>
              </w:rPr>
              <w:t xml:space="preserve">分；</w:t>
            </w:r>
            <w:r/>
          </w:p>
          <w:p>
            <w:pPr>
              <w:pStyle w:val="847"/>
              <w:ind w:left="0"/>
              <w:spacing w:line="360" w:lineRule="auto"/>
              <w:rPr>
                <w:sz w:val="21"/>
                <w:szCs w:val="21"/>
              </w:rPr>
            </w:pPr>
            <w:r>
              <w:rPr>
                <w:rFonts w:hint="eastAsia" w:ascii="宋体" w:hAnsi="宋体" w:cs="宋体"/>
                <w:color w:val="000000"/>
                <w:sz w:val="21"/>
                <w:szCs w:val="21"/>
              </w:rPr>
              <w:t xml:space="preserve">措施较科学，描述较为详细，针对性较强、不存在实施难度的得</w:t>
            </w:r>
            <w:r>
              <w:rPr>
                <w:rFonts w:ascii="宋体" w:hAnsi="宋体" w:cs="宋体"/>
                <w:color w:val="000000"/>
                <w:sz w:val="21"/>
                <w:szCs w:val="21"/>
              </w:rPr>
              <w:t xml:space="preserve">5</w:t>
            </w:r>
            <w:r>
              <w:rPr>
                <w:rFonts w:hint="eastAsia" w:ascii="宋体" w:hAnsi="宋体" w:cs="宋体"/>
                <w:color w:val="000000"/>
                <w:sz w:val="21"/>
                <w:szCs w:val="21"/>
              </w:rPr>
              <w:t xml:space="preserve">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措施基本合理、描述一般、存在可操作性得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措施具有明显不合理项、描述欠缺、存在实施难度得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600"/>
        </w:trPr>
        <w:tc>
          <w:tcPr>
            <w:shd w:val="clear" w:color="auto" w:fill="auto"/>
            <w:tcBorders>
              <w:left w:val="single" w:color="000000"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季节性施工措施</w:t>
            </w:r>
            <w:r/>
          </w:p>
          <w:p>
            <w:pPr>
              <w:jc w:val="center"/>
              <w:spacing w:line="360" w:lineRule="auto"/>
              <w:rPr>
                <w:rFonts w:ascii="宋体" w:hAnsi="宋体" w:cs="宋体"/>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3</w:t>
            </w:r>
            <w:r>
              <w:rPr>
                <w:rFonts w:hint="eastAsia" w:ascii="宋体" w:hAnsi="宋体" w:cs="宋体"/>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措施科学、严密、合理，描述详细且具有针对性的得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措施基本合理、描述一般、存在可操作性得</w:t>
            </w:r>
            <w:r>
              <w:rPr>
                <w:rFonts w:ascii="宋体" w:hAnsi="宋体" w:cs="宋体"/>
                <w:color w:val="000000"/>
                <w:sz w:val="21"/>
                <w:szCs w:val="21"/>
              </w:rPr>
              <w:t xml:space="preserve">2</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措施具有明显不合理项、描述欠缺、存在实施难度得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ind w:hanging="15"/>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600"/>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质量、安全、进度控制措施</w:t>
            </w:r>
            <w:r/>
          </w:p>
          <w:p>
            <w:pPr>
              <w:ind w:firstLine="8"/>
              <w:jc w:val="center"/>
              <w:spacing w:line="360" w:lineRule="auto"/>
              <w:rPr>
                <w:rFonts w:ascii="宋体" w:hAnsi="宋体" w:cs="宋体"/>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5</w:t>
            </w:r>
            <w:r>
              <w:rPr>
                <w:rFonts w:hint="eastAsia" w:ascii="宋体" w:hAnsi="宋体" w:cs="宋体"/>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方案科学、严密、合理，描述详细且具有针对性的得</w:t>
            </w:r>
            <w:r>
              <w:rPr>
                <w:rFonts w:ascii="宋体" w:hAnsi="宋体" w:cs="宋体"/>
                <w:color w:val="000000"/>
                <w:sz w:val="21"/>
                <w:szCs w:val="21"/>
              </w:rPr>
              <w:t xml:space="preserve">5</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方案基本合理、描述一般、存在可操作性得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方案具有明显不合理项、描述欠缺、存在实施难度得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ind w:hanging="15"/>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84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工期保证措施</w:t>
            </w:r>
            <w:r/>
          </w:p>
          <w:p>
            <w:pPr>
              <w:pStyle w:val="847"/>
              <w:ind w:left="-48"/>
              <w:jc w:val="center"/>
              <w:spacing w:line="360" w:lineRule="auto"/>
              <w:rPr>
                <w:rFonts w:ascii="宋体" w:hAnsi="宋体" w:cs="宋体"/>
                <w:sz w:val="21"/>
                <w:szCs w:val="21"/>
              </w:rPr>
            </w:pPr>
            <w:r>
              <w:rPr>
                <w:rFonts w:hint="eastAsia" w:ascii="宋体" w:hAnsi="宋体" w:cs="宋体"/>
                <w:color w:val="000000"/>
                <w:sz w:val="21"/>
                <w:szCs w:val="21"/>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计划安排合理，保证措施全面，针对性强的得5分；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计划安排略有欠缺，保证措施一般，存在可操作性得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计划安排不太合理，保证措施不全面，存在实施难度得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900"/>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安全生产和文明施工措施</w:t>
            </w:r>
            <w:r/>
          </w:p>
          <w:p>
            <w:pPr>
              <w:pStyle w:val="847"/>
              <w:ind w:left="-48"/>
              <w:jc w:val="center"/>
              <w:spacing w:line="360" w:lineRule="auto"/>
              <w:rPr>
                <w:rFonts w:ascii="宋体" w:hAnsi="宋体" w:cs="宋体"/>
                <w:sz w:val="21"/>
                <w:szCs w:val="21"/>
              </w:rPr>
            </w:pPr>
            <w:r>
              <w:rPr>
                <w:rFonts w:hint="eastAsia" w:ascii="宋体" w:hAnsi="宋体" w:cs="宋体"/>
                <w:color w:val="000000"/>
                <w:sz w:val="21"/>
                <w:szCs w:val="21"/>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安全文明施工及环境保护措施合理、全面，符合相关标准、规范，针对性强的得5分；</w:t>
            </w:r>
            <w:r/>
          </w:p>
          <w:p>
            <w:pPr>
              <w:pStyle w:val="847"/>
              <w:ind w:left="0"/>
              <w:spacing w:line="360" w:lineRule="auto"/>
              <w:rPr>
                <w:rFonts w:ascii="宋体" w:hAnsi="宋体"/>
                <w:sz w:val="21"/>
                <w:szCs w:val="21"/>
              </w:rPr>
            </w:pPr>
            <w:r>
              <w:rPr>
                <w:rFonts w:hint="eastAsia" w:ascii="宋体" w:hAnsi="宋体"/>
                <w:sz w:val="21"/>
                <w:szCs w:val="21"/>
              </w:rPr>
              <w:t xml:space="preserve">全文明施工及环境保护措施较全面，针对性较强得3分；</w:t>
            </w:r>
            <w:r/>
          </w:p>
          <w:p>
            <w:pPr>
              <w:pStyle w:val="847"/>
              <w:ind w:left="0"/>
              <w:spacing w:line="360" w:lineRule="auto"/>
              <w:rPr>
                <w:rFonts w:ascii="宋体" w:hAnsi="宋体"/>
                <w:sz w:val="21"/>
                <w:szCs w:val="21"/>
              </w:rPr>
            </w:pPr>
            <w:r>
              <w:rPr>
                <w:rFonts w:hint="eastAsia" w:ascii="宋体" w:hAnsi="宋体"/>
                <w:sz w:val="21"/>
                <w:szCs w:val="21"/>
              </w:rPr>
              <w:t xml:space="preserve">安全文明施工及环境保护措施简单，针对性一般的得</w:t>
            </w:r>
            <w:r>
              <w:rPr>
                <w:rFonts w:ascii="宋体" w:hAnsi="宋体"/>
                <w:sz w:val="21"/>
                <w:szCs w:val="21"/>
              </w:rPr>
              <w:t xml:space="preserve">1</w:t>
            </w:r>
            <w:r>
              <w:rPr>
                <w:rFonts w:hint="eastAsia" w:ascii="宋体" w:hAnsi="宋体"/>
                <w:sz w:val="21"/>
                <w:szCs w:val="21"/>
              </w:rPr>
              <w:t xml:space="preserve">分；</w:t>
            </w:r>
            <w:r/>
          </w:p>
          <w:p>
            <w:pPr>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296"/>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spacing w:line="360" w:lineRule="auto"/>
              <w:widowControl/>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降低成本、提高经济效益措施</w:t>
            </w:r>
            <w:r/>
          </w:p>
          <w:p>
            <w:pPr>
              <w:pStyle w:val="847"/>
              <w:ind w:left="-48"/>
              <w:jc w:val="center"/>
              <w:spacing w:line="360" w:lineRule="auto"/>
              <w:rPr>
                <w:rFonts w:ascii="宋体" w:hAnsi="宋体" w:cs="宋体"/>
                <w:sz w:val="21"/>
                <w:szCs w:val="21"/>
              </w:rPr>
            </w:pPr>
            <w:r>
              <w:rPr>
                <w:rFonts w:hint="eastAsia" w:ascii="宋体" w:hAnsi="宋体" w:cs="宋体"/>
                <w:color w:val="000000"/>
                <w:sz w:val="21"/>
                <w:szCs w:val="21"/>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措施科学、严密、合理，描述详细且具有针对性的得</w:t>
            </w:r>
            <w:r>
              <w:rPr>
                <w:rFonts w:ascii="宋体" w:hAnsi="宋体" w:cs="宋体"/>
                <w:color w:val="000000"/>
                <w:sz w:val="21"/>
                <w:szCs w:val="21"/>
              </w:rPr>
              <w:t xml:space="preserve">5</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措施基本合理、描述一般、存在可操作性得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ind w:hanging="15"/>
              <w:spacing w:line="360" w:lineRule="auto"/>
              <w:rPr>
                <w:rFonts w:ascii="宋体" w:hAnsi="宋体" w:cs="宋体"/>
                <w:color w:val="000000"/>
                <w:sz w:val="21"/>
                <w:szCs w:val="21"/>
              </w:rPr>
            </w:pPr>
            <w:r>
              <w:rPr>
                <w:rFonts w:hint="eastAsia" w:ascii="宋体" w:hAnsi="宋体" w:cs="宋体"/>
                <w:color w:val="000000"/>
                <w:sz w:val="21"/>
                <w:szCs w:val="21"/>
              </w:rPr>
              <w:t xml:space="preserve">措施具有明显不合理项、描述欠缺、存在实施难度得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spacing w:line="360" w:lineRule="auto"/>
              <w:rPr>
                <w:rFonts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296"/>
        </w:trPr>
        <w:tc>
          <w:tcPr>
            <w:shd w:val="clear" w:color="auto" w:fill="auto"/>
            <w:tcBorders>
              <w:top w:val="single" w:color="auto" w:sz="4" w:space="0"/>
              <w:left w:val="single" w:color="000000" w:sz="4" w:space="0"/>
              <w:bottom w:val="single" w:color="auto" w:sz="4" w:space="0"/>
              <w:right w:val="single" w:color="000000" w:sz="4" w:space="0"/>
            </w:tcBorders>
            <w:tcW w:w="1134" w:type="dxa"/>
            <w:vAlign w:val="center"/>
            <w:vMerge w:val="continue"/>
            <w:textDirection w:val="lrTb"/>
            <w:noWrap w:val="false"/>
          </w:tcPr>
          <w:p>
            <w:pPr>
              <w:spacing w:line="360" w:lineRule="auto"/>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主要施工机械和工具、主要周转材料、劳动力安排</w:t>
            </w:r>
            <w:r/>
          </w:p>
          <w:p>
            <w:pPr>
              <w:pStyle w:val="847"/>
              <w:ind w:left="0"/>
              <w:jc w:val="center"/>
              <w:spacing w:line="360" w:lineRule="auto"/>
              <w:rPr>
                <w:rFonts w:hint="eastAsia" w:ascii="宋体" w:hAnsi="宋体" w:cs="宋体"/>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5</w:t>
            </w:r>
            <w:r>
              <w:rPr>
                <w:rFonts w:hint="eastAsia" w:ascii="宋体" w:hAnsi="宋体" w:cs="宋体"/>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投入项目的技术设备科学、严密、合理，管理制度完备、使用方案详细且具有针对性；技术人员配备合理、考虑周全的得</w:t>
            </w:r>
            <w:r>
              <w:rPr>
                <w:rFonts w:ascii="宋体" w:hAnsi="宋体" w:cs="宋体"/>
                <w:color w:val="000000"/>
                <w:sz w:val="21"/>
                <w:szCs w:val="21"/>
              </w:rPr>
              <w:t xml:space="preserve">5</w:t>
            </w:r>
            <w:r>
              <w:rPr>
                <w:rFonts w:hint="eastAsia" w:ascii="宋体" w:hAnsi="宋体" w:cs="宋体"/>
                <w:color w:val="000000"/>
                <w:sz w:val="21"/>
                <w:szCs w:val="21"/>
              </w:rPr>
              <w:t xml:space="preserve">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投入技术设备基本符合项目实际、管理制度一般、使用方案一般；技术人员配备一般、能满足项目实施需要的得</w:t>
            </w:r>
            <w:r>
              <w:rPr>
                <w:rFonts w:ascii="宋体" w:hAnsi="宋体" w:cs="宋体"/>
                <w:color w:val="000000"/>
                <w:sz w:val="21"/>
                <w:szCs w:val="21"/>
              </w:rPr>
              <w:t xml:space="preserve">3</w:t>
            </w:r>
            <w:r>
              <w:rPr>
                <w:rFonts w:hint="eastAsia" w:ascii="宋体" w:hAnsi="宋体" w:cs="宋体"/>
                <w:color w:val="000000"/>
                <w:sz w:val="21"/>
                <w:szCs w:val="21"/>
              </w:rPr>
              <w:t xml:space="preserve">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投入技术设备明显不足，不能满足项目实施需要；技术人员明显欠缺，不能满足项目实施需要的得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spacing w:line="360" w:lineRule="auto"/>
              <w:rPr>
                <w:rFonts w:hint="eastAsia"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296"/>
        </w:trPr>
        <w:tc>
          <w:tcPr>
            <w:shd w:val="clear" w:color="auto" w:fill="auto"/>
            <w:tcBorders>
              <w:left w:val="single" w:color="000000" w:sz="4" w:space="0"/>
              <w:bottom w:val="single" w:color="auto" w:sz="4" w:space="0"/>
              <w:right w:val="single" w:color="000000" w:sz="4" w:space="0"/>
            </w:tcBorders>
            <w:tcW w:w="1134" w:type="dxa"/>
            <w:vAlign w:val="center"/>
            <w:vMerge w:val="continue"/>
            <w:textDirection w:val="lrTb"/>
            <w:noWrap w:val="false"/>
          </w:tcPr>
          <w:p>
            <w:pPr>
              <w:spacing w:line="360" w:lineRule="auto"/>
              <w:widowControl/>
              <w:rPr>
                <w:rFonts w:hint="eastAsia" w:ascii="宋体" w:hAnsi="宋体" w:cs="宋体"/>
                <w:sz w:val="21"/>
                <w:szCs w:val="21"/>
              </w:rPr>
            </w:pPr>
            <w:r>
              <w:rPr>
                <w:rFonts w:hint="eastAsia"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8"/>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工程资料管理与农民工工资保证制度措施</w:t>
            </w:r>
            <w:r/>
          </w:p>
          <w:p>
            <w:pPr>
              <w:pStyle w:val="847"/>
              <w:ind w:left="420"/>
              <w:spacing w:line="360" w:lineRule="auto"/>
              <w:rPr>
                <w:rFonts w:hint="eastAsia" w:ascii="宋体" w:hAnsi="宋体" w:cs="宋体"/>
                <w:sz w:val="21"/>
                <w:szCs w:val="21"/>
              </w:rPr>
            </w:pPr>
            <w:r>
              <w:rPr>
                <w:rFonts w:hint="eastAsia" w:ascii="宋体" w:hAnsi="宋体" w:cs="宋体"/>
                <w:color w:val="000000"/>
                <w:sz w:val="21"/>
                <w:szCs w:val="21"/>
              </w:rPr>
              <w:t xml:space="preserve">（</w:t>
            </w:r>
            <w:r>
              <w:rPr>
                <w:rFonts w:ascii="宋体" w:hAnsi="宋体" w:cs="宋体"/>
                <w:color w:val="000000"/>
                <w:sz w:val="21"/>
                <w:szCs w:val="21"/>
              </w:rPr>
              <w:t xml:space="preserve">5</w:t>
            </w:r>
            <w:r>
              <w:rPr>
                <w:rFonts w:hint="eastAsia" w:ascii="宋体" w:hAnsi="宋体" w:cs="宋体"/>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spacing w:line="360" w:lineRule="auto"/>
              <w:rPr>
                <w:rFonts w:ascii="宋体" w:hAnsi="宋体" w:cs="宋体"/>
                <w:color w:val="000000"/>
                <w:sz w:val="21"/>
                <w:szCs w:val="21"/>
              </w:rPr>
            </w:pPr>
            <w:r>
              <w:rPr>
                <w:rFonts w:hint="eastAsia" w:ascii="宋体" w:hAnsi="宋体" w:cs="宋体"/>
                <w:color w:val="000000"/>
                <w:sz w:val="21"/>
                <w:szCs w:val="21"/>
              </w:rPr>
              <w:t xml:space="preserve">工程资料专人专职，岗位职责分明，档案建设规范，档案整理措施可行，农民工工资发放制度、实名制管理制度建立、合同签订等办证措施完善的得5分；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工程资料人员、档案建设、档案整理措施一般，农民工工资保证制度一般的得3分；</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工程资料人员、档案建设、档案整理措施不完善，农民工工资保证制度</w:t>
            </w:r>
            <w:r>
              <w:rPr>
                <w:rFonts w:hint="eastAsia" w:ascii="宋体" w:hAnsi="宋体"/>
                <w:sz w:val="21"/>
                <w:szCs w:val="21"/>
              </w:rPr>
              <w:t xml:space="preserve">简单</w:t>
            </w:r>
            <w:r>
              <w:rPr>
                <w:rFonts w:hint="eastAsia" w:ascii="宋体" w:hAnsi="宋体" w:cs="宋体"/>
                <w:color w:val="000000"/>
                <w:sz w:val="21"/>
                <w:szCs w:val="21"/>
              </w:rPr>
              <w:t xml:space="preserve">的得</w:t>
            </w:r>
            <w:r>
              <w:rPr>
                <w:rFonts w:ascii="宋体" w:hAnsi="宋体" w:cs="宋体"/>
                <w:color w:val="000000"/>
                <w:sz w:val="21"/>
                <w:szCs w:val="21"/>
              </w:rPr>
              <w:t xml:space="preserve">1</w:t>
            </w:r>
            <w:r>
              <w:rPr>
                <w:rFonts w:hint="eastAsia" w:ascii="宋体" w:hAnsi="宋体" w:cs="宋体"/>
                <w:color w:val="000000"/>
                <w:sz w:val="21"/>
                <w:szCs w:val="21"/>
              </w:rPr>
              <w:t xml:space="preserve">分；</w:t>
            </w:r>
            <w:r/>
          </w:p>
          <w:p>
            <w:pPr>
              <w:pStyle w:val="847"/>
              <w:ind w:left="0"/>
              <w:spacing w:line="360" w:lineRule="auto"/>
              <w:rPr>
                <w:rFonts w:hint="eastAsia" w:ascii="宋体" w:hAnsi="宋体" w:cs="宋体"/>
                <w:sz w:val="21"/>
                <w:szCs w:val="21"/>
              </w:rPr>
            </w:pPr>
            <w:r>
              <w:rPr>
                <w:rFonts w:hint="eastAsia" w:ascii="宋体" w:hAnsi="宋体" w:cs="宋体"/>
                <w:color w:val="000000"/>
                <w:sz w:val="21"/>
                <w:szCs w:val="21"/>
                <w:lang w:val="en-US" w:eastAsia="zh-CN"/>
              </w:rPr>
              <w:t xml:space="preserve">无内容</w:t>
            </w:r>
            <w:r>
              <w:rPr>
                <w:rFonts w:hint="eastAsia" w:ascii="宋体" w:hAnsi="宋体" w:cs="宋体"/>
                <w:color w:val="000000"/>
                <w:sz w:val="21"/>
                <w:szCs w:val="21"/>
              </w:rPr>
              <w:t xml:space="preserve">不得分。</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项目管理机构（</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ascii="宋体" w:hAnsi="宋体" w:cs="宋体"/>
                <w:sz w:val="21"/>
                <w:szCs w:val="21"/>
              </w:rPr>
            </w:pPr>
            <w:r>
              <w:rPr>
                <w:rFonts w:hint="eastAsia" w:ascii="宋体" w:hAnsi="宋体" w:cs="宋体"/>
                <w:sz w:val="21"/>
                <w:szCs w:val="21"/>
              </w:rPr>
              <w:t xml:space="preserve">项目管理机构（</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经理</w:t>
            </w:r>
            <w:r>
              <w:rPr>
                <w:rFonts w:hint="eastAsia" w:ascii="宋体" w:hAnsi="宋体" w:eastAsia="宋体" w:cs="宋体"/>
                <w:sz w:val="21"/>
                <w:szCs w:val="21"/>
              </w:rPr>
              <w:t xml:space="preserve">具备水利专业中级及以上工程师职称的得2分。</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技术负责人具有水利</w:t>
            </w:r>
            <w:r>
              <w:rPr>
                <w:rFonts w:hint="eastAsia" w:ascii="宋体" w:hAnsi="宋体" w:eastAsia="宋体" w:cs="宋体"/>
                <w:sz w:val="21"/>
                <w:szCs w:val="21"/>
                <w:lang w:val="en-US" w:eastAsia="zh-CN"/>
              </w:rPr>
              <w:t xml:space="preserve">专业中级及以上工程师职</w:t>
            </w:r>
            <w:r>
              <w:rPr>
                <w:rFonts w:hint="eastAsia" w:ascii="宋体" w:hAnsi="宋体" w:eastAsia="宋体" w:cs="宋体"/>
                <w:sz w:val="21"/>
                <w:szCs w:val="21"/>
              </w:rPr>
              <w:t xml:space="preserve">称的得2分</w:t>
            </w:r>
            <w:r>
              <w:rPr>
                <w:rFonts w:hint="eastAsia" w:ascii="宋体" w:hAnsi="宋体" w:eastAsia="宋体" w:cs="宋体"/>
                <w:sz w:val="21"/>
                <w:szCs w:val="21"/>
                <w:lang w:eastAsia="zh-CN"/>
              </w:rPr>
              <w:t xml:space="preserve">。</w:t>
            </w:r>
            <w:r/>
          </w:p>
          <w:p>
            <w:pP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项目组主要人员（项目</w:t>
            </w:r>
            <w:r>
              <w:rPr>
                <w:rFonts w:hint="eastAsia" w:ascii="宋体" w:hAnsi="宋体" w:eastAsia="宋体" w:cs="宋体"/>
                <w:sz w:val="21"/>
                <w:szCs w:val="21"/>
                <w:lang w:val="en-US" w:eastAsia="zh-CN"/>
              </w:rPr>
              <w:t xml:space="preserve">经理及技术负责人</w:t>
            </w:r>
            <w:r>
              <w:rPr>
                <w:rFonts w:hint="eastAsia" w:ascii="宋体" w:hAnsi="宋体" w:eastAsia="宋体" w:cs="宋体"/>
                <w:sz w:val="21"/>
                <w:szCs w:val="21"/>
              </w:rPr>
              <w:t xml:space="preserve">除外）具备水利专业中级及以上工程师职称的，每有1人得2分，最多得4分。</w:t>
            </w:r>
            <w:r/>
          </w:p>
          <w:p>
            <w:pPr>
              <w:spacing w:line="360" w:lineRule="auto"/>
              <w:widowControl/>
              <w:rPr>
                <w:rFonts w:hint="eastAsia" w:eastAsia="宋体"/>
                <w:sz w:val="21"/>
                <w:szCs w:val="21"/>
                <w:lang w:val="en-US" w:eastAsia="zh-CN"/>
              </w:rPr>
            </w:pPr>
            <w:r>
              <w:rPr>
                <w:rFonts w:hint="eastAsia" w:ascii="宋体" w:hAnsi="宋体" w:cs="宋体"/>
                <w:b/>
                <w:bCs/>
                <w:color w:val="000000" w:themeColor="text1"/>
                <w:sz w:val="21"/>
                <w:szCs w:val="21"/>
                <w:lang w:val="en-US" w:eastAsia="zh-CN"/>
                <w14:textFill>
                  <w14:solidFill>
                    <w14:schemeClr w14:val="tx1"/>
                  </w14:solidFill>
                </w14:textFill>
              </w:rPr>
              <w:t xml:space="preserve">注：提供以上人员证书原件扫描上传同时提供投标人近三个月内任意一个月为以上人员缴纳的社保证明材料原件扫描上传，否则不得分。专业以注册证书或职称证书为准。</w:t>
            </w:r>
            <w:r/>
          </w:p>
        </w:tc>
      </w:tr>
      <w:tr>
        <w:trPr>
          <w:trHeight w:val="1152"/>
        </w:trPr>
        <w:tc>
          <w:tcPr>
            <w:shd w:val="clear" w:color="auto" w:fill="auto"/>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cs="宋体"/>
                <w:sz w:val="21"/>
                <w:szCs w:val="21"/>
              </w:rPr>
            </w:pPr>
            <w:r>
              <w:rPr>
                <w:rFonts w:hint="eastAsia" w:ascii="宋体" w:hAnsi="宋体" w:cs="宋体"/>
                <w:sz w:val="21"/>
                <w:szCs w:val="21"/>
                <w:lang w:val="en-US" w:eastAsia="zh-CN"/>
              </w:rPr>
              <w:t xml:space="preserve">类似业绩</w:t>
            </w:r>
            <w:r>
              <w:rPr>
                <w:rFonts w:hint="eastAsia" w:ascii="宋体" w:hAnsi="宋体" w:cs="宋体"/>
                <w:sz w:val="21"/>
                <w:szCs w:val="21"/>
              </w:rPr>
              <w:t xml:space="preserve">（</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widowControl/>
              <w:rPr>
                <w:rFonts w:hint="eastAsia" w:ascii="宋体" w:hAnsi="宋体" w:cs="宋体"/>
                <w:sz w:val="21"/>
                <w:szCs w:val="21"/>
              </w:rPr>
            </w:pPr>
            <w:r>
              <w:rPr>
                <w:rFonts w:hint="eastAsia" w:ascii="宋体" w:hAnsi="宋体" w:cs="宋体"/>
                <w:sz w:val="21"/>
                <w:szCs w:val="21"/>
              </w:rPr>
              <w:t xml:space="preserve">类似业绩（</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spacing w:line="360" w:lineRule="auto"/>
              <w:widowControl/>
              <w:rPr>
                <w:rFonts w:hint="eastAsia" w:ascii="宋体" w:hAnsi="宋体" w:cs="宋体"/>
                <w:sz w:val="21"/>
                <w:szCs w:val="21"/>
              </w:rPr>
            </w:pPr>
            <w:r>
              <w:rPr>
                <w:rFonts w:hint="eastAsia" w:ascii="宋体" w:hAnsi="宋体" w:cs="仿宋"/>
                <w:sz w:val="21"/>
                <w:szCs w:val="21"/>
                <w:highlight w:val="yellow"/>
              </w:rPr>
              <w:t xml:space="preserve">202</w:t>
            </w:r>
            <w:r>
              <w:rPr>
                <w:rFonts w:hint="eastAsia" w:ascii="宋体" w:hAnsi="宋体" w:cs="仿宋"/>
                <w:sz w:val="21"/>
                <w:szCs w:val="21"/>
                <w:highlight w:val="yellow"/>
                <w:lang w:val="en-US" w:eastAsia="zh-CN"/>
              </w:rPr>
              <w:t xml:space="preserve">3</w:t>
            </w:r>
            <w:r>
              <w:rPr>
                <w:rFonts w:hint="eastAsia" w:ascii="宋体" w:hAnsi="宋体" w:cs="仿宋"/>
                <w:sz w:val="21"/>
                <w:szCs w:val="21"/>
                <w:highlight w:val="yellow"/>
              </w:rPr>
              <w:t xml:space="preserve">年</w:t>
            </w:r>
            <w:r>
              <w:rPr>
                <w:rFonts w:hint="eastAsia" w:ascii="宋体" w:hAnsi="宋体" w:cs="仿宋"/>
                <w:sz w:val="21"/>
                <w:szCs w:val="21"/>
                <w:highlight w:val="yellow"/>
                <w:lang w:val="en-US" w:eastAsia="zh-CN"/>
              </w:rPr>
              <w:t xml:space="preserve">3</w:t>
            </w:r>
            <w:r>
              <w:rPr>
                <w:rFonts w:hint="eastAsia" w:ascii="宋体" w:hAnsi="宋体" w:cs="仿宋"/>
                <w:sz w:val="21"/>
                <w:szCs w:val="21"/>
                <w:highlight w:val="yellow"/>
              </w:rPr>
              <w:t xml:space="preserve">月</w:t>
            </w:r>
            <w:r>
              <w:rPr>
                <w:rFonts w:hint="eastAsia" w:ascii="宋体" w:hAnsi="宋体" w:cs="仿宋"/>
                <w:sz w:val="21"/>
                <w:szCs w:val="21"/>
                <w:highlight w:val="yellow"/>
                <w:lang w:val="en-US" w:eastAsia="zh-CN"/>
              </w:rPr>
              <w:t xml:space="preserve">1日</w:t>
            </w:r>
            <w:r>
              <w:rPr>
                <w:rFonts w:hint="eastAsia" w:ascii="宋体" w:hAnsi="宋体" w:cs="仿宋"/>
                <w:sz w:val="21"/>
                <w:szCs w:val="21"/>
              </w:rPr>
              <w:t xml:space="preserve">（以合同签订时间为准）以来，投标人承担过类似业绩的有</w:t>
            </w:r>
            <w:r>
              <w:rPr>
                <w:rFonts w:hint="eastAsia" w:ascii="宋体" w:hAnsi="宋体" w:cs="仿宋"/>
                <w:sz w:val="21"/>
                <w:szCs w:val="21"/>
                <w:lang w:val="en-US" w:eastAsia="zh-CN"/>
              </w:rPr>
              <w:t xml:space="preserve">一</w:t>
            </w:r>
            <w:r>
              <w:rPr>
                <w:rFonts w:hint="eastAsia" w:ascii="宋体" w:hAnsi="宋体" w:cs="仿宋"/>
                <w:sz w:val="21"/>
                <w:szCs w:val="21"/>
              </w:rPr>
              <w:t xml:space="preserve">个得</w:t>
            </w:r>
            <w:r>
              <w:rPr>
                <w:rFonts w:hint="eastAsia" w:ascii="宋体" w:hAnsi="宋体" w:cs="仿宋"/>
                <w:sz w:val="21"/>
                <w:szCs w:val="21"/>
                <w:lang w:val="en-US" w:eastAsia="zh-CN"/>
              </w:rPr>
              <w:t xml:space="preserve">2</w:t>
            </w:r>
            <w:r>
              <w:rPr>
                <w:rFonts w:hint="eastAsia" w:ascii="宋体" w:hAnsi="宋体" w:cs="仿宋"/>
                <w:sz w:val="21"/>
                <w:szCs w:val="21"/>
              </w:rPr>
              <w:t xml:space="preserve">分，最高得</w:t>
            </w:r>
            <w:r>
              <w:rPr>
                <w:rFonts w:hint="eastAsia" w:ascii="宋体" w:hAnsi="宋体" w:cs="仿宋"/>
                <w:sz w:val="21"/>
                <w:szCs w:val="21"/>
                <w:lang w:val="en-US" w:eastAsia="zh-CN"/>
              </w:rPr>
              <w:t xml:space="preserve">10</w:t>
            </w:r>
            <w:r>
              <w:rPr>
                <w:rFonts w:hint="eastAsia" w:ascii="宋体" w:hAnsi="宋体" w:cs="仿宋"/>
                <w:sz w:val="21"/>
                <w:szCs w:val="21"/>
              </w:rPr>
              <w:t xml:space="preserve">分</w:t>
            </w:r>
            <w:r>
              <w:rPr>
                <w:rFonts w:ascii="宋体" w:hAnsi="宋体" w:cs="宋体"/>
                <w:b/>
                <w:bCs/>
                <w:color w:val="000000" w:themeColor="text1"/>
                <w:sz w:val="21"/>
                <w:szCs w:val="21"/>
                <w14:textFill>
                  <w14:solidFill>
                    <w14:schemeClr w14:val="tx1"/>
                  </w14:solidFill>
                </w14:textFill>
              </w:rPr>
              <w:t xml:space="preserve">（</w:t>
            </w:r>
            <w:r>
              <w:rPr>
                <w:rFonts w:hint="eastAsia" w:ascii="宋体" w:hAnsi="宋体" w:cs="宋体"/>
                <w:b/>
                <w:bCs/>
                <w:color w:val="000000" w:themeColor="text1"/>
                <w:sz w:val="21"/>
                <w:szCs w:val="21"/>
                <w14:textFill>
                  <w14:solidFill>
                    <w14:schemeClr w14:val="tx1"/>
                  </w14:solidFill>
                </w14:textFill>
              </w:rPr>
              <w:t xml:space="preserve">同时提供以下资料</w:t>
            </w:r>
            <w:r>
              <w:rPr>
                <w:rFonts w:hint="eastAsia" w:ascii="宋体" w:hAnsi="宋体" w:cs="宋体"/>
                <w:b/>
                <w:bCs/>
                <w:color w:val="000000" w:themeColor="text1"/>
                <w:sz w:val="21"/>
                <w:szCs w:val="21"/>
                <w:lang w:val="en-US" w:eastAsia="zh-CN"/>
                <w14:textFill>
                  <w14:solidFill>
                    <w14:schemeClr w14:val="tx1"/>
                  </w14:solidFill>
                </w14:textFill>
              </w:rPr>
              <w:t xml:space="preserve">原件扫描上传（不提供不得分）</w:t>
            </w:r>
            <w:r>
              <w:rPr>
                <w:rFonts w:hint="eastAsia" w:ascii="宋体" w:hAnsi="宋体" w:cs="宋体"/>
                <w:b/>
                <w:bCs/>
                <w:color w:val="000000" w:themeColor="text1"/>
                <w:sz w:val="21"/>
                <w:szCs w:val="21"/>
                <w14:textFill>
                  <w14:solidFill>
                    <w14:schemeClr w14:val="tx1"/>
                  </w14:solidFill>
                </w14:textFill>
              </w:rPr>
              <w:t xml:space="preserve">：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rPr>
                <w:rFonts w:hint="eastAsia" w:ascii="宋体" w:hAnsi="宋体" w:cs="宋体"/>
                <w:b/>
                <w:bCs/>
                <w:color w:val="000000" w:themeColor="text1"/>
                <w:sz w:val="21"/>
                <w:szCs w:val="21"/>
                <w:lang w:eastAsia="zh-CN"/>
                <w14:textFill>
                  <w14:solidFill>
                    <w14:schemeClr w14:val="tx1"/>
                  </w14:solidFill>
                </w14:textFill>
              </w:rPr>
              <w:t xml:space="preserve">）</w:t>
            </w:r>
            <w:r/>
          </w:p>
        </w:tc>
      </w:tr>
    </w:tbl>
    <w:p>
      <w:pPr>
        <w:pStyle w:val="1050"/>
        <w:pageBreakBefore w:val="0"/>
        <w:spacing w:line="360" w:lineRule="auto"/>
      </w:pPr>
      <w:r/>
      <w:r/>
    </w:p>
    <w:tbl>
      <w:tblPr>
        <w:tblStyle w:val="867"/>
        <w:tblpPr w:horzAnchor="text" w:tblpX="10214" w:vertAnchor="text" w:tblpY="-101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41"/>
        <w:gridCol w:w="14"/>
      </w:tblGrid>
      <w:tr>
        <w:trPr>
          <w:trHeight w:val="30"/>
        </w:trPr>
        <w:tc>
          <w:tcPr>
            <w:gridSpan w:val="2"/>
            <w:tcW w:w="3855" w:type="dxa"/>
            <w:textDirection w:val="lrTb"/>
            <w:noWrap w:val="false"/>
          </w:tcPr>
          <w:p>
            <w:pPr>
              <w:pageBreakBefore w:val="0"/>
              <w:spacing w:after="0" w:line="360" w:lineRule="auto"/>
              <w:rPr>
                <w:vertAlign w:val="baseline"/>
              </w:rPr>
            </w:pPr>
            <w:r>
              <w:rPr>
                <w:vertAlign w:val="baseline"/>
              </w:rPr>
            </w:r>
            <w:r/>
          </w:p>
        </w:tc>
      </w:tr>
      <w:tr>
        <w:trPr>
          <w:gridAfter w:val="1"/>
          <w:trHeight w:val="30"/>
        </w:trPr>
        <w:tc>
          <w:tcPr>
            <w:tcW w:w="3841" w:type="dxa"/>
            <w:textDirection w:val="lrTb"/>
            <w:noWrap w:val="false"/>
          </w:tcPr>
          <w:p>
            <w:pPr>
              <w:pageBreakBefore w:val="0"/>
              <w:spacing w:after="0" w:line="360" w:lineRule="auto"/>
              <w:rPr>
                <w:vertAlign w:val="baseline"/>
              </w:rPr>
            </w:pPr>
            <w:r>
              <w:rPr>
                <w:vertAlign w:val="baseline"/>
              </w:rPr>
            </w:r>
            <w:r/>
          </w:p>
        </w:tc>
      </w:tr>
    </w:tbl>
    <w:tbl>
      <w:tblPr>
        <w:tblStyle w:val="867"/>
        <w:tblpPr w:horzAnchor="text" w:tblpX="10214" w:vertAnchor="text" w:tblpY="-104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73"/>
      </w:tblGrid>
      <w:tr>
        <w:trPr>
          <w:trHeight w:val="30"/>
        </w:trPr>
        <w:tc>
          <w:tcPr>
            <w:tcW w:w="2873" w:type="dxa"/>
            <w:textDirection w:val="lrTb"/>
            <w:noWrap w:val="false"/>
          </w:tcPr>
          <w:p>
            <w:pPr>
              <w:pageBreakBefore w:val="0"/>
              <w:spacing w:after="0" w:line="360" w:lineRule="auto"/>
              <w:rPr>
                <w:vertAlign w:val="baseline"/>
              </w:rPr>
            </w:pPr>
            <w:r>
              <w:rPr>
                <w:vertAlign w:val="baseline"/>
              </w:rPr>
            </w:r>
            <w:r/>
          </w:p>
        </w:tc>
      </w:tr>
      <w:tr>
        <w:trPr>
          <w:trHeight w:val="30"/>
        </w:trPr>
        <w:tc>
          <w:tcPr>
            <w:tcW w:w="2873" w:type="dxa"/>
            <w:textDirection w:val="lrTb"/>
            <w:noWrap w:val="false"/>
          </w:tcPr>
          <w:p>
            <w:pPr>
              <w:pageBreakBefore w:val="0"/>
              <w:spacing w:after="0" w:line="360" w:lineRule="auto"/>
              <w:rPr>
                <w:vertAlign w:val="baseline"/>
              </w:rPr>
            </w:pPr>
            <w:r>
              <w:rPr>
                <w:vertAlign w:val="baseline"/>
              </w:rPr>
            </w:r>
            <w:r/>
          </w:p>
        </w:tc>
      </w:tr>
      <w:tr>
        <w:trPr>
          <w:trHeight w:val="30"/>
        </w:trPr>
        <w:tc>
          <w:tcPr>
            <w:tcW w:w="2873" w:type="dxa"/>
            <w:textDirection w:val="lrTb"/>
            <w:noWrap w:val="false"/>
          </w:tcPr>
          <w:p>
            <w:pPr>
              <w:pageBreakBefore w:val="0"/>
              <w:spacing w:after="0" w:line="360" w:lineRule="auto"/>
              <w:rPr>
                <w:vertAlign w:val="baseline"/>
              </w:rPr>
            </w:pPr>
            <w:r>
              <w:rPr>
                <w:vertAlign w:val="baseline"/>
              </w:rPr>
            </w:r>
            <w:r/>
          </w:p>
        </w:tc>
      </w:tr>
      <w:tr>
        <w:trPr>
          <w:trHeight w:val="30"/>
        </w:trPr>
        <w:tc>
          <w:tcPr>
            <w:tcW w:w="2873" w:type="dxa"/>
            <w:textDirection w:val="lrTb"/>
            <w:noWrap w:val="false"/>
          </w:tcPr>
          <w:p>
            <w:pPr>
              <w:pageBreakBefore w:val="0"/>
              <w:spacing w:after="0" w:line="360" w:lineRule="auto"/>
              <w:rPr>
                <w:vertAlign w:val="baseline"/>
              </w:rPr>
            </w:pPr>
            <w:r>
              <w:rPr>
                <w:vertAlign w:val="baseline"/>
              </w:rPr>
            </w:r>
            <w:r/>
          </w:p>
        </w:tc>
      </w:tr>
    </w:tbl>
    <w:p>
      <w:pPr>
        <w:pStyle w:val="1067"/>
        <w:ind w:firstLine="0"/>
        <w:pageBreakBefore w:val="0"/>
        <w:spacing w:line="360" w:lineRule="auto"/>
        <w:rPr>
          <w:rFonts w:ascii="宋体" w:hAnsi="宋体"/>
          <w:b/>
          <w:bCs/>
          <w:sz w:val="21"/>
          <w:szCs w:val="21"/>
        </w:rPr>
      </w:pPr>
      <w:r>
        <w:rPr>
          <w:rFonts w:hint="eastAsia" w:ascii="宋体" w:hAnsi="宋体"/>
          <w:b/>
        </w:rPr>
        <w:t xml:space="preserve"> </w:t>
      </w:r>
      <w:r>
        <w:rPr>
          <w:rFonts w:hint="eastAsia" w:ascii="宋体" w:hAnsi="宋体"/>
          <w:b/>
          <w:bCs/>
          <w:sz w:val="21"/>
          <w:szCs w:val="21"/>
        </w:rPr>
        <w:t xml:space="preserve">注：1、评委应对以上各得分项独立评分，供应商最终得分为所有评委评分汇总的平均值。</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第六章 竞争性磋商响应文件格式</w:t>
      </w:r>
      <w:bookmarkEnd w:id="2"/>
      <w:r/>
      <w:bookmarkEnd w:id="427"/>
      <w:r/>
      <w:bookmarkEnd w:id="428"/>
      <w:r/>
      <w:r/>
    </w:p>
    <w:p>
      <w:pPr>
        <w:jc w:val="center"/>
        <w:spacing w:line="360" w:lineRule="auto"/>
        <w:rPr>
          <w:rFonts w:hint="eastAsia"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14:textFill>
            <w14:solidFill>
              <w14:schemeClr w14:val="tx1"/>
            </w14:solidFill>
          </w14:textFill>
        </w:rPr>
      </w:r>
      <w:r/>
    </w:p>
    <w:p>
      <w:pPr>
        <w:pStyle w:val="1020"/>
        <w:jc w:val="center"/>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竞争性磋商响应文件</w:t>
      </w:r>
      <w:r/>
    </w:p>
    <w:p>
      <w:pPr>
        <w:jc w:val="center"/>
        <w:spacing w:line="360" w:lineRule="auto"/>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磋商供应商名称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      日      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  应  商：</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（电子签章）</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商务条款响应及偏离表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七、其他（供应商认为有必要提供的声明和文件，如有自拟并自行添加）</w:t>
      </w:r>
      <w:r/>
    </w:p>
    <w:p>
      <w:pPr>
        <w:pStyle w:val="1020"/>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一、资格审查响应对照表</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eastAsia="宋体" w:cs="宋体"/>
                <w:b/>
                <w:bCs/>
                <w:color w:val="000000" w:themeColor="text1"/>
                <w:szCs w:val="21"/>
                <w:highlight w:val="none"/>
                <w14:textFill>
                  <w14:solidFill>
                    <w14:schemeClr w14:val="tx1"/>
                  </w14:solidFill>
                </w14:textFill>
              </w:rPr>
              <w:t xml:space="preserve">(税务、银行或社会保险基金管理部门出具的近三个月内任意一个月缴纳职工社会保障资金的缴款凭证或缴款证明)（可提供“基本资格条件承诺函”）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供应商近三个月内任意一份依法纳税的缴款凭证（可提供“基本资格条件承诺函”）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上一年度的财务状况情况</w:t>
            </w:r>
            <w:r>
              <w:rPr>
                <w:rFonts w:hint="eastAsia" w:ascii="宋体" w:hAnsi="宋体" w:eastAsia="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14"/>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5447"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W w:w="5447" w:type="dxa"/>
            <w:vAlign w:val="center"/>
            <w:textDirection w:val="lrTb"/>
            <w:noWrap w:val="false"/>
          </w:tcPr>
          <w:p>
            <w:pPr>
              <w:jc w:val="left"/>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磋商响应函</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W w:w="5447" w:type="dxa"/>
            <w:vAlign w:val="center"/>
            <w:textDirection w:val="lrTb"/>
            <w:noWrap w:val="false"/>
          </w:tcPr>
          <w:p>
            <w:pPr>
              <w:jc w:val="left"/>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center"/>
        <w:spacing w:before="156" w:after="156"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5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我公司自愿参加                   （项目名称）政府采购活动，并郑重承诺：</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hint="eastAsia" w:ascii="宋体" w:hAnsi="宋体" w:eastAsia="宋体" w:cs="宋体"/>
          <w:color w:val="000000" w:themeColor="text1"/>
          <w:szCs w:val="21"/>
          <w:highlight w:val="none"/>
          <w:lang w:val="zh-CN"/>
          <w14:textFill>
            <w14:solidFill>
              <w14:schemeClr w14:val="tx1"/>
            </w14:solidFill>
          </w14:textFill>
        </w:rPr>
        <w:t xml:space="preserve">有依法缴纳税收和社会保障金的良好记录</w:t>
      </w:r>
      <w:r>
        <w:rPr>
          <w:rFonts w:hint="eastAsia" w:ascii="宋体" w:hAnsi="宋体" w:eastAsia="宋体" w:cs="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特此承诺。</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年   月   日</w:t>
      </w:r>
      <w:r>
        <w:rPr>
          <w:rFonts w:hint="eastAsia" w:ascii="宋体" w:hAnsi="宋体" w:eastAsia="宋体" w:cs="宋体"/>
          <w:b/>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Cs w:val="21"/>
          <w:highlight w:val="none"/>
          <w14:textFill>
            <w14:solidFill>
              <w14:schemeClr w14:val="tx1"/>
            </w14:solidFill>
          </w14:textFill>
        </w:rPr>
        <w:t xml:space="preserve">供应商信用承诺书</w:t>
      </w:r>
      <w:r/>
    </w:p>
    <w:p>
      <w:pPr>
        <w:spacing w:line="360" w:lineRule="auto"/>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color w:val="000000" w:themeColor="text1"/>
          <w:szCs w:val="32"/>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承诺主体名称：</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承诺单位（签章）：           </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法定代表人（负责人）：</w:t>
      </w:r>
      <w:r/>
    </w:p>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年    月    日</w:t>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磋商响应函</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致：（代理公司）</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根据贵方的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据此函，__________（签字人）兹宣布同意如下：</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1.按磋商文件规定的各项要求，向买方提供所需服务。</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6.遵守磋商文件中要求的收费项目和标准。</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7.与本磋商采购有关的正式通讯地址为：</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                         邮 编：</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                         传 真：</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供应商开户行：                  账 户：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法定代表人姓名（签章）：         联系电话：</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期：________年____月____日</w:t>
      </w:r>
      <w:r/>
    </w:p>
    <w:p>
      <w:pPr>
        <w:pStyle w:val="1070"/>
        <w:ind w:firstLine="422"/>
        <w:jc w:val="center"/>
        <w:spacing w:after="312"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法人授权书</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本授权书于______年____月____日起生效，特此声明。</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被授权人姓名：_____________________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__     </w:t>
      </w:r>
      <w:r/>
    </w:p>
    <w:p>
      <w:pPr>
        <w:pStyle w:val="1070"/>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70"/>
        <w:ind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单位名称：____________________________________</w:t>
      </w:r>
      <w:r/>
    </w:p>
    <w:p>
      <w:pPr>
        <w:pStyle w:val="1070"/>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70"/>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000000" w:themeColor="text1"/>
          <w:highlight w:val="none"/>
          <w14:textFill>
            <w14:solidFill>
              <w14:schemeClr w14:val="tx1"/>
            </w14:solidFill>
          </w14:textFill>
        </w:rPr>
        <w:t xml:space="preserve">被授权人身份证复印件</w:t>
      </w:r>
      <w:r/>
    </w:p>
    <w:p>
      <w:pPr>
        <w:numPr>
          <w:ilvl w:val="0"/>
          <w:numId w:val="5"/>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符合性审查响应对照表</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contextualSpacing/>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5"/>
        </w:numPr>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before="312" w:after="312"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中小企业声明函（工程、服务）</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highlight w:val="none"/>
          <w:u w:val="single"/>
          <w14:textFill>
            <w14:solidFill>
              <w14:schemeClr w14:val="tx1"/>
            </w14:solidFill>
          </w14:textFill>
        </w:rPr>
        <w:t xml:space="preserve">（单位名称）</w:t>
      </w:r>
      <w:r>
        <w:rPr>
          <w:rFonts w:hint="eastAsia" w:ascii="宋体" w:hAnsi="宋体" w:eastAsia="宋体" w:cs="宋体"/>
          <w:color w:val="000000" w:themeColor="text1"/>
          <w:highlight w:val="none"/>
          <w14:textFill>
            <w14:solidFill>
              <w14:schemeClr w14:val="tx1"/>
            </w14:solidFill>
          </w14:textFill>
        </w:rPr>
        <w:t xml:space="preserve">的</w:t>
      </w:r>
      <w:r>
        <w:rPr>
          <w:rFonts w:hint="eastAsia" w:ascii="宋体" w:hAnsi="宋体" w:eastAsia="宋体" w:cs="宋体"/>
          <w:color w:val="000000" w:themeColor="text1"/>
          <w:highlight w:val="none"/>
          <w:u w:val="single"/>
          <w14:textFill>
            <w14:solidFill>
              <w14:schemeClr w14:val="tx1"/>
            </w14:solidFill>
          </w14:textFill>
        </w:rPr>
        <w:t xml:space="preserve">（项目名称）</w:t>
      </w:r>
      <w:r>
        <w:rPr>
          <w:rFonts w:hint="eastAsia" w:ascii="宋体" w:hAnsi="宋体" w:eastAsia="宋体" w:cs="宋体"/>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u w:val="single"/>
          <w14:textFill>
            <w14:solidFill>
              <w14:schemeClr w14:val="tx1"/>
            </w14:solidFill>
          </w14:textFill>
        </w:rPr>
        <w:t xml:space="preserve">（标的名称） </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w:t>
      </w:r>
      <w:r>
        <w:rPr>
          <w:rFonts w:hint="eastAsia" w:ascii="宋体" w:hAnsi="宋体" w:eastAsia="宋体" w:cs="宋体"/>
          <w:color w:val="000000" w:themeColor="text1"/>
          <w:highlight w:val="none"/>
          <w:lang w:eastAsia="en-US"/>
          <w14:textFill>
            <w14:solidFill>
              <w14:schemeClr w14:val="tx1"/>
            </w14:solidFill>
          </w14:textFill>
        </w:rPr>
        <w:fldChar w:fldCharType="begin"/>
      </w:r>
      <w:r>
        <w:rPr>
          <w:rFonts w:hint="eastAsia" w:ascii="宋体" w:hAnsi="宋体" w:eastAsia="宋体" w:cs="宋体"/>
          <w:color w:val="000000" w:themeColor="text1"/>
          <w:spacing w:val="-1"/>
          <w:highlight w:val="none"/>
          <w:vertAlign w:val="superscript"/>
          <w14:textFill>
            <w14:solidFill>
              <w14:schemeClr w14:val="tx1"/>
            </w14:solidFill>
          </w14:textFill>
        </w:rPr>
        <w:instrText xml:space="preserve"> HYPERLINK \l "br1" </w:instrText>
      </w:r>
      <w:r>
        <w:rPr>
          <w:rFonts w:hint="eastAsia" w:ascii="宋体" w:hAnsi="宋体" w:eastAsia="宋体" w:cs="宋体"/>
          <w:color w:val="000000" w:themeColor="text1"/>
          <w:highlight w:val="none"/>
          <w:lang w:eastAsia="en-US"/>
          <w14:textFill>
            <w14:solidFill>
              <w14:schemeClr w14:val="tx1"/>
            </w14:solidFill>
          </w14:textFill>
        </w:rPr>
        <w:fldChar w:fldCharType="separate"/>
      </w:r>
      <w:r>
        <w:rPr>
          <w:rFonts w:hint="eastAsia" w:ascii="宋体" w:hAnsi="宋体" w:eastAsia="宋体" w:cs="宋体"/>
          <w:color w:val="000000" w:themeColor="text1"/>
          <w:spacing w:val="-1"/>
          <w:highlight w:val="none"/>
          <w:vertAlign w:val="superscript"/>
          <w14:textFill>
            <w14:solidFill>
              <w14:schemeClr w14:val="tx1"/>
            </w14:solidFill>
          </w14:textFill>
        </w:rPr>
        <w:t xml:space="preserve">1</w:t>
      </w:r>
      <w:r>
        <w:rPr>
          <w:rFonts w:hint="eastAsia" w:ascii="宋体" w:hAnsi="宋体" w:eastAsia="宋体" w:cs="宋体"/>
          <w:color w:val="000000" w:themeColor="text1"/>
          <w:highlight w:val="none"/>
          <w:lang w:eastAsia="en-US"/>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 </w:t>
      </w:r>
      <w:r>
        <w:rPr>
          <w:rFonts w:hint="eastAsia" w:ascii="宋体" w:hAnsi="宋体" w:eastAsia="宋体" w:cs="宋体"/>
          <w:color w:val="000000" w:themeColor="text1"/>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14:textFill>
            <w14:solidFill>
              <w14:schemeClr w14:val="tx1"/>
            </w14:solidFill>
          </w14:textFill>
        </w:rPr>
        <w:t xml:space="preserve"> ，属于</w:t>
      </w:r>
      <w:r>
        <w:rPr>
          <w:rFonts w:hint="eastAsia" w:ascii="宋体" w:hAnsi="宋体" w:eastAsia="宋体" w:cs="宋体"/>
          <w:color w:val="000000" w:themeColor="text1"/>
          <w:highlight w:val="none"/>
          <w:u w:val="single"/>
          <w14:textFill>
            <w14:solidFill>
              <w14:schemeClr w14:val="tx1"/>
            </w14:solidFill>
          </w14:textFill>
        </w:rPr>
        <w:t xml:space="preserve">（采购文件中明确的所属行业（该行业类别不可修改））</w:t>
      </w:r>
      <w:r>
        <w:rPr>
          <w:rFonts w:hint="eastAsia" w:ascii="宋体" w:hAnsi="宋体" w:eastAsia="宋体" w:cs="宋体"/>
          <w:color w:val="000000" w:themeColor="text1"/>
          <w:highlight w:val="none"/>
          <w14:textFill>
            <w14:solidFill>
              <w14:schemeClr w14:val="tx1"/>
            </w14:solidFill>
          </w14:textFill>
        </w:rPr>
        <w:t xml:space="preserve">；承建（承接）企业为</w:t>
      </w:r>
      <w:r>
        <w:rPr>
          <w:rFonts w:hint="eastAsia"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color w:val="000000" w:themeColor="text1"/>
          <w:highlight w:val="none"/>
          <w14:textFill>
            <w14:solidFill>
              <w14:schemeClr w14:val="tx1"/>
            </w14:solidFill>
          </w14:textFill>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企业名称（盖章）：</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ind w:firstLine="462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1"/>
        <w:jc w:val="center"/>
        <w:spacing w:before="300" w:after="30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431" w:name="_Toc109304977"/>
      <w:r/>
      <w:bookmarkStart w:id="432" w:name="_Toc5595"/>
      <w:r>
        <w:rPr>
          <w:rFonts w:hint="eastAsia" w:ascii="宋体" w:hAnsi="宋体" w:eastAsia="宋体" w:cs="宋体"/>
          <w:bCs w:val="0"/>
          <w:color w:val="000000" w:themeColor="text1"/>
          <w:sz w:val="21"/>
          <w:szCs w:val="21"/>
          <w:highlight w:val="none"/>
          <w14:textFill>
            <w14:solidFill>
              <w14:schemeClr w14:val="tx1"/>
            </w14:solidFill>
          </w14:textFill>
        </w:rPr>
        <w:t xml:space="preserve">中小微企业划型标准</w:t>
      </w:r>
      <w:bookmarkEnd w:id="431"/>
      <w:r>
        <w:rPr>
          <w:rFonts w:hint="eastAsia" w:ascii="宋体" w:hAnsi="宋体" w:eastAsia="宋体" w:cs="宋体"/>
          <w:bCs w:val="0"/>
          <w:color w:val="000000" w:themeColor="text1"/>
          <w:sz w:val="21"/>
          <w:szCs w:val="21"/>
          <w:highlight w:val="none"/>
          <w14:textFill>
            <w14:solidFill>
              <w14:schemeClr w14:val="tx1"/>
            </w14:solidFill>
          </w14:textFill>
        </w:rPr>
        <w:t xml:space="preserve"> </w:t>
      </w:r>
      <w:bookmarkEnd w:id="432"/>
      <w:r/>
      <w:r/>
    </w:p>
    <w:p>
      <w:pPr>
        <w:pStyle w:val="1048"/>
        <w:ind w:firstLine="420"/>
        <w:spacing w:before="300" w:after="452"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Style w:val="1049"/>
          <w:rFonts w:hint="eastAsia" w:ascii="宋体" w:hAnsi="宋体" w:eastAsia="宋体" w:cs="宋体"/>
          <w:color w:val="000000" w:themeColor="text1"/>
          <w:sz w:val="21"/>
          <w:szCs w:val="21"/>
          <w:highlight w:val="none"/>
          <w14:textFill>
            <w14:solidFill>
              <w14:schemeClr w14:val="tx1"/>
            </w14:solidFill>
          </w14:textFill>
        </w:rPr>
        <w:t xml:space="preserve">中小微企业划型标准如下：</w:t>
      </w:r>
      <w:r/>
    </w:p>
    <w:tbl>
      <w:tblPr>
        <w:tblStyle w:val="108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1"/>
        <w:gridCol w:w="1646"/>
        <w:gridCol w:w="743"/>
        <w:gridCol w:w="1718"/>
        <w:gridCol w:w="1617"/>
        <w:gridCol w:w="1421"/>
      </w:tblGrid>
      <w:tr>
        <w:trPr>
          <w:jc w:val="center"/>
          <w:trHeight w:val="28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行业名称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指标名称</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计量单位</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left="0" w:right="0" w:firstLine="422"/>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中型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left="0" w:right="0" w:firstLine="422"/>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小型</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微型</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bottom"/>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农、林、牧、渔</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工业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建筑业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6000≤Y＜80000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300≤Y＜6000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Y＜300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5000≤Z＜80000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300≤Z＜5000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Z＜300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firstLine="211"/>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批发业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5≤X＜20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X＜5</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5000≤Y＜40000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零售业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10≤X＜50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100≤Y＜500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交通运输业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200≤Y＜3000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Y＜200</w:t>
            </w:r>
            <w:r/>
          </w:p>
        </w:tc>
      </w:tr>
      <w:tr>
        <w:trPr>
          <w:jc w:val="center"/>
          <w:trHeight w:val="227"/>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仓储业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100≤X＜200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firstLine="211"/>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邮政业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X＜20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2000≤Y＜30000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住宿业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餐饮业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信息传输业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100≤X＜2000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1000≤Y＜100000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软件和信息技术服务业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房地产开发经营</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1000≤Y＜200000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5000≤Z＜10000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2000≤Y＜5000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Y＜2000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物业管理</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300≤X＜1000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Align w:val="center"/>
            <w:vMerge w:val="continue"/>
            <w:textDirection w:val="lrTb"/>
            <w:noWrap w:val="false"/>
          </w:tcPr>
          <w:p>
            <w:pPr>
              <w:ind w:firstLine="420"/>
              <w:jc w:val="center"/>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营业收入（Y）</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1000≤Y＜5000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500≤Y＜1000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Y＜500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vMerge w:val="restart"/>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租赁和商务服务业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r>
        <w:trPr>
          <w:jc w:val="center"/>
          <w:trHeight w:val="225"/>
        </w:trPr>
        <w:tc>
          <w:tcPr>
            <w:tcBorders>
              <w:top w:val="single" w:color="auto" w:sz="4" w:space="0"/>
              <w:left w:val="single" w:color="auto" w:sz="4" w:space="0"/>
              <w:bottom w:val="single" w:color="auto" w:sz="4" w:space="0"/>
              <w:right w:val="single" w:color="auto" w:sz="4" w:space="0"/>
            </w:tcBorders>
            <w:tcW w:w="1371" w:type="dxa"/>
            <w:vMerge w:val="continue"/>
            <w:textDirection w:val="lrTb"/>
            <w:noWrap w:val="false"/>
          </w:tcPr>
          <w:p>
            <w:pPr>
              <w:ind w:firstLine="420"/>
              <w:pageBreakBefore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资产总额（Z）</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8000≤Z＜120000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100≤Z＜8000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Y＜100</w:t>
            </w:r>
            <w:r/>
          </w:p>
        </w:tc>
      </w:tr>
      <w:tr>
        <w:trPr>
          <w:jc w:val="center"/>
          <w:trHeight w:val="225"/>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371" w:type="dxa"/>
            <w:vAlign w:val="center"/>
            <w:textDirection w:val="lrTb"/>
            <w:noWrap/>
          </w:tcPr>
          <w:p>
            <w:pPr>
              <w:ind w:right="0"/>
              <w:jc w:val="center"/>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其他未列明行业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46"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从业人员（X）</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743"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人</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718"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100≤X＜300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617"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10≤X＜100</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1421" w:type="dxa"/>
            <w:vAlign w:val="center"/>
            <w:textDirection w:val="lrTb"/>
            <w:noWrap/>
          </w:tcPr>
          <w:p>
            <w:pPr>
              <w:ind w:right="0"/>
              <w:jc w:val="both"/>
              <w:pageBreakBefore w:val="0"/>
              <w:spacing w:before="100" w:after="15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X＜10</w:t>
            </w:r>
            <w:r/>
          </w:p>
        </w:tc>
      </w:tr>
    </w:tbl>
    <w:p>
      <w:pPr>
        <w:pStyle w:val="1048"/>
        <w:ind w:firstLine="420"/>
        <w:spacing w:before="300" w:after="452" w:line="360" w:lineRule="auto"/>
        <w:widowControl/>
        <w:rPr>
          <w:rStyle w:val="1049"/>
          <w:rFonts w:hint="eastAsia" w:ascii="宋体" w:hAnsi="宋体" w:eastAsia="宋体" w:cs="宋体"/>
          <w:color w:val="000000" w:themeColor="text1"/>
          <w:sz w:val="21"/>
          <w:szCs w:val="21"/>
          <w:highlight w:val="none"/>
          <w14:textFill>
            <w14:solidFill>
              <w14:schemeClr w14:val="tx1"/>
            </w14:solidFill>
          </w14:textFill>
        </w:rPr>
      </w:pPr>
      <w:r>
        <w:rPr>
          <w:rStyle w:val="1049"/>
          <w:rFonts w:hint="eastAsia" w:ascii="宋体" w:hAnsi="宋体"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000000" w:themeColor="text1"/>
          <w:highlight w:val="none"/>
          <w14:textFill>
            <w14:solidFill>
              <w14:schemeClr w14:val="tx1"/>
            </w14:solidFill>
          </w14:textFill>
        </w:rPr>
      </w:pPr>
      <w:r>
        <w:rPr>
          <w:rStyle w:val="1049"/>
          <w:rFonts w:hint="eastAsia" w:ascii="宋体" w:hAnsi="宋体" w:eastAsia="宋体" w:cs="宋体"/>
          <w:color w:val="000000" w:themeColor="text1"/>
          <w:szCs w:val="21"/>
          <w:highlight w:val="none"/>
          <w14:textFill>
            <w14:solidFill>
              <w14:schemeClr w14:val="tx1"/>
            </w14:solidFill>
          </w14:textFill>
        </w:rPr>
        <w:br w:type="page" w:clear="all"/>
      </w: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圆整（￥：     ）。</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日  期：</w:t>
      </w:r>
      <w:r/>
    </w:p>
    <w:p>
      <w:pP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bookmarkStart w:id="433" w:name="_Toc109304978"/>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1039"/>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本次为首次报价                                                      </w:t>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大写：</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righ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    年   月    日</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分项报价表</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ageBreakBefore w:val="0"/>
        <w:spacing w:line="360" w:lineRule="auto"/>
        <w:rPr>
          <w:rFonts w:ascii="宋体" w:hAnsi="宋体" w:cs="Arial"/>
          <w:b/>
          <w:bCs/>
          <w:i/>
          <w:iCs/>
          <w:color w:val="000000"/>
          <w:szCs w:val="24"/>
          <w:highlight w:val="yellow"/>
          <w:u w:val="single"/>
        </w:rPr>
      </w:pPr>
      <w:r>
        <w:rPr>
          <w:rFonts w:hint="eastAsia" w:ascii="宋体" w:hAnsi="宋体" w:cs="Arial"/>
          <w:b/>
          <w:bCs/>
          <w:i/>
          <w:iCs/>
          <w:color w:val="000000"/>
          <w:szCs w:val="24"/>
          <w:highlight w:val="yellow"/>
          <w:u w:val="single"/>
        </w:rPr>
        <w:t xml:space="preserve">注：</w:t>
      </w:r>
      <w:r/>
    </w:p>
    <w:p>
      <w:pPr>
        <w:pageBreakBefore w:val="0"/>
        <w:spacing w:line="360" w:lineRule="auto"/>
        <w:rPr>
          <w:rFonts w:hint="eastAsia" w:ascii="宋体" w:hAnsi="宋体" w:eastAsia="宋体" w:cs="Arial"/>
          <w:b/>
          <w:bCs/>
          <w:i/>
          <w:iCs/>
          <w:color w:val="000000"/>
          <w:szCs w:val="24"/>
          <w:highlight w:val="yellow"/>
          <w:u w:val="single"/>
        </w:rPr>
      </w:pPr>
      <w:r>
        <w:rPr>
          <w:rFonts w:hint="eastAsia" w:ascii="宋体" w:hAnsi="宋体" w:eastAsia="宋体" w:cs="Arial"/>
          <w:b/>
          <w:bCs/>
          <w:i/>
          <w:iCs/>
          <w:color w:val="000000"/>
          <w:szCs w:val="24"/>
          <w:highlight w:val="yellow"/>
          <w:u w:val="single"/>
        </w:rPr>
        <w:t xml:space="preserve">1、本项目另附工程量清单，投标人需按按招标文件和《水利工程工程量清单计价规范》（GB50501-2007）、江苏省水利厅苏水基[2011]21号《江苏省水利工程招标投标文件工程量清单格式》和相关技术标准和要求的规定规定报价。</w:t>
      </w:r>
      <w:r/>
    </w:p>
    <w:p>
      <w:pPr>
        <w:spacing w:line="360" w:lineRule="auto"/>
        <w:rPr>
          <w:rFonts w:hint="eastAsia"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Arial"/>
          <w:b/>
          <w:bCs/>
          <w:i/>
          <w:iCs/>
          <w:color w:val="000000"/>
          <w:szCs w:val="24"/>
          <w:highlight w:val="yellow"/>
          <w:u w:val="single"/>
          <w:lang w:val="en-US" w:eastAsia="zh-CN"/>
        </w:rPr>
        <w:t xml:space="preserve">2</w:t>
      </w:r>
      <w:r>
        <w:rPr>
          <w:rFonts w:hint="eastAsia" w:ascii="宋体" w:hAnsi="宋体" w:eastAsia="宋体" w:cs="Arial"/>
          <w:b/>
          <w:bCs/>
          <w:i/>
          <w:iCs/>
          <w:color w:val="000000"/>
          <w:szCs w:val="24"/>
          <w:highlight w:val="yellow"/>
          <w:u w:val="single"/>
        </w:rPr>
        <w:t xml:space="preserve">、总价应等于“磋商报价一览表”中的投标总价。</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1023"/>
        <w:spacing w:line="360" w:lineRule="auto"/>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rPr>
          <w:rFonts w:hint="eastAsia" w:ascii="宋体" w:hAnsi="宋体" w:eastAsia="宋体" w:cs="宋体"/>
          <w:bCs w:val="0"/>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bookmarkStart w:id="434" w:name="_Toc19223"/>
      <w:r>
        <w:rPr>
          <w:rFonts w:hint="eastAsia" w:ascii="宋体" w:hAnsi="宋体" w:eastAsia="宋体" w:cs="宋体"/>
          <w:bCs w:val="0"/>
          <w:color w:val="000000" w:themeColor="text1"/>
          <w:highlight w:val="none"/>
          <w14:textFill>
            <w14:solidFill>
              <w14:schemeClr w14:val="tx1"/>
            </w14:solidFill>
          </w14:textFill>
        </w:rPr>
        <w:t xml:space="preserve">五、技术参数响应及偏离表</w:t>
      </w:r>
      <w:bookmarkEnd w:id="433"/>
      <w:r/>
      <w:bookmarkEnd w:id="434"/>
      <w:r/>
      <w:r/>
    </w:p>
    <w:tbl>
      <w:tblPr>
        <w:tblStyle w:val="8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采购要求</w:t>
            </w:r>
            <w:r/>
          </w:p>
        </w:tc>
        <w:tc>
          <w:tcPr>
            <w:tcW w:w="2852"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磋商响应</w:t>
            </w:r>
            <w:r/>
          </w:p>
        </w:tc>
        <w:tc>
          <w:tcPr>
            <w:tcW w:w="1308"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2、行数不够，可自行添加。</w:t>
      </w:r>
      <w:r/>
    </w:p>
    <w:p>
      <w:pPr>
        <w:pStyle w:val="1021"/>
        <w:jc w:val="center"/>
        <w:spacing w:line="360" w:lineRule="auto"/>
        <w:rPr>
          <w:rFonts w:hint="eastAsia" w:ascii="宋体" w:hAnsi="宋体" w:eastAsia="宋体" w:cs="宋体"/>
          <w:bCs w:val="0"/>
          <w:color w:val="000000" w:themeColor="text1"/>
          <w:highlight w:val="none"/>
          <w14:textFill>
            <w14:solidFill>
              <w14:schemeClr w14:val="tx1"/>
            </w14:solidFill>
          </w14:textFill>
        </w:rPr>
      </w:pPr>
      <w:r/>
      <w:bookmarkStart w:id="435" w:name="_Hlt26955054"/>
      <w:r/>
      <w:bookmarkEnd w:id="435"/>
      <w:r/>
      <w:bookmarkStart w:id="436" w:name="_Toc109304979"/>
      <w:r>
        <w:rPr>
          <w:rFonts w:hint="eastAsia" w:ascii="宋体" w:hAnsi="宋体" w:eastAsia="宋体" w:cs="宋体"/>
          <w:bCs w:val="0"/>
          <w:color w:val="000000" w:themeColor="text1"/>
          <w:highlight w:val="none"/>
          <w14:textFill>
            <w14:solidFill>
              <w14:schemeClr w14:val="tx1"/>
            </w14:solidFill>
          </w14:textFill>
        </w:rPr>
        <w:br w:type="page" w:clear="all"/>
      </w:r>
      <w:bookmarkStart w:id="437" w:name="_Toc11354"/>
      <w:r>
        <w:rPr>
          <w:rFonts w:hint="eastAsia" w:ascii="宋体" w:hAnsi="宋体" w:eastAsia="宋体" w:cs="宋体"/>
          <w:bCs w:val="0"/>
          <w:color w:val="000000" w:themeColor="text1"/>
          <w:highlight w:val="none"/>
          <w14:textFill>
            <w14:solidFill>
              <w14:schemeClr w14:val="tx1"/>
            </w14:solidFill>
          </w14:textFill>
        </w:rPr>
        <w:t xml:space="preserve">六、商务条款响应及偏离表</w:t>
      </w:r>
      <w:bookmarkEnd w:id="436"/>
      <w:r/>
      <w:bookmarkEnd w:id="437"/>
      <w:r/>
      <w:r/>
    </w:p>
    <w:tbl>
      <w:tblPr>
        <w:tblStyle w:val="845"/>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供应商的承诺或说明</w:t>
            </w:r>
            <w:r/>
          </w:p>
        </w:tc>
      </w:tr>
      <w:tr>
        <w:trPr>
          <w:trHeight w:val="59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交付时间</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07"/>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交货地点</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8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eastAsia="宋体" w:cs="宋体"/>
          <w:b/>
          <w:color w:val="000000" w:themeColor="text1"/>
          <w:highlight w:val="none"/>
          <w14:textFill>
            <w14:solidFill>
              <w14:schemeClr w14:val="tx1"/>
            </w14:solidFill>
          </w14:textFill>
        </w:rPr>
      </w:pPr>
      <w:r/>
      <w:bookmarkStart w:id="438" w:name="_Hlt26609391"/>
      <w:r/>
      <w:bookmarkEnd w:id="438"/>
      <w:r/>
      <w:bookmarkStart w:id="439" w:name="_Hlt26671372"/>
      <w:r/>
      <w:bookmarkEnd w:id="439"/>
      <w:r/>
      <w:bookmarkStart w:id="440" w:name="_Hlt26580838"/>
      <w:r/>
      <w:bookmarkEnd w:id="440"/>
      <w:r/>
      <w:bookmarkStart w:id="441" w:name="_Hlt26671343"/>
      <w:r/>
      <w:bookmarkEnd w:id="441"/>
      <w:r/>
      <w:bookmarkStart w:id="442" w:name="_Hlt24879081"/>
      <w:r/>
      <w:bookmarkEnd w:id="442"/>
      <w:r/>
      <w:bookmarkStart w:id="443" w:name="_Hlt26955056"/>
      <w:r/>
      <w:bookmarkEnd w:id="443"/>
      <w:r/>
      <w:bookmarkStart w:id="444" w:name="_Hlt26955064"/>
      <w:r/>
      <w:bookmarkEnd w:id="444"/>
      <w:r/>
      <w:bookmarkStart w:id="445" w:name="_Hlt26782999"/>
      <w:r/>
      <w:bookmarkEnd w:id="445"/>
      <w:r>
        <w:rPr>
          <w:rFonts w:hint="eastAsia" w:ascii="宋体" w:hAnsi="宋体" w:eastAsia="宋体" w:cs="宋体"/>
          <w:b/>
          <w:color w:val="000000" w:themeColor="text1"/>
          <w:highlight w:val="none"/>
          <w14:textFill>
            <w14:solidFill>
              <w14:schemeClr w14:val="tx1"/>
            </w14:solidFill>
          </w14:textFill>
        </w:rPr>
        <w:br w:type="page" w:clear="all"/>
      </w:r>
      <w:r/>
    </w:p>
    <w:p>
      <w:pPr>
        <w:jc w:val="center"/>
        <w:spacing w:before="312"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主要标的信息（成交后将公示）</w:t>
      </w:r>
      <w:r/>
    </w:p>
    <w:p>
      <w:pPr>
        <w:spacing w:after="312"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供应商全称：</w:t>
      </w:r>
      <w:r/>
    </w:p>
    <w:tbl>
      <w:tblPr>
        <w:tblStyle w:val="8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pageBreakBefore w:val="0"/>
              <w:spacing w:line="360" w:lineRule="auto"/>
              <w:rPr>
                <w:rFonts w:ascii="宋体" w:hAnsi="宋体" w:cs="宋体"/>
              </w:rPr>
            </w:pPr>
            <w:r>
              <w:rPr>
                <w:rFonts w:hint="eastAsia" w:ascii="宋体" w:hAnsi="宋体" w:cs="宋体"/>
              </w:rPr>
              <w:t xml:space="preserve">工程类</w:t>
            </w:r>
            <w:r/>
          </w:p>
        </w:tc>
      </w:tr>
      <w:tr>
        <w:trPr>
          <w:trHeight w:val="3884"/>
        </w:trPr>
        <w:tc>
          <w:tcPr>
            <w:tcW w:w="8149" w:type="dxa"/>
            <w:textDirection w:val="lrTb"/>
            <w:noWrap w:val="false"/>
          </w:tcPr>
          <w:p>
            <w:pPr>
              <w:pageBreakBefore w:val="0"/>
              <w:spacing w:line="360" w:lineRule="auto"/>
              <w:rPr>
                <w:rFonts w:ascii="宋体" w:hAnsi="宋体" w:cs="宋体"/>
              </w:rPr>
            </w:pPr>
            <w:r>
              <w:rPr>
                <w:rFonts w:hint="eastAsia" w:ascii="宋体" w:hAnsi="宋体" w:cs="宋体"/>
              </w:rPr>
              <w:t xml:space="preserve">名称：</w:t>
            </w:r>
            <w:r/>
          </w:p>
          <w:p>
            <w:pPr>
              <w:pageBreakBefore w:val="0"/>
              <w:spacing w:line="360" w:lineRule="auto"/>
              <w:rPr>
                <w:rFonts w:ascii="宋体" w:hAnsi="宋体" w:cs="宋体"/>
              </w:rPr>
            </w:pPr>
            <w:r>
              <w:rPr>
                <w:rFonts w:hint="eastAsia" w:ascii="宋体" w:hAnsi="宋体" w:cs="宋体"/>
              </w:rPr>
              <w:t xml:space="preserve">施工范围：</w:t>
            </w:r>
            <w:r/>
          </w:p>
          <w:p>
            <w:pPr>
              <w:pageBreakBefore w:val="0"/>
              <w:spacing w:line="360" w:lineRule="auto"/>
              <w:rPr>
                <w:rFonts w:ascii="宋体" w:hAnsi="宋体" w:cs="宋体"/>
              </w:rPr>
            </w:pPr>
            <w:r>
              <w:rPr>
                <w:rFonts w:hint="eastAsia" w:ascii="宋体" w:hAnsi="宋体" w:cs="宋体"/>
              </w:rPr>
              <w:t xml:space="preserve">施工工期：</w:t>
            </w:r>
            <w:r/>
          </w:p>
          <w:p>
            <w:pPr>
              <w:pageBreakBefore w:val="0"/>
              <w:spacing w:line="360" w:lineRule="auto"/>
              <w:rPr>
                <w:rFonts w:ascii="宋体" w:hAnsi="宋体" w:cs="宋体"/>
              </w:rPr>
            </w:pPr>
            <w:r>
              <w:rPr>
                <w:rFonts w:hint="eastAsia" w:ascii="宋体" w:hAnsi="宋体" w:cs="宋体"/>
              </w:rPr>
              <w:t xml:space="preserve">施工质量要求：</w:t>
            </w:r>
            <w:r/>
          </w:p>
          <w:p>
            <w:pPr>
              <w:pageBreakBefore w:val="0"/>
              <w:spacing w:line="360" w:lineRule="auto"/>
              <w:rPr>
                <w:rFonts w:ascii="宋体" w:hAnsi="宋体" w:cs="宋体"/>
              </w:rPr>
            </w:pPr>
            <w:r>
              <w:rPr>
                <w:rFonts w:hint="eastAsia" w:ascii="宋体" w:hAnsi="宋体" w:cs="宋体"/>
              </w:rPr>
              <w:t xml:space="preserve">项目经理：</w:t>
            </w:r>
            <w:r/>
          </w:p>
          <w:p>
            <w:pPr>
              <w:pageBreakBefore w:val="0"/>
              <w:spacing w:line="360" w:lineRule="auto"/>
              <w:rPr>
                <w:rFonts w:ascii="宋体" w:hAnsi="宋体" w:cs="宋体"/>
              </w:rPr>
            </w:pPr>
            <w:r>
              <w:rPr>
                <w:rFonts w:hint="eastAsia" w:ascii="宋体" w:hAnsi="宋体" w:cs="宋体"/>
              </w:rPr>
              <w:t xml:space="preserve">执业证书信息：</w:t>
            </w:r>
            <w:r/>
          </w:p>
        </w:tc>
      </w:tr>
    </w:tbl>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2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right"/>
      <w:rPr>
        <w:rFonts w:hint="eastAsia" w:ascii="宋体" w:hAnsi="宋体" w:eastAsia="宋体" w:cs="宋体"/>
        <w:color w:val="000000" w:themeColor="text1"/>
        <w:sz w:val="18"/>
        <w:szCs w:val="18"/>
        <w:highlight w:val="none"/>
        <w14:textFill>
          <w14:solidFill>
            <w14:schemeClr w14:val="tx1"/>
          </w14:solidFill>
        </w14:textFill>
      </w:rPr>
      <w:pBdr>
        <w:bottom w:val="none" w:color="auto" w:sz="0" w:space="1"/>
      </w:pBdr>
    </w:pPr>
    <w:r>
      <w:rPr>
        <w:rFonts w:hint="eastAsia" w:ascii="宋体" w:hAnsi="宋体" w:eastAsia="宋体" w:cs="宋体"/>
        <w:color w:val="000000" w:themeColor="text1"/>
        <w:sz w:val="18"/>
        <w:szCs w:val="18"/>
        <w:highlight w:val="none"/>
        <w14:textFill>
          <w14:solidFill>
            <w14:schemeClr w14:val="tx1"/>
          </w14:solidFill>
        </w14:textFill>
      </w:rPr>
    </w:r>
    <w:r/>
  </w:p>
  <w:p>
    <w:pPr>
      <w:pStyle w:val="1066"/>
      <w:jc w:val="right"/>
      <w:pBdr>
        <w:bottom w:val="single" w:color="auto" w:sz="4" w:space="1"/>
      </w:pBdr>
    </w:pPr>
    <w:r>
      <w:rPr>
        <w:rFonts w:hint="eastAsia" w:ascii="宋体" w:hAnsi="宋体" w:cs="宋体"/>
        <w:color w:val="000000" w:themeColor="text1"/>
        <w:sz w:val="18"/>
        <w:szCs w:val="18"/>
        <w:highlight w:val="none"/>
        <w:lang w:eastAsia="zh-CN"/>
        <w14:textFill>
          <w14:solidFill>
            <w14:schemeClr w14:val="tx1"/>
          </w14:solidFill>
        </w14:textFill>
      </w:rPr>
      <w:t xml:space="preserve">江苏三思行房地产评估造价有限公司</w:t>
    </w:r>
    <w:r>
      <w:rPr>
        <w:sz w:val="18"/>
        <w:szCs w:val="18"/>
      </w:rPr>
      <w:t xml:space="preserve">   </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rPr>
        <w:rFonts w:hint="eastAsia" w:ascii="宋体" w:hAnsi="宋体" w:eastAsia="宋体" w:cs="宋体"/>
        <w:color w:val="000000" w:themeColor="text1"/>
        <w:sz w:val="18"/>
        <w:szCs w:val="18"/>
        <w:highlight w:val="none"/>
        <w14:textFill>
          <w14:solidFill>
            <w14:schemeClr w14:val="tx1"/>
          </w14:solidFill>
        </w14:textFill>
      </w:rPr>
    </w:pPr>
    <w:r/>
    <w:bookmarkStart w:id="446" w:name="_Hlk69393956"/>
    <w:r/>
    <w:bookmarkStart w:id="447" w:name="_Hlk69393955"/>
    <w:r/>
    <w:bookmarkEnd w:id="446"/>
    <w:r/>
    <w:bookmarkEnd w:id="447"/>
    <w:r/>
    <w:r/>
  </w:p>
  <w:p>
    <w:pPr>
      <w:pStyle w:val="1044"/>
      <w:jc w:val="right"/>
      <w:rPr>
        <w:rFonts w:hint="eastAsia" w:eastAsia="宋体"/>
        <w:szCs w:val="22"/>
        <w:lang w:eastAsia="zh-CN"/>
      </w:rPr>
    </w:pPr>
    <w:r>
      <w:rPr>
        <w:rFonts w:hint="eastAsia" w:ascii="宋体" w:hAnsi="宋体" w:cs="宋体"/>
        <w:color w:val="000000" w:themeColor="text1"/>
        <w:sz w:val="18"/>
        <w:szCs w:val="18"/>
        <w:highlight w:val="none"/>
        <w:lang w:eastAsia="zh-CN"/>
        <w14:textFill>
          <w14:solidFill>
            <w14:schemeClr w14:val="tx1"/>
          </w14:solidFill>
        </w14:textFill>
      </w:rPr>
      <w:t xml:space="preserve">江苏三思行房地产评估造价有限公司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37"/>
    <w:link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5">
    <w:name w:val="Heading 1"/>
    <w:basedOn w:val="834"/>
    <w:next w:val="834"/>
    <w:link w:val="872"/>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3"/>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4"/>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75"/>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6"/>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7"/>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79"/>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0"/>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table of authorities"/>
    <w:basedOn w:val="834"/>
    <w:next w:val="834"/>
    <w:uiPriority w:val="99"/>
    <w:qFormat/>
    <w:pPr>
      <w:ind w:left="420"/>
    </w:pPr>
  </w:style>
  <w:style w:type="paragraph" w:styleId="848">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Body Text Indent"/>
    <w:basedOn w:val="834"/>
    <w:uiPriority w:val="99"/>
    <w:unhideWhenUsed/>
    <w:qFormat/>
    <w:pPr>
      <w:ind w:left="420"/>
      <w:spacing w:after="120"/>
    </w:pPr>
    <w:rPr>
      <w:rFonts w:ascii="Times New Roman" w:hAnsi="Times New Roman"/>
      <w:szCs w:val="24"/>
    </w:rPr>
  </w:style>
  <w:style w:type="paragraph" w:styleId="850">
    <w:name w:val="toc 5"/>
    <w:basedOn w:val="834"/>
    <w:next w:val="834"/>
    <w:uiPriority w:val="39"/>
    <w:unhideWhenUsed/>
    <w:qFormat/>
    <w:pPr>
      <w:ind w:left="1134" w:right="0" w:firstLine="0"/>
      <w:spacing w:after="57"/>
    </w:pPr>
  </w:style>
  <w:style w:type="paragraph" w:styleId="851">
    <w:name w:val="toc 3"/>
    <w:basedOn w:val="834"/>
    <w:next w:val="834"/>
    <w:uiPriority w:val="39"/>
    <w:unhideWhenUsed/>
    <w:qFormat/>
    <w:pPr>
      <w:ind w:left="567" w:right="0" w:firstLine="0"/>
      <w:spacing w:after="57"/>
    </w:pPr>
  </w:style>
  <w:style w:type="paragraph" w:styleId="852">
    <w:name w:val="Plain Text"/>
    <w:basedOn w:val="834"/>
    <w:uiPriority w:val="0"/>
    <w:qFormat/>
    <w:rPr>
      <w:rFonts w:ascii="宋体" w:hAnsi="Courier New"/>
      <w:sz w:val="20"/>
      <w:szCs w:val="21"/>
    </w:rPr>
  </w:style>
  <w:style w:type="paragraph" w:styleId="853">
    <w:name w:val="toc 8"/>
    <w:basedOn w:val="834"/>
    <w:next w:val="834"/>
    <w:uiPriority w:val="39"/>
    <w:unhideWhenUsed/>
    <w:qFormat/>
    <w:pPr>
      <w:ind w:left="1984" w:right="0" w:firstLine="0"/>
      <w:spacing w:after="57"/>
    </w:pPr>
  </w:style>
  <w:style w:type="paragraph" w:styleId="854">
    <w:name w:val="endnote text"/>
    <w:basedOn w:val="834"/>
    <w:link w:val="1018"/>
    <w:uiPriority w:val="99"/>
    <w:semiHidden/>
    <w:unhideWhenUsed/>
    <w:qFormat/>
    <w:pPr>
      <w:spacing w:after="0" w:line="240" w:lineRule="auto"/>
    </w:pPr>
    <w:rPr>
      <w:sz w:val="20"/>
    </w:rPr>
  </w:style>
  <w:style w:type="paragraph" w:styleId="855">
    <w:name w:val="Footer"/>
    <w:basedOn w:val="834"/>
    <w:link w:val="891"/>
    <w:uiPriority w:val="99"/>
    <w:unhideWhenUsed/>
    <w:qFormat/>
    <w:pPr>
      <w:spacing w:after="0" w:line="240" w:lineRule="auto"/>
      <w:tabs>
        <w:tab w:val="center" w:pos="7143" w:leader="none"/>
        <w:tab w:val="right" w:pos="14287" w:leader="none"/>
      </w:tabs>
    </w:pPr>
  </w:style>
  <w:style w:type="paragraph" w:styleId="856">
    <w:name w:val="Header"/>
    <w:basedOn w:val="834"/>
    <w:link w:val="889"/>
    <w:uiPriority w:val="99"/>
    <w:unhideWhenUsed/>
    <w:qFormat/>
    <w:pPr>
      <w:spacing w:after="0" w:line="240" w:lineRule="auto"/>
      <w:tabs>
        <w:tab w:val="center" w:pos="7143" w:leader="none"/>
        <w:tab w:val="right" w:pos="14287" w:leader="none"/>
      </w:tabs>
    </w:pPr>
  </w:style>
  <w:style w:type="paragraph" w:styleId="857">
    <w:name w:val="toc 1"/>
    <w:basedOn w:val="834"/>
    <w:next w:val="834"/>
    <w:uiPriority w:val="39"/>
    <w:unhideWhenUsed/>
    <w:qFormat/>
    <w:pPr>
      <w:ind w:left="0" w:right="0" w:firstLine="0"/>
      <w:spacing w:after="57"/>
    </w:pPr>
  </w:style>
  <w:style w:type="paragraph" w:styleId="858">
    <w:name w:val="toc 4"/>
    <w:basedOn w:val="834"/>
    <w:next w:val="834"/>
    <w:uiPriority w:val="39"/>
    <w:unhideWhenUsed/>
    <w:qFormat/>
    <w:pPr>
      <w:ind w:left="850" w:right="0" w:firstLine="0"/>
      <w:spacing w:after="57"/>
    </w:pPr>
  </w:style>
  <w:style w:type="paragraph" w:styleId="859">
    <w:name w:val="Subtitle"/>
    <w:basedOn w:val="834"/>
    <w:next w:val="834"/>
    <w:link w:val="884"/>
    <w:uiPriority w:val="11"/>
    <w:qFormat/>
    <w:pPr>
      <w:spacing w:before="200" w:after="200"/>
    </w:pPr>
    <w:rPr>
      <w:sz w:val="24"/>
      <w:szCs w:val="24"/>
    </w:rPr>
  </w:style>
  <w:style w:type="paragraph" w:styleId="860">
    <w:name w:val="footnote text"/>
    <w:basedOn w:val="834"/>
    <w:link w:val="1017"/>
    <w:uiPriority w:val="99"/>
    <w:semiHidden/>
    <w:unhideWhenUsed/>
    <w:qFormat/>
    <w:pPr>
      <w:spacing w:after="40" w:line="240" w:lineRule="auto"/>
    </w:pPr>
    <w:rPr>
      <w:sz w:val="18"/>
    </w:rPr>
  </w:style>
  <w:style w:type="paragraph" w:styleId="861">
    <w:name w:val="toc 6"/>
    <w:basedOn w:val="834"/>
    <w:next w:val="834"/>
    <w:uiPriority w:val="39"/>
    <w:unhideWhenUsed/>
    <w:qFormat/>
    <w:pPr>
      <w:ind w:left="1417" w:right="0" w:firstLine="0"/>
      <w:spacing w:after="57"/>
    </w:pPr>
  </w:style>
  <w:style w:type="paragraph" w:styleId="862">
    <w:name w:val="table of figures"/>
    <w:basedOn w:val="834"/>
    <w:next w:val="834"/>
    <w:uiPriority w:val="99"/>
    <w:unhideWhenUsed/>
    <w:qFormat/>
    <w:pPr>
      <w:spacing w:after="0" w:afterAutospacing="0"/>
    </w:pPr>
  </w:style>
  <w:style w:type="paragraph" w:styleId="863">
    <w:name w:val="toc 2"/>
    <w:basedOn w:val="834"/>
    <w:next w:val="834"/>
    <w:uiPriority w:val="39"/>
    <w:unhideWhenUsed/>
    <w:qFormat/>
    <w:pPr>
      <w:ind w:left="283" w:right="0" w:firstLine="0"/>
      <w:spacing w:after="57"/>
    </w:pPr>
  </w:style>
  <w:style w:type="paragraph" w:styleId="864">
    <w:name w:val="toc 9"/>
    <w:basedOn w:val="834"/>
    <w:next w:val="834"/>
    <w:uiPriority w:val="39"/>
    <w:unhideWhenUsed/>
    <w:qFormat/>
    <w:pPr>
      <w:ind w:left="2268" w:right="0" w:firstLine="0"/>
      <w:spacing w:after="57"/>
    </w:pPr>
  </w:style>
  <w:style w:type="paragraph" w:styleId="865">
    <w:name w:val="Normal (Web)"/>
    <w:basedOn w:val="834"/>
    <w:uiPriority w:val="99"/>
    <w:semiHidden/>
    <w:unhideWhenUsed/>
    <w:qFormat/>
    <w:pPr>
      <w:ind w:left="0" w:right="0"/>
      <w:jc w:val="left"/>
      <w:spacing w:before="0" w:beforeAutospacing="1" w:after="0" w:afterAutospacing="1"/>
    </w:pPr>
    <w:rPr>
      <w:sz w:val="24"/>
      <w:lang w:val="en-US" w:eastAsia="zh-CN" w:bidi="ar"/>
    </w:rPr>
  </w:style>
  <w:style w:type="paragraph" w:styleId="866">
    <w:name w:val="Title"/>
    <w:basedOn w:val="834"/>
    <w:next w:val="834"/>
    <w:link w:val="883"/>
    <w:uiPriority w:val="10"/>
    <w:qFormat/>
    <w:pPr>
      <w:contextualSpacing/>
      <w:spacing w:before="300" w:after="200"/>
    </w:pPr>
    <w:rPr>
      <w:sz w:val="48"/>
      <w:szCs w:val="48"/>
    </w:r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标题 41"/>
    <w:basedOn w:val="834"/>
    <w:next w:val="834"/>
    <w:link w:val="1026"/>
    <w:uiPriority w:val="0"/>
    <w:qFormat/>
    <w:pPr>
      <w:spacing w:before="280" w:after="290" w:line="377" w:lineRule="auto"/>
      <w:outlineLvl w:val="3"/>
    </w:pPr>
    <w:rPr>
      <w:rFonts w:ascii="Arial" w:hAnsi="Arial" w:eastAsia="黑体"/>
      <w:b/>
      <w:bCs/>
      <w:sz w:val="28"/>
      <w:szCs w:val="28"/>
    </w:rPr>
  </w:style>
  <w:style w:type="character" w:styleId="872" w:customStyle="1">
    <w:name w:val="Heading 1 Char"/>
    <w:link w:val="835"/>
    <w:uiPriority w:val="9"/>
    <w:qFormat/>
    <w:rPr>
      <w:rFonts w:ascii="Arial" w:hAnsi="Arial" w:eastAsia="Arial" w:cs="Arial"/>
      <w:sz w:val="40"/>
      <w:szCs w:val="40"/>
    </w:rPr>
  </w:style>
  <w:style w:type="character" w:styleId="873" w:customStyle="1">
    <w:name w:val="Heading 2 Char"/>
    <w:link w:val="836"/>
    <w:uiPriority w:val="9"/>
    <w:qFormat/>
    <w:rPr>
      <w:rFonts w:ascii="Arial" w:hAnsi="Arial" w:eastAsia="Arial" w:cs="Arial"/>
      <w:sz w:val="34"/>
    </w:rPr>
  </w:style>
  <w:style w:type="character" w:styleId="874" w:customStyle="1">
    <w:name w:val="Heading 3 Char"/>
    <w:link w:val="837"/>
    <w:uiPriority w:val="9"/>
    <w:qFormat/>
    <w:rPr>
      <w:rFonts w:ascii="Arial" w:hAnsi="Arial" w:eastAsia="Arial" w:cs="Arial"/>
      <w:sz w:val="30"/>
      <w:szCs w:val="30"/>
    </w:rPr>
  </w:style>
  <w:style w:type="character" w:styleId="875" w:customStyle="1">
    <w:name w:val="Heading 4 Char"/>
    <w:link w:val="838"/>
    <w:uiPriority w:val="9"/>
    <w:qFormat/>
    <w:rPr>
      <w:rFonts w:ascii="Arial" w:hAnsi="Arial" w:eastAsia="Arial" w:cs="Arial"/>
      <w:b/>
      <w:bCs/>
      <w:sz w:val="26"/>
      <w:szCs w:val="26"/>
    </w:rPr>
  </w:style>
  <w:style w:type="character" w:styleId="876" w:customStyle="1">
    <w:name w:val="Heading 5 Char"/>
    <w:link w:val="839"/>
    <w:uiPriority w:val="9"/>
    <w:qFormat/>
    <w:rPr>
      <w:rFonts w:ascii="Arial" w:hAnsi="Arial" w:eastAsia="Arial" w:cs="Arial"/>
      <w:b/>
      <w:bCs/>
      <w:sz w:val="24"/>
      <w:szCs w:val="24"/>
    </w:rPr>
  </w:style>
  <w:style w:type="character" w:styleId="877" w:customStyle="1">
    <w:name w:val="Heading 6 Char"/>
    <w:link w:val="840"/>
    <w:uiPriority w:val="9"/>
    <w:qFormat/>
    <w:rPr>
      <w:rFonts w:ascii="Arial" w:hAnsi="Arial" w:eastAsia="Arial" w:cs="Arial"/>
      <w:b/>
      <w:bCs/>
      <w:sz w:val="22"/>
      <w:szCs w:val="22"/>
    </w:rPr>
  </w:style>
  <w:style w:type="character" w:styleId="878" w:customStyle="1">
    <w:name w:val="Heading 7 Char"/>
    <w:link w:val="841"/>
    <w:uiPriority w:val="9"/>
    <w:qFormat/>
    <w:rPr>
      <w:rFonts w:ascii="Arial" w:hAnsi="Arial" w:eastAsia="Arial" w:cs="Arial"/>
      <w:b/>
      <w:bCs/>
      <w:i/>
      <w:iCs/>
      <w:sz w:val="22"/>
      <w:szCs w:val="22"/>
    </w:rPr>
  </w:style>
  <w:style w:type="character" w:styleId="879" w:customStyle="1">
    <w:name w:val="Heading 8 Char"/>
    <w:link w:val="842"/>
    <w:uiPriority w:val="9"/>
    <w:qFormat/>
    <w:rPr>
      <w:rFonts w:ascii="Arial" w:hAnsi="Arial" w:eastAsia="Arial" w:cs="Arial"/>
      <w:i/>
      <w:iCs/>
      <w:sz w:val="22"/>
      <w:szCs w:val="22"/>
    </w:rPr>
  </w:style>
  <w:style w:type="character" w:styleId="880" w:customStyle="1">
    <w:name w:val="Heading 9 Char"/>
    <w:link w:val="843"/>
    <w:uiPriority w:val="9"/>
    <w:qFormat/>
    <w:rPr>
      <w:rFonts w:ascii="Arial" w:hAnsi="Arial" w:eastAsia="Arial" w:cs="Arial"/>
      <w:i/>
      <w:iCs/>
      <w:sz w:val="21"/>
      <w:szCs w:val="21"/>
    </w:rPr>
  </w:style>
  <w:style w:type="paragraph" w:styleId="881">
    <w:name w:val="List Paragraph"/>
    <w:basedOn w:val="834"/>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66"/>
    <w:uiPriority w:val="10"/>
    <w:qFormat/>
    <w:rPr>
      <w:sz w:val="48"/>
      <w:szCs w:val="48"/>
    </w:rPr>
  </w:style>
  <w:style w:type="character" w:styleId="884" w:customStyle="1">
    <w:name w:val="Subtitle Char"/>
    <w:link w:val="859"/>
    <w:uiPriority w:val="11"/>
    <w:qFormat/>
    <w:rPr>
      <w:sz w:val="24"/>
      <w:szCs w:val="24"/>
    </w:rPr>
  </w:style>
  <w:style w:type="paragraph" w:styleId="885">
    <w:name w:val="Quote"/>
    <w:basedOn w:val="834"/>
    <w:next w:val="834"/>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34"/>
    <w:next w:val="834"/>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56"/>
    <w:uiPriority w:val="99"/>
    <w:qFormat/>
  </w:style>
  <w:style w:type="character" w:styleId="890" w:customStyle="1">
    <w:name w:val="Footer Char"/>
    <w:link w:val="855"/>
    <w:uiPriority w:val="99"/>
    <w:qFormat/>
  </w:style>
  <w:style w:type="character" w:styleId="891" w:customStyle="1">
    <w:name w:val="Caption Char"/>
    <w:link w:val="855"/>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60"/>
    <w:uiPriority w:val="99"/>
    <w:qFormat/>
    <w:rPr>
      <w:sz w:val="18"/>
    </w:rPr>
  </w:style>
  <w:style w:type="character" w:styleId="1018" w:customStyle="1">
    <w:name w:val="Endnote Text Char"/>
    <w:link w:val="854"/>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
    <w:basedOn w:val="834"/>
    <w:next w:val="834"/>
    <w:link w:val="1027"/>
    <w:uiPriority w:val="99"/>
    <w:qFormat/>
    <w:pPr>
      <w:keepLines/>
      <w:keepNext/>
      <w:spacing w:before="340" w:after="330" w:line="578" w:lineRule="auto"/>
      <w:outlineLvl w:val="0"/>
    </w:pPr>
    <w:rPr>
      <w:rFonts w:ascii="Calibri" w:hAnsi="Calibri"/>
      <w:b/>
      <w:bCs/>
      <w:sz w:val="44"/>
      <w:szCs w:val="44"/>
    </w:rPr>
  </w:style>
  <w:style w:type="paragraph" w:styleId="1021" w:customStyle="1">
    <w:name w:val="标题 21"/>
    <w:basedOn w:val="834"/>
    <w:next w:val="1022"/>
    <w:link w:val="1028"/>
    <w:uiPriority w:val="9"/>
    <w:qFormat/>
    <w:pPr>
      <w:keepLines/>
      <w:keepNext/>
      <w:spacing w:before="260" w:after="260" w:line="416" w:lineRule="auto"/>
      <w:outlineLvl w:val="1"/>
    </w:pPr>
    <w:rPr>
      <w:rFonts w:ascii="Cambria" w:hAnsi="Cambria"/>
      <w:b/>
      <w:bCs/>
      <w:sz w:val="32"/>
      <w:szCs w:val="32"/>
    </w:rPr>
  </w:style>
  <w:style w:type="paragraph" w:styleId="1022" w:customStyle="1">
    <w:name w:val="正文缩进1"/>
    <w:basedOn w:val="834"/>
    <w:uiPriority w:val="0"/>
    <w:unhideWhenUsed/>
    <w:qFormat/>
    <w:pPr>
      <w:ind w:firstLine="420"/>
    </w:pPr>
    <w:rPr>
      <w:rFonts w:ascii="Calibri" w:hAnsi="Calibri" w:eastAsia="宋体" w:cs="Times New Roman"/>
    </w:rPr>
  </w:style>
  <w:style w:type="paragraph" w:styleId="1023" w:customStyle="1">
    <w:name w:val="标题 31"/>
    <w:basedOn w:val="834"/>
    <w:next w:val="834"/>
    <w:link w:val="1029"/>
    <w:uiPriority w:val="0"/>
    <w:qFormat/>
    <w:pPr>
      <w:keepLines/>
      <w:keepNext/>
      <w:spacing w:before="260" w:after="260" w:line="416" w:lineRule="auto"/>
      <w:outlineLvl w:val="2"/>
    </w:pPr>
    <w:rPr>
      <w:rFonts w:ascii="Calibri" w:hAnsi="Calibri"/>
      <w:b/>
      <w:bCs/>
      <w:sz w:val="32"/>
      <w:szCs w:val="32"/>
    </w:rPr>
  </w:style>
  <w:style w:type="character" w:styleId="1024" w:customStyle="1">
    <w:name w:val="默认段落字体1"/>
    <w:link w:val="834"/>
    <w:uiPriority w:val="1"/>
    <w:unhideWhenUsed/>
    <w:qFormat/>
  </w:style>
  <w:style w:type="table" w:styleId="1025" w:customStyle="1">
    <w:name w:val="普通表格1"/>
    <w:uiPriority w:val="99"/>
    <w:unhideWhenUsed/>
    <w:qFormat/>
    <w:tblPr/>
  </w:style>
  <w:style w:type="character" w:styleId="1026" w:customStyle="1">
    <w:name w:val="标题 4 Char"/>
    <w:link w:val="871"/>
    <w:uiPriority w:val="0"/>
    <w:qFormat/>
    <w:rPr>
      <w:rFonts w:ascii="Arial" w:hAnsi="Arial" w:eastAsia="黑体" w:cs="Times New Roman"/>
      <w:b/>
      <w:bCs/>
      <w:sz w:val="28"/>
      <w:szCs w:val="28"/>
    </w:rPr>
  </w:style>
  <w:style w:type="character" w:styleId="1027" w:customStyle="1">
    <w:name w:val="标题 1 Char"/>
    <w:link w:val="1020"/>
    <w:uiPriority w:val="99"/>
    <w:qFormat/>
    <w:rPr>
      <w:rFonts w:ascii="Calibri" w:hAnsi="Calibri" w:eastAsia="宋体" w:cs="Times New Roman"/>
      <w:b/>
      <w:bCs/>
      <w:sz w:val="44"/>
      <w:szCs w:val="44"/>
    </w:rPr>
  </w:style>
  <w:style w:type="character" w:styleId="1028" w:customStyle="1">
    <w:name w:val="标题 2 Char"/>
    <w:link w:val="1021"/>
    <w:uiPriority w:val="9"/>
    <w:qFormat/>
    <w:rPr>
      <w:rFonts w:ascii="Cambria" w:hAnsi="Cambria" w:eastAsia="宋体" w:cs="Times New Roman"/>
      <w:b/>
      <w:bCs/>
      <w:sz w:val="32"/>
      <w:szCs w:val="32"/>
    </w:rPr>
  </w:style>
  <w:style w:type="character" w:styleId="1029" w:customStyle="1">
    <w:name w:val="标题 3 Char"/>
    <w:link w:val="1023"/>
    <w:uiPriority w:val="0"/>
    <w:qFormat/>
    <w:rPr>
      <w:rFonts w:ascii="Calibri" w:hAnsi="Calibri" w:eastAsia="宋体" w:cs="Times New Roman"/>
      <w:b/>
      <w:bCs/>
      <w:sz w:val="32"/>
      <w:szCs w:val="32"/>
    </w:rPr>
  </w:style>
  <w:style w:type="paragraph" w:styleId="1030" w:customStyle="1">
    <w:name w:val="文档结构图1"/>
    <w:basedOn w:val="834"/>
    <w:link w:val="1031"/>
    <w:uiPriority w:val="99"/>
    <w:unhideWhenUsed/>
    <w:qFormat/>
    <w:rPr>
      <w:rFonts w:ascii="宋体"/>
      <w:sz w:val="18"/>
      <w:szCs w:val="18"/>
    </w:rPr>
  </w:style>
  <w:style w:type="character" w:styleId="1031" w:customStyle="1">
    <w:name w:val="文档结构图 Char"/>
    <w:link w:val="1030"/>
    <w:uiPriority w:val="99"/>
    <w:semiHidden/>
    <w:qFormat/>
    <w:rPr>
      <w:rFonts w:ascii="宋体"/>
      <w:sz w:val="18"/>
      <w:szCs w:val="18"/>
    </w:rPr>
  </w:style>
  <w:style w:type="paragraph" w:styleId="1032" w:customStyle="1">
    <w:name w:val="正文文本11"/>
    <w:basedOn w:val="834"/>
    <w:uiPriority w:val="0"/>
    <w:qFormat/>
    <w:rPr>
      <w:rFonts w:ascii="楷体_GB2312" w:hAnsi="Arial" w:eastAsia="楷体_GB2312"/>
      <w:sz w:val="28"/>
      <w:szCs w:val="28"/>
    </w:rPr>
  </w:style>
  <w:style w:type="paragraph" w:styleId="1033" w:customStyle="1">
    <w:name w:val="正文文本缩进1"/>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1034" w:customStyle="1">
    <w:name w:val="文本块11"/>
    <w:basedOn w:val="834"/>
    <w:uiPriority w:val="99"/>
    <w:unhideWhenUsed/>
    <w:qFormat/>
    <w:pPr>
      <w:ind w:left="567" w:right="454" w:firstLine="498"/>
      <w:jc w:val="left"/>
    </w:pPr>
    <w:rPr>
      <w:rFonts w:ascii="仿宋_GB2312" w:eastAsia="仿宋_GB2312"/>
      <w:sz w:val="30"/>
      <w:szCs w:val="20"/>
    </w:rPr>
  </w:style>
  <w:style w:type="paragraph" w:styleId="1035" w:customStyle="1">
    <w:name w:val="索引 41"/>
    <w:next w:val="834"/>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rFonts w:hint="default" w:ascii="Times New Roman" w:hAnsi="Times New Roman" w:eastAsia="宋体" w:cs="Times New Roman"/>
      <w:sz w:val="24"/>
      <w:lang w:val="en-US" w:eastAsia="zh-CN" w:bidi="ar-SA"/>
    </w:rPr>
  </w:style>
  <w:style w:type="paragraph" w:styleId="1036" w:customStyle="1">
    <w:name w:val="目录 31"/>
    <w:basedOn w:val="834"/>
    <w:next w:val="834"/>
    <w:uiPriority w:val="39"/>
    <w:unhideWhenUsed/>
    <w:qFormat/>
    <w:pPr>
      <w:ind w:left="840"/>
    </w:pPr>
  </w:style>
  <w:style w:type="paragraph" w:styleId="1037" w:customStyle="1">
    <w:name w:val="纯文本11"/>
    <w:basedOn w:val="834"/>
    <w:link w:val="1038"/>
    <w:uiPriority w:val="99"/>
    <w:unhideWhenUsed/>
    <w:qFormat/>
    <w:rPr>
      <w:rFonts w:ascii="宋体" w:hAnsi="Courier New"/>
      <w:sz w:val="20"/>
      <w:szCs w:val="20"/>
    </w:rPr>
  </w:style>
  <w:style w:type="character" w:styleId="1038" w:customStyle="1">
    <w:name w:val="纯文本 Char"/>
    <w:link w:val="1037"/>
    <w:uiPriority w:val="99"/>
    <w:qFormat/>
    <w:rPr>
      <w:rFonts w:ascii="宋体" w:hAnsi="Courier New"/>
    </w:rPr>
  </w:style>
  <w:style w:type="paragraph" w:styleId="1039" w:customStyle="1">
    <w:name w:val="日期1"/>
    <w:basedOn w:val="834"/>
    <w:next w:val="834"/>
    <w:link w:val="1040"/>
    <w:uiPriority w:val="0"/>
    <w:qFormat/>
    <w:rPr>
      <w:sz w:val="24"/>
      <w:szCs w:val="20"/>
    </w:rPr>
  </w:style>
  <w:style w:type="character" w:styleId="1040" w:customStyle="1">
    <w:name w:val="日期 Char"/>
    <w:link w:val="1039"/>
    <w:uiPriority w:val="0"/>
    <w:qFormat/>
    <w:rPr>
      <w:rFonts w:ascii="Times New Roman" w:hAnsi="Times New Roman"/>
      <w:sz w:val="24"/>
    </w:rPr>
  </w:style>
  <w:style w:type="paragraph" w:styleId="1041" w:customStyle="1">
    <w:name w:val="正文文本缩进 21"/>
    <w:basedOn w:val="834"/>
    <w:uiPriority w:val="99"/>
    <w:unhideWhenUsed/>
    <w:qFormat/>
    <w:pPr>
      <w:ind w:firstLine="562"/>
      <w:spacing w:line="480" w:lineRule="exact"/>
    </w:pPr>
    <w:rPr>
      <w:b/>
      <w:bCs/>
      <w:sz w:val="28"/>
      <w:szCs w:val="28"/>
    </w:rPr>
  </w:style>
  <w:style w:type="paragraph" w:styleId="1042" w:customStyle="1">
    <w:name w:val="页脚11"/>
    <w:basedOn w:val="834"/>
    <w:link w:val="1043"/>
    <w:uiPriority w:val="99"/>
    <w:unhideWhenUsed/>
    <w:qFormat/>
    <w:pPr>
      <w:jc w:val="left"/>
      <w:tabs>
        <w:tab w:val="center" w:pos="4153" w:leader="none"/>
        <w:tab w:val="right" w:pos="8306" w:leader="none"/>
      </w:tabs>
    </w:pPr>
    <w:rPr>
      <w:sz w:val="18"/>
      <w:szCs w:val="18"/>
    </w:rPr>
  </w:style>
  <w:style w:type="character" w:styleId="1043" w:customStyle="1">
    <w:name w:val="页脚 Char"/>
    <w:link w:val="1042"/>
    <w:uiPriority w:val="99"/>
    <w:qFormat/>
    <w:rPr>
      <w:sz w:val="18"/>
      <w:szCs w:val="18"/>
    </w:rPr>
  </w:style>
  <w:style w:type="paragraph" w:styleId="1044" w:customStyle="1">
    <w:name w:val="页眉11"/>
    <w:basedOn w:val="834"/>
    <w:link w:val="104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Char"/>
    <w:link w:val="1044"/>
    <w:uiPriority w:val="99"/>
    <w:qFormat/>
    <w:rPr>
      <w:sz w:val="18"/>
      <w:szCs w:val="18"/>
    </w:rPr>
  </w:style>
  <w:style w:type="paragraph" w:styleId="1046" w:customStyle="1">
    <w:name w:val="目录 11"/>
    <w:basedOn w:val="834"/>
    <w:next w:val="834"/>
    <w:uiPriority w:val="39"/>
    <w:unhideWhenUsed/>
    <w:qFormat/>
    <w:rPr>
      <w:rFonts w:ascii="Calibri" w:hAnsi="Calibri" w:eastAsia="宋体" w:cs="Times New Roman"/>
    </w:rPr>
  </w:style>
  <w:style w:type="paragraph" w:styleId="1047" w:customStyle="1">
    <w:name w:val="目录 21"/>
    <w:basedOn w:val="834"/>
    <w:next w:val="834"/>
    <w:uiPriority w:val="39"/>
    <w:unhideWhenUsed/>
    <w:qFormat/>
    <w:pPr>
      <w:ind w:left="420"/>
    </w:pPr>
  </w:style>
  <w:style w:type="paragraph" w:styleId="1048" w:customStyle="1">
    <w:name w:val="普通(网站)1"/>
    <w:basedOn w:val="834"/>
    <w:uiPriority w:val="0"/>
    <w:unhideWhenUsed/>
    <w:qFormat/>
    <w:pPr>
      <w:jc w:val="left"/>
    </w:pPr>
    <w:rPr>
      <w:rFonts w:ascii="Calibri" w:hAnsi="Calibri" w:eastAsia="宋体" w:cs="Times New Roman"/>
      <w:sz w:val="24"/>
      <w:szCs w:val="24"/>
    </w:rPr>
  </w:style>
  <w:style w:type="character" w:styleId="1049" w:customStyle="1">
    <w:name w:val="要点1"/>
    <w:link w:val="834"/>
    <w:uiPriority w:val="0"/>
    <w:qFormat/>
    <w:rPr>
      <w:b/>
    </w:rPr>
  </w:style>
  <w:style w:type="paragraph" w:styleId="1050" w:customStyle="1">
    <w:name w:val="正文（缩进）"/>
    <w:basedOn w:val="834"/>
    <w:uiPriority w:val="0"/>
    <w:qFormat/>
    <w:pPr>
      <w:ind w:firstLine="480"/>
    </w:pPr>
    <w:rPr>
      <w:rFonts w:ascii="Calibri" w:hAnsi="Calibri" w:eastAsia="宋体" w:cs="Times New Roman"/>
      <w:szCs w:val="24"/>
    </w:rPr>
  </w:style>
  <w:style w:type="paragraph" w:styleId="1051" w:customStyle="1">
    <w:name w:val="正文1"/>
    <w:basedOn w:val="834"/>
    <w:next w:val="1052"/>
    <w:uiPriority w:val="0"/>
    <w:qFormat/>
    <w:pPr>
      <w:jc w:val="left"/>
      <w:spacing w:line="360" w:lineRule="atLeast"/>
    </w:pPr>
    <w:rPr>
      <w:rFonts w:ascii="宋体" w:hAnsi="Calibri" w:eastAsia="宋体" w:cs="Times New Roman"/>
      <w:sz w:val="24"/>
      <w:szCs w:val="20"/>
    </w:rPr>
  </w:style>
  <w:style w:type="paragraph" w:styleId="1052" w:customStyle="1">
    <w:name w:val="正文文本1"/>
    <w:basedOn w:val="1051"/>
    <w:next w:val="1053"/>
    <w:uiPriority w:val="0"/>
    <w:qFormat/>
    <w:pPr>
      <w:spacing w:after="120"/>
    </w:pPr>
    <w:rPr>
      <w:lang w:val="en-US" w:eastAsia="en-US"/>
    </w:r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next w:val="8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5" w:customStyle="1">
    <w:name w:val="段"/>
    <w:basedOn w:val="1051"/>
    <w:next w:val="834"/>
    <w:uiPriority w:val="0"/>
    <w:qFormat/>
    <w:pPr>
      <w:ind w:firstLine="200"/>
      <w:widowControl/>
    </w:pPr>
    <w:rPr>
      <w:rFonts w:ascii="宋体"/>
      <w:sz w:val="20"/>
      <w:szCs w:val="20"/>
    </w:rPr>
  </w:style>
  <w:style w:type="paragraph" w:styleId="1056" w:customStyle="1">
    <w:name w:val="首行缩进"/>
    <w:basedOn w:val="834"/>
    <w:uiPriority w:val="0"/>
    <w:qFormat/>
    <w:pPr>
      <w:ind w:firstLine="480"/>
    </w:pPr>
    <w:rPr>
      <w:rFonts w:ascii="Times New Roman" w:hAnsi="Times New Roman"/>
    </w:rPr>
  </w:style>
  <w:style w:type="character" w:styleId="1057" w:customStyle="1">
    <w:name w:val="htd0"/>
    <w:link w:val="834"/>
    <w:uiPriority w:val="0"/>
    <w:qFormat/>
  </w:style>
  <w:style w:type="character" w:styleId="1058" w:customStyle="1">
    <w:name w:val="页脚 Char1"/>
    <w:link w:val="834"/>
    <w:uiPriority w:val="99"/>
    <w:semiHidden/>
    <w:qFormat/>
    <w:rPr>
      <w:sz w:val="18"/>
      <w:szCs w:val="18"/>
    </w:rPr>
  </w:style>
  <w:style w:type="character" w:styleId="1059" w:customStyle="1">
    <w:name w:val="纯文本 Char1"/>
    <w:link w:val="834"/>
    <w:uiPriority w:val="99"/>
    <w:semiHidden/>
    <w:qFormat/>
    <w:rPr>
      <w:rFonts w:ascii="宋体" w:hAnsi="Courier New" w:eastAsia="宋体" w:cs="Courier New"/>
      <w:szCs w:val="21"/>
    </w:rPr>
  </w:style>
  <w:style w:type="character" w:styleId="1060" w:customStyle="1">
    <w:name w:val="批注引用1"/>
    <w:link w:val="1061"/>
    <w:uiPriority w:val="0"/>
    <w:qFormat/>
    <w:rPr>
      <w:rFonts w:ascii="Calibri" w:hAnsi="Calibri"/>
      <w:sz w:val="21"/>
      <w:szCs w:val="24"/>
      <w:lang w:val="en-US" w:eastAsia="zh-CN" w:bidi="ar-SA"/>
    </w:rPr>
  </w:style>
  <w:style w:type="paragraph" w:styleId="1061" w:customStyle="1">
    <w:name w:val="正文111"/>
    <w:next w:val="1062"/>
    <w:link w:val="1060"/>
    <w:uiPriority w:val="0"/>
    <w:qFormat/>
    <w:pPr>
      <w:jc w:val="both"/>
      <w:widowControl w:val="off"/>
    </w:pPr>
    <w:rPr>
      <w:rFonts w:hint="default" w:ascii="Calibri" w:hAnsi="Calibri" w:eastAsia="宋体" w:cs="Times New Roman"/>
      <w:sz w:val="21"/>
      <w:szCs w:val="24"/>
      <w:lang w:val="en-US" w:eastAsia="zh-CN" w:bidi="ar-SA"/>
    </w:rPr>
  </w:style>
  <w:style w:type="paragraph" w:styleId="1062" w:customStyle="1">
    <w:name w:val="文本块1"/>
    <w:basedOn w:val="1061"/>
    <w:uiPriority w:val="0"/>
    <w:qFormat/>
    <w:pPr>
      <w:ind w:left="567" w:right="454" w:firstLine="498"/>
      <w:jc w:val="left"/>
      <w:widowControl/>
    </w:pPr>
    <w:rPr>
      <w:rFonts w:ascii="仿宋_GB2312" w:eastAsia="仿宋_GB2312"/>
      <w:sz w:val="30"/>
      <w:szCs w:val="20"/>
    </w:rPr>
  </w:style>
  <w:style w:type="character" w:styleId="1063" w:customStyle="1">
    <w:name w:val="页眉 Char1"/>
    <w:link w:val="834"/>
    <w:uiPriority w:val="99"/>
    <w:semiHidden/>
    <w:qFormat/>
    <w:rPr>
      <w:sz w:val="18"/>
      <w:szCs w:val="18"/>
    </w:rPr>
  </w:style>
  <w:style w:type="character" w:styleId="1064" w:customStyle="1">
    <w:name w:val="日期 Char1"/>
    <w:link w:val="834"/>
    <w:uiPriority w:val="99"/>
    <w:semiHidden/>
    <w:qFormat/>
  </w:style>
  <w:style w:type="paragraph" w:styleId="1065" w:customStyle="1">
    <w:name w:val="纯文本1"/>
    <w:basedOn w:val="1061"/>
    <w:uiPriority w:val="0"/>
    <w:qFormat/>
    <w:rPr>
      <w:rFonts w:ascii="宋体" w:hAnsi="Courier New"/>
      <w:sz w:val="21"/>
      <w:szCs w:val="21"/>
    </w:rPr>
  </w:style>
  <w:style w:type="paragraph" w:styleId="1066" w:customStyle="1">
    <w:name w:val="页眉1"/>
    <w:basedOn w:val="1061"/>
    <w:uiPriority w:val="0"/>
    <w:qFormat/>
    <w:pPr>
      <w:jc w:val="center"/>
      <w:tabs>
        <w:tab w:val="center" w:pos="4153" w:leader="none"/>
        <w:tab w:val="right" w:pos="8306" w:leader="none"/>
      </w:tabs>
      <w:pBdr>
        <w:bottom w:val="single" w:color="000000" w:sz="6" w:space="1"/>
      </w:pBdr>
    </w:pPr>
    <w:rPr>
      <w:sz w:val="18"/>
      <w:szCs w:val="18"/>
    </w:rPr>
  </w:style>
  <w:style w:type="paragraph" w:styleId="1067" w:customStyle="1">
    <w:name w:val="普通正文"/>
    <w:basedOn w:val="834"/>
    <w:uiPriority w:val="0"/>
    <w:qFormat/>
    <w:pPr>
      <w:ind w:firstLine="480"/>
      <w:jc w:val="left"/>
      <w:spacing w:before="120" w:after="120" w:line="360" w:lineRule="auto"/>
    </w:pPr>
    <w:rPr>
      <w:rFonts w:ascii="Arial" w:hAnsi="Arial" w:eastAsia="宋体" w:cs="Times New Roman"/>
      <w:sz w:val="24"/>
      <w:szCs w:val="24"/>
    </w:rPr>
  </w:style>
  <w:style w:type="paragraph" w:styleId="1068" w:customStyle="1">
    <w:name w:val="默认段落字体 Para Char Char Char Char Char Char Char"/>
    <w:basedOn w:val="834"/>
    <w:next w:val="834"/>
    <w:uiPriority w:val="99"/>
    <w:qFormat/>
    <w:pPr>
      <w:ind w:firstLine="200"/>
    </w:pPr>
    <w:rPr>
      <w:rFonts w:ascii="Calibri" w:hAnsi="Calibri" w:eastAsia="宋体" w:cs="Arial"/>
      <w:szCs w:val="24"/>
    </w:rPr>
  </w:style>
  <w:style w:type="paragraph" w:styleId="1069"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70" w:customStyle="1">
    <w:name w:val="Char"/>
    <w:basedOn w:val="834"/>
    <w:uiPriority w:val="0"/>
    <w:qFormat/>
    <w:pPr>
      <w:ind w:firstLine="200"/>
      <w:tabs>
        <w:tab w:val="left" w:pos="360" w:leader="none"/>
      </w:tabs>
    </w:pPr>
    <w:rPr>
      <w:rFonts w:ascii="Times New Roman" w:hAnsi="Times New Roman" w:eastAsia="宋体" w:cs="Times New Roman"/>
      <w:sz w:val="28"/>
      <w:szCs w:val="30"/>
    </w:rPr>
  </w:style>
  <w:style w:type="paragraph" w:styleId="10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页脚1"/>
    <w:basedOn w:val="1061"/>
    <w:uiPriority w:val="0"/>
    <w:qFormat/>
    <w:pPr>
      <w:jc w:val="left"/>
      <w:tabs>
        <w:tab w:val="center" w:pos="4153" w:leader="none"/>
        <w:tab w:val="right" w:pos="8306" w:leader="none"/>
      </w:tabs>
    </w:pPr>
    <w:rPr>
      <w:sz w:val="18"/>
      <w:szCs w:val="18"/>
    </w:rPr>
  </w:style>
  <w:style w:type="paragraph" w:styleId="1075" w:customStyle="1">
    <w:name w:val="_Style 4"/>
    <w:next w:val="834"/>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76" w:customStyle="1">
    <w:name w:val="正文_2"/>
    <w:uiPriority w:val="0"/>
    <w:qFormat/>
    <w:rPr>
      <w:rFonts w:hint="default" w:ascii="Times New Roman" w:hAnsi="Times New Roman" w:eastAsia="宋体" w:cs="Times New Roman"/>
      <w:lang w:val="en-US" w:eastAsia="zh-CN" w:bidi="ar-SA"/>
    </w:rPr>
  </w:style>
  <w:style w:type="paragraph" w:styleId="1077" w:customStyle="1">
    <w:name w:val="WPSOffice手动目录 1"/>
    <w:uiPriority w:val="0"/>
    <w:qFormat/>
    <w:rPr>
      <w:rFonts w:hint="default" w:ascii="Times New Roman" w:hAnsi="Times New Roman" w:eastAsia="宋体" w:cs="Times New Roman"/>
      <w:lang w:val="en-US" w:eastAsia="zh-CN" w:bidi="ar-SA"/>
    </w:rPr>
  </w:style>
  <w:style w:type="character" w:styleId="1078" w:customStyle="1">
    <w:name w:val="font51"/>
    <w:basedOn w:val="844"/>
    <w:uiPriority w:val="0"/>
    <w:qFormat/>
    <w:rPr>
      <w:rFonts w:ascii="宋体" w:hAnsi="宋体" w:eastAsia="宋体" w:cs="宋体"/>
      <w:color w:val="000000"/>
      <w:sz w:val="18"/>
      <w:szCs w:val="18"/>
      <w:u w:val="none"/>
    </w:rPr>
  </w:style>
  <w:style w:type="character" w:styleId="1079" w:customStyle="1">
    <w:name w:val="font31"/>
    <w:basedOn w:val="844"/>
    <w:uiPriority w:val="0"/>
    <w:qFormat/>
    <w:rPr>
      <w:rFonts w:ascii="宋体" w:hAnsi="宋体" w:eastAsia="宋体" w:cs="宋体"/>
      <w:b/>
      <w:bCs/>
      <w:color w:val="000000"/>
      <w:sz w:val="18"/>
      <w:szCs w:val="18"/>
      <w:u w:val="none"/>
    </w:rPr>
  </w:style>
  <w:style w:type="character" w:styleId="1080" w:customStyle="1">
    <w:name w:val="font101"/>
    <w:basedOn w:val="844"/>
    <w:uiPriority w:val="0"/>
    <w:qFormat/>
    <w:rPr>
      <w:rFonts w:hint="default" w:ascii="Arial" w:hAnsi="Arial" w:cs="Arial"/>
      <w:color w:val="000000"/>
      <w:sz w:val="16"/>
      <w:szCs w:val="16"/>
      <w:u w:val="none"/>
    </w:rPr>
  </w:style>
  <w:style w:type="character" w:styleId="1081" w:customStyle="1">
    <w:name w:val="font61"/>
    <w:basedOn w:val="844"/>
    <w:uiPriority w:val="0"/>
    <w:qFormat/>
    <w:rPr>
      <w:rFonts w:ascii="宋体" w:hAnsi="宋体" w:eastAsia="宋体" w:cs="宋体"/>
      <w:color w:val="000000"/>
      <w:sz w:val="16"/>
      <w:szCs w:val="16"/>
      <w:u w:val="none"/>
    </w:rPr>
  </w:style>
  <w:style w:type="character" w:styleId="1082" w:customStyle="1">
    <w:name w:val="font71"/>
    <w:basedOn w:val="844"/>
    <w:uiPriority w:val="0"/>
    <w:qFormat/>
    <w:rPr>
      <w:rFonts w:hint="eastAsia" w:ascii="宋体" w:hAnsi="宋体" w:eastAsia="宋体" w:cs="宋体"/>
      <w:color w:val="000000"/>
      <w:sz w:val="16"/>
      <w:szCs w:val="16"/>
      <w:u w:val="none"/>
    </w:rPr>
  </w:style>
  <w:style w:type="table" w:styleId="1083" w:customStyle="1">
    <w:name w:val="Table Grid"/>
    <w:uiPriority w:val="0"/>
    <w:qFormat/>
    <w:rPr>
      <w:rFonts w:ascii="Times New Roman" w:hAnsi="Times New Roman"/>
    </w:rPr>
    <w:tblPr>
      <w:tblCellMar>
        <w:left w:w="0" w:type="dxa"/>
        <w:top w:w="0" w:type="dxa"/>
        <w:right w:w="0" w:type="dxa"/>
        <w:bottom w:w="0" w:type="dxa"/>
      </w:tblCellMar>
    </w:tblPr>
  </w:style>
  <w:style w:type="character" w:styleId="1084" w:customStyle="1">
    <w:name w:val="超链接1"/>
    <w:basedOn w:val="1024"/>
    <w:link w:val="834"/>
    <w:uiPriority w:val="99"/>
    <w:unhideWhenUsed/>
    <w:qFormat/>
    <w:rPr>
      <w:color w:val="0000ff"/>
      <w:u w:val="single"/>
    </w:rPr>
  </w:style>
  <w:style w:type="paragraph" w:styleId="1085" w:customStyle="1">
    <w:name w:val="Heading 2"/>
    <w:basedOn w:val="1086"/>
    <w:next w:val="1086"/>
    <w:uiPriority w:val="0"/>
    <w:qFormat/>
    <w:pPr>
      <w:ind w:left="1276"/>
      <w:jc w:val="left"/>
      <w:outlineLvl w:val="2"/>
    </w:pPr>
    <w:rPr>
      <w:rFonts w:ascii="宋体" w:hAnsi="宋体" w:cstheme="minorBidi"/>
      <w:b/>
      <w:bCs/>
      <w:sz w:val="32"/>
      <w:szCs w:val="32"/>
      <w:lang w:eastAsia="en-US"/>
    </w:rPr>
  </w:style>
  <w:style w:type="paragraph" w:styleId="1086" w:customStyle="1">
    <w:name w:val="正文4"/>
    <w:uiPriority w:val="0"/>
    <w:qFormat/>
    <w:pPr>
      <w:jc w:val="both"/>
      <w:widowControl w:val="off"/>
    </w:pPr>
    <w:rPr>
      <w:rFonts w:hint="default" w:ascii="Times New Roman" w:hAnsi="Times New Roman" w:eastAsia="宋体" w:cs="Times New Roman"/>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53135</dc:creator>
  <cp:lastModifiedBy>彭震</cp:lastModifiedBy>
  <cp:revision>10</cp:revision>
  <dcterms:created xsi:type="dcterms:W3CDTF">2025-03-11T09:55:00Z</dcterms:created>
  <dcterms:modified xsi:type="dcterms:W3CDTF">2026-04-21T06:24:40Z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eyJoZGlkIjoiZGEwZTdiNmVmMTdmOTU3ZGZmZjdjNzQ4ZmM0OTgwNTkiLCJ1c2VySWQiOiIzMTUwOTE3NCJ9</vt:lpwstr>
  </property>
  <property fmtid="{D5CDD505-2E9C-101B-9397-08002B2CF9AE}" pid="3" name="KSOProductBuildVer">
    <vt:lpwstr>2052-11.8.2.8959</vt:lpwstr>
  </property>
  <property fmtid="{D5CDD505-2E9C-101B-9397-08002B2CF9AE}" pid="4" name="ICV">
    <vt:lpwstr>0118FDCF16DA4F9C91E85830BF37C1C5_13</vt:lpwstr>
  </property>
</Properties>
</file>