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
    </w:p>
    <w:p>
      <w:pPr>
        <w:ind w:left="0" w:right="0" w:firstLine="2240"/>
        <w:jc w:val="center"/>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扬州市中医院新院区信息服务端设备采购(第二批)</w:t>
      </w:r>
      <w:r/>
    </w:p>
    <w:p>
      <w:pPr>
        <w:ind w:left="0" w:right="0" w:firstLine="224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Arial" w:hAnsi="Arial" w:eastAsia="Arial" w:cs="Arial"/>
          <w:b/>
          <w:color w:val="000000"/>
          <w:sz w:val="32"/>
        </w:rPr>
        <w:t xml:space="preserve">JSZC-321000-JZCG-G2026-0053</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2295" w:right="0" w:hanging="1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_</w:t>
      </w:r>
      <w:r>
        <w:rPr>
          <w:rFonts w:hint="eastAsia" w:ascii="Arial" w:hAnsi="Arial" w:cs="Arial"/>
          <w:b/>
          <w:color w:val="000000"/>
          <w:sz w:val="32"/>
          <w:u w:val="single"/>
          <w:lang w:val="en-US" w:eastAsia="zh-CN"/>
        </w:rPr>
        <w:t xml:space="preserve">2026</w:t>
      </w:r>
      <w:r>
        <w:rPr>
          <w:rFonts w:ascii="Arial" w:hAnsi="Arial" w:eastAsia="Arial" w:cs="Arial"/>
          <w:b/>
          <w:color w:val="000000"/>
          <w:sz w:val="32"/>
        </w:rPr>
        <w:t xml:space="preserve">_</w:t>
      </w:r>
      <w:r>
        <w:rPr>
          <w:rFonts w:ascii="宋体" w:hAnsi="宋体" w:eastAsia="宋体" w:cs="宋体"/>
          <w:b/>
          <w:color w:val="000000"/>
          <w:sz w:val="32"/>
        </w:rPr>
        <w:t xml:space="preserve">年</w:t>
      </w:r>
      <w:r>
        <w:rPr>
          <w:rFonts w:ascii="Arial" w:hAnsi="Arial" w:eastAsia="Arial" w:cs="Arial"/>
          <w:b/>
          <w:color w:val="000000"/>
          <w:sz w:val="32"/>
        </w:rPr>
        <w:t xml:space="preserve">_</w:t>
      </w:r>
      <w:r>
        <w:rPr>
          <w:rFonts w:hint="eastAsia" w:ascii="Arial" w:hAnsi="Arial" w:cs="Arial"/>
          <w:b/>
          <w:color w:val="000000"/>
          <w:sz w:val="32"/>
          <w:u w:val="single"/>
          <w:lang w:val="en-US" w:eastAsia="zh-CN"/>
        </w:rPr>
        <w:t xml:space="preserve">5</w:t>
      </w:r>
      <w:r>
        <w:rPr>
          <w:rFonts w:ascii="Arial" w:hAnsi="Arial" w:eastAsia="Arial" w:cs="Arial"/>
          <w:b/>
          <w:color w:val="000000"/>
          <w:sz w:val="32"/>
          <w:u w:val="single"/>
        </w:rPr>
        <w:t xml:space="preserve">_</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6</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33</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44</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47</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54"/>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auto"/>
          <w:sz w:val="24"/>
        </w:rPr>
        <w:t xml:space="preserve">扬州市中医院</w:t>
      </w:r>
      <w:r>
        <w:rPr>
          <w:rFonts w:ascii="宋体" w:hAnsi="宋体" w:eastAsia="宋体" w:cs="宋体"/>
          <w:color w:val="000000"/>
          <w:sz w:val="24"/>
        </w:rPr>
        <w:t xml:space="preserve">]的委托，扬州市公共资源交易中心就[</w:t>
      </w:r>
      <w:r>
        <w:rPr>
          <w:rFonts w:hint="eastAsia" w:ascii="宋体" w:hAnsi="宋体" w:eastAsia="宋体" w:cs="宋体"/>
          <w:color w:val="auto"/>
          <w:sz w:val="24"/>
        </w:rPr>
        <w:t xml:space="preserve">扬州市中医院新院区信息服务端设备采购(第二批)</w:t>
      </w:r>
      <w:r>
        <w:rPr>
          <w:rFonts w:ascii="宋体" w:hAnsi="宋体" w:eastAsia="宋体" w:cs="宋体"/>
          <w:color w:val="auto"/>
          <w:sz w:val="24"/>
        </w:rPr>
        <w:t xml:space="preserve">](</w:t>
      </w:r>
      <w:r>
        <w:rPr>
          <w:rFonts w:hint="eastAsia" w:ascii="宋体" w:hAnsi="宋体" w:eastAsia="宋体" w:cs="宋体"/>
          <w:color w:val="auto"/>
          <w:sz w:val="24"/>
        </w:rPr>
        <w:t xml:space="preserve">JSZC-321000-JZCG-G2026-0053</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 (</w:t>
      </w:r>
      <w:r>
        <w:rPr>
          <w:rFonts w:hint="eastAsia" w:ascii="宋体" w:hAnsi="宋体" w:eastAsia="宋体" w:cs="宋体"/>
          <w:color w:val="auto"/>
          <w:sz w:val="24"/>
          <w:u w:val="single"/>
        </w:rPr>
        <w:t xml:space="preserve">扬州市中医院新院区信息服务端设备采购(第二批)</w:t>
      </w:r>
      <w:r>
        <w:rPr>
          <w:rFonts w:ascii="宋体" w:hAnsi="宋体" w:eastAsia="宋体" w:cs="宋体"/>
          <w:color w:val="000000"/>
          <w:sz w:val="24"/>
          <w:u w:val="single"/>
        </w:rPr>
        <w:t xml:space="preserve">)</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ascii="宋体" w:hAnsi="宋体" w:eastAsia="宋体" w:cs="宋体"/>
          <w:color w:val="ff0000"/>
          <w:sz w:val="24"/>
          <w:u w:val="single"/>
        </w:rPr>
        <w:t xml:space="preserve"> 2026 年 6 月5 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JSZC-321000-JZCG-G2026-0053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扬州市中医院新院区信息服务端设备采购(第二批)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6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75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177.08</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6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281"/>
        <w:gridCol w:w="42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177.08</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rPr>
        <w:t xml:space="preserve">本次采购设备需满足新院区开业基础信息化运行及与老院区核心业务对接需求，具体要求如下：数据库计算节点须具备高稳定性与并发处理能力，兼容老院区HIS、EMR等系统部署环境；核心数据存储设备需提供满足未来5年的有效容量，保障医院核心数据高速读写与长期安全存储；医疗数据态势感知满足等保三级要求。所有设备须具备良好兼容性与扩展性，提供原厂技术支持及不少于5年质保，确保与老院区无缝对接及长期稳定运行。（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自合同签订之日起，30天内设备全部到货并完成部署，连续不间断正常运行一个月后组织验收，5年免费质保。</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6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2553"/>
        <w:gridCol w:w="50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1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6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76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6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74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5"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 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 年 6 月 5 日 09 点 30 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480"/>
        <w:spacing w:line="400" w:lineRule="atLeas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名称：</w:t>
      </w:r>
      <w:r>
        <w:rPr>
          <w:rFonts w:hint="eastAsia" w:ascii="宋体" w:hAnsi="宋体" w:cs="宋体"/>
          <w:color w:val="000000" w:themeColor="text1"/>
          <w:sz w:val="24"/>
          <w:u w:val="single"/>
          <w14:textFill>
            <w14:solidFill>
              <w14:schemeClr w14:val="tx1"/>
            </w14:solidFill>
          </w14:textFill>
        </w:rPr>
        <w:t xml:space="preserve">扬州市中医院</w:t>
      </w:r>
      <w:r/>
    </w:p>
    <w:p>
      <w:pPr>
        <w:ind w:firstLine="480"/>
        <w:spacing w:line="400" w:lineRule="atLeast"/>
        <w:rPr>
          <w:rFonts w:hint="eastAsia" w:ascii="宋体" w:hAnsi="宋体" w:eastAsia="宋体" w:cs="宋体"/>
          <w:color w:val="000000" w:themeColor="text1"/>
          <w:sz w:val="24"/>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地址：</w:t>
      </w:r>
      <w:r>
        <w:rPr>
          <w:rFonts w:hint="eastAsia" w:ascii="宋体" w:hAnsi="宋体" w:cs="宋体"/>
          <w:color w:val="000000" w:themeColor="text1"/>
          <w:sz w:val="24"/>
          <w:u w:val="single"/>
          <w14:textFill>
            <w14:solidFill>
              <w14:schemeClr w14:val="tx1"/>
            </w14:solidFill>
          </w14:textFill>
        </w:rPr>
        <w:t xml:space="preserve">江苏省扬州市</w:t>
      </w:r>
      <w:r>
        <w:rPr>
          <w:rFonts w:hint="eastAsia" w:ascii="宋体" w:hAnsi="宋体"/>
          <w:color w:val="000000" w:themeColor="text1"/>
          <w:sz w:val="24"/>
          <w:szCs w:val="24"/>
          <w:u w:val="single"/>
          <w14:textFill>
            <w14:solidFill>
              <w14:schemeClr w14:val="tx1"/>
            </w14:solidFill>
          </w14:textFill>
        </w:rPr>
        <w:t xml:space="preserve">文昌中路</w:t>
      </w:r>
      <w:r>
        <w:rPr>
          <w:rFonts w:hint="eastAsia" w:ascii="宋体" w:hAnsi="宋体" w:cs="宋体"/>
          <w:color w:val="000000" w:themeColor="text1"/>
          <w:sz w:val="24"/>
          <w:u w:val="single"/>
          <w14:textFill>
            <w14:solidFill>
              <w14:schemeClr w14:val="tx1"/>
            </w14:solidFill>
          </w14:textFill>
        </w:rPr>
        <w:t xml:space="preserve">577号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u w:val="single"/>
        </w:rPr>
        <w:t xml:space="preserve">王老师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u w:val="single"/>
        </w:rPr>
        <w:t xml:space="preserve">0514-87326203</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Ansi="宋体"/>
          <w:color w:val="000000"/>
          <w:sz w:val="24"/>
          <w:u w:val="single"/>
        </w:rPr>
        <w:t xml:space="preserve">扬州市文昌东路</w:t>
      </w:r>
      <w:r>
        <w:rPr>
          <w:color w:val="000000"/>
          <w:sz w:val="24"/>
          <w:u w:val="single"/>
        </w:rPr>
        <w:t xml:space="preserve">9</w:t>
      </w:r>
      <w:r>
        <w:rPr>
          <w:rFonts w:hAnsi="宋体"/>
          <w:color w:val="000000"/>
          <w:sz w:val="24"/>
          <w:u w:val="single"/>
        </w:rPr>
        <w:t xml:space="preserve">号市民中心</w:t>
      </w:r>
      <w:r>
        <w:rPr>
          <w:color w:val="000000"/>
          <w:sz w:val="24"/>
          <w:u w:val="single"/>
        </w:rPr>
        <w:t xml:space="preserve">1</w:t>
      </w:r>
      <w:r>
        <w:rPr>
          <w:rFonts w:hAnsi="宋体"/>
          <w:color w:val="000000"/>
          <w:sz w:val="24"/>
          <w:u w:val="single"/>
        </w:rPr>
        <w:t xml:space="preserve">号楼</w:t>
      </w:r>
      <w:r>
        <w:rPr>
          <w:color w:val="000000"/>
          <w:sz w:val="24"/>
          <w:szCs w:val="24"/>
          <w:u w:val="single"/>
        </w:rPr>
        <w:t xml:space="preserve">5</w:t>
      </w:r>
      <w:r>
        <w:rPr>
          <w:rFonts w:hAnsi="宋体"/>
          <w:color w:val="000000"/>
          <w:sz w:val="24"/>
          <w:szCs w:val="24"/>
          <w:u w:val="single"/>
        </w:rPr>
        <w:t xml:space="preserve">楼</w:t>
      </w:r>
      <w:r>
        <w:rPr>
          <w:color w:val="000000"/>
          <w:sz w:val="24"/>
          <w:szCs w:val="24"/>
          <w:u w:val="single"/>
        </w:rPr>
        <w:t xml:space="preserve">1530</w:t>
      </w:r>
      <w:r>
        <w:rPr>
          <w:rFonts w:hAnsi="宋体"/>
          <w:color w:val="000000"/>
          <w:sz w:val="24"/>
          <w:szCs w:val="24"/>
          <w:u w:val="single"/>
        </w:rPr>
        <w:t xml:space="preserve">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single"/>
          <w:lang w:val="en-US" w:eastAsia="zh-CN"/>
        </w:rPr>
        <w:t xml:space="preserve">李想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color w:val="000000"/>
          <w:sz w:val="24"/>
          <w:u w:val="single"/>
        </w:rPr>
        <w:t xml:space="preserve">0514-82087118</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54"/>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auto"/>
          <w:sz w:val="24"/>
        </w:rPr>
        <w:t xml:space="preserve">（本招标文件中</w:t>
      </w:r>
      <w:r>
        <w:rPr>
          <w:rFonts w:ascii="宋体" w:hAnsi="宋体" w:eastAsia="宋体" w:cs="宋体"/>
          <w:b/>
          <w:i/>
          <w:color w:val="auto"/>
          <w:sz w:val="24"/>
          <w:u w:val="single"/>
        </w:rPr>
        <w:t xml:space="preserve">斜体且有下划线部分</w:t>
      </w:r>
      <w:r>
        <w:rPr>
          <w:rFonts w:ascii="宋体" w:hAnsi="宋体" w:eastAsia="宋体" w:cs="宋体"/>
          <w:b/>
          <w:color w:val="auto"/>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26.1.10.4评审委员会认定的供应商报价过低、有可能影响产品质量或者不能诚信履约的其他情形。</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26.1.11 如本项目采购产品被财政部、国家发改委、生态环境部等列入“节能产品品目清单”、“环境标志产品品目清单”强制采购范围，而投标人所投</w:t>
      </w:r>
      <w:r>
        <w:rPr>
          <w:rFonts w:ascii="宋体" w:hAnsi="宋体" w:eastAsia="宋体" w:cs="宋体"/>
          <w:color w:val="000000"/>
          <w:sz w:val="24"/>
        </w:rPr>
        <w:t xml:space="preserve">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1007"/>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31"/>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31"/>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8"/>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全额付款：</w:t>
      </w:r>
      <w:r>
        <w:rPr>
          <w:rFonts w:ascii="宋体" w:hAnsi="宋体" w:eastAsia="宋体" w:cs="宋体"/>
          <w:color w:val="000000"/>
          <w:sz w:val="21"/>
          <w:highlight w:val="none"/>
          <w:u w:val="single"/>
        </w:rPr>
        <w:t xml:space="preserve">  （应明确一次性支付合同款项的条件）</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þ</w:t>
      </w:r>
      <w:r>
        <w:rPr>
          <w:rFonts w:ascii="宋体" w:hAnsi="宋体" w:eastAsia="宋体" w:cs="宋体"/>
          <w:color w:val="000000"/>
          <w:sz w:val="21"/>
          <w:highlight w:val="none"/>
        </w:rPr>
        <w:t xml:space="preserve">分期付款：</w:t>
      </w:r>
      <w:r>
        <w:rPr>
          <w:rFonts w:hint="eastAsia" w:ascii="宋体" w:hAnsi="宋体" w:eastAsia="宋体" w:cs="宋体"/>
          <w:color w:val="000000"/>
          <w:sz w:val="21"/>
          <w:highlight w:val="none"/>
          <w:u w:val="single"/>
        </w:rPr>
        <w:t xml:space="preserve">合同签订，甲方自收到乙方开具的发票后，10个工作日内支付合同总价</w:t>
      </w:r>
      <w:r>
        <w:rPr>
          <w:rFonts w:hint="eastAsia" w:ascii="宋体" w:hAnsi="宋体" w:cs="宋体"/>
          <w:color w:val="000000"/>
          <w:sz w:val="21"/>
          <w:highlight w:val="none"/>
          <w:u w:val="single"/>
          <w:lang w:val="en-US" w:eastAsia="zh-CN"/>
        </w:rPr>
        <w:t xml:space="preserve">30</w:t>
      </w:r>
      <w:r>
        <w:rPr>
          <w:rFonts w:hint="eastAsia" w:ascii="宋体" w:hAnsi="宋体" w:eastAsia="宋体" w:cs="宋体"/>
          <w:color w:val="000000"/>
          <w:sz w:val="21"/>
          <w:highlight w:val="none"/>
          <w:u w:val="single"/>
        </w:rPr>
        <w:t xml:space="preserve">%的预付款；项目验收合格，甲方自收到乙方开具的发票后，10个工作日内支付合同总价的</w:t>
      </w:r>
      <w:r>
        <w:rPr>
          <w:rFonts w:hint="eastAsia" w:ascii="宋体" w:hAnsi="宋体" w:cs="宋体"/>
          <w:color w:val="000000"/>
          <w:sz w:val="21"/>
          <w:highlight w:val="none"/>
          <w:u w:val="single"/>
          <w:lang w:val="en-US" w:eastAsia="zh-CN"/>
        </w:rPr>
        <w:t xml:space="preserve">70</w:t>
      </w:r>
      <w:r>
        <w:rPr>
          <w:rFonts w:hint="eastAsia" w:ascii="宋体" w:hAnsi="宋体" w:eastAsia="宋体" w:cs="宋体"/>
          <w:color w:val="000000"/>
          <w:sz w:val="21"/>
          <w:highlight w:val="none"/>
          <w:u w:val="single"/>
        </w:rPr>
        <w:t xml:space="preserve">%。</w:t>
      </w:r>
      <w:r>
        <w:rPr>
          <w:rFonts w:ascii="宋体" w:hAnsi="宋体" w:eastAsia="宋体" w:cs="宋体"/>
          <w:color w:val="000000"/>
          <w:sz w:val="21"/>
          <w:highlight w:val="none"/>
        </w:rPr>
        <w:t xml:space="preserve">其中涉及预付款的：</w:t>
      </w:r>
      <w:r>
        <w:rPr>
          <w:rFonts w:hint="eastAsia" w:ascii="宋体" w:hAnsi="宋体"/>
          <w:color w:val="000000" w:themeColor="text1"/>
          <w:szCs w:val="21"/>
          <w:u w:val="single"/>
          <w14:textFill>
            <w14:solidFill>
              <w14:schemeClr w14:val="tx1"/>
            </w14:solidFill>
          </w14:textFill>
        </w:rPr>
        <w:t xml:space="preserve">（合同签订，甲方自收到乙方开具的发票后，10个工作日内支付合同总价的</w:t>
      </w:r>
      <w:r>
        <w:rPr>
          <w:rFonts w:hint="eastAsia" w:ascii="宋体" w:hAnsi="宋体"/>
          <w:color w:val="000000" w:themeColor="text1"/>
          <w:szCs w:val="21"/>
          <w:u w:val="single"/>
          <w:lang w:val="en-US" w:eastAsia="zh-CN"/>
          <w14:textFill>
            <w14:solidFill>
              <w14:schemeClr w14:val="tx1"/>
            </w14:solidFill>
          </w14:textFill>
        </w:rPr>
        <w:t xml:space="preserve">30</w:t>
      </w:r>
      <w:r>
        <w:rPr>
          <w:rFonts w:hint="eastAsia" w:ascii="宋体" w:hAnsi="宋体"/>
          <w:color w:val="000000" w:themeColor="text1"/>
          <w:szCs w:val="21"/>
          <w:u w:val="single"/>
          <w14:textFill>
            <w14:solidFill>
              <w14:schemeClr w14:val="tx1"/>
            </w14:solidFill>
          </w14:textFill>
        </w:rPr>
        <w:t xml:space="preserve">%）</w:t>
      </w:r>
      <w:r>
        <w:rPr>
          <w:rFonts w:ascii="宋体" w:hAnsi="宋体" w:eastAsia="宋体" w:cs="宋体"/>
          <w:color w:val="000000"/>
          <w:sz w:val="21"/>
          <w:highlight w:val="none"/>
          <w:u w:val="single"/>
        </w:rPr>
        <w:t xml:space="preserve"> </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成本补偿：</w:t>
      </w:r>
      <w:r>
        <w:rPr>
          <w:rFonts w:ascii="宋体" w:hAnsi="宋体" w:eastAsia="宋体" w:cs="宋体"/>
          <w:color w:val="000000"/>
          <w:sz w:val="21"/>
          <w:highlight w:val="none"/>
          <w:u w:val="single"/>
        </w:rPr>
        <w:t xml:space="preserve">      （应明确按照成本补偿方式的支付方式和支付条件）</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绩效激励：</w:t>
      </w:r>
      <w:r>
        <w:rPr>
          <w:rFonts w:ascii="宋体" w:hAnsi="宋体" w:eastAsia="宋体" w:cs="宋体"/>
          <w:color w:val="000000"/>
          <w:sz w:val="21"/>
          <w:highlight w:val="none"/>
          <w:u w:val="single"/>
        </w:rPr>
        <w:t xml:space="preserve">      （应明确按照绩效激励方式的支付方式和支付条件）</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3.</w:t>
      </w: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（3）履约担保：是否收取履约保证金：</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þ</w:t>
      </w:r>
      <w:r>
        <w:rPr>
          <w:rFonts w:ascii="宋体" w:hAnsi="宋体" w:eastAsia="宋体" w:cs="宋体"/>
          <w:color w:val="000000"/>
          <w:sz w:val="21"/>
          <w:highlight w:val="none"/>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4.</w:t>
      </w:r>
      <w:r>
        <w:rPr>
          <w:rFonts w:ascii="宋体" w:hAnsi="宋体" w:eastAsia="宋体" w:cs="宋体"/>
          <w:b/>
          <w:color w:val="000000"/>
          <w:sz w:val="21"/>
        </w:rPr>
        <w:t xml:space="preserve">合同验收</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5.</w:t>
      </w: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6.</w:t>
      </w: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lang w:val="en-US" w:eastAsia="zh-CN"/>
        </w:rPr>
        <w:t xml:space="preserve">7.</w:t>
      </w: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31"/>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965"/>
        <w:gridCol w:w="951"/>
        <w:gridCol w:w="2686"/>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23"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31"/>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31"/>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31"/>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6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07"/>
        <w:gridCol w:w="3281"/>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218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r>
      <w:r>
        <w:rPr>
          <w:rFonts w:ascii="黑体" w:hAnsi="黑体" w:eastAsia="黑体" w:cs="黑体"/>
          <w:color w:val="000000"/>
          <w:sz w:val="44"/>
          <w:highlight w:val="none"/>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54"/>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firstLine="420"/>
        <w:rPr>
          <w:b/>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w:t>
      </w:r>
      <w:r>
        <w:rPr>
          <w:rFonts w:hint="eastAsia"/>
          <w:b/>
          <w:bCs/>
          <w:color w:val="000000" w:themeColor="text1"/>
          <w:sz w:val="24"/>
          <w:szCs w:val="24"/>
          <w14:textFill>
            <w14:solidFill>
              <w14:schemeClr w14:val="tx1"/>
            </w14:solidFill>
          </w14:textFill>
        </w:rPr>
        <w:t xml:space="preserve">采购需求中</w:t>
      </w:r>
      <w:r>
        <w:rPr>
          <w:rFonts w:hint="eastAsia"/>
          <w:b/>
          <w:bCs/>
          <w:i/>
          <w:color w:val="000000" w:themeColor="text1"/>
          <w:sz w:val="24"/>
          <w:szCs w:val="24"/>
          <w:u w:val="single"/>
          <w14:textFill>
            <w14:solidFill>
              <w14:schemeClr w14:val="tx1"/>
            </w14:solidFill>
          </w14:textFill>
        </w:rPr>
        <w:t xml:space="preserve">斜体且有下划线部分</w:t>
      </w:r>
      <w:r>
        <w:rPr>
          <w:rFonts w:hint="eastAsia"/>
          <w:b/>
          <w:bCs/>
          <w:color w:val="000000" w:themeColor="text1"/>
          <w:sz w:val="24"/>
          <w:szCs w:val="24"/>
          <w14:textFill>
            <w14:solidFill>
              <w14:schemeClr w14:val="tx1"/>
            </w14:solidFill>
          </w14:textFill>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rPr>
          <w:rFonts w:ascii="宋体" w:hAnsi="宋体" w:cs="宋体"/>
          <w:b/>
          <w:bCs/>
          <w:color w:val="auto"/>
          <w:sz w:val="24"/>
          <w:szCs w:val="24"/>
          <w:highlight w:val="none"/>
        </w:rPr>
        <w:t xml:space="preserve"> 4</w:t>
      </w:r>
      <w:r>
        <w:rPr>
          <w:rFonts w:ascii="宋体" w:hAnsi="宋体" w:cs="宋体"/>
          <w:b/>
          <w:color w:val="auto"/>
          <w:sz w:val="24"/>
          <w:highlight w:val="none"/>
        </w:rPr>
        <w:t xml:space="preserve">、政府采购中实施本国产品标准及相关政策</w:t>
      </w:r>
      <w:r/>
    </w:p>
    <w:p>
      <w:pPr>
        <w:ind w:firstLine="55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（1）.本</w:t>
      </w:r>
      <w:r>
        <w:rPr>
          <w:rFonts w:ascii="宋体" w:hAnsi="宋体" w:cs="宋体"/>
          <w:color w:val="auto"/>
          <w:sz w:val="24"/>
          <w:highlight w:val="none"/>
        </w:rPr>
        <w:t xml:space="preserve">项目对采购本国产品给予政策支持，具体内容见招标文件“第五章 评标方法与评标标准”。</w:t>
      </w:r>
      <w:r/>
    </w:p>
    <w:p>
      <w:pPr>
        <w:ind w:firstLine="55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w:t>
      </w:r>
      <w:r>
        <w:rPr>
          <w:rFonts w:ascii="宋体" w:hAnsi="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0" w:lineRule="atLeast"/>
        <w:rPr>
          <w:bCs/>
          <w:iCs/>
          <w:color w:val="auto"/>
          <w:sz w:val="24"/>
          <w:szCs w:val="24"/>
          <w:highlight w:val="none"/>
        </w:rPr>
      </w:pPr>
      <w:r>
        <w:rPr>
          <w:rFonts w:ascii="宋体" w:hAnsi="宋体" w:cs="宋体"/>
          <w:color w:val="auto"/>
          <w:sz w:val="24"/>
          <w:szCs w:val="24"/>
          <w:highlight w:val="none"/>
        </w:rPr>
        <w:t xml:space="preserve">（3）.</w:t>
      </w:r>
      <w:r>
        <w:rPr>
          <w:rFonts w:ascii="宋体" w:hAnsi="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0" w:lineRule="atLeast"/>
        <w:rPr>
          <w:bCs/>
          <w:iCs/>
          <w:color w:val="000000" w:themeColor="text1"/>
          <w:sz w:val="24"/>
          <w:szCs w:val="24"/>
          <w14:textFill>
            <w14:solidFill>
              <w14:schemeClr w14:val="tx1"/>
            </w14:solidFill>
          </w14:textFill>
        </w:rPr>
      </w:pPr>
      <w:r>
        <w:rPr>
          <w:bCs/>
          <w:iCs/>
          <w:color w:val="000000" w:themeColor="text1"/>
          <w:sz w:val="24"/>
          <w:szCs w:val="24"/>
          <w14:textFill>
            <w14:solidFill>
              <w14:schemeClr w14:val="tx1"/>
            </w14:solidFill>
          </w14:textFill>
        </w:rPr>
      </w:r>
      <w:r/>
    </w:p>
    <w:p>
      <w:pPr>
        <w:ind w:firstLine="480"/>
        <w:spacing w:line="0" w:lineRule="atLeast"/>
        <w:rPr>
          <w:rFonts w:ascii="宋体" w:hAnsi="宋体"/>
          <w:color w:val="000000" w:themeColor="text1"/>
          <w:sz w:val="24"/>
          <w:szCs w:val="24"/>
          <w14:textFill>
            <w14:solidFill>
              <w14:schemeClr w14:val="tx1"/>
            </w14:solidFill>
          </w14:textFill>
        </w:rPr>
      </w:pPr>
      <w:r>
        <w:rPr>
          <w:bCs/>
          <w:iCs/>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标的清单</w:t>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采购包号</w:t>
            </w:r>
            <w:r/>
          </w:p>
        </w:tc>
        <w:tc>
          <w:tcPr>
            <w:tcW w:w="3124"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标的</w:t>
            </w:r>
            <w:r/>
          </w:p>
        </w:tc>
        <w:tc>
          <w:tcPr>
            <w:tcW w:w="3022"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对应中</w:t>
            </w:r>
            <w:r>
              <w:rPr>
                <w:rFonts w:ascii="宋体" w:hAnsi="宋体"/>
                <w:color w:val="000000" w:themeColor="text1"/>
                <w:sz w:val="24"/>
                <w:szCs w:val="24"/>
                <w14:textFill>
                  <w14:solidFill>
                    <w14:schemeClr w14:val="tx1"/>
                  </w14:solidFill>
                </w14:textFill>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扬州市中医院新院区信息服务端设备采购(第二批)</w:t>
            </w:r>
            <w:r/>
          </w:p>
        </w:tc>
        <w:tc>
          <w:tcPr>
            <w:tcW w:w="3022"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工业</w:t>
            </w:r>
            <w:r/>
          </w:p>
        </w:tc>
      </w:tr>
    </w:tbl>
    <w:p>
      <w:pPr>
        <w:ind w:firstLine="480"/>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．核心产品</w:t>
      </w:r>
      <w:r/>
    </w:p>
    <w:tbl>
      <w:tblPr>
        <w:tblStyle w:val="74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6134"/>
      </w:tblGrid>
      <w:tr>
        <w:trPr/>
        <w:tc>
          <w:tcPr>
            <w:tcW w:w="159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包号</w:t>
            </w:r>
            <w:r/>
          </w:p>
        </w:tc>
        <w:tc>
          <w:tcPr>
            <w:tcW w:w="613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核心产品</w:t>
            </w:r>
            <w:r/>
          </w:p>
        </w:tc>
      </w:tr>
      <w:tr>
        <w:trPr/>
        <w:tc>
          <w:tcPr>
            <w:tcW w:w="159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6134"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核心数据库</w:t>
            </w:r>
            <w:r>
              <w:rPr>
                <w:rFonts w:hint="eastAsia" w:ascii="宋体" w:hAnsi="宋体" w:cs="宋体"/>
                <w:color w:val="000000" w:themeColor="text1"/>
                <w:sz w:val="24"/>
                <w:szCs w:val="24"/>
                <w14:textFill>
                  <w14:solidFill>
                    <w14:schemeClr w14:val="tx1"/>
                  </w14:solidFill>
                </w14:textFill>
              </w:rPr>
              <w:t xml:space="preserve">计算节点</w:t>
            </w:r>
            <w:r/>
          </w:p>
        </w:tc>
      </w:tr>
    </w:tbl>
    <w:p>
      <w:pPr>
        <w:spacing w:line="0" w:lineRule="atLeas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w:t>
      </w:r>
      <w:r>
        <w:rPr>
          <w:rFonts w:ascii="宋体" w:hAnsi="宋体"/>
          <w:b/>
          <w:color w:val="000000" w:themeColor="text1"/>
          <w:sz w:val="24"/>
          <w:szCs w:val="24"/>
          <w14:textFill>
            <w14:solidFill>
              <w14:schemeClr w14:val="tx1"/>
            </w14:solidFill>
          </w14:textFill>
        </w:rPr>
        <w:t xml:space="preserve">、技术要求</w:t>
      </w:r>
      <w:r/>
    </w:p>
    <w:p>
      <w:pPr>
        <w:spacing w:line="0" w:lineRule="atLeast"/>
        <w:rPr>
          <w:rFonts w:ascii="宋体" w:hAnsi="宋体"/>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技术要求是指对采购标的功能和质量要求，包括性能、材料、结构、外观、安全，或者服务内容和标准等。</w:t>
      </w:r>
      <w:r/>
    </w:p>
    <w:p>
      <w:pPr>
        <w:pStyle w:val="731"/>
        <w:numPr>
          <w:ilvl w:val="0"/>
          <w:numId w:val="13"/>
        </w:numPr>
        <w:jc w:val="both"/>
        <w:spacing w:before="360" w:after="200" w:line="240" w:lineRule="auto"/>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项目建设内容</w:t>
      </w:r>
      <w:r/>
    </w:p>
    <w:p>
      <w:pPr>
        <w:pStyle w:val="732"/>
        <w:rPr>
          <w:rFonts w:asciiTheme="minorEastAsia" w:hAnsiTheme="minorEastAsia" w:eastAsia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2.1 项目背景</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扬州市中医院新院区信息设备服务端采购项目是支撑扬州市中医院新院区开业的基础保障，新院区作为医院扩容发展的核心载体，需同步搭建完善的信息化基础设施，为门诊诊疗、住院护理、医技检查等核心业务开业即运行提供支撑。</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本次采购的内网</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核心数据库计算节点、核心数据存储、医疗态势感知</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等设备，是保障新院区医疗服务正常开展的“数字基石”，直接关系到诊疗效率、患者体验与医疗质量。新老院区业务需协同老院区已形成的 HIS、</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EMR</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等核心生产业务系统，新院区需通过标准化信息化设备实现与老院区的数据互通、流程衔接，避免“数据孤岛”和“业务割裂”。设备的互联互通能力将直接决定全院诊疗资源整合效率，保障患者病历、检查结果、医嘱信息等关键数据实时共享，支撑跨院区转诊、多学科会诊等业务开展。新院区诊疗过程中产生的</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数据</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均属于敏感医疗信息，仍需通过专业设备构建安全防护体系，</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医疗态势感知</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满足医疗安全与合规管理的刚性要求。</w:t>
      </w:r>
      <w:r/>
    </w:p>
    <w:p>
      <w:pPr>
        <w:pStyle w:val="732"/>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2.2 需求现状</w:t>
      </w:r>
      <w:r/>
    </w:p>
    <w:p>
      <w:pPr>
        <w:ind w:firstLine="480"/>
        <w:spacing w:line="360" w:lineRule="auto"/>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1. </w:t>
      </w:r>
      <w:r>
        <w:rPr>
          <w:rFonts w:hint="eastAsia" w:cs="Times New Roman" w:asciiTheme="minorEastAsia" w:hAnsiTheme="minorEastAsia" w:eastAsiaTheme="minorEastAsia"/>
          <w:color w:val="000000" w:themeColor="text1"/>
          <w:sz w:val="24"/>
          <w:szCs w:val="24"/>
          <w:lang w:val="en-US" w:eastAsia="zh-CN"/>
          <w14:textFill>
            <w14:solidFill>
              <w14:schemeClr w14:val="tx1"/>
            </w14:solidFill>
          </w14:textFill>
        </w:rPr>
        <w:t xml:space="preserve">全面国产化转</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型滞后：现有数据库及存储系统未完全实现</w:t>
      </w:r>
      <w:r>
        <w:rPr>
          <w:rFonts w:hint="eastAsia" w:cs="Times New Roman"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适配，核心医疗数据存储、处理依赖非</w:t>
      </w:r>
      <w:r>
        <w:rPr>
          <w:rFonts w:hint="eastAsia" w:cs="Times New Roman"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产品，不符合国家及医疗行业</w:t>
      </w:r>
      <w:r>
        <w:rPr>
          <w:rFonts w:hint="eastAsia" w:cs="Times New Roman"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发展政策要求，存在数据安全及政策合规风险，无法满足医院</w:t>
      </w:r>
      <w:r>
        <w:rPr>
          <w:rFonts w:hint="eastAsia" w:cs="Times New Roman"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体系建设的整体规划，亟需通过</w:t>
      </w:r>
      <w:r>
        <w:rPr>
          <w:rFonts w:hint="eastAsia" w:cs="Times New Roman"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核心设备替换，构建自主可控的信息化底座。</w:t>
      </w:r>
      <w:r/>
    </w:p>
    <w:p>
      <w:pPr>
        <w:ind w:firstLine="480"/>
        <w:spacing w:line="360" w:lineRule="auto"/>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2. 数据存储能力不足：新院区承载电子病历、中医处方、检查检验报告、影像数据、科研数据等</w:t>
      </w:r>
      <w:r>
        <w:rPr>
          <w:rFonts w:hint="eastAsia" w:cs="Times New Roman" w:asciiTheme="minorEastAsia" w:hAnsiTheme="minorEastAsia" w:eastAsiaTheme="minorEastAsia"/>
          <w:color w:val="000000" w:themeColor="text1"/>
          <w:sz w:val="24"/>
          <w:szCs w:val="24"/>
          <w:lang w:eastAsia="zh-CN"/>
          <w14:textFill>
            <w14:solidFill>
              <w14:schemeClr w14:val="tx1"/>
            </w14:solidFill>
          </w14:textFill>
        </w:rPr>
        <w:t xml:space="preserve">核心</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医疗数据，现有存储系统容量有限、扩展能力不足，且读写速度无法匹配中医辨证论治、急诊救治等场景下的高频数据调用需求，存在数据存储拥堵、查询延迟等问题，影响诊疗效率，同时缺乏完善的容灾备份机制，无法保障医疗数据的连续性和安全性。</w:t>
      </w:r>
      <w:r/>
    </w:p>
    <w:p>
      <w:pPr>
        <w:ind w:firstLine="480"/>
        <w:spacing w:line="360" w:lineRule="auto"/>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3. 安全态势感知缺失：当前信息化系统缺乏专业的态势感知能力，无法实时监测数据库服务、存储设备、传输链路的运行状态，对数据泄露、非法访问、恶意攻击、设备故障等安全风险无法及时预警、溯源和处置，不符合医疗行业数据安全管理规范，难以保障患者隐私及医院核心数据安全，无法满足三甲医院信息化安全等级保护相关要求。</w:t>
      </w:r>
      <w:r/>
    </w:p>
    <w:p>
      <w:pPr>
        <w:pStyle w:val="741"/>
        <w:spacing w:line="360" w:lineRule="auto"/>
        <w:rPr>
          <w:rFonts w:hint="eastAsia"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综上，为落实</w:t>
      </w:r>
      <w:r>
        <w:rPr>
          <w:rFonts w:hint="eastAsia" w:cs="Times New Roman"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政策要求、保障医疗业务高效运转、强化数据安全防护，亟需采购一批符合三甲中医院业务需求、满足</w:t>
      </w:r>
      <w:r>
        <w:rPr>
          <w:rFonts w:hint="eastAsia" w:cs="Times New Roman"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标准、性能稳定可靠的信息化设备，补齐现有基础设施短板，完善新院区信息化体系建设。</w:t>
      </w:r>
      <w:r/>
    </w:p>
    <w:p>
      <w:pPr>
        <w:pStyle w:val="732"/>
        <w:rPr>
          <w:rFonts w:asciiTheme="minorEastAsia" w:hAnsiTheme="minorEastAsia" w:eastAsia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2.3 建设目标</w:t>
      </w:r>
      <w:r/>
    </w:p>
    <w:p>
      <w:pPr>
        <w:ind w:firstLine="480"/>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本次采购项目以“</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引领、安全可控、高效适配、按需扩展”为核心原则，结合三甲中医院新院区业务发展规划及</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建设要求，通过采购</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核心数据库服务、</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核心数据库存储、存储光纤交换机及态势感知系统，实现以下建设目标：​</w:t>
      </w:r>
      <w:r/>
    </w:p>
    <w:p>
      <w:pPr>
        <w:ind w:firstLine="480"/>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1.构建</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核心底座：完成</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核心数据库服务及存储系统部署，实现核心医疗数据存储、处理、管理的全流程</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适配，符合国家</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产业政策及医疗行业规范，确保数据库及存储系统自主可控、稳定运行，彻底解决</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转型滞后问题，为医院后续信息化</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升级奠定基础。​</w:t>
      </w:r>
      <w:r/>
    </w:p>
    <w:p>
      <w:pPr>
        <w:ind w:firstLine="480"/>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2.提升数据存储效能：搭建高容量、高读写、高可靠的</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国产</w:t>
      </w:r>
      <w:r>
        <w:rPr>
          <w:rFonts w:hint="eastAsia" w:asciiTheme="minorEastAsia" w:hAnsiTheme="minorEastAsia" w:eastAsiaTheme="minorEastAsia"/>
          <w:color w:val="000000" w:themeColor="text1"/>
          <w:sz w:val="24"/>
          <w:szCs w:val="24"/>
          <w14:textFill>
            <w14:solidFill>
              <w14:schemeClr w14:val="tx1"/>
            </w14:solidFill>
          </w14:textFill>
        </w:rPr>
        <w:t xml:space="preserve">核心数据库存储系统，满足</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核心</w:t>
      </w:r>
      <w:r>
        <w:rPr>
          <w:rFonts w:hint="eastAsia" w:asciiTheme="minorEastAsia" w:hAnsiTheme="minorEastAsia" w:eastAsiaTheme="minorEastAsia"/>
          <w:color w:val="000000" w:themeColor="text1"/>
          <w:sz w:val="24"/>
          <w:szCs w:val="24"/>
          <w14:textFill>
            <w14:solidFill>
              <w14:schemeClr w14:val="tx1"/>
            </w14:solidFill>
          </w14:textFill>
        </w:rPr>
        <w:t xml:space="preserve">医疗数据的存储需求，支持存储容量灵活扩展，读写速率适配高频业务调用场景，保障数据查询、修改、备份的高效性，同时构建完善的容灾备份机制，确保数据零丢失、业务不中断，实现数据迁移高效无损。​</w:t>
      </w:r>
      <w:r/>
    </w:p>
    <w:p>
      <w:pPr>
        <w:ind w:firstLine="480"/>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优化数据传输架构：部署高性能存储光纤交换机，构建稳定、高速的专用数据传输链路，实现核心数据库与存储系统、各业务系统与存储设备之间的高速数据传输，消除传输瓶颈，避免数据丢包、中断等问题，保障数据实时同步更新，支撑中医影像传输、远程会诊、多系统数据交互等大数据量业务的顺畅开展，确保传输架构无阻塞、全线速运行。​</w:t>
      </w:r>
      <w:r/>
    </w:p>
    <w:p>
      <w:pPr>
        <w:ind w:firstLine="480"/>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强化安全态势管控：搭建全方位、智能化的态势感知系统，实现对数据库服务、存储设备、存储光纤交换机及相关链路的实时监测、风险预警、异常溯源和应急处置，全面覆盖数据安全、设备安全、传输安全等场景，将威胁检测准确率提升至90%以上，误报率控制在5%以内，有效防范数据泄露、恶意攻击等安全风险，保障患者隐私及医院核心数据安全，满足医疗行业数据安全等级保护及相关合规要求。​</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5.适配医院业务发展：所有采购设备需与新院区现有信息化系统（电子病历系统、HIS系统、LIS系统、中医特色诊疗系统等）无缝兼容，支持后续业务扩展及系统升级，为医院科研、教学、临床诊疗等工作提供稳定、高效的信息化支撑，助力提升中医诊疗服务质量和医院管理水平，实现信息化与中医业务的深度融合。</w:t>
      </w:r>
      <w:r/>
    </w:p>
    <w:p>
      <w:pPr>
        <w:pStyle w:val="731"/>
        <w:numPr>
          <w:ilvl w:val="0"/>
          <w:numId w:val="13"/>
        </w:numPr>
        <w:jc w:val="both"/>
        <w:spacing w:before="360" w:after="200" w:line="240" w:lineRule="auto"/>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项目采购清单</w:t>
      </w:r>
      <w:r/>
    </w:p>
    <w:tbl>
      <w:tblPr>
        <w:tblStyle w:val="74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76"/>
        <w:gridCol w:w="3761"/>
        <w:gridCol w:w="2978"/>
        <w:gridCol w:w="783"/>
        <w:gridCol w:w="867"/>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单位</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一、</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计算资源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核心数据库</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计算节点</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lang w:bidi="ar"/>
                <w14:textFill>
                  <w14:solidFill>
                    <w14:schemeClr w14:val="tx1"/>
                  </w14:solidFill>
                </w14:textFill>
              </w:rPr>
            </w:pPr>
            <w:r>
              <w:rPr>
                <w:rFonts w:asciiTheme="minorEastAsia" w:hAnsiTheme="minorEastAsia" w:eastAsiaTheme="minorEastAsia"/>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存储</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交换机</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lang w:bidi="ar"/>
                <w14:textFill>
                  <w14:solidFill>
                    <w14:schemeClr w14:val="tx1"/>
                  </w14:solidFill>
                </w14:textFill>
              </w:rPr>
            </w:pPr>
            <w:r>
              <w:rPr>
                <w:rFonts w:hint="eastAsia" w:asciiTheme="minorEastAsia" w:hAnsiTheme="minorEastAsia" w:eastAsiaTheme="minorEastAsia"/>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hint="default" w:cs="宋体"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核心数据库存储</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台</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二、</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安全资源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hint="default" w:cs="宋体"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医疗态势感知</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cs="宋体" w:asciiTheme="minorEastAsia" w:hAnsiTheme="minorEastAsia" w:eastAsiaTheme="minorEastAsia"/>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套</w:t>
            </w:r>
            <w:r/>
          </w:p>
        </w:tc>
      </w:tr>
    </w:tbl>
    <w:p>
      <w:pPr>
        <w:pStyle w:val="731"/>
        <w:numPr>
          <w:ilvl w:val="0"/>
          <w:numId w:val="13"/>
        </w:numPr>
        <w:jc w:val="both"/>
        <w:spacing w:before="360" w:after="200" w:line="240" w:lineRule="auto"/>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技术指标要求</w:t>
      </w:r>
      <w:r/>
    </w:p>
    <w:p>
      <w:pPr>
        <w:pStyle w:val="732"/>
        <w:rPr>
          <w:rFonts w:asciiTheme="minorEastAsia" w:hAnsiTheme="minorEastAsia" w:eastAsia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4.1 计算资源</w:t>
      </w:r>
      <w:r/>
    </w:p>
    <w:p>
      <w:pPr>
        <w:rPr>
          <w:rFonts w:asciiTheme="minorEastAsia" w:hAnsiTheme="minorEastAsia" w:eastAsiaTheme="minorEastAsia"/>
          <w:b/>
          <w:bCs/>
          <w:i/>
          <w:iCs/>
          <w:color w:val="000000" w:themeColor="text1"/>
          <w:sz w:val="24"/>
          <w:szCs w:val="24"/>
          <w:u w:val="single"/>
          <w14:textFill>
            <w14:solidFill>
              <w14:schemeClr w14:val="tx1"/>
            </w14:solidFill>
          </w14:textFill>
        </w:rPr>
      </w:pPr>
      <w:r>
        <w:rPr>
          <w:rFonts w:hint="eastAsia" w:asciiTheme="minorEastAsia" w:hAnsiTheme="minorEastAsia" w:eastAsiaTheme="minorEastAsia"/>
          <w:b/>
          <w:i/>
          <w:iCs/>
          <w:color w:val="000000" w:themeColor="text1"/>
          <w:sz w:val="24"/>
          <w:szCs w:val="24"/>
          <w:u w:val="single"/>
          <w:lang w:val="en-US" w:eastAsia="zh-CN"/>
          <w14:textFill>
            <w14:solidFill>
              <w14:schemeClr w14:val="tx1"/>
            </w14:solidFill>
          </w14:textFill>
        </w:rPr>
        <w:t xml:space="preserve">核心数据库</w:t>
      </w:r>
      <w:r>
        <w:rPr>
          <w:rFonts w:hint="eastAsia" w:asciiTheme="minorEastAsia" w:hAnsiTheme="minorEastAsia" w:eastAsiaTheme="minorEastAsia"/>
          <w:b/>
          <w:i/>
          <w:iCs/>
          <w:color w:val="000000" w:themeColor="text1"/>
          <w:sz w:val="24"/>
          <w:szCs w:val="24"/>
          <w:u w:val="single"/>
          <w14:textFill>
            <w14:solidFill>
              <w14:schemeClr w14:val="tx1"/>
            </w14:solidFill>
          </w14:textFill>
        </w:rPr>
        <w:t xml:space="preserve">计算节点</w:t>
      </w:r>
      <w:r>
        <w:rPr>
          <w:rFonts w:asciiTheme="minorEastAsia" w:hAnsiTheme="minorEastAsia" w:eastAsiaTheme="minorEastAsia"/>
          <w:b/>
          <w:i/>
          <w:iCs/>
          <w:color w:val="000000" w:themeColor="text1"/>
          <w:sz w:val="24"/>
          <w:szCs w:val="24"/>
          <w:u w:val="single"/>
          <w14:textFill>
            <w14:solidFill>
              <w14:schemeClr w14:val="tx1"/>
            </w14:solidFill>
          </w14:textFill>
        </w:rPr>
        <w:t xml:space="preserve">和</w:t>
      </w:r>
      <w:r>
        <w:rPr>
          <w:rFonts w:hint="eastAsia" w:asciiTheme="minorEastAsia" w:hAnsiTheme="minorEastAsia" w:eastAsiaTheme="minorEastAsia"/>
          <w:b/>
          <w:i/>
          <w:iCs/>
          <w:color w:val="000000" w:themeColor="text1"/>
          <w:sz w:val="24"/>
          <w:szCs w:val="24"/>
          <w:u w:val="single"/>
          <w:lang w:val="en-US" w:eastAsia="zh-CN"/>
          <w14:textFill>
            <w14:solidFill>
              <w14:schemeClr w14:val="tx1"/>
            </w14:solidFill>
          </w14:textFill>
        </w:rPr>
        <w:t xml:space="preserve">核心数据</w:t>
      </w:r>
      <w:r>
        <w:rPr>
          <w:rFonts w:hint="eastAsia" w:asciiTheme="minorEastAsia" w:hAnsiTheme="minorEastAsia" w:eastAsiaTheme="minorEastAsia"/>
          <w:b/>
          <w:i/>
          <w:iCs/>
          <w:color w:val="000000" w:themeColor="text1"/>
          <w:sz w:val="24"/>
          <w:szCs w:val="24"/>
          <w:highlight w:val="none"/>
          <w:u w:val="single"/>
          <w:lang w:val="en-US" w:eastAsia="zh-CN"/>
          <w14:textFill>
            <w14:solidFill>
              <w14:schemeClr w14:val="tx1"/>
            </w14:solidFill>
          </w14:textFill>
        </w:rPr>
        <w:t xml:space="preserve">库</w:t>
      </w:r>
      <w:r>
        <w:rPr>
          <w:rFonts w:asciiTheme="minorEastAsia" w:hAnsiTheme="minorEastAsia" w:eastAsiaTheme="minorEastAsia"/>
          <w:b/>
          <w:i/>
          <w:iCs/>
          <w:color w:val="000000" w:themeColor="text1"/>
          <w:sz w:val="24"/>
          <w:szCs w:val="24"/>
          <w:u w:val="single"/>
          <w14:textFill>
            <w14:solidFill>
              <w14:schemeClr w14:val="tx1"/>
            </w14:solidFill>
          </w14:textFill>
        </w:rPr>
        <w:t xml:space="preserve">存储</w:t>
      </w:r>
      <w:r>
        <w:rPr>
          <w:rFonts w:hint="eastAsia" w:asciiTheme="minorEastAsia" w:hAnsiTheme="minorEastAsia" w:eastAsiaTheme="minorEastAsia"/>
          <w:i/>
          <w:iCs/>
          <w:color w:val="000000" w:themeColor="text1"/>
          <w:sz w:val="24"/>
          <w:szCs w:val="24"/>
          <w:u w:val="single"/>
          <w14:textFill>
            <w14:solidFill>
              <w14:schemeClr w14:val="tx1"/>
            </w14:solidFill>
          </w14:textFill>
        </w:rPr>
        <w:t xml:space="preserve">绿色数据中心需求标准</w:t>
      </w:r>
      <w:r>
        <w:rPr>
          <w:rFonts w:hint="eastAsia" w:asciiTheme="minorEastAsia" w:hAnsiTheme="minorEastAsia" w:eastAsiaTheme="minorEastAsia"/>
          <w:b/>
          <w:bCs/>
          <w:i/>
          <w:iCs/>
          <w:color w:val="000000" w:themeColor="text1"/>
          <w:sz w:val="24"/>
          <w:szCs w:val="24"/>
          <w:u w:val="single"/>
          <w14:textFill>
            <w14:solidFill>
              <w14:schemeClr w14:val="tx1"/>
            </w14:solidFill>
          </w14:textFill>
        </w:rPr>
        <w:t xml:space="preserve">（服务器及存储设备）：</w:t>
      </w:r>
      <w:r/>
    </w:p>
    <w:tbl>
      <w:tblPr>
        <w:tblStyle w:val="740"/>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436"/>
        <w:gridCol w:w="1391"/>
        <w:gridCol w:w="1625"/>
        <w:gridCol w:w="2188"/>
        <w:gridCol w:w="1475"/>
      </w:tblGrid>
      <w:tr>
        <w:trPr>
          <w:trHeight w:val="397"/>
          <w:tblHeader/>
        </w:trPr>
        <w:tc>
          <w:tcPr>
            <w:shd w:val="clear" w:color="auto" w:fill="bebebe" w:themeFill="background1" w:themeFillShade="BF"/>
            <w:tcW w:w="844" w:type="dxa"/>
            <w:vAlign w:val="center"/>
            <w:textDirection w:val="lrTb"/>
            <w:noWrap w:val="false"/>
          </w:tcPr>
          <w:p>
            <w:pPr>
              <w:jc w:val="center"/>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t xml:space="preserve">序号</w:t>
            </w:r>
            <w:r/>
          </w:p>
        </w:tc>
        <w:tc>
          <w:tcPr>
            <w:shd w:val="clear" w:color="auto" w:fill="bebebe" w:themeFill="background1" w:themeFillShade="BF"/>
            <w:tcW w:w="1436" w:type="dxa"/>
            <w:vAlign w:val="center"/>
            <w:textDirection w:val="lrTb"/>
            <w:noWrap w:val="false"/>
          </w:tcPr>
          <w:p>
            <w:pPr>
              <w:jc w:val="cente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设备类型</w:t>
            </w:r>
            <w:r/>
          </w:p>
        </w:tc>
        <w:tc>
          <w:tcPr>
            <w:gridSpan w:val="3"/>
            <w:shd w:val="clear" w:color="auto" w:fill="bebebe" w:themeFill="background1" w:themeFillShade="BF"/>
            <w:tcW w:w="5204" w:type="dxa"/>
            <w:vAlign w:val="center"/>
            <w:textDirection w:val="lrTb"/>
            <w:noWrap w:val="false"/>
          </w:tcPr>
          <w:p>
            <w:pPr>
              <w:jc w:val="cente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指标</w:t>
            </w:r>
            <w:r/>
          </w:p>
        </w:tc>
        <w:tc>
          <w:tcPr>
            <w:shd w:val="clear" w:color="auto" w:fill="bebebe" w:themeFill="background1" w:themeFillShade="BF"/>
            <w:tcW w:w="1475" w:type="dxa"/>
            <w:vAlign w:val="center"/>
            <w:textDirection w:val="lrTb"/>
            <w:noWrap w:val="false"/>
          </w:tcPr>
          <w:p>
            <w:pPr>
              <w:jc w:val="center"/>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招标要求</w:t>
            </w:r>
            <w:r/>
          </w:p>
        </w:tc>
      </w:tr>
      <w:tr>
        <w:trPr>
          <w:trHeight w:val="570"/>
        </w:trPr>
        <w:tc>
          <w:tcPr>
            <w:tcW w:w="844"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w:t>
            </w:r>
            <w:r/>
          </w:p>
        </w:tc>
        <w:tc>
          <w:tcPr>
            <w:tcW w:w="1436"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服务器及存储</w:t>
            </w:r>
            <w:r/>
          </w:p>
        </w:tc>
        <w:tc>
          <w:tcPr>
            <w:gridSpan w:val="3"/>
            <w:tcW w:w="5204"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产品可再生利用率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80%</w:t>
            </w:r>
            <w:r/>
          </w:p>
        </w:tc>
      </w:tr>
      <w:tr>
        <w:trPr>
          <w:trHeight w:val="78"/>
        </w:trPr>
        <w:tc>
          <w:tcPr>
            <w:tcW w:w="844" w:type="dxa"/>
            <w:vAlign w:val="center"/>
            <w:vMerge w:val="restart"/>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供电模块效率</w:t>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20%</w:t>
            </w:r>
            <w:r>
              <w:rPr>
                <w:rFonts w:hint="eastAsia" w:asciiTheme="minorEastAsia" w:hAnsiTheme="minorEastAsia" w:eastAsiaTheme="minorEastAsia"/>
                <w:color w:val="000000" w:themeColor="text1"/>
                <w:sz w:val="24"/>
                <w:szCs w:val="24"/>
                <w14:textFill>
                  <w14:solidFill>
                    <w14:schemeClr w14:val="tx1"/>
                  </w14:solidFill>
                </w14:textFill>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90%</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功率因数（</w:t>
            </w:r>
            <w:r>
              <w:rPr>
                <w:rFonts w:asciiTheme="minorEastAsia" w:hAnsiTheme="minorEastAsia" w:eastAsiaTheme="minorEastAsia"/>
                <w:color w:val="000000" w:themeColor="text1"/>
                <w:sz w:val="24"/>
                <w:szCs w:val="24"/>
                <w14:textFill>
                  <w14:solidFill>
                    <w14:schemeClr w14:val="tx1"/>
                  </w14:solidFill>
                </w14:textFill>
              </w:rPr>
              <w:t xml:space="preserve">PF</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0.95</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50%</w:t>
            </w:r>
            <w:r>
              <w:rPr>
                <w:rFonts w:hint="eastAsia" w:asciiTheme="minorEastAsia" w:hAnsiTheme="minorEastAsia" w:eastAsiaTheme="minorEastAsia"/>
                <w:color w:val="000000" w:themeColor="text1"/>
                <w:sz w:val="24"/>
                <w:szCs w:val="24"/>
                <w14:textFill>
                  <w14:solidFill>
                    <w14:schemeClr w14:val="tx1"/>
                  </w14:solidFill>
                </w14:textFill>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94%</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功率因数（</w:t>
            </w:r>
            <w:r>
              <w:rPr>
                <w:rFonts w:asciiTheme="minorEastAsia" w:hAnsiTheme="minorEastAsia" w:eastAsiaTheme="minorEastAsia"/>
                <w:color w:val="000000" w:themeColor="text1"/>
                <w:sz w:val="24"/>
                <w:szCs w:val="24"/>
                <w14:textFill>
                  <w14:solidFill>
                    <w14:schemeClr w14:val="tx1"/>
                  </w14:solidFill>
                </w14:textFill>
              </w:rPr>
              <w:t xml:space="preserve">PF</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0.95</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100%</w:t>
            </w:r>
            <w:r>
              <w:rPr>
                <w:rFonts w:hint="eastAsia" w:asciiTheme="minorEastAsia" w:hAnsiTheme="minorEastAsia" w:eastAsiaTheme="minorEastAsia"/>
                <w:color w:val="000000" w:themeColor="text1"/>
                <w:sz w:val="24"/>
                <w:szCs w:val="24"/>
                <w14:textFill>
                  <w14:solidFill>
                    <w14:schemeClr w14:val="tx1"/>
                  </w14:solidFill>
                </w14:textFill>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91%</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功率因数（</w:t>
            </w:r>
            <w:r>
              <w:rPr>
                <w:rFonts w:asciiTheme="minorEastAsia" w:hAnsiTheme="minorEastAsia" w:eastAsiaTheme="minorEastAsia"/>
                <w:color w:val="000000" w:themeColor="text1"/>
                <w:sz w:val="24"/>
                <w:szCs w:val="24"/>
                <w14:textFill>
                  <w14:solidFill>
                    <w14:schemeClr w14:val="tx1"/>
                  </w14:solidFill>
                </w14:textFill>
              </w:rPr>
              <w:t xml:space="preserve">PF</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asciiTheme="minorEastAsia" w:hAnsiTheme="minorEastAsia" w:eastAsiaTheme="minorEastAsia"/>
                <w:color w:val="000000" w:themeColor="text1"/>
                <w:sz w:val="24"/>
                <w:szCs w:val="24"/>
                <w14:textFill>
                  <w14:solidFill>
                    <w14:schemeClr w14:val="tx1"/>
                  </w14:solidFill>
                </w14:textFill>
              </w:rPr>
              <w:t xml:space="preserve">0.95</w:t>
            </w:r>
            <w:r/>
          </w:p>
        </w:tc>
      </w:tr>
    </w:tbl>
    <w:p>
      <w:pPr>
        <w:rPr>
          <w:rFonts w:asciiTheme="minorEastAsia" w:hAnsiTheme="minorEastAsia" w:eastAsiaTheme="minorEastAsia"/>
          <w:b/>
          <w:bCs/>
          <w:i/>
          <w:iCs/>
          <w:color w:val="000000" w:themeColor="text1"/>
          <w:sz w:val="24"/>
          <w:szCs w:val="24"/>
          <w:u w:val="single"/>
          <w14:textFill>
            <w14:solidFill>
              <w14:schemeClr w14:val="tx1"/>
            </w14:solidFill>
          </w14:textFill>
        </w:rPr>
      </w:pPr>
      <w:r>
        <w:rPr>
          <w:rFonts w:hint="eastAsia" w:asciiTheme="minorEastAsia" w:hAnsiTheme="minorEastAsia" w:eastAsiaTheme="minorEastAsia"/>
          <w:b/>
          <w:i/>
          <w:iCs/>
          <w:color w:val="000000" w:themeColor="text1"/>
          <w:sz w:val="24"/>
          <w:szCs w:val="24"/>
          <w:u w:val="single"/>
          <w:lang w:val="en-US" w:eastAsia="zh-CN"/>
          <w14:textFill>
            <w14:solidFill>
              <w14:schemeClr w14:val="tx1"/>
            </w14:solidFill>
          </w14:textFill>
        </w:rPr>
        <w:t xml:space="preserve">存储</w:t>
      </w:r>
      <w:r>
        <w:rPr>
          <w:rFonts w:hint="eastAsia" w:asciiTheme="minorEastAsia" w:hAnsiTheme="minorEastAsia" w:eastAsiaTheme="minorEastAsia"/>
          <w:b/>
          <w:i/>
          <w:iCs/>
          <w:color w:val="000000" w:themeColor="text1"/>
          <w:sz w:val="24"/>
          <w:szCs w:val="24"/>
          <w:u w:val="single"/>
          <w14:textFill>
            <w14:solidFill>
              <w14:schemeClr w14:val="tx1"/>
            </w14:solidFill>
          </w14:textFill>
        </w:rPr>
        <w:t xml:space="preserve">交换机</w:t>
      </w:r>
      <w:r>
        <w:rPr>
          <w:rFonts w:hint="eastAsia" w:asciiTheme="minorEastAsia" w:hAnsiTheme="minorEastAsia" w:eastAsiaTheme="minorEastAsia"/>
          <w:i/>
          <w:iCs/>
          <w:color w:val="000000" w:themeColor="text1"/>
          <w:sz w:val="24"/>
          <w:szCs w:val="24"/>
          <w:u w:val="single"/>
          <w14:textFill>
            <w14:solidFill>
              <w14:schemeClr w14:val="tx1"/>
            </w14:solidFill>
          </w14:textFill>
        </w:rPr>
        <w:t xml:space="preserve">绿色数据中心需求标准</w:t>
      </w:r>
      <w:r>
        <w:rPr>
          <w:rFonts w:hint="eastAsia" w:asciiTheme="minorEastAsia" w:hAnsiTheme="minorEastAsia" w:eastAsiaTheme="minorEastAsia"/>
          <w:b/>
          <w:bCs/>
          <w:i/>
          <w:iCs/>
          <w:color w:val="000000" w:themeColor="text1"/>
          <w:sz w:val="24"/>
          <w:szCs w:val="24"/>
          <w:u w:val="single"/>
          <w14:textFill>
            <w14:solidFill>
              <w14:schemeClr w14:val="tx1"/>
            </w14:solidFill>
          </w14:textFill>
        </w:rPr>
        <w:t xml:space="preserve">：（以太网交换机）</w:t>
      </w:r>
      <w:r/>
    </w:p>
    <w:p>
      <w:pPr>
        <w:rPr>
          <w:rFonts w:asciiTheme="minorEastAsia" w:hAnsiTheme="minorEastAsia" w:eastAsiaTheme="minorEastAsia"/>
          <w:b/>
          <w:bCs/>
          <w:i/>
          <w:iCs/>
          <w:color w:val="000000" w:themeColor="text1"/>
          <w:sz w:val="24"/>
          <w:szCs w:val="24"/>
          <w:u w:val="single"/>
          <w14:textFill>
            <w14:solidFill>
              <w14:schemeClr w14:val="tx1"/>
            </w14:solidFill>
          </w14:textFill>
        </w:rPr>
      </w:pPr>
      <w:r>
        <w:rPr>
          <w:rFonts w:asciiTheme="minorEastAsia" w:hAnsiTheme="minorEastAsia" w:eastAsiaTheme="minorEastAsia"/>
          <w:b/>
          <w:bCs/>
          <w:i/>
          <w:iCs/>
          <w:color w:val="000000" w:themeColor="text1"/>
          <w:sz w:val="24"/>
          <w:szCs w:val="24"/>
          <w:u w:val="single"/>
          <w14:textFill>
            <w14:solidFill>
              <w14:schemeClr w14:val="tx1"/>
            </w14:solidFill>
          </w14:textFill>
        </w:rPr>
      </w:r>
      <w:r/>
    </w:p>
    <w:tbl>
      <w:tblPr>
        <w:tblStyle w:val="74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2190"/>
        <w:gridCol w:w="18"/>
        <w:gridCol w:w="1684"/>
        <w:gridCol w:w="1266"/>
        <w:gridCol w:w="2672"/>
      </w:tblGrid>
      <w:tr>
        <w:trPr/>
        <w:tc>
          <w:tcPr>
            <w:shd w:val="clear" w:color="auto" w:fill="auto"/>
            <w:tcW w:w="474" w:type="dxa"/>
            <w:vAlign w:val="center"/>
            <w:textDirection w:val="lrTb"/>
            <w:noWrap w:val="false"/>
          </w:tcPr>
          <w:p>
            <w:pPr>
              <w:pStyle w:val="815"/>
              <w:ind w:left="0" w:right="153"/>
              <w:spacing w:line="276" w:lineRule="auto"/>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c>
        <w:tc>
          <w:tcPr>
            <w:gridSpan w:val="3"/>
            <w:shd w:val="clear" w:color="auto" w:fill="d8d8d8"/>
            <w:tcW w:w="3892" w:type="dxa"/>
            <w:vAlign w:val="center"/>
            <w:textDirection w:val="lrTb"/>
            <w:noWrap w:val="false"/>
          </w:tcPr>
          <w:p>
            <w:pPr>
              <w:pStyle w:val="815"/>
              <w:ind w:left="0" w:right="153"/>
              <w:jc w:val="center"/>
              <w:spacing w:line="276" w:lineRule="auto"/>
              <w:rPr>
                <w:color w:val="000000" w:themeColor="text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指标</w:t>
            </w:r>
            <w:r/>
          </w:p>
        </w:tc>
        <w:tc>
          <w:tcPr>
            <w:shd w:val="clear" w:color="auto" w:fill="d8d8d8"/>
            <w:tcW w:w="1266" w:type="dxa"/>
            <w:vAlign w:val="center"/>
            <w:textDirection w:val="lrTb"/>
            <w:noWrap w:val="false"/>
          </w:tcPr>
          <w:p>
            <w:pPr>
              <w:pStyle w:val="815"/>
              <w:ind w:left="0" w:right="153"/>
              <w:jc w:val="center"/>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限制值</w:t>
            </w:r>
            <w:r/>
          </w:p>
        </w:tc>
        <w:tc>
          <w:tcPr>
            <w:shd w:val="clear" w:color="auto" w:fill="d8d8d8"/>
            <w:tcW w:w="2672" w:type="dxa"/>
            <w:vAlign w:val="center"/>
            <w:textDirection w:val="lrTb"/>
            <w:noWrap w:val="false"/>
          </w:tcPr>
          <w:p>
            <w:pPr>
              <w:pStyle w:val="815"/>
              <w:ind w:left="0" w:right="153"/>
              <w:jc w:val="center"/>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判定依据</w:t>
            </w:r>
            <w:r>
              <w:rPr>
                <w:rFonts w:ascii="Times New Roman" w:hAnsi="Times New Roman"/>
                <w:color w:val="000000" w:themeColor="text1"/>
                <w:sz w:val="21"/>
                <w:szCs w:val="21"/>
                <w14:textFill>
                  <w14:solidFill>
                    <w14:schemeClr w14:val="tx1"/>
                  </w14:solidFill>
                </w14:textFill>
              </w:rPr>
              <w:t xml:space="preserve">/</w:t>
            </w:r>
            <w:r>
              <w:rPr>
                <w:rFonts w:hint="eastAsia" w:ascii="Times New Roman" w:hAnsi="Times New Roman"/>
                <w:color w:val="000000" w:themeColor="text1"/>
                <w:sz w:val="21"/>
                <w:szCs w:val="21"/>
                <w14:textFill>
                  <w14:solidFill>
                    <w14:schemeClr w14:val="tx1"/>
                  </w14:solidFill>
                </w14:textFill>
              </w:rPr>
              <w:t xml:space="preserve">方法</w:t>
            </w:r>
            <w:r/>
          </w:p>
        </w:tc>
      </w:tr>
      <w:tr>
        <w:trPr/>
        <w:tc>
          <w:tcPr>
            <w:shd w:val="clear" w:color="auto" w:fill="auto"/>
            <w:tcW w:w="474" w:type="dxa"/>
            <w:vAlign w:val="center"/>
            <w:textDirection w:val="lrTb"/>
            <w:noWrap w:val="false"/>
          </w:tcPr>
          <w:p>
            <w:pPr>
              <w:pStyle w:val="815"/>
              <w:ind w:left="0" w:right="153"/>
              <w:spacing w:line="276"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gridSpan w:val="3"/>
            <w:shd w:val="clear" w:color="auto" w:fill="auto"/>
            <w:tcW w:w="3892" w:type="dxa"/>
            <w:vAlign w:val="center"/>
            <w:textDirection w:val="lrTb"/>
            <w:noWrap w:val="false"/>
          </w:tcPr>
          <w:p>
            <w:pPr>
              <w:pStyle w:val="815"/>
              <w:ind w:left="0" w:right="153"/>
              <w:spacing w:line="276" w:lineRule="auto"/>
              <w:rPr>
                <w:color w:val="000000" w:themeColor="text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固定端口以太网交换机能效比值（</w:t>
            </w:r>
            <w:r>
              <w:rPr>
                <w:rFonts w:ascii="Times New Roman" w:hAnsi="Times New Roman"/>
                <w:color w:val="000000" w:themeColor="text1"/>
                <w:sz w:val="21"/>
                <w:szCs w:val="21"/>
                <w14:textFill>
                  <w14:solidFill>
                    <w14:schemeClr w14:val="tx1"/>
                  </w14:solidFill>
                </w14:textFill>
              </w:rPr>
              <w:t xml:space="preserve">TEER</w:t>
            </w:r>
            <w:r>
              <w:rPr>
                <w:rFonts w:hint="eastAsia" w:ascii="Times New Roman" w:hAnsi="Times New Roman"/>
                <w:color w:val="000000" w:themeColor="text1"/>
                <w:sz w:val="21"/>
                <w:szCs w:val="21"/>
                <w14:textFill>
                  <w14:solidFill>
                    <w14:schemeClr w14:val="tx1"/>
                  </w14:solidFill>
                </w14:textFill>
              </w:rPr>
              <w:t xml:space="preserve">）</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300</w:t>
            </w:r>
            <w:r/>
          </w:p>
        </w:tc>
        <w:tc>
          <w:tcPr>
            <w:shd w:val="clear" w:color="auto" w:fill="auto"/>
            <w:tcW w:w="2672" w:type="dxa"/>
            <w:vAlign w:val="center"/>
            <w:textDirection w:val="lrTb"/>
            <w:noWrap w:val="false"/>
          </w:tcPr>
          <w:p>
            <w:pPr>
              <w:spacing w:line="276" w:lineRule="auto"/>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 xml:space="preserve">检测方法依据附录</w:t>
            </w:r>
            <w:r>
              <w:rPr>
                <w:color w:val="000000" w:themeColor="text1"/>
                <w:szCs w:val="18"/>
                <w14:textFill>
                  <w14:solidFill>
                    <w14:schemeClr w14:val="tx1"/>
                  </w14:solidFill>
                </w14:textFill>
              </w:rPr>
              <w:t xml:space="preserve">E</w:t>
            </w:r>
            <w:r>
              <w:rPr>
                <w:rFonts w:hint="eastAsia"/>
                <w:color w:val="000000" w:themeColor="text1"/>
                <w:szCs w:val="21"/>
                <w14:textFill>
                  <w14:solidFill>
                    <w14:schemeClr w14:val="tx1"/>
                  </w14:solidFill>
                </w14:textFill>
              </w:rPr>
              <w:t xml:space="preserve">中</w:t>
            </w:r>
            <w:r>
              <w:rPr>
                <w:rFonts w:hint="eastAsia"/>
                <w:color w:val="000000" w:themeColor="text1"/>
                <w:szCs w:val="18"/>
                <w14:textFill>
                  <w14:solidFill>
                    <w14:schemeClr w14:val="tx1"/>
                  </w14:solidFill>
                </w14:textFill>
              </w:rPr>
              <w:t xml:space="preserve">要求</w:t>
            </w:r>
            <w:r/>
          </w:p>
        </w:tc>
      </w:tr>
      <w:tr>
        <w:trPr/>
        <w:tc>
          <w:tcPr>
            <w:shd w:val="clear" w:color="auto" w:fill="auto"/>
            <w:tcW w:w="474" w:type="dxa"/>
            <w:vAlign w:val="center"/>
            <w:vMerge w:val="restart"/>
            <w:textDirection w:val="lrTb"/>
            <w:noWrap w:val="false"/>
          </w:tcPr>
          <w:p>
            <w:pPr>
              <w:pStyle w:val="815"/>
              <w:ind w:left="0" w:right="153"/>
              <w:spacing w:line="276"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gridSpan w:val="2"/>
            <w:shd w:val="clear" w:color="auto" w:fill="auto"/>
            <w:tcW w:w="2208" w:type="dxa"/>
            <w:vAlign w:val="center"/>
            <w:vMerge w:val="restart"/>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单路电源输出效率</w:t>
            </w:r>
            <w:r/>
          </w:p>
        </w:tc>
        <w:tc>
          <w:tcPr>
            <w:shd w:val="clear" w:color="auto" w:fill="auto"/>
            <w:tcW w:w="1684"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88%</w:t>
            </w:r>
            <w:r/>
          </w:p>
        </w:tc>
        <w:tc>
          <w:tcPr>
            <w:shd w:val="clear" w:color="auto" w:fill="auto"/>
            <w:tcW w:w="2672" w:type="dxa"/>
            <w:vAlign w:val="center"/>
            <w:vMerge w:val="restart"/>
            <w:textDirection w:val="lrTb"/>
            <w:noWrap w:val="false"/>
          </w:tcPr>
          <w:p>
            <w:pPr>
              <w:spacing w:line="276" w:lineRule="auto"/>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 xml:space="preserve">检测方法依据</w:t>
            </w:r>
            <w:r>
              <w:rPr>
                <w:color w:val="000000" w:themeColor="text1"/>
                <w:szCs w:val="18"/>
                <w14:textFill>
                  <w14:solidFill>
                    <w14:schemeClr w14:val="tx1"/>
                  </w14:solidFill>
                </w14:textFill>
              </w:rPr>
              <w:t xml:space="preserve">HJ 2507</w:t>
            </w:r>
            <w:r>
              <w:rPr>
                <w:rFonts w:hint="eastAsia"/>
                <w:color w:val="000000" w:themeColor="text1"/>
                <w:szCs w:val="18"/>
                <w14:textFill>
                  <w14:solidFill>
                    <w14:schemeClr w14:val="tx1"/>
                  </w14:solidFill>
                </w14:textFill>
              </w:rPr>
              <w:t xml:space="preserve">附录</w:t>
            </w:r>
            <w:r>
              <w:rPr>
                <w:color w:val="000000" w:themeColor="text1"/>
                <w:szCs w:val="18"/>
                <w14:textFill>
                  <w14:solidFill>
                    <w14:schemeClr w14:val="tx1"/>
                  </w14:solidFill>
                </w14:textFill>
              </w:rPr>
              <w:t xml:space="preserve">B</w:t>
            </w:r>
            <w:r>
              <w:rPr>
                <w:rFonts w:hint="eastAsia"/>
                <w:color w:val="000000" w:themeColor="text1"/>
                <w:szCs w:val="18"/>
                <w14:textFill>
                  <w14:solidFill>
                    <w14:schemeClr w14:val="tx1"/>
                  </w14:solidFill>
                </w14:textFill>
              </w:rPr>
              <w:t xml:space="preserve">要求</w:t>
            </w:r>
            <w:r/>
          </w:p>
        </w:tc>
      </w:tr>
      <w:tr>
        <w:trPr>
          <w:trHeight w:val="544"/>
        </w:trPr>
        <w:tc>
          <w:tcPr>
            <w:shd w:val="clear" w:color="auto" w:fill="auto"/>
            <w:tcW w:w="474"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r>
            <w:r/>
          </w:p>
        </w:tc>
        <w:tc>
          <w:tcPr>
            <w:gridSpan w:val="2"/>
            <w:shd w:val="clear" w:color="auto" w:fill="auto"/>
            <w:tcW w:w="2208"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r>
            <w:r/>
          </w:p>
        </w:tc>
        <w:tc>
          <w:tcPr>
            <w:shd w:val="clear" w:color="auto" w:fill="auto"/>
            <w:tcW w:w="1684"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50%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92%</w:t>
            </w:r>
            <w:r/>
          </w:p>
        </w:tc>
        <w:tc>
          <w:tcPr>
            <w:shd w:val="clear" w:color="auto" w:fill="auto"/>
            <w:tcW w:w="2672"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gridSpan w:val="2"/>
            <w:shd w:val="clear" w:color="auto" w:fill="auto"/>
            <w:tcW w:w="2208"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shd w:val="clear" w:color="auto" w:fill="auto"/>
            <w:tcW w:w="1684"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100%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88%</w:t>
            </w:r>
            <w:r/>
          </w:p>
        </w:tc>
        <w:tc>
          <w:tcPr>
            <w:shd w:val="clear" w:color="auto" w:fill="auto"/>
            <w:tcW w:w="2672"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3</w:t>
            </w:r>
            <w:r/>
          </w:p>
        </w:tc>
        <w:tc>
          <w:tcPr>
            <w:gridSpan w:val="3"/>
            <w:shd w:val="clear" w:color="auto" w:fill="auto"/>
            <w:tcW w:w="3892" w:type="dxa"/>
            <w:vAlign w:val="center"/>
            <w:textDirection w:val="lrTb"/>
            <w:noWrap w:val="false"/>
          </w:tcPr>
          <w:p>
            <w:pPr>
              <w:pStyle w:val="815"/>
              <w:ind w:left="0" w:right="153"/>
              <w:spacing w:line="276" w:lineRule="auto"/>
              <w:rPr>
                <w:color w:val="000000" w:themeColor="text1"/>
                <w:lang w:eastAsia="zh-CN"/>
                <w14:textFill>
                  <w14:solidFill>
                    <w14:schemeClr w14:val="tx1"/>
                  </w14:solidFill>
                </w14:textFill>
              </w:rPr>
            </w:pPr>
            <w:r>
              <w:rPr>
                <w:rFonts w:hint="eastAsia" w:ascii="Times New Roman" w:hAnsi="Times New Roman"/>
                <w:color w:val="000000" w:themeColor="text1"/>
                <w:sz w:val="21"/>
                <w:szCs w:val="21"/>
                <w:lang w:eastAsia="zh-CN"/>
                <w14:textFill>
                  <w14:solidFill>
                    <w14:schemeClr w14:val="tx1"/>
                  </w14:solidFill>
                </w14:textFill>
              </w:rPr>
              <w:t xml:space="preserve">单路电源最低功率因数</w:t>
            </w:r>
            <w:r>
              <w:rPr>
                <w:rFonts w:ascii="Times New Roman" w:hAnsi="Times New Roman"/>
                <w:color w:val="000000" w:themeColor="text1"/>
                <w:sz w:val="21"/>
                <w:szCs w:val="21"/>
                <w:lang w:eastAsia="zh-CN"/>
                <w14:textFill>
                  <w14:solidFill>
                    <w14:schemeClr w14:val="tx1"/>
                  </w14:solidFill>
                </w14:textFill>
              </w:rPr>
              <w:t xml:space="preserve">(50%</w:t>
            </w:r>
            <w:r>
              <w:rPr>
                <w:rFonts w:hint="eastAsia" w:ascii="Times New Roman" w:hAnsi="Times New Roman"/>
                <w:color w:val="000000" w:themeColor="text1"/>
                <w:sz w:val="21"/>
                <w:szCs w:val="21"/>
                <w:lang w:eastAsia="zh-CN"/>
                <w14:textFill>
                  <w14:solidFill>
                    <w14:schemeClr w14:val="tx1"/>
                  </w14:solidFill>
                </w14:textFill>
              </w:rPr>
              <w:t xml:space="preserve">负载下的</w:t>
            </w:r>
            <w:r>
              <w:rPr>
                <w:rFonts w:ascii="Times New Roman" w:hAnsi="Times New Roman"/>
                <w:color w:val="000000" w:themeColor="text1"/>
                <w:sz w:val="21"/>
                <w:szCs w:val="21"/>
                <w:lang w:eastAsia="zh-CN"/>
                <w14:textFill>
                  <w14:solidFill>
                    <w14:schemeClr w14:val="tx1"/>
                  </w14:solidFill>
                </w14:textFill>
              </w:rPr>
              <w:t xml:space="preserve">)</w:t>
            </w:r>
            <w:r>
              <w:rPr>
                <w:color w:val="000000" w:themeColor="text1"/>
                <w:lang w:eastAsia="zh-CN"/>
                <w14:textFill>
                  <w14:solidFill>
                    <w14:schemeClr w14:val="tx1"/>
                  </w14:solidFill>
                </w14:textFill>
              </w:rPr>
              <w:t xml:space="preserve">     </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0.90</w:t>
            </w:r>
            <w:r/>
          </w:p>
        </w:tc>
        <w:tc>
          <w:tcPr>
            <w:shd w:val="clear" w:color="auto" w:fill="auto"/>
            <w:tcW w:w="2672"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restart"/>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4</w:t>
            </w:r>
            <w:r/>
          </w:p>
        </w:tc>
        <w:tc>
          <w:tcPr>
            <w:gridSpan w:val="2"/>
            <w:shd w:val="clear" w:color="auto" w:fill="auto"/>
            <w:tcW w:w="2208" w:type="dxa"/>
            <w:vAlign w:val="center"/>
            <w:vMerge w:val="restart"/>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多路电源输出效率</w:t>
            </w:r>
            <w:r/>
          </w:p>
        </w:tc>
        <w:tc>
          <w:tcPr>
            <w:shd w:val="clear" w:color="auto" w:fill="auto"/>
            <w:tcW w:w="1684"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20%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85%</w:t>
            </w:r>
            <w:r/>
          </w:p>
        </w:tc>
        <w:tc>
          <w:tcPr>
            <w:shd w:val="clear" w:color="auto" w:fill="auto"/>
            <w:tcW w:w="2672"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gridSpan w:val="2"/>
            <w:shd w:val="clear" w:color="auto" w:fill="auto"/>
            <w:tcW w:w="2208"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shd w:val="clear" w:color="auto" w:fill="auto"/>
            <w:tcW w:w="1684"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50%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89%</w:t>
            </w:r>
            <w:r/>
          </w:p>
        </w:tc>
        <w:tc>
          <w:tcPr>
            <w:shd w:val="clear" w:color="auto" w:fill="auto"/>
            <w:tcW w:w="2672"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gridSpan w:val="2"/>
            <w:shd w:val="clear" w:color="auto" w:fill="auto"/>
            <w:tcW w:w="2208"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c>
          <w:tcPr>
            <w:shd w:val="clear" w:color="auto" w:fill="auto"/>
            <w:tcW w:w="1684"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100%</w:t>
            </w:r>
            <w:r>
              <w:rPr>
                <w:rFonts w:hint="eastAsia" w:ascii="Times New Roman" w:hAnsi="Times New Roman"/>
                <w:color w:val="000000" w:themeColor="text1"/>
                <w:sz w:val="21"/>
                <w:szCs w:val="21"/>
                <w14:textFill>
                  <w14:solidFill>
                    <w14:schemeClr w14:val="tx1"/>
                  </w14:solidFill>
                </w14:textFill>
              </w:rPr>
              <w:t xml:space="preserve">负载</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85%</w:t>
            </w:r>
            <w:r/>
          </w:p>
        </w:tc>
        <w:tc>
          <w:tcPr>
            <w:shd w:val="clear" w:color="auto" w:fill="auto"/>
            <w:tcW w:w="2672"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5</w:t>
            </w:r>
            <w:r/>
          </w:p>
        </w:tc>
        <w:tc>
          <w:tcPr>
            <w:gridSpan w:val="3"/>
            <w:shd w:val="clear" w:color="auto" w:fill="auto"/>
            <w:tcW w:w="3892" w:type="dxa"/>
            <w:vAlign w:val="center"/>
            <w:textDirection w:val="lrTb"/>
            <w:noWrap w:val="false"/>
          </w:tcPr>
          <w:p>
            <w:pPr>
              <w:pStyle w:val="815"/>
              <w:ind w:left="0" w:right="153"/>
              <w:spacing w:line="276" w:lineRule="auto"/>
              <w:rPr>
                <w:color w:val="000000" w:themeColor="text1"/>
                <w:lang w:eastAsia="zh-CN"/>
                <w14:textFill>
                  <w14:solidFill>
                    <w14:schemeClr w14:val="tx1"/>
                  </w14:solidFill>
                </w14:textFill>
              </w:rPr>
            </w:pPr>
            <w:r>
              <w:rPr>
                <w:rFonts w:hint="eastAsia" w:ascii="Times New Roman" w:hAnsi="Times New Roman"/>
                <w:color w:val="000000" w:themeColor="text1"/>
                <w:sz w:val="21"/>
                <w:szCs w:val="21"/>
                <w:lang w:eastAsia="zh-CN"/>
                <w14:textFill>
                  <w14:solidFill>
                    <w14:schemeClr w14:val="tx1"/>
                  </w14:solidFill>
                </w14:textFill>
              </w:rPr>
              <w:t xml:space="preserve">多路电源最低功率因数</w:t>
            </w:r>
            <w:r>
              <w:rPr>
                <w:rFonts w:ascii="Times New Roman" w:hAnsi="Times New Roman"/>
                <w:color w:val="000000" w:themeColor="text1"/>
                <w:sz w:val="21"/>
                <w:szCs w:val="21"/>
                <w:lang w:eastAsia="zh-CN"/>
                <w14:textFill>
                  <w14:solidFill>
                    <w14:schemeClr w14:val="tx1"/>
                  </w14:solidFill>
                </w14:textFill>
              </w:rPr>
              <w:t xml:space="preserve">(50%</w:t>
            </w:r>
            <w:r>
              <w:rPr>
                <w:rFonts w:hint="eastAsia" w:ascii="Times New Roman" w:hAnsi="Times New Roman"/>
                <w:color w:val="000000" w:themeColor="text1"/>
                <w:sz w:val="21"/>
                <w:szCs w:val="21"/>
                <w:lang w:eastAsia="zh-CN"/>
                <w14:textFill>
                  <w14:solidFill>
                    <w14:schemeClr w14:val="tx1"/>
                  </w14:solidFill>
                </w14:textFill>
              </w:rPr>
              <w:t xml:space="preserve">负载下的</w:t>
            </w:r>
            <w:r>
              <w:rPr>
                <w:rFonts w:ascii="Times New Roman" w:hAnsi="Times New Roman"/>
                <w:color w:val="000000" w:themeColor="text1"/>
                <w:sz w:val="21"/>
                <w:szCs w:val="21"/>
                <w:lang w:eastAsia="zh-CN"/>
                <w14:textFill>
                  <w14:solidFill>
                    <w14:schemeClr w14:val="tx1"/>
                  </w14:solidFill>
                </w14:textFill>
              </w:rPr>
              <w:t xml:space="preserve">)</w:t>
            </w:r>
            <w:r/>
          </w:p>
        </w:tc>
        <w:tc>
          <w:tcPr>
            <w:shd w:val="clear" w:color="auto" w:fill="auto"/>
            <w:tcW w:w="1266" w:type="dxa"/>
            <w:vAlign w:val="center"/>
            <w:textDirection w:val="lrTb"/>
            <w:noWrap w:val="false"/>
          </w:tcPr>
          <w:p>
            <w:pPr>
              <w:pStyle w:val="815"/>
              <w:ind w:left="0" w:right="153"/>
              <w:jc w:val="center"/>
              <w:spacing w:line="276"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0.90</w:t>
            </w:r>
            <w:r/>
          </w:p>
        </w:tc>
        <w:tc>
          <w:tcPr>
            <w:shd w:val="clear" w:color="auto" w:fill="auto"/>
            <w:tcW w:w="2672"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r>
        <w:trPr/>
        <w:tc>
          <w:tcPr>
            <w:shd w:val="clear" w:color="auto" w:fill="auto"/>
            <w:tcW w:w="474" w:type="dxa"/>
            <w:vAlign w:val="center"/>
            <w:vMerge w:val="restart"/>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6</w:t>
            </w:r>
            <w:r/>
          </w:p>
        </w:tc>
        <w:tc>
          <w:tcPr>
            <w:shd w:val="clear" w:color="auto" w:fill="auto"/>
            <w:tcW w:w="2190" w:type="dxa"/>
            <w:vAlign w:val="center"/>
            <w:vMerge w:val="restart"/>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噪声发射</w:t>
            </w:r>
            <w:r/>
          </w:p>
        </w:tc>
        <w:tc>
          <w:tcPr>
            <w:gridSpan w:val="2"/>
            <w:shd w:val="clear" w:color="auto" w:fill="auto"/>
            <w:tcW w:w="1702"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有人值守</w:t>
            </w:r>
            <w:r/>
          </w:p>
        </w:tc>
        <w:tc>
          <w:tcPr>
            <w:shd w:val="clear" w:color="auto" w:fill="auto"/>
            <w:tcW w:w="1266" w:type="dxa"/>
            <w:vAlign w:val="center"/>
            <w:textDirection w:val="lrTb"/>
            <w:noWrap w:val="false"/>
          </w:tcPr>
          <w:p>
            <w:pPr>
              <w:pStyle w:val="815"/>
              <w:ind w:left="0" w:right="153"/>
              <w:jc w:val="center"/>
              <w:spacing w:line="276" w:lineRule="auto"/>
              <w:rPr>
                <w:rFonts w:ascii="Times New Roman" w:hAnsi="Times New Roman"/>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7.6 Bels</w:t>
            </w:r>
            <w:r/>
          </w:p>
        </w:tc>
        <w:tc>
          <w:tcPr>
            <w:shd w:val="clear" w:color="auto" w:fill="auto"/>
            <w:tcW w:w="2672" w:type="dxa"/>
            <w:vAlign w:val="center"/>
            <w:vMerge w:val="restart"/>
            <w:textDirection w:val="lrTb"/>
            <w:noWrap w:val="false"/>
          </w:tcPr>
          <w:p>
            <w:pPr>
              <w:pStyle w:val="815"/>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lang w:eastAsia="zh-CN"/>
                <w14:textFill>
                  <w14:solidFill>
                    <w14:schemeClr w14:val="tx1"/>
                  </w14:solidFill>
                </w14:textFill>
              </w:rPr>
              <w:t xml:space="preserve">检测方法依据</w:t>
            </w:r>
            <w:r>
              <w:rPr>
                <w:rFonts w:ascii="Times New Roman" w:hAnsi="Times New Roman"/>
                <w:color w:val="000000" w:themeColor="text1"/>
                <w:sz w:val="21"/>
                <w:szCs w:val="21"/>
                <w:lang w:eastAsia="zh-CN"/>
                <w14:textFill>
                  <w14:solidFill>
                    <w14:schemeClr w14:val="tx1"/>
                  </w14:solidFill>
                </w14:textFill>
              </w:rPr>
              <w:t xml:space="preserve">YD/T 1816</w:t>
            </w:r>
            <w:r>
              <w:rPr>
                <w:rFonts w:hint="eastAsia" w:ascii="Times New Roman" w:hAnsi="Times New Roman"/>
                <w:color w:val="000000" w:themeColor="text1"/>
                <w:sz w:val="21"/>
                <w:szCs w:val="21"/>
                <w:lang w:eastAsia="zh-CN"/>
                <w14:textFill>
                  <w14:solidFill>
                    <w14:schemeClr w14:val="tx1"/>
                  </w14:solidFill>
                </w14:textFill>
              </w:rPr>
              <w:t xml:space="preserve">要求</w:t>
            </w:r>
            <w:r/>
          </w:p>
        </w:tc>
      </w:tr>
      <w:tr>
        <w:trPr/>
        <w:tc>
          <w:tcPr>
            <w:shd w:val="clear" w:color="auto" w:fill="auto"/>
            <w:tcW w:w="474"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r>
            <w:r/>
          </w:p>
        </w:tc>
        <w:tc>
          <w:tcPr>
            <w:shd w:val="clear" w:color="auto" w:fill="auto"/>
            <w:tcW w:w="2190"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lang w:eastAsia="zh-CN"/>
                <w14:textFill>
                  <w14:solidFill>
                    <w14:schemeClr w14:val="tx1"/>
                  </w14:solidFill>
                </w14:textFill>
              </w:rPr>
            </w:pPr>
            <w:r>
              <w:rPr>
                <w:rFonts w:ascii="Times New Roman" w:hAnsi="Times New Roman"/>
                <w:color w:val="000000" w:themeColor="text1"/>
                <w:sz w:val="21"/>
                <w:szCs w:val="21"/>
                <w:lang w:eastAsia="zh-CN"/>
                <w14:textFill>
                  <w14:solidFill>
                    <w14:schemeClr w14:val="tx1"/>
                  </w14:solidFill>
                </w14:textFill>
              </w:rPr>
            </w:r>
            <w:r/>
          </w:p>
        </w:tc>
        <w:tc>
          <w:tcPr>
            <w:gridSpan w:val="2"/>
            <w:shd w:val="clear" w:color="auto" w:fill="auto"/>
            <w:tcW w:w="1702" w:type="dxa"/>
            <w:vAlign w:val="center"/>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 xml:space="preserve">无人值守</w:t>
            </w:r>
            <w:r/>
          </w:p>
        </w:tc>
        <w:tc>
          <w:tcPr>
            <w:shd w:val="clear" w:color="auto" w:fill="auto"/>
            <w:tcW w:w="1266" w:type="dxa"/>
            <w:vAlign w:val="center"/>
            <w:textDirection w:val="lrTb"/>
            <w:noWrap w:val="false"/>
          </w:tcPr>
          <w:p>
            <w:pPr>
              <w:pStyle w:val="815"/>
              <w:ind w:left="0" w:right="153"/>
              <w:jc w:val="center"/>
              <w:spacing w:line="276" w:lineRule="auto"/>
              <w:rPr>
                <w:rFonts w:ascii="Times New Roman" w:hAnsi="Times New Roman"/>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Times New Roman" w:hAnsi="Times New Roman"/>
                <w:color w:val="000000" w:themeColor="text1"/>
                <w:sz w:val="21"/>
                <w:szCs w:val="21"/>
                <w14:textFill>
                  <w14:solidFill>
                    <w14:schemeClr w14:val="tx1"/>
                  </w14:solidFill>
                </w14:textFill>
              </w:rPr>
              <w:t xml:space="preserve">8.1 Bels</w:t>
            </w:r>
            <w:r/>
          </w:p>
        </w:tc>
        <w:tc>
          <w:tcPr>
            <w:shd w:val="clear" w:color="auto" w:fill="auto"/>
            <w:tcW w:w="2672" w:type="dxa"/>
            <w:vAlign w:val="center"/>
            <w:vMerge w:val="continue"/>
            <w:textDirection w:val="lrTb"/>
            <w:noWrap w:val="false"/>
          </w:tcPr>
          <w:p>
            <w:pPr>
              <w:pStyle w:val="815"/>
              <w:ind w:left="0" w:right="153"/>
              <w:spacing w:line="276" w:lineRule="auto"/>
              <w:rPr>
                <w:rFonts w:ascii="Times New Roman" w:hAnsi="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r>
            <w:r/>
          </w:p>
        </w:tc>
      </w:tr>
    </w:tbl>
    <w:p>
      <w:pP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pStyle w:val="733"/>
        <w:spacing w:before="156" w:after="156"/>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4.1.1 </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核心数据库</w:t>
      </w:r>
      <w:r>
        <w:rPr>
          <w:rFonts w:hint="eastAsia" w:asciiTheme="minorEastAsia" w:hAnsiTheme="minorEastAsia" w:eastAsiaTheme="minorEastAsia"/>
          <w:color w:val="000000" w:themeColor="text1"/>
          <w:sz w:val="24"/>
          <w:szCs w:val="24"/>
          <w14:textFill>
            <w14:solidFill>
              <w14:schemeClr w14:val="tx1"/>
            </w14:solidFill>
          </w14:textFill>
        </w:rPr>
        <w:t xml:space="preserve">计算节点</w:t>
      </w:r>
      <w:r/>
    </w:p>
    <w:p>
      <w:pP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注：以下均为单台/套技术要求</w:t>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541"/>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41"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绿色数据中心需求标准</w:t>
            </w:r>
            <w:r/>
          </w:p>
        </w:tc>
        <w:tc>
          <w:tcPr>
            <w:tcBorders>
              <w:top w:val="single" w:color="auto" w:sz="4" w:space="0"/>
              <w:left w:val="single" w:color="auto" w:sz="4" w:space="0"/>
              <w:bottom w:val="single" w:color="auto" w:sz="4" w:space="0"/>
              <w:right w:val="single" w:color="auto" w:sz="4" w:space="0"/>
            </w:tcBorders>
            <w:tcW w:w="7541" w:type="dxa"/>
            <w:vAlign w:val="center"/>
            <w:textDirection w:val="lrTb"/>
            <w:noWrap w:val="false"/>
          </w:tcPr>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1、计算节点必须满足财政部 生态环境部 工业和信息化部关于印发《绿色数据中心政府采购需求标准（试行）》的通知（财库〔2023〕7号）中的服务器及存储设备政府采购需求标准：</w:t>
            </w:r>
            <w:r/>
          </w:p>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政府采购需求标准</w:t>
            </w:r>
            <w:r/>
          </w:p>
        </w:tc>
        <w:tc>
          <w:tcPr>
            <w:tcBorders>
              <w:top w:val="single" w:color="auto" w:sz="4" w:space="0"/>
              <w:left w:val="single" w:color="auto" w:sz="4" w:space="0"/>
              <w:bottom w:val="single" w:color="auto" w:sz="4" w:space="0"/>
              <w:right w:val="single" w:color="auto" w:sz="4" w:space="0"/>
            </w:tcBorders>
            <w:tcW w:w="7541" w:type="dxa"/>
            <w:vAlign w:val="center"/>
            <w:textDirection w:val="lrTb"/>
            <w:noWrap w:val="false"/>
          </w:tcPr>
          <w:p>
            <w:pPr>
              <w:rPr>
                <w:rFonts w:cs="宋体" w:asciiTheme="minorEastAsia" w:hAnsiTheme="minorEastAsia" w:eastAsiaTheme="minorEastAsia"/>
                <w:iCs/>
                <w:color w:val="000000" w:themeColor="text1"/>
                <w:sz w:val="24"/>
                <w:szCs w:val="24"/>
                <w14:textFill>
                  <w14:solidFill>
                    <w14:schemeClr w14:val="tx1"/>
                  </w14:solidFill>
                </w14:textFill>
              </w:rPr>
            </w:pPr>
            <w:r>
              <w:rPr>
                <w:rFonts w:hint="eastAsia" w:cs="宋体" w:asciiTheme="minorEastAsia" w:hAnsiTheme="minorEastAsia" w:eastAsiaTheme="minorEastAsia"/>
                <w:iCs/>
                <w:color w:val="000000" w:themeColor="text1"/>
                <w:sz w:val="24"/>
                <w:szCs w:val="24"/>
                <w14:textFill>
                  <w14:solidFill>
                    <w14:schemeClr w14:val="tx1"/>
                  </w14:solidFill>
                </w14:textFill>
              </w:rPr>
              <w:t xml:space="preserve">计算节点应符合《通用服务器政府采购需求标准（2023年版）》（财库〔2023〕33号）：</w:t>
            </w:r>
            <w:r/>
          </w:p>
        </w:tc>
      </w:tr>
      <w:tr>
        <w:trPr>
          <w:trHeight w:val="20"/>
        </w:trPr>
        <w:tc>
          <w:tcPr>
            <w:tcBorders>
              <w:top w:val="single" w:color="auto" w:sz="4" w:space="0"/>
              <w:left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参数</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7541" w:type="dxa"/>
            <w:textDirection w:val="lrTb"/>
            <w:noWrap w:val="false"/>
          </w:tcPr>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1、处理器：实配≥</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4</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颗国产化处理器。单颗处理器线程≥48，最高加速主频≥3.0GHz，采用C86（核数≥24）或者ARM（核数≥48）。</w:t>
            </w:r>
            <w:r/>
          </w:p>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2、内存：实配≥</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1024</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GB内存。</w:t>
            </w:r>
            <w:r/>
          </w:p>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3、硬盘：实配≥</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3</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960</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GB SSD硬盘、 </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1块</w:t>
            </w:r>
            <w:r>
              <w:rPr>
                <w:rFonts w:hint="eastAsia" w:cs="宋体" w:asciiTheme="minorEastAsia" w:hAnsiTheme="minorEastAsia" w:eastAsiaTheme="minorEastAsia"/>
                <w:i/>
                <w:iCs/>
                <w:color w:val="000000" w:themeColor="text1"/>
                <w:sz w:val="24"/>
                <w:szCs w:val="24"/>
                <w:highlight w:val="none"/>
                <w:u w:val="single"/>
                <w:lang w:val="en-US" w:eastAsia="zh-CN"/>
                <w14:textFill>
                  <w14:solidFill>
                    <w14:schemeClr w14:val="tx1"/>
                  </w14:solidFill>
                </w14:textFill>
              </w:rPr>
              <w:t xml:space="preserve">RAID</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卡、2块32GB HBA卡（含模块）</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w:t>
            </w:r>
            <w:r/>
          </w:p>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4、端口：配置≥</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4端口千兆以太网卡、</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2块10GbE双光口以太网卡（含模块）</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w:t>
            </w:r>
            <w:r/>
          </w:p>
          <w:p>
            <w:pPr>
              <w:rPr>
                <w:rFonts w:cs="宋体" w:asciiTheme="minorEastAsia" w:hAnsiTheme="minorEastAsia" w:eastAsiaTheme="minorEastAsia"/>
                <w:iCs/>
                <w:color w:val="000000" w:themeColor="text1"/>
                <w:sz w:val="24"/>
                <w:szCs w:val="24"/>
                <w14:textFill>
                  <w14:solidFill>
                    <w14:schemeClr w14:val="tx1"/>
                  </w14:solidFill>
                </w14:textFill>
              </w:rPr>
            </w:pPr>
            <w:r>
              <w:rPr>
                <w:rFonts w:hint="eastAsia" w:cs="宋体" w:asciiTheme="minorEastAsia" w:hAnsiTheme="minorEastAsia" w:eastAsiaTheme="minorEastAsia"/>
                <w:iCs/>
                <w:color w:val="000000" w:themeColor="text1"/>
                <w:sz w:val="24"/>
                <w:szCs w:val="24"/>
                <w14:textFill>
                  <w14:solidFill>
                    <w14:schemeClr w14:val="tx1"/>
                  </w14:solidFill>
                </w14:textFill>
              </w:rPr>
              <w:t xml:space="preserve">5、配件：实配冗余电源模块（含国标接口电源线）、导轨、风扇。</w:t>
            </w:r>
            <w:r/>
          </w:p>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6、提供5年免费质保服务（从项目验收合格之日起计算）</w:t>
            </w:r>
            <w:r/>
          </w:p>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7、其他未列明参数满足（财库〔2023〕</w:t>
            </w:r>
            <w:r>
              <w:rPr>
                <w:rFonts w:cs="宋体" w:asciiTheme="minorEastAsia" w:hAnsiTheme="minorEastAsia" w:eastAsiaTheme="minorEastAsia"/>
                <w:i/>
                <w:iCs/>
                <w:color w:val="000000" w:themeColor="text1"/>
                <w:sz w:val="24"/>
                <w:szCs w:val="24"/>
                <w:u w:val="single"/>
                <w14:textFill>
                  <w14:solidFill>
                    <w14:schemeClr w14:val="tx1"/>
                  </w14:solidFill>
                </w14:textFill>
              </w:rPr>
              <w:t xml:space="preserve">33</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号）要求</w:t>
            </w:r>
            <w:r/>
          </w:p>
        </w:tc>
      </w:tr>
    </w:tbl>
    <w:p>
      <w:pPr>
        <w:pStyle w:val="733"/>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4.1.2 </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存储交换机</w:t>
      </w:r>
      <w:r/>
    </w:p>
    <w:p>
      <w:pPr>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注：以下均为单台/套技术要求</w:t>
      </w:r>
      <w:r/>
    </w:p>
    <w:tbl>
      <w:tblPr>
        <w:tblStyle w:val="740"/>
        <w:tblW w:w="8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553"/>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绿色数据中心需求标准</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1、</w:t>
            </w:r>
            <w:r>
              <w:rPr>
                <w:rFonts w:hint="eastAsia" w:ascii="宋体" w:hAnsi="宋体" w:cs="宋体"/>
                <w:i/>
                <w:iCs/>
                <w:color w:val="000000" w:themeColor="text1"/>
                <w:sz w:val="24"/>
                <w:u w:val="single"/>
                <w:lang w:val="en-US" w:eastAsia="zh-CN"/>
                <w14:textFill>
                  <w14:solidFill>
                    <w14:schemeClr w14:val="tx1"/>
                  </w14:solidFill>
                </w14:textFill>
              </w:rPr>
              <w:t xml:space="preserve">存储交换机必须满足财政部 生态环境部 工业和信息化部关于印发《绿色数据中心政府采购需求标准（试行）》的通知（财库〔2023〕7号）中以太网交换机采购需求标准：</w:t>
            </w:r>
            <w:r/>
          </w:p>
          <w:p>
            <w:pPr>
              <w:jc w:val="left"/>
              <w:rPr>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参数</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cs="宋体" w:asciiTheme="minorEastAsia" w:hAnsiTheme="minorEastAsia" w:eastAsiaTheme="minorEastAsia"/>
                <w:i/>
                <w:iCs/>
                <w:color w:val="000000" w:themeColor="text1"/>
                <w:sz w:val="24"/>
                <w:szCs w:val="24"/>
                <w:u w:val="single"/>
                <w14:textFill>
                  <w14:solidFill>
                    <w14:schemeClr w14:val="tx1"/>
                  </w14:solidFill>
                </w14:textFill>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32Gb FC交换机</w:t>
            </w:r>
            <w:r>
              <w:rPr>
                <w:rFonts w:hint="eastAsia" w:cs="宋体" w:asciiTheme="minorEastAsia" w:hAnsiTheme="minorEastAsia" w:eastAsiaTheme="minorEastAsia"/>
                <w:i/>
                <w:iCs/>
                <w:color w:val="000000" w:themeColor="text1"/>
                <w:sz w:val="24"/>
                <w:szCs w:val="24"/>
                <w:u w:val="single"/>
                <w:lang w:eastAsia="zh-CN"/>
                <w14:textFill>
                  <w14:solidFill>
                    <w14:schemeClr w14:val="tx1"/>
                  </w14:solidFill>
                </w14:textFill>
              </w:rPr>
              <w:t xml:space="preserve">，</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64端口(24端口激活,含24</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个</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32Gb多模SFP)</w:t>
            </w:r>
            <w:r>
              <w:rPr>
                <w:rFonts w:hint="eastAsia" w:cs="宋体" w:asciiTheme="minorEastAsia" w:hAnsiTheme="minorEastAsia" w:eastAsiaTheme="minorEastAsia"/>
                <w:i/>
                <w:iCs/>
                <w:color w:val="000000" w:themeColor="text1"/>
                <w:sz w:val="24"/>
                <w:szCs w:val="24"/>
                <w:u w:val="single"/>
                <w:lang w:eastAsia="zh-CN"/>
                <w14:textFill>
                  <w14:solidFill>
                    <w14:schemeClr w14:val="tx1"/>
                  </w14:solidFill>
                </w14:textFill>
              </w:rPr>
              <w:t xml:space="preserve">；</w:t>
            </w:r>
            <w:r>
              <w:rPr>
                <w:rFonts w:hint="eastAsia" w:cs="宋体" w:asciiTheme="minorEastAsia" w:hAnsiTheme="minorEastAsia" w:eastAsiaTheme="minorEastAsia"/>
                <w:i/>
                <w:iCs/>
                <w:color w:val="000000" w:themeColor="text1"/>
                <w:sz w:val="24"/>
                <w:szCs w:val="24"/>
                <w:u w:val="single"/>
                <w:lang w:val="en-US" w:eastAsia="zh-CN"/>
                <w14:textFill>
                  <w14:solidFill>
                    <w14:schemeClr w14:val="tx1"/>
                  </w14:solidFill>
                </w14:textFill>
              </w:rPr>
              <w:t xml:space="preserve">冗余电源</w:t>
            </w: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w:t>
            </w:r>
            <w:r/>
          </w:p>
        </w:tc>
      </w:tr>
    </w:tbl>
    <w:p>
      <w:pPr>
        <w:pStyle w:val="733"/>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4.1.3 </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核心数据库存储</w:t>
      </w:r>
      <w:r/>
    </w:p>
    <w:p>
      <w:pPr>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注：以下均为单台/套技术要求</w:t>
      </w:r>
      <w:r/>
    </w:p>
    <w:tbl>
      <w:tblPr>
        <w:tblStyle w:val="740"/>
        <w:tblW w:w="5255"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8127"/>
      </w:tblGrid>
      <w:tr>
        <w:trPr>
          <w:trHeight w:val="348"/>
        </w:trPr>
        <w:tc>
          <w:tcPr>
            <w:shd w:val="clear" w:color="auto" w:fill="bebebe" w:themeFill="background1" w:themeFillShade="BF"/>
            <w:tcW w:w="1405" w:type="dxa"/>
            <w:vAlign w:val="center"/>
            <w:textDirection w:val="lrTb"/>
            <w:noWrap w:val="false"/>
          </w:tcPr>
          <w:p>
            <w:pPr>
              <w:jc w:val="center"/>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指标项</w:t>
            </w:r>
            <w:r/>
          </w:p>
        </w:tc>
        <w:tc>
          <w:tcPr>
            <w:shd w:val="clear" w:color="auto" w:fill="bebebe" w:themeFill="background1" w:themeFillShade="BF"/>
            <w:tcW w:w="7559"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技术规格要求</w:t>
            </w:r>
            <w:r/>
          </w:p>
        </w:tc>
      </w:tr>
      <w:tr>
        <w:trPr>
          <w:trHeight w:val="348"/>
        </w:trPr>
        <w:tc>
          <w:tcPr>
            <w:shd w:val="clear" w:color="auto" w:fill="auto"/>
            <w:tcW w:w="1405" w:type="dxa"/>
            <w:vAlign w:val="center"/>
            <w:vMerge w:val="restart"/>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sz w:val="24"/>
                <w:szCs w:val="24"/>
              </w:rPr>
              <w:t xml:space="preserve">体系架构</w:t>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存储系统采用对称AA架构，LUN不归属于某一个控制器，业务负载均衡到≥2个控制器；</w:t>
            </w:r>
            <w:r/>
          </w:p>
        </w:tc>
      </w:tr>
      <w:tr>
        <w:trPr>
          <w:trHeight w:val="348"/>
        </w:trPr>
        <w:tc>
          <w:tcPr>
            <w:shd w:val="clear" w:color="auto" w:fill="auto"/>
            <w:tcW w:w="1405" w:type="dxa"/>
            <w:vAlign w:val="center"/>
            <w:vMerge w:val="continue"/>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采用2U盘控一体架构，控制器框提供≥24个硬盘槽位；</w:t>
            </w:r>
            <w:r/>
          </w:p>
        </w:tc>
      </w:tr>
      <w:tr>
        <w:trPr>
          <w:trHeight w:val="348"/>
        </w:trPr>
        <w:tc>
          <w:tcPr>
            <w:shd w:val="clear" w:color="auto" w:fill="auto"/>
            <w:tcW w:w="1405" w:type="dxa"/>
            <w:vAlign w:val="center"/>
            <w:vMerge w:val="continue"/>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配置SAN功能，支持FC、iSCSI存储协议；</w:t>
            </w:r>
            <w:r/>
          </w:p>
        </w:tc>
      </w:tr>
      <w:tr>
        <w:trPr>
          <w:trHeight w:val="348"/>
        </w:trPr>
        <w:tc>
          <w:tcPr>
            <w:shd w:val="clear" w:color="auto" w:fill="auto"/>
            <w:tcW w:w="1405" w:type="dxa"/>
            <w:vAlign w:val="center"/>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sz w:val="24"/>
                <w:szCs w:val="24"/>
              </w:rPr>
              <w:t xml:space="preserve">控制器扩展能力</w:t>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支持控制器扩展，最大支持≥16控；</w:t>
            </w:r>
            <w:r/>
          </w:p>
        </w:tc>
      </w:tr>
      <w:tr>
        <w:trPr>
          <w:trHeight w:val="348"/>
        </w:trPr>
        <w:tc>
          <w:tcPr>
            <w:shd w:val="clear" w:color="auto" w:fill="auto"/>
            <w:tcW w:w="1405" w:type="dxa"/>
            <w:vAlign w:val="center"/>
            <w:vMerge w:val="restart"/>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基础项</w:t>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采用国产</w:t>
            </w:r>
            <w:r>
              <w:rPr>
                <w:rFonts w:hint="eastAsia" w:ascii="宋体" w:hAnsi="宋体" w:cs="宋体"/>
                <w:i/>
                <w:iCs/>
                <w:color w:val="auto"/>
                <w:sz w:val="24"/>
                <w:szCs w:val="24"/>
                <w:highlight w:val="none"/>
                <w:u w:val="single"/>
                <w:lang w:val="en-US" w:eastAsia="zh-CN"/>
              </w:rPr>
              <w:t xml:space="preserve">多核</w:t>
            </w:r>
            <w:r>
              <w:rPr>
                <w:rFonts w:hint="eastAsia" w:ascii="宋体" w:hAnsi="宋体" w:eastAsia="宋体" w:cs="宋体"/>
                <w:i/>
                <w:iCs/>
                <w:color w:val="auto"/>
                <w:sz w:val="24"/>
                <w:szCs w:val="24"/>
                <w:highlight w:val="none"/>
                <w:u w:val="single"/>
              </w:rPr>
              <w:t xml:space="preserve">处理器芯片；且控制器处理器总核心数≥48核</w:t>
            </w:r>
            <w:r/>
          </w:p>
        </w:tc>
      </w:tr>
      <w:tr>
        <w:trPr>
          <w:trHeight w:val="348"/>
        </w:trPr>
        <w:tc>
          <w:tcPr>
            <w:shd w:val="clear" w:color="auto" w:fill="auto"/>
            <w:tcW w:w="1405" w:type="dxa"/>
            <w:vAlign w:val="center"/>
            <w:vMerge w:val="continue"/>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ffffff"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iCs/>
                <w:color w:val="auto"/>
                <w:sz w:val="24"/>
                <w:szCs w:val="24"/>
                <w:highlight w:val="none"/>
                <w:u w:val="single"/>
              </w:rPr>
              <w:t xml:space="preserve">系统内总一级缓存容量配置≥256GB，且任意控制器一级缓存容量≥128GB（不含任何性能加速模块、FlashCache、PAM卡，SSD Cache、SCM等）</w:t>
            </w:r>
            <w:r/>
          </w:p>
        </w:tc>
      </w:tr>
      <w:tr>
        <w:trPr>
          <w:trHeight w:val="348"/>
        </w:trPr>
        <w:tc>
          <w:tcPr>
            <w:shd w:val="clear" w:color="auto" w:fill="auto"/>
            <w:tcW w:w="1405" w:type="dxa"/>
            <w:vAlign w:val="center"/>
            <w:vMerge w:val="continue"/>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ffffff"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iCs/>
                <w:color w:val="auto"/>
                <w:sz w:val="24"/>
                <w:szCs w:val="24"/>
                <w:highlight w:val="none"/>
                <w:u w:val="single"/>
              </w:rPr>
              <w:t xml:space="preserve">配置：8*1Gbps Ethernet，8*10GE光口（含多模光模块）</w:t>
            </w:r>
            <w:r>
              <w:rPr>
                <w:rFonts w:hint="eastAsia" w:ascii="宋体" w:hAnsi="宋体" w:eastAsia="宋体" w:cs="宋体"/>
                <w:i w:val="0"/>
                <w:iCs w:val="0"/>
                <w:color w:val="auto"/>
                <w:sz w:val="24"/>
                <w:szCs w:val="24"/>
                <w:highlight w:val="none"/>
                <w:u w:val="none"/>
              </w:rPr>
              <w:t xml:space="preserve">；</w:t>
            </w:r>
            <w:r/>
          </w:p>
        </w:tc>
      </w:tr>
      <w:tr>
        <w:trPr>
          <w:trHeight w:val="90"/>
        </w:trPr>
        <w:tc>
          <w:tcPr>
            <w:shd w:val="clear" w:color="auto" w:fill="auto"/>
            <w:tcW w:w="1405" w:type="dxa"/>
            <w:vAlign w:val="center"/>
            <w:vMerge w:val="continue"/>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ffffff"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iCs/>
                <w:color w:val="auto"/>
                <w:sz w:val="24"/>
                <w:szCs w:val="24"/>
                <w:highlight w:val="none"/>
                <w:u w:val="single"/>
              </w:rPr>
              <w:t xml:space="preserve">配置后端磁盘通道带宽≥192Gbps</w:t>
            </w:r>
            <w:r/>
          </w:p>
        </w:tc>
      </w:tr>
      <w:tr>
        <w:trPr>
          <w:trHeight w:val="348"/>
        </w:trPr>
        <w:tc>
          <w:tcPr>
            <w:shd w:val="clear" w:color="auto" w:fill="auto"/>
            <w:tcW w:w="1405" w:type="dxa"/>
            <w:vAlign w:val="center"/>
            <w:vMerge w:val="continue"/>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iCs/>
                <w:color w:val="auto"/>
                <w:sz w:val="24"/>
                <w:szCs w:val="24"/>
                <w:highlight w:val="none"/>
                <w:u w:val="single"/>
              </w:rPr>
              <w:t xml:space="preserve">配置≥10个1.92TB 企业级NVME SSD硬盘</w:t>
            </w:r>
            <w:r>
              <w:rPr>
                <w:rFonts w:hint="eastAsia" w:ascii="宋体" w:hAnsi="宋体" w:eastAsia="宋体" w:cs="宋体"/>
                <w:i w:val="0"/>
                <w:iCs w:val="0"/>
                <w:color w:val="auto"/>
                <w:sz w:val="24"/>
                <w:szCs w:val="24"/>
                <w:highlight w:val="none"/>
                <w:u w:val="none"/>
                <w:lang w:eastAsia="zh-CN"/>
              </w:rPr>
              <w:t xml:space="preserve">。</w:t>
            </w:r>
            <w:r/>
          </w:p>
        </w:tc>
      </w:tr>
      <w:tr>
        <w:trPr>
          <w:trHeight w:val="90"/>
        </w:trPr>
        <w:tc>
          <w:tcPr>
            <w:shd w:val="clear" w:color="auto" w:fill="ffffff"/>
            <w:tcW w:w="1405"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最大硬盘数</w:t>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最大支持磁盘插槽个数≥1000；</w:t>
            </w:r>
            <w:r/>
          </w:p>
        </w:tc>
      </w:tr>
      <w:tr>
        <w:trPr>
          <w:trHeight w:val="348"/>
        </w:trPr>
        <w:tc>
          <w:tcPr>
            <w:shd w:val="clear" w:color="auto" w:fill="ffffff"/>
            <w:tcW w:w="1405"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支持RAID</w:t>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支持RAID5、RAID6和容忍三盘失效，即在同一个RAID组内容忍任意3盘同时失效；</w:t>
            </w:r>
            <w:r/>
          </w:p>
        </w:tc>
      </w:tr>
      <w:tr>
        <w:trPr>
          <w:trHeight w:val="348"/>
        </w:trPr>
        <w:tc>
          <w:tcPr>
            <w:shd w:val="clear" w:color="auto" w:fill="ffffff"/>
            <w:tcW w:w="140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快速重建</w:t>
            </w:r>
            <w:r/>
          </w:p>
        </w:tc>
        <w:tc>
          <w:tcPr>
            <w:shd w:val="clear" w:color="auto" w:fill="ffffff"/>
            <w:tcW w:w="7559" w:type="dxa"/>
            <w:vAlign w:val="top"/>
            <w:textDirection w:val="lrTb"/>
            <w:noWrap w:val="false"/>
          </w:tcPr>
          <w:p>
            <w:pPr>
              <w:pStyle w:val="7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支持RAID快速重建功能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单块硬盘发生闪断，</w:t>
            </w:r>
            <w:r>
              <w:rPr>
                <w:rFonts w:hint="eastAsia" w:ascii="宋体" w:hAnsi="宋体" w:cs="宋体"/>
                <w:color w:val="auto"/>
                <w:sz w:val="24"/>
                <w:szCs w:val="24"/>
                <w:highlight w:val="none"/>
                <w:lang w:val="en-US" w:eastAsia="zh-CN"/>
              </w:rPr>
              <w:t xml:space="preserve">重构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TB</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数据</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分钟</w:t>
            </w:r>
            <w:r>
              <w:rPr>
                <w:rFonts w:hint="eastAsia"/>
                <w:lang w:eastAsia="zh-CN"/>
              </w:rPr>
              <w:t xml:space="preserve">；</w:t>
            </w:r>
            <w:r>
              <w:rPr>
                <w:rFonts w:hint="eastAsia"/>
                <w:lang w:val="en-US" w:eastAsia="zh-CN"/>
              </w:rPr>
              <w:t xml:space="preserve">单块硬盘发生故障，重构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TB</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数据</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31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sz w:val="24"/>
                <w:szCs w:val="24"/>
              </w:rPr>
              <w:t xml:space="preserve">提供具备C</w:t>
            </w:r>
            <w:r>
              <w:rPr>
                <w:rFonts w:hint="eastAsia" w:ascii="宋体" w:hAnsi="宋体" w:eastAsia="宋体" w:cs="宋体"/>
                <w:b/>
                <w:bCs/>
                <w:sz w:val="24"/>
                <w:szCs w:val="24"/>
                <w:lang w:val="en-US" w:eastAsia="zh-CN"/>
              </w:rPr>
              <w:t xml:space="preserve">MA</w:t>
            </w:r>
            <w:r>
              <w:rPr>
                <w:rFonts w:hint="eastAsia" w:ascii="宋体" w:hAnsi="宋体" w:eastAsia="宋体" w:cs="宋体"/>
                <w:b/>
                <w:bCs/>
                <w:sz w:val="24"/>
                <w:szCs w:val="24"/>
              </w:rPr>
              <w:t xml:space="preserve">资质的第三方机构出具测试报告证明</w:t>
            </w:r>
            <w:r>
              <w:rPr>
                <w:rFonts w:hint="eastAsia" w:ascii="宋体" w:hAnsi="宋体" w:eastAsia="宋体" w:cs="宋体"/>
                <w:b/>
                <w:bCs/>
                <w:sz w:val="24"/>
                <w:szCs w:val="24"/>
                <w:lang w:eastAsia="zh-CN"/>
              </w:rPr>
              <w:t xml:space="preserve">）</w:t>
            </w:r>
            <w:r>
              <w:rPr>
                <w:rFonts w:hint="eastAsia" w:ascii="宋体" w:hAnsi="宋体" w:eastAsia="宋体" w:cs="宋体"/>
                <w:b w:val="0"/>
                <w:bCs w:val="0"/>
                <w:sz w:val="24"/>
                <w:szCs w:val="24"/>
                <w:lang w:eastAsia="zh-CN"/>
              </w:rPr>
              <w:t xml:space="preserve">；</w:t>
            </w:r>
            <w:r/>
          </w:p>
        </w:tc>
      </w:tr>
      <w:tr>
        <w:trPr>
          <w:trHeight w:val="348"/>
        </w:trPr>
        <w:tc>
          <w:tcPr>
            <w:shd w:val="clear" w:color="auto" w:fill="ffffff"/>
            <w:tcW w:w="14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支持DIF</w:t>
            </w:r>
            <w:r/>
          </w:p>
        </w:tc>
        <w:tc>
          <w:tcPr>
            <w:shd w:val="clear" w:color="auto" w:fill="ffffff"/>
            <w:tcW w:w="7559" w:type="dxa"/>
            <w:vAlign w:val="top"/>
            <w:textDirection w:val="lrTb"/>
            <w:noWrap w:val="false"/>
          </w:tcPr>
          <w:p>
            <w:pPr>
              <w:keepLines w:val="0"/>
              <w:keepNext w:val="0"/>
              <w:pageBreakBefore w:val="0"/>
              <w:spacing w:after="0"/>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支持端到端的DIF ，防止静默数据错</w:t>
            </w:r>
            <w:r>
              <w:rPr>
                <w:rFonts w:hint="eastAsia" w:ascii="宋体" w:hAnsi="宋体" w:eastAsia="宋体" w:cs="宋体"/>
                <w:b w:val="0"/>
                <w:bCs w:val="0"/>
                <w:color w:val="auto"/>
                <w:sz w:val="24"/>
                <w:szCs w:val="24"/>
                <w:highlight w:val="none"/>
              </w:rPr>
              <w:t xml:space="preserve">误</w:t>
            </w:r>
            <w:r>
              <w:rPr>
                <w:rFonts w:hint="eastAsia" w:ascii="宋体" w:hAnsi="宋体" w:eastAsia="宋体" w:cs="宋体"/>
                <w:b w:val="0"/>
                <w:bCs w:val="0"/>
                <w:sz w:val="24"/>
                <w:szCs w:val="24"/>
                <w:lang w:eastAsia="zh-CN"/>
              </w:rPr>
              <w:t xml:space="preserve">；</w:t>
            </w:r>
            <w:r/>
          </w:p>
        </w:tc>
      </w:tr>
      <w:tr>
        <w:trPr>
          <w:trHeight w:val="348"/>
        </w:trPr>
        <w:tc>
          <w:tcPr>
            <w:shd w:val="clear" w:color="auto" w:fill="ffffff"/>
            <w:tcW w:w="1405"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无中断升级</w:t>
            </w:r>
            <w:r/>
          </w:p>
        </w:tc>
        <w:tc>
          <w:tcPr>
            <w:shd w:val="clear" w:color="auto" w:fill="ffffff"/>
            <w:tcW w:w="7559" w:type="dxa"/>
            <w:vAlign w:val="center"/>
            <w:textDirection w:val="lrTb"/>
            <w:noWrap w:val="false"/>
          </w:tcPr>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支持无中断升级，采用模块化软件架构设计，超过90%的组件用户态，升级无需重启控制器；</w:t>
            </w:r>
            <w:r/>
          </w:p>
        </w:tc>
      </w:tr>
      <w:tr>
        <w:trPr>
          <w:trHeight w:val="348"/>
        </w:trPr>
        <w:tc>
          <w:tcPr>
            <w:shd w:val="clear" w:color="auto" w:fill="ffffff"/>
            <w:tcW w:w="1405"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QoS</w:t>
            </w:r>
            <w:r/>
          </w:p>
        </w:tc>
        <w:tc>
          <w:tcPr>
            <w:shd w:val="clear" w:color="auto" w:fill="ffffff"/>
            <w:tcW w:w="755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配置Qos功能，支持按照LUN、LUN组和主机的方式进行流量控制。</w:t>
            </w:r>
            <w:r/>
          </w:p>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提供上限控制和下限保障两种QoS策略，分别都支持从IOPS和带宽两个维度进行配置。</w:t>
            </w:r>
            <w:r/>
          </w:p>
        </w:tc>
      </w:tr>
      <w:tr>
        <w:trPr>
          <w:trHeight w:val="348"/>
        </w:trPr>
        <w:tc>
          <w:tcPr>
            <w:shd w:val="clear" w:color="auto" w:fill="auto"/>
            <w:tcW w:w="1405" w:type="dxa"/>
            <w:vAlign w:val="center"/>
            <w:vMerge w:val="restart"/>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sz w:val="24"/>
                <w:szCs w:val="24"/>
              </w:rPr>
              <w:t xml:space="preserve">软件功能</w:t>
            </w:r>
            <w:r/>
          </w:p>
        </w:tc>
        <w:tc>
          <w:tcPr>
            <w:shd w:val="clear" w:color="auto" w:fill="ffffff"/>
            <w:tcW w:w="7559" w:type="dxa"/>
            <w:vAlign w:val="center"/>
            <w:textDirection w:val="lrTb"/>
            <w:noWrap w:val="false"/>
          </w:tcPr>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支持ROW</w:t>
            </w:r>
            <w:r>
              <w:rPr>
                <w:rFonts w:hint="eastAsia" w:ascii="宋体" w:hAnsi="宋体" w:eastAsia="宋体" w:cs="宋体"/>
                <w:sz w:val="24"/>
                <w:szCs w:val="24"/>
              </w:rPr>
              <w:t xml:space="preserve">无损快照功能，系统性能不因快照数量增加而下降，同时开启快照功能时阵列时延能够稳定在＜1ms</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提供具备C</w:t>
            </w:r>
            <w:r>
              <w:rPr>
                <w:rFonts w:hint="eastAsia" w:ascii="宋体" w:hAnsi="宋体" w:eastAsia="宋体" w:cs="宋体"/>
                <w:b/>
                <w:bCs/>
                <w:sz w:val="24"/>
                <w:szCs w:val="24"/>
                <w:lang w:val="en-US" w:eastAsia="zh-CN"/>
              </w:rPr>
              <w:t xml:space="preserve">MA</w:t>
            </w:r>
            <w:r>
              <w:rPr>
                <w:rFonts w:hint="eastAsia" w:ascii="宋体" w:hAnsi="宋体" w:eastAsia="宋体" w:cs="宋体"/>
                <w:b/>
                <w:bCs/>
                <w:sz w:val="24"/>
                <w:szCs w:val="24"/>
              </w:rPr>
              <w:t xml:space="preserve">资质的第三方机构出具测试报告证明</w:t>
            </w:r>
            <w:r>
              <w:rPr>
                <w:rFonts w:hint="eastAsia" w:ascii="宋体" w:hAnsi="宋体" w:eastAsia="宋体" w:cs="宋体"/>
                <w:b/>
                <w:bCs/>
                <w:sz w:val="24"/>
                <w:szCs w:val="24"/>
                <w:lang w:eastAsia="zh-CN"/>
              </w:rPr>
              <w:t xml:space="preserve">）</w:t>
            </w:r>
            <w:r>
              <w:rPr>
                <w:rFonts w:hint="eastAsia" w:ascii="宋体" w:hAnsi="宋体" w:eastAsia="宋体" w:cs="宋体"/>
                <w:b w:val="0"/>
                <w:bCs w:val="0"/>
                <w:sz w:val="24"/>
                <w:szCs w:val="24"/>
                <w:lang w:eastAsia="zh-CN"/>
              </w:rPr>
              <w:t xml:space="preserve">；</w:t>
            </w:r>
            <w:r/>
          </w:p>
        </w:tc>
      </w:tr>
      <w:tr>
        <w:trPr>
          <w:trHeight w:val="348"/>
        </w:trPr>
        <w:tc>
          <w:tcPr>
            <w:shd w:val="clear" w:color="auto" w:fill="auto"/>
            <w:tcW w:w="1405" w:type="dxa"/>
            <w:vAlign w:val="center"/>
            <w:vMerge w:val="continue"/>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auto" w:fill="ffffff"/>
            <w:tcW w:w="7559" w:type="dxa"/>
            <w:vAlign w:val="center"/>
            <w:textDirection w:val="lrTb"/>
            <w:noWrap w:val="false"/>
          </w:tcPr>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支持克隆功能，可为快照和源LUN提供一个实体副本；支持克隆立即可用、克隆一致性组、级联克隆、正向和反向同步；分裂后支持实体副本</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提供具备C</w:t>
            </w:r>
            <w:r>
              <w:rPr>
                <w:rFonts w:hint="eastAsia" w:ascii="宋体" w:hAnsi="宋体" w:eastAsia="宋体" w:cs="宋体"/>
                <w:b/>
                <w:bCs/>
                <w:sz w:val="24"/>
                <w:szCs w:val="24"/>
                <w:lang w:val="en-US" w:eastAsia="zh-CN"/>
              </w:rPr>
              <w:t xml:space="preserve">MA</w:t>
            </w:r>
            <w:r>
              <w:rPr>
                <w:rFonts w:hint="eastAsia" w:ascii="宋体" w:hAnsi="宋体" w:eastAsia="宋体" w:cs="宋体"/>
                <w:b/>
                <w:bCs/>
                <w:sz w:val="24"/>
                <w:szCs w:val="24"/>
              </w:rPr>
              <w:t xml:space="preserve">资质的第三方机构出具测试报告证明</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eastAsia="zh-CN"/>
              </w:rPr>
              <w:t xml:space="preserve">；</w:t>
            </w:r>
            <w:r/>
          </w:p>
        </w:tc>
      </w:tr>
      <w:tr>
        <w:trPr>
          <w:trHeight w:val="348"/>
        </w:trPr>
        <w:tc>
          <w:tcPr>
            <w:shd w:val="clear" w:color="auto" w:fill="auto"/>
            <w:tcW w:w="1405" w:type="dxa"/>
            <w:vAlign w:val="center"/>
            <w:vMerge w:val="continue"/>
            <w:textDirection w:val="lrTb"/>
            <w:noWrap w:val="false"/>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shd w:val="clear" w:color="auto" w:fill="ffffff"/>
            <w:tcW w:w="7559" w:type="dxa"/>
            <w:vAlign w:val="center"/>
            <w:textDirection w:val="lrTb"/>
            <w:noWrap w:val="false"/>
          </w:tcPr>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支持同步复制和异步复制，并支持根据链路进行同异步复制互转，把主中心数据复制到另一个数据中心。</w:t>
            </w:r>
            <w:r/>
          </w:p>
        </w:tc>
      </w:tr>
      <w:tr>
        <w:trPr>
          <w:trHeight w:val="348"/>
        </w:trPr>
        <w:tc>
          <w:tcPr>
            <w:shd w:val="clear" w:color="auto" w:fill="ffffff"/>
            <w:tcW w:w="1405"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SAN免网关双活</w:t>
            </w:r>
            <w:r/>
          </w:p>
        </w:tc>
        <w:tc>
          <w:tcPr>
            <w:shd w:val="clear" w:color="auto" w:fill="ffffff"/>
            <w:tcW w:w="7559" w:type="dxa"/>
            <w:vAlign w:val="center"/>
            <w:textDirection w:val="lrTb"/>
            <w:noWrap w:val="false"/>
          </w:tcPr>
          <w:p>
            <w:pPr>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提供A-A免网关双活架构，实现两套核心存储数据双活（主机能够并发读写同一双活卷），任何一套设备宕机均不影响上层业务系统运行；双活引擎采用集群冗余架构；</w:t>
            </w:r>
            <w:r/>
          </w:p>
        </w:tc>
      </w:tr>
      <w:tr>
        <w:trPr>
          <w:trHeight w:val="348"/>
        </w:trPr>
        <w:tc>
          <w:tcPr>
            <w:shd w:val="clear" w:color="auto" w:fill="ffffff"/>
            <w:tcW w:w="1405"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SSD寿命监控</w:t>
            </w:r>
            <w:r/>
          </w:p>
        </w:tc>
        <w:tc>
          <w:tcPr>
            <w:shd w:val="clear" w:color="auto" w:fill="ffffff"/>
            <w:tcW w:w="7559" w:type="dxa"/>
            <w:vAlign w:val="center"/>
            <w:textDirection w:val="lrTb"/>
            <w:noWrap w:val="false"/>
          </w:tcPr>
          <w:p>
            <w:pPr>
              <w:jc w:val="left"/>
              <w:widowControl/>
              <w:rPr>
                <w:rFonts w:hint="eastAsia" w:ascii="宋体" w:hAnsi="宋体" w:eastAsia="宋体" w:cs="宋体"/>
                <w:color w:val="auto"/>
                <w:sz w:val="24"/>
                <w:szCs w:val="24"/>
                <w:u w:val="none"/>
                <w:lang w:val="en-US" w:eastAsia="zh-CN" w:bidi="ar-SA"/>
              </w:rPr>
            </w:pPr>
            <w:r>
              <w:rPr>
                <w:rFonts w:hint="eastAsia" w:ascii="宋体" w:hAnsi="宋体" w:eastAsia="宋体" w:cs="宋体"/>
                <w:sz w:val="24"/>
                <w:szCs w:val="24"/>
                <w:lang w:eastAsia="zh-CN"/>
              </w:rPr>
              <w:t xml:space="preserve">★</w:t>
            </w:r>
            <w:r>
              <w:rPr>
                <w:rStyle w:val="1075"/>
                <w:rFonts w:hint="eastAsia" w:ascii="宋体" w:hAnsi="宋体" w:eastAsia="宋体" w:cs="宋体"/>
                <w:color w:val="auto"/>
                <w:sz w:val="24"/>
                <w:szCs w:val="24"/>
              </w:rPr>
              <w:t xml:space="preserve">提供SSD寿命监控技术，并在系统中显示每一块SSD硬盘的磨损度以及预估剩余寿命</w:t>
            </w:r>
            <w:bookmarkStart w:id="6" w:name="_GoBack"/>
            <w:r/>
            <w:bookmarkEnd w:id="6"/>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提供具备C</w:t>
            </w:r>
            <w:r>
              <w:rPr>
                <w:rFonts w:hint="eastAsia" w:ascii="宋体" w:hAnsi="宋体" w:eastAsia="宋体" w:cs="宋体"/>
                <w:b/>
                <w:bCs/>
                <w:sz w:val="24"/>
                <w:szCs w:val="24"/>
                <w:lang w:val="en-US" w:eastAsia="zh-CN"/>
              </w:rPr>
              <w:t xml:space="preserve">MA</w:t>
            </w:r>
            <w:r>
              <w:rPr>
                <w:rFonts w:hint="eastAsia" w:ascii="宋体" w:hAnsi="宋体" w:eastAsia="宋体" w:cs="宋体"/>
                <w:b/>
                <w:bCs/>
                <w:sz w:val="24"/>
                <w:szCs w:val="24"/>
              </w:rPr>
              <w:t xml:space="preserve">资质的第三方机构出具测试报告证明</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eastAsia="zh-CN"/>
              </w:rPr>
              <w:t xml:space="preserve">；</w:t>
            </w:r>
            <w:r/>
          </w:p>
        </w:tc>
      </w:tr>
      <w:tr>
        <w:trPr>
          <w:trHeight w:val="348"/>
        </w:trPr>
        <w:tc>
          <w:tcPr>
            <w:shd w:val="clear" w:color="auto" w:fill="ffffff"/>
            <w:tcW w:w="1405" w:type="dxa"/>
            <w:vAlign w:val="center"/>
            <w:textDirection w:val="lrTb"/>
            <w:noWrap w:val="false"/>
          </w:tcPr>
          <w:p>
            <w:pPr>
              <w:jc w:val="center"/>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存储专用多路径软件</w:t>
            </w:r>
            <w:r/>
          </w:p>
        </w:tc>
        <w:tc>
          <w:tcPr>
            <w:shd w:val="clear" w:color="auto" w:fill="ffffff"/>
            <w:tcW w:w="7559" w:type="dxa"/>
            <w:vAlign w:val="center"/>
            <w:textDirection w:val="lrTb"/>
            <w:noWrap w:val="false"/>
          </w:tcPr>
          <w:p>
            <w:pPr>
              <w:widowControl/>
              <w:rPr>
                <w:rFonts w:hint="eastAsia" w:ascii="宋体" w:hAnsi="宋体" w:eastAsia="宋体" w:cs="宋体"/>
                <w:sz w:val="24"/>
                <w:szCs w:val="24"/>
                <w:lang w:val="en-US" w:eastAsia="zh-CN" w:bidi="ar-SA"/>
              </w:rPr>
            </w:pPr>
            <w:r>
              <w:rPr>
                <w:rStyle w:val="1075"/>
                <w:rFonts w:hint="eastAsia" w:ascii="宋体" w:hAnsi="宋体" w:eastAsia="宋体" w:cs="宋体"/>
                <w:color w:val="auto"/>
                <w:sz w:val="24"/>
                <w:szCs w:val="24"/>
              </w:rPr>
              <w:t xml:space="preserve">存储厂商提供专有多路径（非操作系统自带多路径）软件，提供故障切换和负载均衡功能，支持Windows\Linux。</w:t>
            </w:r>
            <w:r/>
          </w:p>
        </w:tc>
      </w:tr>
      <w:tr>
        <w:trPr>
          <w:trHeight w:val="348"/>
        </w:trPr>
        <w:tc>
          <w:tcPr>
            <w:shd w:val="clear" w:color="auto" w:fill="ffffff"/>
            <w:tcW w:w="14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服务及维保</w:t>
            </w:r>
            <w:r/>
          </w:p>
        </w:tc>
        <w:tc>
          <w:tcPr>
            <w:shd w:val="clear" w:color="auto" w:fill="ffffff"/>
            <w:tcW w:w="7559" w:type="dxa"/>
            <w:vAlign w:val="center"/>
            <w:textDirection w:val="lrTb"/>
            <w:noWrap w:val="false"/>
          </w:tcPr>
          <w:p>
            <w:pPr>
              <w:rPr>
                <w:rStyle w:val="1075"/>
                <w:rFonts w:hint="eastAsia" w:ascii="宋体" w:hAnsi="宋体" w:eastAsia="宋体" w:cs="宋体"/>
                <w:color w:val="auto"/>
                <w:sz w:val="24"/>
                <w:szCs w:val="24"/>
              </w:rPr>
            </w:pPr>
            <w:r>
              <w:rPr>
                <w:rFonts w:hint="eastAsia" w:cs="宋体" w:asciiTheme="minorEastAsia" w:hAnsiTheme="minorEastAsia" w:eastAsiaTheme="minorEastAsia"/>
                <w:i/>
                <w:iCs/>
                <w:color w:val="000000" w:themeColor="text1"/>
                <w:sz w:val="24"/>
                <w:szCs w:val="24"/>
                <w:u w:val="single"/>
                <w14:textFill>
                  <w14:solidFill>
                    <w14:schemeClr w14:val="tx1"/>
                  </w14:solidFill>
                </w14:textFill>
              </w:rPr>
              <w:t xml:space="preserve">提供5年软件升级维护服务（从项目验收合格之日起计算）</w:t>
            </w:r>
            <w:r/>
          </w:p>
        </w:tc>
      </w:tr>
    </w:tbl>
    <w:p>
      <w:pPr>
        <w:pStyle w:val="733"/>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bookmarkStart w:id="0" w:name="_Hlk193210151"/>
      <w:r/>
      <w:bookmarkStart w:id="1" w:name="_Hlk192255588"/>
      <w:r/>
      <w:bookmarkStart w:id="2" w:name="_Hlk203642342"/>
      <w:r/>
      <w:bookmarkStart w:id="3" w:name="_Hlk209183846"/>
      <w:r>
        <w:rPr>
          <w:rFonts w:hint="eastAsia" w:asciiTheme="minorEastAsia" w:hAnsiTheme="minorEastAsia" w:eastAsiaTheme="minorEastAsia"/>
          <w:color w:val="000000" w:themeColor="text1"/>
          <w:sz w:val="24"/>
          <w:szCs w:val="24"/>
          <w14:textFill>
            <w14:solidFill>
              <w14:schemeClr w14:val="tx1"/>
            </w14:solidFill>
          </w14:textFill>
        </w:rPr>
        <w:t xml:space="preserve">4.</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4</w:t>
      </w:r>
      <w:r>
        <w:rPr>
          <w:rFonts w:hint="eastAsia" w:asciiTheme="minorEastAsia" w:hAnsiTheme="minorEastAsia" w:eastAsiaTheme="minorEastAsia"/>
          <w:color w:val="000000" w:themeColor="text1"/>
          <w:sz w:val="24"/>
          <w:szCs w:val="24"/>
          <w14:textFill>
            <w14:solidFill>
              <w14:schemeClr w14:val="tx1"/>
            </w14:solidFill>
          </w14:textFill>
        </w:rPr>
        <w:t xml:space="preserve"> </w:t>
      </w:r>
      <w:bookmarkEnd w:id="0"/>
      <w:r/>
      <w:bookmarkEnd w:id="1"/>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医疗态势感知</w:t>
      </w:r>
      <w:r/>
    </w:p>
    <w:tbl>
      <w:tblPr>
        <w:tblStyle w:val="740"/>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418"/>
        <w:gridCol w:w="7566"/>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b/>
                <w:bCs/>
                <w:color w:val="000000" w:themeColor="text1"/>
                <w:sz w:val="24"/>
                <w:szCs w:val="24"/>
                <w14:textFill>
                  <w14:solidFill>
                    <w14:schemeClr w14:val="tx1"/>
                  </w14:solidFill>
                </w14:textFill>
              </w:rPr>
            </w:pPr>
            <w:r/>
            <w:bookmarkStart w:id="4" w:name="_Hlk192230489"/>
            <w:r>
              <w:rPr>
                <w:rFonts w:hint="eastAsia" w:ascii="宋体" w:hAnsi="宋体" w:eastAsia="宋体" w:cs="宋体"/>
                <w:b/>
                <w:bCs/>
                <w:color w:val="000000" w:themeColor="text1"/>
                <w:sz w:val="24"/>
                <w:szCs w:val="24"/>
                <w14:textFill>
                  <w14:solidFill>
                    <w14:schemeClr w14:val="tx1"/>
                  </w14:solidFill>
                </w14:textFill>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center"/>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技术规格要求</w:t>
            </w:r>
            <w:r/>
          </w:p>
        </w:tc>
      </w:tr>
      <w:tr>
        <w:trPr>
          <w:trHeight w:val="312"/>
        </w:trPr>
        <w:tc>
          <w:tcPr>
            <w:shd w:val="clear" w:color="auto" w:fill="ffffff"/>
            <w:tcBorders>
              <w:top w:val="single" w:color="auto" w:sz="4" w:space="0"/>
              <w:left w:val="single" w:color="auto" w:sz="4" w:space="0"/>
              <w:right w:val="single" w:color="auto" w:sz="4" w:space="0"/>
            </w:tcBorders>
            <w:tcW w:w="1418" w:type="dxa"/>
            <w:vAlign w:val="center"/>
            <w:vMerge w:val="restart"/>
            <w:textDirection w:val="lrTb"/>
            <w:noWrap w:val="false"/>
          </w:tcPr>
          <w:p>
            <w:pPr>
              <w:jc w:val="center"/>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基础要求</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i/>
                <w:iCs/>
                <w:color w:val="000000" w:themeColor="text1"/>
                <w:sz w:val="24"/>
                <w:szCs w:val="24"/>
                <w:u w:val="single"/>
                <w14:textFill>
                  <w14:solidFill>
                    <w14:schemeClr w14:val="tx1"/>
                  </w14:solidFill>
                </w14:textFill>
              </w:rPr>
            </w:pPr>
            <w:r>
              <w:rPr>
                <w:rFonts w:hint="eastAsia" w:ascii="宋体" w:hAnsi="宋体" w:cs="宋体"/>
                <w:sz w:val="24"/>
                <w:szCs w:val="24"/>
                <w:lang w:val="en-US" w:eastAsia="zh-CN"/>
              </w:rPr>
              <w:t xml:space="preserve">1套平台：</w:t>
            </w:r>
            <w:r>
              <w:rPr>
                <w:rFonts w:hint="eastAsia" w:ascii="宋体" w:hAnsi="宋体" w:eastAsia="宋体" w:cs="宋体"/>
                <w:i/>
                <w:iCs/>
                <w:sz w:val="24"/>
                <w:szCs w:val="24"/>
                <w:u w:val="single"/>
              </w:rPr>
              <w:t xml:space="preserve">国产化芯片和操作系统，内存≥128GB DDR4 3200，系统盘≥240GB SATA SSD，数据盘≥32TB，电源：冗余电源，千兆电口≥4个,万兆光口≥2个</w:t>
            </w:r>
            <w:r>
              <w:rPr>
                <w:rFonts w:hint="eastAsia" w:ascii="宋体" w:hAnsi="宋体" w:eastAsia="宋体" w:cs="宋体"/>
                <w:sz w:val="24"/>
                <w:szCs w:val="24"/>
              </w:rPr>
              <w:t xml:space="preserve">。</w:t>
            </w:r>
            <w:r/>
          </w:p>
        </w:tc>
      </w:tr>
      <w:tr>
        <w:trPr>
          <w:trHeight w:val="312"/>
        </w:trPr>
        <w:tc>
          <w:tcPr>
            <w:shd w:val="clear" w:color="auto" w:fill="ffffff"/>
            <w:tcBorders>
              <w:left w:val="single" w:color="auto" w:sz="4" w:space="0"/>
              <w:bottom w:val="single" w:color="auto" w:sz="4" w:space="0"/>
              <w:right w:val="single" w:color="auto" w:sz="4" w:space="0"/>
            </w:tcBorders>
            <w:tcW w:w="1418" w:type="dxa"/>
            <w:vAlign w:val="center"/>
            <w:vMerge w:val="continue"/>
            <w:textDirection w:val="lrTb"/>
            <w:noWrap w:val="false"/>
          </w:tcPr>
          <w:p>
            <w:pPr>
              <w:jc w:val="center"/>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cs="宋体"/>
                <w:sz w:val="24"/>
                <w:szCs w:val="24"/>
                <w:lang w:val="en-US" w:eastAsia="zh-CN"/>
              </w:rPr>
              <w:t xml:space="preserve">2台探针：</w:t>
            </w:r>
            <w:r>
              <w:rPr>
                <w:rFonts w:hint="eastAsia" w:ascii="宋体" w:hAnsi="宋体" w:cs="宋体"/>
                <w:i/>
                <w:iCs/>
                <w:sz w:val="24"/>
                <w:szCs w:val="24"/>
                <w:u w:val="single"/>
                <w:lang w:val="en-US" w:eastAsia="zh-CN"/>
              </w:rPr>
              <w:t xml:space="preserve">每台探针</w:t>
            </w:r>
            <w:r>
              <w:rPr>
                <w:rFonts w:hint="eastAsia" w:ascii="宋体" w:hAnsi="宋体" w:eastAsia="宋体" w:cs="宋体"/>
                <w:i/>
                <w:iCs/>
                <w:sz w:val="24"/>
                <w:szCs w:val="24"/>
                <w:u w:val="single"/>
              </w:rPr>
              <w:t xml:space="preserve">2U</w:t>
            </w:r>
            <w:r>
              <w:rPr>
                <w:rFonts w:hint="eastAsia" w:ascii="宋体" w:hAnsi="宋体" w:cs="宋体"/>
                <w:i/>
                <w:iCs/>
                <w:sz w:val="24"/>
                <w:szCs w:val="24"/>
                <w:u w:val="single"/>
                <w:lang w:val="en-US" w:eastAsia="zh-CN"/>
              </w:rPr>
              <w:t xml:space="preserve">设备</w:t>
            </w:r>
            <w:r>
              <w:rPr>
                <w:rFonts w:hint="eastAsia" w:ascii="宋体" w:hAnsi="宋体" w:eastAsia="宋体" w:cs="宋体"/>
                <w:i/>
                <w:iCs/>
                <w:sz w:val="24"/>
                <w:szCs w:val="24"/>
                <w:u w:val="single"/>
              </w:rPr>
              <w:t xml:space="preserve">,</w:t>
            </w:r>
            <w:r>
              <w:rPr>
                <w:rFonts w:hint="eastAsia" w:ascii="宋体" w:hAnsi="宋体" w:cs="宋体"/>
                <w:i/>
                <w:iCs/>
                <w:sz w:val="24"/>
                <w:szCs w:val="24"/>
                <w:u w:val="single"/>
                <w:lang w:val="en-US" w:eastAsia="zh-CN"/>
              </w:rPr>
              <w:t xml:space="preserve">国产芯片</w:t>
            </w:r>
            <w:r>
              <w:rPr>
                <w:rFonts w:hint="eastAsia" w:ascii="宋体" w:hAnsi="宋体" w:eastAsia="宋体" w:cs="宋体"/>
                <w:i/>
                <w:iCs/>
                <w:sz w:val="24"/>
                <w:szCs w:val="24"/>
                <w:u w:val="single"/>
              </w:rPr>
              <w:t xml:space="preserve">≥2.8GHZ,≥8核,国产操作系统,内存≥32G,机械硬盘≥4TB,mSATA卡≥128G,≥6个千兆电口(含HA和管理口),≥4个千兆光口,冗余电源,2个扩展槽位</w:t>
            </w:r>
            <w:r>
              <w:rPr>
                <w:rFonts w:hint="eastAsia" w:ascii="宋体" w:hAnsi="宋体" w:cs="宋体"/>
                <w:i/>
                <w:iCs/>
                <w:sz w:val="24"/>
                <w:szCs w:val="24"/>
                <w:u w:val="single"/>
                <w:lang w:eastAsia="zh-CN"/>
              </w:rPr>
              <w:t xml:space="preserve">；</w:t>
            </w:r>
            <w:r>
              <w:rPr>
                <w:rFonts w:hint="eastAsia" w:ascii="宋体" w:hAnsi="宋体" w:eastAsia="宋体" w:cs="宋体"/>
                <w:i/>
                <w:iCs/>
                <w:sz w:val="24"/>
                <w:szCs w:val="24"/>
                <w:u w:val="single"/>
              </w:rPr>
              <w:t xml:space="preserve">探针性能：≥2Gbps，并发连接≥100W</w:t>
            </w:r>
            <w:r>
              <w:rPr>
                <w:rFonts w:hint="eastAsia" w:ascii="宋体" w:hAnsi="宋体" w:cs="宋体"/>
                <w:sz w:val="24"/>
                <w:szCs w:val="24"/>
                <w:lang w:eastAsia="zh-CN"/>
              </w:rPr>
              <w:t xml:space="preserve">；</w:t>
            </w:r>
            <w:r>
              <w:rPr>
                <w:rFonts w:hint="eastAsia" w:ascii="宋体" w:hAnsi="宋体" w:eastAsia="宋体" w:cs="宋体"/>
                <w:sz w:val="24"/>
                <w:szCs w:val="24"/>
              </w:rPr>
              <w:t xml:space="preserve">包含3年攻击检测规则库、应用识别库、地理信息库、僵尸主机规则库、威胁情报库。</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大屏展示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b/>
                <w:bCs/>
                <w:i/>
                <w:iCs/>
                <w:color w:val="000000" w:themeColor="text1"/>
                <w:sz w:val="24"/>
                <w:szCs w:val="24"/>
                <w:u w:val="single"/>
                <w14:textFill>
                  <w14:solidFill>
                    <w14:schemeClr w14:val="tx1"/>
                  </w14:solidFill>
                </w14:textFill>
              </w:rPr>
            </w:pPr>
            <w:r>
              <w:rPr>
                <w:rFonts w:hint="eastAsia" w:ascii="宋体" w:hAnsi="宋体" w:eastAsia="宋体" w:cs="宋体"/>
                <w:sz w:val="24"/>
                <w:szCs w:val="24"/>
              </w:rPr>
              <w:t xml:space="preserve">支持态势大屏展示，包括全网态势、资产态势、漏洞态势、攻击态势、全域态势，支持大屏展示时间设置，支持态势大屏中相关信息下钻跳转到对应的详细页面；</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漏洞概况</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b/>
                <w:bCs/>
                <w:i/>
                <w:iCs/>
                <w:color w:val="000000" w:themeColor="text1"/>
                <w:sz w:val="24"/>
                <w:szCs w:val="24"/>
                <w:u w:val="single"/>
                <w14:textFill>
                  <w14:solidFill>
                    <w14:schemeClr w14:val="tx1"/>
                  </w14:solidFill>
                </w14:textFill>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持查看漏洞概况、漏洞影响安全域数量、漏洞影响资产数量、漏洞影响业务系统数量、漏洞安全域漏洞排行、影响业务系统漏洞排行、影响资产漏洞排行、漏洞类型分布、漏洞级别对比、漏洞发现趋势等漏洞信息展示。（</w:t>
            </w:r>
            <w:r>
              <w:rPr>
                <w:rFonts w:hint="eastAsia" w:ascii="宋体" w:hAnsi="宋体" w:eastAsia="宋体" w:cs="宋体"/>
                <w:b/>
                <w:bCs/>
                <w:sz w:val="24"/>
                <w:szCs w:val="24"/>
                <w:lang w:val="en-US" w:eastAsia="zh-CN"/>
              </w:rPr>
              <w:t xml:space="preserve">提供以上功能截图证明</w:t>
            </w:r>
            <w:r>
              <w:rPr>
                <w:rFonts w:hint="eastAsia" w:ascii="宋体" w:hAnsi="宋体" w:eastAsia="宋体" w:cs="宋体"/>
                <w:sz w:val="24"/>
                <w:szCs w:val="24"/>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相关展示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b/>
                <w:bCs/>
                <w:i/>
                <w:iCs/>
                <w:color w:val="000000" w:themeColor="text1"/>
                <w:sz w:val="24"/>
                <w:szCs w:val="24"/>
                <w:u w:val="single"/>
                <w:lang w:eastAsia="zh-CN"/>
                <w14:textFill>
                  <w14:solidFill>
                    <w14:schemeClr w14:val="tx1"/>
                  </w14:solidFill>
                </w14:textFill>
              </w:rPr>
            </w:pPr>
            <w:r>
              <w:rPr>
                <w:rFonts w:hint="eastAsia" w:ascii="宋体" w:hAnsi="宋体" w:eastAsia="宋体" w:cs="宋体"/>
                <w:sz w:val="24"/>
                <w:szCs w:val="24"/>
              </w:rPr>
              <w:t xml:space="preserve">支持安全指数、全网资产概述、漏洞概况、防护设备日志监测概况、告警趋势、攻击趋势、告警统计、最新告警、威胁类型排行等内容的相关展示</w:t>
            </w:r>
            <w:r>
              <w:rPr>
                <w:rFonts w:hint="eastAsia" w:ascii="宋体" w:hAnsi="宋体" w:cs="宋体"/>
                <w:sz w:val="24"/>
                <w:szCs w:val="24"/>
                <w:lang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攻击态势</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b/>
                <w:bCs/>
                <w:i/>
                <w:iCs/>
                <w:color w:val="000000" w:themeColor="text1"/>
                <w:sz w:val="24"/>
                <w:szCs w:val="24"/>
                <w:u w:val="single"/>
                <w:lang w:eastAsia="zh-CN"/>
                <w14:textFill>
                  <w14:solidFill>
                    <w14:schemeClr w14:val="tx1"/>
                  </w14:solidFill>
                </w14:textFill>
              </w:rPr>
            </w:pPr>
            <w:r>
              <w:rPr>
                <w:rFonts w:hint="eastAsia" w:ascii="宋体" w:hAnsi="宋体" w:eastAsia="宋体" w:cs="宋体"/>
                <w:sz w:val="24"/>
                <w:szCs w:val="24"/>
              </w:rPr>
              <w:t xml:space="preserve">支持以全球地图实时展示网络攻击态势，支持以不同颜色攻击线展示攻击过程，支持攻击源和攻击目的国家名称展示，支持攻击目的进行光晕显示</w:t>
            </w:r>
            <w:r>
              <w:rPr>
                <w:rFonts w:hint="eastAsia" w:ascii="宋体" w:hAnsi="宋体" w:cs="宋体"/>
                <w:sz w:val="24"/>
                <w:szCs w:val="24"/>
                <w:lang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策略管理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b/>
                <w:bCs/>
                <w:i/>
                <w:iCs/>
                <w:color w:val="000000" w:themeColor="text1"/>
                <w:sz w:val="24"/>
                <w:szCs w:val="24"/>
                <w:u w:val="single"/>
                <w14:textFill>
                  <w14:solidFill>
                    <w14:schemeClr w14:val="tx1"/>
                  </w14:solidFill>
                </w14:textFill>
              </w:rPr>
            </w:pPr>
            <w:r>
              <w:rPr>
                <w:rFonts w:hint="eastAsia" w:ascii="宋体" w:hAnsi="宋体" w:eastAsia="宋体" w:cs="宋体"/>
                <w:sz w:val="24"/>
                <w:szCs w:val="24"/>
              </w:rPr>
              <w:t xml:space="preserve">支持基于场景的安全策略响应编排，支持预案及案例两种场景类型，支持以列表形式展示预案信息，包括预案名称、预案类型、响应动作、关联案例数、来源、创建时间、描述；支持对预案总数、被引用预案总数、未被引用预案总数进行统计；支持对案例进行新增、删除、启用、停用等操作，并支持案例批量处理；支持从告警维度查看案例对告警的响应处置详情，支持集中管控执行联动处置动作后下发给安全设备的策略管理。</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工单管理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b/>
                <w:bCs/>
                <w:i/>
                <w:iCs/>
                <w:color w:val="000000" w:themeColor="text1"/>
                <w:sz w:val="24"/>
                <w:szCs w:val="24"/>
                <w:u w:val="single"/>
                <w:lang w:eastAsia="zh-CN"/>
                <w14:textFill>
                  <w14:solidFill>
                    <w14:schemeClr w14:val="tx1"/>
                  </w14:solidFill>
                </w14:textFill>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支持工单管理，支持指派相关责任人进行处理，支持对工单进行分组管理，分组类型包括我的工单、待处置工单、已处置工单、历史工单；支持在我的工单分组中进行工单分派、取消、查看详情、查看流程图等操作，支持新建工单，包括工单名称、级别、派单人、业务流程、描述等信息，支持工单统计报表导出。（</w:t>
            </w:r>
            <w:r>
              <w:rPr>
                <w:rFonts w:hint="eastAsia" w:ascii="宋体" w:hAnsi="宋体" w:cs="宋体"/>
                <w:b/>
                <w:bCs/>
                <w:sz w:val="24"/>
                <w:szCs w:val="24"/>
                <w:lang w:val="en-US" w:eastAsia="zh-CN"/>
              </w:rPr>
              <w:t xml:space="preserve">提供至少包括工单分组管理、我的工单、工单操作、导出工单统计报表功能截图证明</w:t>
            </w:r>
            <w:r>
              <w:rPr>
                <w:rFonts w:hint="eastAsia" w:ascii="宋体" w:hAnsi="宋体" w:cs="宋体"/>
                <w:sz w:val="24"/>
                <w:szCs w:val="24"/>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线索追溯</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 xml:space="preserve">针对被保护网络中的安全事件进行线索追溯，对攻击对手、攻击方式、攻击路径、攻击源、攻击目标、攻击事件等进行拓展分析，通过数据融合、数据关联重新刻画安全事件。支持对追溯相关的安全事件的原始日志信息进行展示，支持对关联的安全事件进行列表展示。支持对追溯相关的安全事件的原始日志信息进行展示，支持对关联的安全事件进行列表展示，支持对源、目的地址攻击关系进行分析展示</w:t>
            </w:r>
            <w:r>
              <w:rPr>
                <w:rFonts w:hint="eastAsia" w:ascii="宋体" w:hAnsi="宋体" w:cs="宋体"/>
                <w:sz w:val="24"/>
                <w:szCs w:val="24"/>
                <w:lang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资产外联分析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b/>
                <w:bCs/>
                <w:i/>
                <w:iCs/>
                <w:color w:val="000000" w:themeColor="text1"/>
                <w:sz w:val="24"/>
                <w:szCs w:val="24"/>
                <w:u w:val="single"/>
                <w14:textFill>
                  <w14:solidFill>
                    <w14:schemeClr w14:val="tx1"/>
                  </w14:solidFill>
                </w14:textFill>
              </w:rPr>
            </w:pPr>
            <w:r>
              <w:rPr>
                <w:rFonts w:hint="eastAsia" w:ascii="宋体" w:hAnsi="宋体" w:eastAsia="宋体" w:cs="宋体"/>
                <w:sz w:val="24"/>
                <w:szCs w:val="24"/>
              </w:rPr>
              <w:t xml:space="preserve">支持资产外联分析，分析维度包括资产外联热力地图、外联资产排名TOP10、访问目的排名TOP10、外联趋势、外联事件列表，支持外联热力地图分析，支持源区域及目的区域按颜色区分展示，支持展示源目的区域间外联连接关系，支持外联热力地图区域缩放，支持对事件列表中的事件进行详情查看、关联日志检索、加入白名单及加入关注名单操作，支持按照目的地域、日志级别、应用协议、时间、日志类型、源地址、目的地址、目的端口进行过滤查询，支持重要资产快速外联分析统计，支持启用关注名单及访问时间段过滤设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展示威胁源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持从日志中发现威胁源，支持以列表形式展示威胁源相关信息，展示信息包括（区域）IP、威胁等级、影响资产、威胁类型、威胁数量、首次发现时间、最新发现时间、处置状态等，支持按照日期、IP、区域、威胁等级、威胁类型、关注名单匹配、是否命中情报、处置状态等条件进行过滤查询，支持威胁加入白名单、关注名单、加入威胁情报库、立即封堵等操作，支持与云端情报进行碰撞，支持按照TXT、CSV、EXCEL等格式进行威胁信息导出，支持影响资产、威胁类型、威胁数量等字段下钻；（</w:t>
            </w:r>
            <w:r>
              <w:rPr>
                <w:rFonts w:hint="eastAsia" w:ascii="宋体" w:hAnsi="宋体" w:eastAsia="宋体" w:cs="宋体"/>
                <w:b/>
                <w:bCs/>
                <w:sz w:val="24"/>
                <w:szCs w:val="24"/>
                <w:lang w:val="en-US" w:eastAsia="zh-CN"/>
              </w:rPr>
              <w:t xml:space="preserve">提供以上功能截图证明</w:t>
            </w:r>
            <w:r>
              <w:rPr>
                <w:rFonts w:hint="eastAsia" w:ascii="宋体" w:hAnsi="宋体" w:eastAsia="宋体" w:cs="宋体"/>
                <w:sz w:val="24"/>
                <w:szCs w:val="24"/>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日志展示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lang w:eastAsia="zh-CN"/>
              </w:rPr>
            </w:pPr>
            <w:r>
              <w:rPr>
                <w:rFonts w:hint="eastAsia" w:ascii="宋体" w:hAnsi="宋体" w:eastAsia="宋体" w:cs="宋体"/>
                <w:sz w:val="24"/>
                <w:szCs w:val="24"/>
              </w:rPr>
              <w:t xml:space="preserve">支持对日志的详情展示，支持日志的详情、溯源、附件、一键封堵、加入白名单、加入关注名单、封堵申请等操作</w:t>
            </w:r>
            <w:r>
              <w:rPr>
                <w:rFonts w:hint="eastAsia" w:ascii="宋体" w:hAnsi="宋体" w:eastAsia="宋体" w:cs="宋体"/>
                <w:sz w:val="24"/>
                <w:szCs w:val="24"/>
                <w:lang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展示信息</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支持资产探测任务管理，支持任务添加、修改、删除、开始扫描、重新扫描等操作，支持任务列表展示，展示信息包括任务名称、扫描范围、类型、状态、更新时间等，扫描范围支持单个IP、IP段、子网范围，支持查看扫描结果，结果信息包括所属任务、设备名称、设备IP、MAC、操作系统、时间、端口服务。</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策略标签管理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支持对EDR的管控，支持EDR策略新建、删除、查看、编辑、下发、下发记录等，支持策略标签管理，策略内容包括名称、标签、设备类型、执行设备、策略分类、配置项类型、状态、源地址、源端口、目的地址、目的端口、终端地址。</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提供以上功能截图证明</w:t>
            </w:r>
            <w:r>
              <w:rPr>
                <w:rFonts w:hint="eastAsia" w:ascii="宋体" w:hAnsi="宋体" w:eastAsia="宋体" w:cs="宋体"/>
                <w:sz w:val="24"/>
                <w:szCs w:val="24"/>
                <w:highlight w:val="none"/>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纵深防御</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安全技术体系建设支持查看纵深防御下的便捷防护设备、漏洞扫描设备、威胁检测设备、终端防护设备、安全审计设备数量，支持下钻查看详细每类设备的具体数量和设备作用，以及当前平台已处理该设备的日志数量，支持查看安全域的数量以及名称、攻击数、防护设备数。支持查看资产总数、防护设备总数。支持查看业务系统的数量以及名称、攻击数、防护设备数。</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威胁情报管理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★支持威胁情报管理，包括恶意IP地址、恶意URL、恶意样本、恶意域名、垃圾邮件等，支持情报进行分类自定义查询，支持自定义威胁情报信息，支持威胁情报的导入。</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lang w:val="en-US" w:eastAsia="zh-CN"/>
              </w:rPr>
              <w:t xml:space="preserve">提供以上功能截图证明</w:t>
            </w:r>
            <w:r>
              <w:rPr>
                <w:rFonts w:hint="eastAsia" w:ascii="宋体" w:hAnsi="宋体" w:eastAsia="宋体" w:cs="宋体"/>
                <w:sz w:val="24"/>
                <w:szCs w:val="24"/>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事件分析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支持DDoS攻击事件分析，按照时间范围综合分析DDoS攻击类型分布、被攻击IP Top10、被攻击IP流量排名等信息。（</w:t>
            </w:r>
            <w:r>
              <w:rPr>
                <w:rFonts w:hint="eastAsia" w:ascii="宋体" w:hAnsi="宋体" w:eastAsia="宋体" w:cs="宋体"/>
                <w:b/>
                <w:bCs/>
                <w:sz w:val="24"/>
                <w:szCs w:val="24"/>
                <w:lang w:val="en-US" w:eastAsia="zh-CN"/>
              </w:rPr>
              <w:t xml:space="preserve">提供以上功能截图证明</w:t>
            </w:r>
            <w:r>
              <w:rPr>
                <w:rFonts w:hint="eastAsia" w:ascii="宋体" w:hAnsi="宋体" w:eastAsia="宋体" w:cs="宋体"/>
                <w:sz w:val="24"/>
                <w:szCs w:val="24"/>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智能检测</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支持对攻击逃逸报文进行深度智能检测，包括：IP分片、TCP分段、RPC分片分段、SMB分片分段、HTTP-Header折叠、HTTP-Body UTF-7编码、HTTP-Body UTF-16（LE/BE）编码、HTTP-Body UTF-32（LE/BE）编码、HTTP-Body压缩、HTTP-Post数据编码、邮件体编码、URL多重编码、URL斜线分隔符、URI相对目录欺骗、HTTP-Javascript编码、邮件头折叠等类型。</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检测引擎</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支持独立的僵尸主机检测引擎，涵盖11000种以上的僵尸主机规则库。规则库支持按照攻击类型、操作系统、风险等级、ATT&amp;CK、攻击阶段等方式进行分类。支持能够检测包括：僵尸网络、木马控制、蠕虫、挖矿、勒索、移动端木马控制、APT等多类型的僵尸主机行为。</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还原捕获</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支持文件还原捕获，可自定义捕获文件大小，最大支持还原100M大小的文件。捕获文件类型包含恶意文件、疑似恶意文件、无风险文件。</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攻击检测</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支持注入和WEBSHELL攻击检测，包括：SQL语法分析检测、SQL注入检测、XSS攻击检测、命令注入检测、WEBSHELL上传检测、WEBSHELL行为检测。（</w:t>
            </w:r>
            <w:r>
              <w:rPr>
                <w:rFonts w:hint="eastAsia" w:ascii="宋体" w:hAnsi="宋体" w:eastAsia="宋体" w:cs="宋体"/>
                <w:b/>
                <w:bCs/>
                <w:sz w:val="24"/>
                <w:szCs w:val="24"/>
                <w:lang w:val="en-US" w:eastAsia="zh-CN"/>
              </w:rPr>
              <w:t xml:space="preserve">提供以上功能截图证明</w:t>
            </w:r>
            <w:r>
              <w:rPr>
                <w:rFonts w:hint="eastAsia" w:ascii="宋体" w:hAnsi="宋体" w:eastAsia="宋体" w:cs="宋体"/>
                <w:sz w:val="24"/>
                <w:szCs w:val="24"/>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取证功能</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支持取证功能，取证类型包括：PCAP取证、样本取证两种形式，PCAP取证文件支持在线预览。</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流量检测</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支持恶意加密流量检测，采用恶意TLS流量智慧检测引擎、异常握手、非法证书和内网流量检测恶意加密流量。（</w:t>
            </w:r>
            <w:r>
              <w:rPr>
                <w:rFonts w:hint="eastAsia" w:ascii="宋体" w:hAnsi="宋体" w:eastAsia="宋体" w:cs="宋体"/>
                <w:b/>
                <w:bCs/>
                <w:sz w:val="24"/>
                <w:szCs w:val="24"/>
                <w:lang w:val="en-US" w:eastAsia="zh-CN"/>
              </w:rPr>
              <w:t xml:space="preserve">提供以上功能截图证明</w:t>
            </w:r>
            <w:r>
              <w:rPr>
                <w:rFonts w:hint="eastAsia" w:ascii="宋体" w:hAnsi="宋体" w:eastAsia="宋体" w:cs="宋体"/>
                <w:sz w:val="24"/>
                <w:szCs w:val="24"/>
                <w:lang w:val="en-US" w:eastAsia="zh-CN"/>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独立威胁情报库</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具备独立威胁情报库，包括：木马程序、病毒程序、僵尸网络、APT攻击等30余种情报标签，威胁情报库数量超过800万。</w:t>
            </w:r>
            <w:bookmarkEnd w:id="2"/>
            <w:r/>
            <w:bookmarkEnd w:id="4"/>
            <w:r/>
            <w:r/>
          </w:p>
        </w:tc>
      </w:tr>
    </w:tbl>
    <w:p>
      <w:pP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bookmarkEnd w:id="3"/>
      <w:r/>
      <w:r/>
    </w:p>
    <w:p>
      <w:pPr>
        <w:pStyle w:val="731"/>
        <w:numPr>
          <w:ilvl w:val="0"/>
          <w:numId w:val="13"/>
        </w:numPr>
        <w:jc w:val="both"/>
        <w:spacing w:before="360" w:after="200" w:line="240" w:lineRule="auto"/>
        <w:rPr>
          <w:rFonts w:asciiTheme="minorEastAsia" w:hAnsiTheme="minorEastAsia" w:eastAsiaTheme="minorEastAsia" w:cstheme="minorEastAsia"/>
          <w:b w:val="0"/>
          <w:bCs w:val="0"/>
          <w:color w:val="000000" w:themeColor="text1"/>
          <w:sz w:val="24"/>
          <w:szCs w:val="24"/>
          <w14:textFill>
            <w14:solidFill>
              <w14:schemeClr w14:val="tx1"/>
            </w14:solidFill>
          </w14:textFill>
        </w:rPr>
      </w:pPr>
      <w:r/>
      <w:bookmarkStart w:id="5" w:name="_Hlk184988596"/>
      <w:r/>
      <w:bookmarkEnd w:id="5"/>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项目技术要求</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为保障中医院新院区开业后IT系统稳定、安全、高效运行，实现新院区</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核心数据库服务器、核心数据</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存储、</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医疗态势感知</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部署及安全审计合规，结合“保留老院区、新院区网络独立未互通”的现状，现对供应商的项目实施及服务方案提出以下要求，涵盖实施管理、技术适配、安全保障、服务支撑等核心方面。</w:t>
      </w:r>
      <w:r/>
    </w:p>
    <w:p>
      <w:pPr>
        <w:pStyle w:val="733"/>
        <w:numPr>
          <w:ilvl w:val="0"/>
          <w:numId w:val="14"/>
        </w:numPr>
        <w:spacing w:before="320" w:after="200" w:line="24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交付验收服务</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供应商需在方案中明确项目交付资料的详细清单（需包含设备清单、出厂合格证、技术手册、配置参数表、测试报告、培训资料、保修凭证、保密协议、服务承诺函等），列明每份资料的编制要求、交付形式（纸质/电子）及交付时限；承诺所有交付资料经医院核对无误后，组织验收，若资料缺失、不准确或不符合要求，需在3个工作日内补充完善，逾期按违约处理。</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分阶段验收的具体流程、验收标准及时限：设备到货验收需在设备到货后2个工作日内开展，重点核查设备型号、配置、数量、外观及合格证，与合同一致后方可验收；系统功能验收需在部署调试完成后5个工作日内开展，模拟医院实际业务场景，测试各项功能是否满足需求，出具功能测试报告；整体验收需在系统试运行1个月后开展，确保所有设备及系统正常运行、无故障、无隐患，各项指标达标后方可通过验收；方案需附各阶段验收表模板。</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验收问题整改的具体要求：针对验收过程中发现的问题，需在3个工作日内提交整改方案，明确整改措施、责任人及时限；整改完成后2个工作日内申请复验，直至验收合格；整改期间产生的人工、材料、设备等所有费用由供应商承担，若因整改不及时导致项目延期，需按合同约定承担违约责任；承诺验收合格前，所有设备及系统的安全、运维责任由供应商承担。</w:t>
      </w:r>
      <w:r/>
    </w:p>
    <w:p>
      <w:pPr>
        <w:pStyle w:val="733"/>
        <w:numPr>
          <w:ilvl w:val="0"/>
          <w:numId w:val="14"/>
        </w:numPr>
        <w:spacing w:before="320" w:after="200" w:line="24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运维保障服务</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质保服务的具体内容：提供5年的免费质保服务，质保范围涵盖所有采购设备及系统（含硬件维修、软件升级、故障排查）；质保期内设备出现故障，需在2小时内响应（电话/远程），4小时内到达现场维修，无法现场解决的需在8小时内提供同型号备用设备，确保业务不中断；质保期后提供终身维护服务，维修费用按成本价收取，明确维修服务时限；方案需附质保服务承诺书及备用设备保障方案。</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常态化运维服务的具体安排：质保期内每月至少开展1次现场巡检，巡检内容包括设备运行状态、系统日志、安全隐患、网络链路等，巡检完成后3个工作日内提交《巡检报告》，明确发现的问题及整改措施；每季度提供1次系统优化服务，包括性能调优、日志清理、补丁更新等，提升系统运行效率；方案需附巡检表模板及系统优化服务流程，承诺巡检及优化过程不影响医院正常诊疗业务。</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7×24小时技术支持服务的具体保障措施：开通专属服务热线、微信群/QQ群，明确技术支持团队联系人及联系方式，确保医院运维人员遇到问题时能随时联系；远程技术支持需在30分钟内响应，提供问题解答及操作指导；若远程无法解决，按质保期故障处理时限安排现场服务；方案需附技术支持服务承诺书，明确响应不及时的违约责任。</w:t>
      </w:r>
      <w:r/>
    </w:p>
    <w:p>
      <w:pPr>
        <w:pStyle w:val="733"/>
        <w:numPr>
          <w:ilvl w:val="0"/>
          <w:numId w:val="14"/>
        </w:numPr>
        <w:spacing w:before="320" w:after="200" w:line="24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人员培训服务</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制定针对性的分层培训方案，明确培训对象、培训内容、培训时长及考核标准：对运维人员开展不少于8课时的培训，重点涵盖设备配置、系统调试、故障排查、日常运维等技能，确保其能独立开展运维工作；对临床医护人员开展不少于4课时的培训，重点涵盖影像系统操作、上网行为规范、数据安全注意事项等内容，提升其使用体验；方案需附培训课程表、课件大纲及考核试卷模板。</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明确培训形式及时限：培训采用“现场授课+实操演练+线上答疑”相结合的方式，培训次数不少于2次（首次培训在系统上线前，复训在试运行1个月后）；培训后3个工作日内组织考核，考核合格后方可结束培训，考核不合格的需免费开展二次培训；提供培训课件、操作手册、视频教程等资料（纸质+电子版本），方便后续查阅学习；方案需明确培训讲师资质（需具备相关行业认证及5年以上医院IT培训经验）。</w:t>
      </w:r>
      <w:r/>
    </w:p>
    <w:p>
      <w:pPr>
        <w:ind w:right="0" w:firstLine="42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rPr>
          <w:rFonts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供应商需在方案中承诺，质保期内根据医院需求（如人员岗位调整、系统功能升级、新设备添加），免费提供再培训服务，明确再培训的申请流程、响应时限（接到申请后5个工作日内安排）及培训形式；确保医院相关人员能熟练掌握最新的设备操作及系统运维技能，方案需附再培训服务承诺书。</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07"/>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6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4"/>
        <w:gridCol w:w="1622"/>
        <w:gridCol w:w="4899"/>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val="false"/>
          </w:tcPr>
          <w:p>
            <w:pPr>
              <w:ind w:left="0" w:right="0" w:firstLine="0"/>
              <w:jc w:val="center"/>
              <w:keepLines w:val="0"/>
              <w:keepNext w:val="0"/>
              <w:pageBreakBefore w:val="0"/>
              <w:spacing w:before="0" w:after="0"/>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本</w:t>
      </w:r>
      <w:r>
        <w:rPr>
          <w:rFonts w:ascii="宋体" w:hAnsi="宋体" w:eastAsia="宋体" w:cs="宋体"/>
          <w:b/>
          <w:color w:val="auto"/>
          <w:sz w:val="24"/>
          <w:highlight w:val="none"/>
        </w:rPr>
        <w:t xml:space="preserve">项目专门面向中小企业：是/否</w:t>
      </w:r>
      <w:r/>
    </w:p>
    <w:tbl>
      <w:tblPr>
        <w:tblStyle w:val="76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4"/>
        <w:gridCol w:w="64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8"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8"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否</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19"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none"/>
          <w:u w:val="single"/>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jc w:val="both"/>
        <w:spacing w:before="120" w:after="12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740"/>
        <w:tblpPr w:horzAnchor="page" w:tblpX="1285" w:vertAnchor="text" w:tblpY="397" w:leftFromText="180" w:topFromText="0" w:rightFromText="180" w:bottomFromText="0"/>
        <w:tblW w:w="9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8452"/>
      </w:tblGrid>
      <w:tr>
        <w:trPr>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项 目</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报价</w:t>
            </w:r>
            <w:r/>
          </w:p>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（30分）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以满足招标文件要求的最低投标报价为评标基准价，得满分30分，其他投标报价得分=(评标基准价／其他投标报价)×30×100%。</w:t>
            </w:r>
            <w:r/>
          </w:p>
        </w:tc>
      </w:tr>
      <w:tr>
        <w:trPr>
          <w:trHeight w:val="1445"/>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技术性能</w:t>
            </w:r>
            <w:r/>
          </w:p>
          <w:p>
            <w:pP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（36分）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产品技术参数满足或优于招标需求的</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并按要求提供证明材料的</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，得36分。带“</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”项，有一项不满足扣3分</w:t>
            </w:r>
            <w:r>
              <w:rPr>
                <w:rFonts w:ascii="Times New Roman" w:hAnsi="Times New Roman" w:cs="Times New Roman"/>
                <w:sz w:val="24"/>
                <w:szCs w:val="24"/>
              </w:rPr>
              <w:t xml:space="preserve">，扣完为止</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p>
        </w:tc>
      </w:tr>
      <w:tr>
        <w:trPr>
          <w:trHeight w:val="3286"/>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36"/>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技术要求</w:t>
            </w:r>
            <w:r/>
          </w:p>
          <w:p>
            <w:pPr>
              <w:ind w:firstLine="36"/>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15</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numPr>
                <w:ilvl w:val="0"/>
                <w:numId w:val="15"/>
              </w:numPr>
              <w:widowControl/>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交付验收服务方案</w:t>
            </w:r>
            <w:r/>
          </w:p>
          <w:p>
            <w:pPr>
              <w:jc w:val="lef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投标人需根据本项目交付验收服务要求提供方案，根据方案响应程度进行综合评审，方案优于招标文件要求，得5分，方案符合招标文件要求得3分；方案不符合招标文件要求不得分。</w:t>
            </w:r>
            <w:r/>
          </w:p>
          <w:p>
            <w:pPr>
              <w:numPr>
                <w:ilvl w:val="0"/>
                <w:numId w:val="15"/>
              </w:numPr>
              <w:widowControl/>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运维保障服务方案</w:t>
            </w:r>
            <w:r/>
          </w:p>
          <w:p>
            <w:pPr>
              <w:jc w:val="lef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投标人需根据本项目运维保障服务要求提供方案，根据方案响应程度进行综合评审，方案优于招标文件要求，得5分，方案符合招标文件要求得3分；方案不符合招标文件要求不得分。</w:t>
            </w:r>
            <w:r/>
          </w:p>
          <w:p>
            <w:pPr>
              <w:numPr>
                <w:ilvl w:val="0"/>
                <w:numId w:val="15"/>
              </w:numPr>
              <w:widowControl/>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人员培训服务方案</w:t>
            </w:r>
            <w:r/>
          </w:p>
          <w:p>
            <w:pPr>
              <w:jc w:val="lef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投标人需根据本项目</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人员培训服务要求</w:t>
            </w:r>
            <w:r>
              <w:rPr>
                <w:rFonts w:hint="eastAsia" w:asciiTheme="minorEastAsia" w:hAnsiTheme="minorEastAsia" w:eastAsiaTheme="minorEastAsia"/>
                <w:bCs/>
                <w:color w:val="000000" w:themeColor="text1"/>
                <w:sz w:val="24"/>
                <w:szCs w:val="24"/>
                <w14:textFill>
                  <w14:solidFill>
                    <w14:schemeClr w14:val="tx1"/>
                  </w14:solidFill>
                </w14:textFill>
              </w:rPr>
              <w:t xml:space="preserve">提供方案，根据方案响应程度进行综合评审，方案优于招标文件要求，得5分，方案符合招标文件要求得3分；方案不符合招标文件要求不得分。</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投标人</w:t>
            </w:r>
            <w:r/>
          </w:p>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实力</w:t>
            </w:r>
            <w:r/>
          </w:p>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6</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hint="eastAsia" w:cs="宋体" w:asciiTheme="minorEastAsia" w:hAnsiTheme="minorEastAsia" w:eastAsiaTheme="minorEastAsia"/>
                <w:bCs/>
                <w:color w:val="000000" w:themeColor="text1"/>
                <w:sz w:val="24"/>
                <w:szCs w:val="24"/>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1、认证证书（</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w:t>
            </w:r>
            <w:r>
              <w:rPr>
                <w:rFonts w:hint="eastAsia" w:cs="宋体" w:asciiTheme="minorEastAsia" w:hAnsiTheme="minorEastAsia" w:eastAsiaTheme="minorEastAsia"/>
                <w:color w:val="000000" w:themeColor="text1"/>
                <w:sz w:val="24"/>
                <w:szCs w:val="24"/>
                <w:lang w:bidi="ar"/>
                <w14:textFill>
                  <w14:solidFill>
                    <w14:schemeClr w14:val="tx1"/>
                  </w14:solidFill>
                </w14:textFill>
              </w:rPr>
              <w:br/>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具有有效期内</w:t>
            </w: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ISO20000信息技术服务管理体系认证</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证书</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、CCRC信息安全服务资质（安全集成专项）三级及以上证书、CCRC信息安全服务资质（安全运维专项）三级及以上证书，有一项得</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分，最高不超过</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分；提供相关证书扫描上传</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36"/>
              <w:jc w:val="center"/>
              <w:rPr>
                <w:rFonts w:cs="宋体" w:asciiTheme="minorEastAsia" w:hAnsiTheme="minorEastAsia" w:eastAsiaTheme="minorEastAsia"/>
                <w:b/>
                <w:bCs/>
                <w:color w:val="000000" w:themeColor="text1"/>
                <w:sz w:val="24"/>
                <w:szCs w:val="24"/>
                <w:lang w:bidi="ar"/>
                <w14:textFill>
                  <w14:solidFill>
                    <w14:schemeClr w14:val="tx1"/>
                  </w14:solidFill>
                </w14:textFill>
              </w:rPr>
            </w:pPr>
            <w:r>
              <w:rPr>
                <w:rFonts w:hint="eastAsia" w:cs="宋体" w:asciiTheme="minorEastAsia" w:hAnsiTheme="minorEastAsia" w:eastAsiaTheme="minorEastAsia"/>
                <w:b/>
                <w:bCs/>
                <w:color w:val="000000" w:themeColor="text1"/>
                <w:sz w:val="24"/>
                <w:szCs w:val="24"/>
                <w:lang w:bidi="ar"/>
                <w14:textFill>
                  <w14:solidFill>
                    <w14:schemeClr w14:val="tx1"/>
                  </w14:solidFill>
                </w14:textFill>
              </w:rPr>
              <w:t xml:space="preserve">项目负责人资质</w:t>
            </w:r>
            <w:r/>
          </w:p>
          <w:p>
            <w:pPr>
              <w:ind w:firstLine="36"/>
              <w:jc w:val="center"/>
              <w:spacing w:line="360" w:lineRule="auto"/>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4</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pStyle w:val="741"/>
              <w:ind w:firstLine="0"/>
              <w:jc w:val="left"/>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提供一名项目经理，该项目经理具有系统集成项目管理工程师证书（软考证书）的</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注册信息安全工程师cisp证书，</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每有一个得2</w:t>
            </w:r>
            <w:r>
              <w:rPr>
                <w:rFonts w:hint="eastAsia" w:cs="宋体" w:asciiTheme="minorEastAsia" w:hAnsiTheme="minorEastAsia" w:eastAsiaTheme="minorEastAsia"/>
                <w:color w:val="000000" w:themeColor="text1"/>
                <w:sz w:val="24"/>
                <w:szCs w:val="24"/>
                <w:highlight w:val="none"/>
                <w:lang w:bidi="ar"/>
                <w14:textFill>
                  <w14:solidFill>
                    <w14:schemeClr w14:val="tx1"/>
                  </w14:solidFill>
                </w14:textFill>
              </w:rPr>
              <w:t xml:space="preserve">分</w:t>
            </w:r>
            <w:r>
              <w:rPr>
                <w:rFonts w:hint="eastAsia" w:cs="宋体" w:asciiTheme="minorEastAsia" w:hAnsiTheme="minorEastAsia" w:eastAsiaTheme="minorEastAsia"/>
                <w:color w:val="000000" w:themeColor="text1"/>
                <w:sz w:val="24"/>
                <w:szCs w:val="24"/>
                <w:highlight w:val="none"/>
                <w:lang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满分4分</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w:t>
            </w:r>
            <w:r/>
          </w:p>
          <w:p>
            <w:pPr>
              <w:pStyle w:val="741"/>
              <w:ind w:firstLine="0"/>
              <w:jc w:val="left"/>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注：提供相关证书和投标人近三个月内任意一个月为其缴纳的社保证明扫描上传</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762"/>
              <w:jc w:val="center"/>
              <w:spacing w:before="0" w:beforeAutospacing="0" w:after="0" w:afterAutospacing="0"/>
              <w:rPr>
                <w:rFonts w:asciiTheme="minorEastAsia" w:hAnsiTheme="minorEastAsia" w:eastAsiaTheme="minorEastAsia"/>
                <w:b/>
                <w:bCs/>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 xml:space="preserve">项目组人员能力</w:t>
            </w:r>
            <w:r/>
          </w:p>
          <w:p>
            <w:pPr>
              <w:pStyle w:val="762"/>
              <w:jc w:val="center"/>
              <w:spacing w:before="0" w:beforeAutospacing="0" w:after="0" w:afterAutospacing="0"/>
              <w:rPr>
                <w:rFonts w:asciiTheme="minorEastAsia" w:hAnsiTheme="minorEastAsia" w:eastAsiaTheme="minorEastAsia"/>
                <w:b/>
                <w:bCs/>
                <w:color w:val="000000" w:themeColor="text1"/>
                <w14:textFill>
                  <w14:solidFill>
                    <w14:schemeClr w14:val="tx1"/>
                  </w14:solidFill>
                </w14:textFill>
              </w:rPr>
            </w:pPr>
            <w:r>
              <w:rPr>
                <w:rFonts w:hint="eastAsia" w:asciiTheme="minorEastAsia" w:hAnsiTheme="minorEastAsia" w:eastAsiaTheme="minorEastAsia"/>
                <w:b/>
                <w:bCs/>
                <w:color w:val="000000" w:themeColor="text1"/>
                <w14:textFill>
                  <w14:solidFill>
                    <w14:schemeClr w14:val="tx1"/>
                  </w14:solidFill>
                </w14:textFill>
              </w:rPr>
              <w:t xml:space="preserve">（</w:t>
            </w:r>
            <w:r>
              <w:rPr>
                <w:rFonts w:hint="eastAsia" w:asciiTheme="minorEastAsia" w:hAnsiTheme="minorEastAsia" w:eastAsiaTheme="minorEastAsia"/>
                <w:b/>
                <w:bCs/>
                <w:color w:val="000000" w:themeColor="text1"/>
                <w:highlight w:val="none"/>
                <w:lang w:val="en-US" w:eastAsia="zh-CN"/>
                <w14:textFill>
                  <w14:solidFill>
                    <w14:schemeClr w14:val="tx1"/>
                  </w14:solidFill>
                </w14:textFill>
              </w:rPr>
              <w:t xml:space="preserve">6</w:t>
            </w:r>
            <w:r>
              <w:rPr>
                <w:rFonts w:hint="eastAsia" w:asciiTheme="minorEastAsia" w:hAnsiTheme="minorEastAsia" w:eastAsiaTheme="minorEastAsia"/>
                <w:b/>
                <w:bCs/>
                <w:color w:val="000000" w:themeColor="text1"/>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lang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项目组成员（除项目负责人）具有网络工程师证书（软考证书）的</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IT</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服务项目经理</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证书（</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ITSS</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注册信息安全工程师(cisp)证书的</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每有1人得</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2</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分，最高得</w:t>
            </w:r>
            <w:r>
              <w:rPr>
                <w:rFonts w:hint="eastAsia" w:cs="宋体" w:asciiTheme="minorEastAsia" w:hAnsiTheme="minorEastAsia" w:eastAsiaTheme="minorEastAsia"/>
                <w:color w:val="000000" w:themeColor="text1"/>
                <w:sz w:val="24"/>
                <w:szCs w:val="24"/>
                <w:highlight w:val="none"/>
                <w:lang w:val="en-US" w:eastAsia="zh-CN" w:bidi="ar"/>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分。</w:t>
            </w:r>
            <w:r/>
          </w:p>
          <w:p>
            <w:pPr>
              <w:jc w:val="left"/>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注：以上人员不重复及证书不重复计分，提供相关证书和投标人近三个月内任意一个月为其缴纳的社保证明</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原件</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扫描上传</w:t>
            </w:r>
            <w:r>
              <w:rPr>
                <w:rFonts w:hint="eastAsia" w:cs="宋体" w:asciiTheme="minorEastAsia" w:hAnsiTheme="minorEastAsia" w:eastAsiaTheme="minorEastAsia"/>
                <w:color w:val="000000" w:themeColor="text1"/>
                <w:sz w:val="24"/>
                <w:szCs w:val="24"/>
                <w:lang w:eastAsia="zh-CN" w:bidi="ar"/>
                <w14:textFill>
                  <w14:solidFill>
                    <w14:schemeClr w14:val="tx1"/>
                  </w14:solidFill>
                </w14:textFill>
              </w:rPr>
              <w:t xml:space="preserve">。</w:t>
            </w:r>
            <w:r/>
          </w:p>
        </w:tc>
      </w:tr>
      <w:tr>
        <w:trPr>
          <w:trHeight w:val="73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业绩</w:t>
            </w:r>
            <w:r/>
          </w:p>
          <w:p>
            <w:pPr>
              <w:jc w:val="center"/>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3</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投标人</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自</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202</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1月1日</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至今所投类似项目业绩，每提供1个得</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分，满分</w:t>
            </w: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分。</w:t>
            </w:r>
            <w:r/>
          </w:p>
          <w:p>
            <w:pPr>
              <w:jc w:val="lef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须提供合同</w:t>
            </w:r>
            <w:r>
              <w:rPr>
                <w:rFonts w:hint="eastAsia" w:cs="宋体" w:asciiTheme="minorEastAsia" w:hAnsiTheme="minorEastAsia" w:eastAsiaTheme="minorEastAsia"/>
                <w:color w:val="000000" w:themeColor="text1"/>
                <w:sz w:val="24"/>
                <w:szCs w:val="24"/>
                <w:lang w:val="en-US" w:eastAsia="zh-CN" w:bidi="ar"/>
                <w14:textFill>
                  <w14:solidFill>
                    <w14:schemeClr w14:val="tx1"/>
                  </w14:solidFill>
                </w14:textFill>
              </w:rPr>
              <w:t xml:space="preserve">原件</w:t>
            </w:r>
            <w:r>
              <w:rPr>
                <w:rFonts w:hint="eastAsia" w:cs="宋体" w:asciiTheme="minorEastAsia" w:hAnsiTheme="minorEastAsia" w:eastAsiaTheme="minorEastAsia"/>
                <w:color w:val="000000" w:themeColor="text1"/>
                <w:sz w:val="24"/>
                <w:szCs w:val="24"/>
                <w:lang w:bidi="ar"/>
                <w14:textFill>
                  <w14:solidFill>
                    <w14:schemeClr w14:val="tx1"/>
                  </w14:solidFill>
                </w14:textFill>
              </w:rPr>
              <w:t xml:space="preserve">扫描件上传，否则不得分。</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54"/>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w:t>
      </w:r>
      <w:r>
        <w:rPr>
          <w:rFonts w:hint="eastAsia" w:ascii="宋体" w:hAnsi="宋体" w:cs="宋体"/>
          <w:b/>
          <w:bCs/>
          <w:color w:val="000000"/>
          <w:sz w:val="36"/>
          <w:szCs w:val="36"/>
          <w:lang w:val="en-US" w:eastAsia="zh-CN"/>
        </w:rPr>
        <w:t xml:space="preserve">      </w:t>
      </w:r>
      <w:r>
        <w:rPr>
          <w:rFonts w:ascii="宋体" w:hAnsi="宋体" w:eastAsia="宋体" w:cs="宋体"/>
          <w:b/>
          <w:bCs/>
          <w:color w:val="000000"/>
          <w:sz w:val="36"/>
          <w:szCs w:val="36"/>
        </w:rPr>
        <w:t xml:space="preserve">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auto"/>
          <w:sz w:val="24"/>
        </w:rPr>
        <w:t xml:space="preserve">如果本项目专门面向中小企业采购，则必须提供。</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auto"/>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auto"/>
          <w:sz w:val="24"/>
        </w:rPr>
        <w:t xml:space="preserve">如果本项目接受联合体投标，投标人是联合体的，则必须提供。</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auto"/>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rPr>
          <w:rFonts w:ascii="宋体" w:hAnsi="宋体" w:eastAsia="宋体" w:cs="宋体"/>
          <w:color w:val="000000"/>
          <w:sz w:val="24"/>
          <w:szCs w:val="24"/>
          <w:highlight w:val="none"/>
        </w:rPr>
        <w:t xml:space="preserve">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2181"/>
        <w:gridCol w:w="41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97"/>
        <w:gridCol w:w="46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hint="eastAsia" w:ascii="宋体" w:hAnsi="宋体" w:cs="宋体"/>
          <w:color w:val="000000"/>
          <w:sz w:val="24"/>
          <w:u w:val="single"/>
          <w:lang w:val="en-US" w:eastAsia="zh-CN"/>
        </w:rPr>
        <w:t xml:space="preserve">工业</w:t>
      </w:r>
      <w:r>
        <w:rPr>
          <w:rFonts w:ascii="宋体" w:hAnsi="宋体" w:eastAsia="宋体" w:cs="宋体"/>
          <w:color w:val="000000"/>
          <w:sz w:val="24"/>
        </w:rPr>
        <w:t xml:space="preserve">行业；</w:t>
      </w:r>
      <w:r>
        <w:rPr>
          <w:rFonts w:ascii="宋体" w:hAnsi="宋体" w:eastAsia="宋体" w:cs="宋体"/>
          <w:color w:val="auto"/>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auto"/>
          <w:sz w:val="24"/>
          <w:u w:val="single"/>
        </w:rPr>
        <w:t xml:space="preserve">采购文件中明确的所属行业）</w:t>
      </w:r>
      <w:r>
        <w:rPr>
          <w:rFonts w:ascii="宋体" w:hAnsi="宋体" w:eastAsia="宋体" w:cs="宋体"/>
          <w:color w:val="000000"/>
          <w:sz w:val="24"/>
        </w:rPr>
        <w:t xml:space="preserve">行业；</w:t>
      </w:r>
      <w:r>
        <w:rPr>
          <w:rFonts w:ascii="宋体" w:hAnsi="宋体" w:eastAsia="宋体" w:cs="宋体"/>
          <w:color w:val="auto"/>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83.8pt,42.4pt" to="260.3pt,60.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02.0pt,43.2pt" to="178.6pt,61.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360.8pt,24.4pt" to="437.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267.8pt,24.4pt" to="344.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83.8pt,24.4pt" to="260.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7"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y;visibility:visible;" from="366.8pt,-1.5pt" to="443.3pt,16.4pt" filled="f" strokecolor="#233B59" strokeweight="0.75pt"/>
            </w:pict>
          </mc:Fallback>
        </mc:AlternateContent>
      </w:r>
      <w:r>
        <w:rPr>
          <w:rFonts w:ascii="宋体" w:hAnsi="宋体" w:eastAsia="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52.9pt,47.0pt" to="229.4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9"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68.3pt,47.0pt" to="144.8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0"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351.1pt,19.2pt" to="427.6pt,37.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1"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260.3pt,23.8pt" to="336.8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2"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168.8pt,23.8pt" to="245.3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3"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flip:y;visibility:visible;" from="357.0pt,1.2pt" to="433.5pt,19.2pt" filled="f" strokecolor="#233B59" strokeweight="0.75pt"/>
            </w:pict>
          </mc:Fallback>
        </mc:AlternateContent>
      </w:r>
      <w:r>
        <w:rPr>
          <w:rFonts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6.用斜线划除的地方无需填写。</w:t>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sectPr>
      <w:headerReference w:type="default" r:id="rId9"/>
      <w:headerReference w:type="first" r:id="rId10"/>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6195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3619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jc w:val="center"/>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37</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8.5pt;height:144.0pt;mso-wrap-distance-left:9.0pt;mso-wrap-distance-top:0.0pt;mso-wrap-distance-right:9.0pt;mso-wrap-distance-bottom:0.0pt;v-text-anchor:top;visibility:visible;" filled="f" stroked="f" strokeweight="0.50pt">
              <v:textbox inset="0,0,0,0">
                <w:txbxContent>
                  <w:p>
                    <w:pPr>
                      <w:pStyle w:val="997"/>
                      <w:jc w:val="center"/>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37</w:t>
                    </w:r>
                    <w:r>
                      <w:rPr>
                        <w:rFonts w:ascii="宋体" w:hAnsi="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0"/>
      <w:isLgl w:val="false"/>
      <w:suff w:val="nothing"/>
      <w:lvlText w:val=""/>
      <w:lvlJc w:val="left"/>
      <w:pPr>
        <w:ind w:left="0" w:firstLine="0"/>
      </w:pPr>
      <w:rPr>
        <w:rFonts w:hint="eastAsia"/>
      </w:rPr>
    </w:lvl>
    <w:lvl w:ilvl="6">
      <w:start w:val="1"/>
      <w:numFmt w:val="decimal"/>
      <w:pStyle w:val="961"/>
      <w:isLgl w:val="false"/>
      <w:suff w:val="nothing"/>
      <w:lvlText w:val=""/>
      <w:lvlJc w:val="left"/>
      <w:pPr>
        <w:ind w:left="0" w:firstLine="0"/>
      </w:pPr>
      <w:rPr>
        <w:rFonts w:hint="eastAsia"/>
      </w:rPr>
    </w:lvl>
    <w:lvl w:ilvl="7">
      <w:start w:val="1"/>
      <w:numFmt w:val="decimal"/>
      <w:pStyle w:val="962"/>
      <w:isLgl w:val="false"/>
      <w:suff w:val="nothing"/>
      <w:lvlText w:val=""/>
      <w:lvlJc w:val="left"/>
      <w:pPr>
        <w:ind w:left="0" w:firstLine="0"/>
      </w:pPr>
      <w:rPr>
        <w:rFonts w:hint="eastAsia"/>
      </w:rPr>
    </w:lvl>
    <w:lvl w:ilvl="8">
      <w:start w:val="1"/>
      <w:numFmt w:val="decimal"/>
      <w:pStyle w:val="963"/>
      <w:isLgl w:val="false"/>
      <w:suff w:val="nothing"/>
      <w:lvlText w:val=""/>
      <w:lvlJc w:val="left"/>
      <w:pPr>
        <w:ind w:left="0" w:firstLine="0"/>
      </w:pPr>
      <w:rPr>
        <w:rFonts w:hint="eastAsia"/>
      </w:rPr>
    </w:lvl>
  </w:abstractNum>
  <w:abstractNum w:abstractNumId="7">
    <w:multiLevelType w:val="hybridMultilevel"/>
    <w:lvl w:ilvl="0">
      <w:start w:val="1"/>
      <w:numFmt w:val="bullet"/>
      <w:pStyle w:val="74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9">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7"/>
  </w:num>
  <w:num w:numId="2">
    <w:abstractNumId w:val="6"/>
  </w:num>
  <w:num w:numId="3">
    <w:abstractNumId w:val="12"/>
  </w:num>
  <w:num w:numId="4">
    <w:abstractNumId w:val="4"/>
  </w:num>
  <w:num w:numId="5">
    <w:abstractNumId w:val="3"/>
  </w:num>
  <w:num w:numId="6">
    <w:abstractNumId w:val="9"/>
  </w:num>
  <w:num w:numId="7">
    <w:abstractNumId w:val="10"/>
  </w:num>
  <w:num w:numId="8">
    <w:abstractNumId w:val="14"/>
  </w:num>
  <w:num w:numId="9">
    <w:abstractNumId w:val="8"/>
  </w:num>
  <w:num w:numId="10">
    <w:abstractNumId w:val="11"/>
  </w:num>
  <w:num w:numId="11">
    <w:abstractNumId w:val="13"/>
  </w:num>
  <w:num w:numId="12">
    <w:abstractNumId w:val="5"/>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0">
    <w:name w:val="Heading 1"/>
    <w:basedOn w:val="729"/>
    <w:next w:val="729"/>
    <w:link w:val="806"/>
    <w:uiPriority w:val="9"/>
    <w:qFormat/>
    <w:pPr>
      <w:keepLines/>
      <w:keepNext/>
      <w:spacing w:before="480" w:after="200"/>
      <w:outlineLvl w:val="0"/>
    </w:pPr>
    <w:rPr>
      <w:rFonts w:ascii="Arial" w:hAnsi="Arial" w:eastAsia="黑体" w:cs="Arial"/>
      <w:sz w:val="44"/>
      <w:szCs w:val="40"/>
    </w:rPr>
  </w:style>
  <w:style w:type="paragraph" w:styleId="731">
    <w:name w:val="Heading 2"/>
    <w:basedOn w:val="729"/>
    <w:next w:val="729"/>
    <w:link w:val="807"/>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41"/>
    <w:link w:val="808"/>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41"/>
    <w:link w:val="80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10"/>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11"/>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813"/>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814"/>
    <w:uiPriority w:val="9"/>
    <w:unhideWhenUsed/>
    <w:qFormat/>
    <w:pPr>
      <w:keepLines/>
      <w:keepNext/>
      <w:spacing w:before="320" w:after="200"/>
      <w:outlineLvl w:val="8"/>
    </w:pPr>
    <w:rPr>
      <w:rFonts w:ascii="Arial" w:hAnsi="Arial" w:eastAsia="Arial" w:cs="Arial"/>
      <w:i/>
      <w:iCs/>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Normal Indent"/>
    <w:basedOn w:val="729"/>
    <w:uiPriority w:val="0"/>
    <w:unhideWhenUsed/>
    <w:qFormat/>
    <w:pPr>
      <w:ind w:firstLine="420"/>
    </w:pPr>
    <w:rPr>
      <w:rFonts w:ascii="Times New Roman" w:hAnsi="Times New Roman"/>
    </w:rPr>
  </w:style>
  <w:style w:type="paragraph" w:styleId="742">
    <w:name w:val="toc 7"/>
    <w:basedOn w:val="729"/>
    <w:next w:val="729"/>
    <w:uiPriority w:val="39"/>
    <w:unhideWhenUsed/>
    <w:qFormat/>
    <w:pPr>
      <w:ind w:left="1701"/>
      <w:spacing w:after="57"/>
    </w:pPr>
  </w:style>
  <w:style w:type="paragraph" w:styleId="743">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29"/>
    <w:uiPriority w:val="0"/>
    <w:qFormat/>
    <w:pPr>
      <w:jc w:val="left"/>
    </w:pPr>
  </w:style>
  <w:style w:type="paragraph" w:styleId="745">
    <w:name w:val="Body Text"/>
    <w:basedOn w:val="729"/>
    <w:uiPriority w:val="0"/>
    <w:qFormat/>
    <w:rPr>
      <w:rFonts w:ascii="楷体_GB2312" w:hAnsi="Arial" w:eastAsia="楷体_GB2312"/>
      <w:sz w:val="28"/>
      <w:szCs w:val="28"/>
    </w:rPr>
  </w:style>
  <w:style w:type="paragraph" w:styleId="746">
    <w:name w:val="List Bullet 2"/>
    <w:basedOn w:val="729"/>
    <w:uiPriority w:val="99"/>
    <w:semiHidden/>
    <w:unhideWhenUsed/>
    <w:qFormat/>
    <w:pPr>
      <w:numPr>
        <w:ilvl w:val="0"/>
        <w:numId w:val="1"/>
      </w:numPr>
    </w:pPr>
  </w:style>
  <w:style w:type="paragraph" w:styleId="747">
    <w:name w:val="index 4"/>
    <w:basedOn w:val="729"/>
    <w:next w:val="729"/>
    <w:uiPriority w:val="0"/>
    <w:qFormat/>
    <w:pPr>
      <w:ind w:left="600" w:firstLine="200"/>
      <w:spacing w:line="360" w:lineRule="auto"/>
    </w:pPr>
    <w:rPr>
      <w:rFonts w:ascii="等线" w:hAnsi="等线" w:eastAsia="等线"/>
      <w:sz w:val="24"/>
      <w:szCs w:val="24"/>
    </w:rPr>
  </w:style>
  <w:style w:type="paragraph" w:styleId="748">
    <w:name w:val="toc 5"/>
    <w:basedOn w:val="729"/>
    <w:next w:val="729"/>
    <w:uiPriority w:val="39"/>
    <w:unhideWhenUsed/>
    <w:qFormat/>
    <w:pPr>
      <w:ind w:left="1134"/>
      <w:spacing w:after="57"/>
    </w:pPr>
  </w:style>
  <w:style w:type="paragraph" w:styleId="749">
    <w:name w:val="toc 3"/>
    <w:basedOn w:val="729"/>
    <w:next w:val="729"/>
    <w:uiPriority w:val="39"/>
    <w:unhideWhenUsed/>
    <w:qFormat/>
    <w:pPr>
      <w:ind w:left="567"/>
      <w:spacing w:after="57"/>
    </w:pPr>
  </w:style>
  <w:style w:type="paragraph" w:styleId="750">
    <w:name w:val="toc 8"/>
    <w:basedOn w:val="729"/>
    <w:next w:val="729"/>
    <w:uiPriority w:val="39"/>
    <w:unhideWhenUsed/>
    <w:qFormat/>
    <w:pPr>
      <w:ind w:left="1984"/>
      <w:spacing w:after="57"/>
    </w:pPr>
  </w:style>
  <w:style w:type="paragraph" w:styleId="751">
    <w:name w:val="endnote text"/>
    <w:basedOn w:val="729"/>
    <w:link w:val="952"/>
    <w:uiPriority w:val="99"/>
    <w:semiHidden/>
    <w:unhideWhenUsed/>
    <w:qFormat/>
    <w:rPr>
      <w:sz w:val="20"/>
    </w:rPr>
  </w:style>
  <w:style w:type="paragraph" w:styleId="752">
    <w:name w:val="Footer"/>
    <w:basedOn w:val="729"/>
    <w:link w:val="825"/>
    <w:uiPriority w:val="99"/>
    <w:unhideWhenUsed/>
    <w:qFormat/>
    <w:pPr>
      <w:tabs>
        <w:tab w:val="center" w:pos="7143" w:leader="none"/>
        <w:tab w:val="right" w:pos="14287" w:leader="none"/>
      </w:tabs>
    </w:pPr>
  </w:style>
  <w:style w:type="paragraph" w:styleId="753">
    <w:name w:val="Header"/>
    <w:basedOn w:val="729"/>
    <w:link w:val="823"/>
    <w:uiPriority w:val="99"/>
    <w:unhideWhenUsed/>
    <w:qFormat/>
    <w:pPr>
      <w:tabs>
        <w:tab w:val="center" w:pos="7143" w:leader="none"/>
        <w:tab w:val="right" w:pos="14287" w:leader="none"/>
      </w:tabs>
    </w:pPr>
  </w:style>
  <w:style w:type="paragraph" w:styleId="754">
    <w:name w:val="toc 1"/>
    <w:basedOn w:val="729"/>
    <w:next w:val="729"/>
    <w:uiPriority w:val="39"/>
    <w:unhideWhenUsed/>
    <w:qFormat/>
    <w:pPr>
      <w:spacing w:after="57"/>
    </w:pPr>
  </w:style>
  <w:style w:type="paragraph" w:styleId="755">
    <w:name w:val="toc 4"/>
    <w:basedOn w:val="729"/>
    <w:next w:val="729"/>
    <w:uiPriority w:val="39"/>
    <w:unhideWhenUsed/>
    <w:qFormat/>
    <w:pPr>
      <w:ind w:left="850"/>
      <w:spacing w:after="57"/>
    </w:pPr>
  </w:style>
  <w:style w:type="paragraph" w:styleId="756">
    <w:name w:val="Subtitle"/>
    <w:basedOn w:val="729"/>
    <w:next w:val="729"/>
    <w:link w:val="818"/>
    <w:uiPriority w:val="11"/>
    <w:qFormat/>
    <w:pPr>
      <w:spacing w:before="200" w:after="200"/>
    </w:pPr>
    <w:rPr>
      <w:sz w:val="24"/>
      <w:szCs w:val="24"/>
    </w:rPr>
  </w:style>
  <w:style w:type="paragraph" w:styleId="757">
    <w:name w:val="footnote text"/>
    <w:basedOn w:val="729"/>
    <w:link w:val="951"/>
    <w:uiPriority w:val="99"/>
    <w:semiHidden/>
    <w:unhideWhenUsed/>
    <w:qFormat/>
    <w:pPr>
      <w:spacing w:after="40"/>
    </w:pPr>
    <w:rPr>
      <w:sz w:val="18"/>
    </w:rPr>
  </w:style>
  <w:style w:type="paragraph" w:styleId="758">
    <w:name w:val="toc 6"/>
    <w:basedOn w:val="729"/>
    <w:next w:val="729"/>
    <w:uiPriority w:val="39"/>
    <w:unhideWhenUsed/>
    <w:qFormat/>
    <w:pPr>
      <w:ind w:left="1417"/>
      <w:spacing w:after="57"/>
    </w:pPr>
  </w:style>
  <w:style w:type="paragraph" w:styleId="759">
    <w:name w:val="table of figures"/>
    <w:basedOn w:val="729"/>
    <w:next w:val="729"/>
    <w:uiPriority w:val="99"/>
    <w:unhideWhenUsed/>
    <w:qFormat/>
  </w:style>
  <w:style w:type="paragraph" w:styleId="760">
    <w:name w:val="toc 2"/>
    <w:basedOn w:val="729"/>
    <w:next w:val="729"/>
    <w:uiPriority w:val="39"/>
    <w:unhideWhenUsed/>
    <w:qFormat/>
    <w:pPr>
      <w:ind w:left="283"/>
      <w:spacing w:after="57"/>
    </w:pPr>
  </w:style>
  <w:style w:type="paragraph" w:styleId="761">
    <w:name w:val="toc 9"/>
    <w:basedOn w:val="729"/>
    <w:next w:val="729"/>
    <w:uiPriority w:val="39"/>
    <w:unhideWhenUsed/>
    <w:qFormat/>
    <w:pPr>
      <w:ind w:left="2268"/>
      <w:spacing w:after="57"/>
    </w:pPr>
  </w:style>
  <w:style w:type="paragraph" w:styleId="762">
    <w:name w:val="Normal (Web)"/>
    <w:basedOn w:val="729"/>
    <w:uiPriority w:val="0"/>
    <w:qFormat/>
    <w:rPr>
      <w:sz w:val="24"/>
    </w:rPr>
  </w:style>
  <w:style w:type="paragraph" w:styleId="763">
    <w:name w:val="Title"/>
    <w:basedOn w:val="729"/>
    <w:next w:val="729"/>
    <w:link w:val="817"/>
    <w:uiPriority w:val="10"/>
    <w:qFormat/>
    <w:pPr>
      <w:contextualSpacing/>
      <w:spacing w:before="300" w:after="200"/>
    </w:pPr>
    <w:rPr>
      <w:sz w:val="48"/>
      <w:szCs w:val="48"/>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paragraph" w:styleId="768" w:customStyle="1">
    <w:name w:val="Default"/>
    <w:next w:val="729"/>
    <w:uiPriority w:val="0"/>
    <w:qFormat/>
    <w:pPr>
      <w:widowControl w:val="off"/>
    </w:pPr>
    <w:rPr>
      <w:rFonts w:hint="default" w:ascii="宋体" w:hAnsi="Times New Roman" w:eastAsia="宋体" w:cs="宋体"/>
      <w:color w:val="000000"/>
      <w:sz w:val="24"/>
      <w:szCs w:val="24"/>
      <w:lang w:val="en-US" w:eastAsia="zh-CN" w:bidi="ar-SA"/>
    </w:rPr>
  </w:style>
  <w:style w:type="character" w:styleId="769" w:customStyle="1">
    <w:name w:val="Heading 1 Char"/>
    <w:basedOn w:val="739"/>
    <w:uiPriority w:val="9"/>
    <w:qFormat/>
    <w:rPr>
      <w:rFonts w:ascii="Arial" w:hAnsi="Arial" w:eastAsia="Arial" w:cs="Arial"/>
      <w:sz w:val="40"/>
      <w:szCs w:val="40"/>
    </w:rPr>
  </w:style>
  <w:style w:type="character" w:styleId="770" w:customStyle="1">
    <w:name w:val="Heading 2 Char"/>
    <w:basedOn w:val="739"/>
    <w:uiPriority w:val="9"/>
    <w:qFormat/>
    <w:rPr>
      <w:rFonts w:ascii="Arial" w:hAnsi="Arial" w:eastAsia="Arial" w:cs="Arial"/>
      <w:sz w:val="34"/>
    </w:rPr>
  </w:style>
  <w:style w:type="character" w:styleId="771" w:customStyle="1">
    <w:name w:val="Heading 3 Char"/>
    <w:basedOn w:val="739"/>
    <w:uiPriority w:val="9"/>
    <w:qFormat/>
    <w:rPr>
      <w:rFonts w:ascii="Arial" w:hAnsi="Arial" w:eastAsia="Arial" w:cs="Arial"/>
      <w:sz w:val="30"/>
      <w:szCs w:val="30"/>
    </w:rPr>
  </w:style>
  <w:style w:type="character" w:styleId="772" w:customStyle="1">
    <w:name w:val="Heading 4 Char"/>
    <w:basedOn w:val="739"/>
    <w:uiPriority w:val="9"/>
    <w:qFormat/>
    <w:rPr>
      <w:rFonts w:ascii="Arial" w:hAnsi="Arial" w:eastAsia="Arial" w:cs="Arial"/>
      <w:b/>
      <w:bCs/>
      <w:sz w:val="26"/>
      <w:szCs w:val="26"/>
    </w:rPr>
  </w:style>
  <w:style w:type="character" w:styleId="773" w:customStyle="1">
    <w:name w:val="Heading 5 Char"/>
    <w:basedOn w:val="739"/>
    <w:uiPriority w:val="9"/>
    <w:qFormat/>
    <w:rPr>
      <w:rFonts w:ascii="Arial" w:hAnsi="Arial" w:eastAsia="Arial" w:cs="Arial"/>
      <w:b/>
      <w:bCs/>
      <w:sz w:val="24"/>
      <w:szCs w:val="24"/>
    </w:rPr>
  </w:style>
  <w:style w:type="character" w:styleId="774" w:customStyle="1">
    <w:name w:val="Heading 6 Char"/>
    <w:basedOn w:val="739"/>
    <w:uiPriority w:val="9"/>
    <w:qFormat/>
    <w:rPr>
      <w:rFonts w:ascii="Arial" w:hAnsi="Arial" w:eastAsia="Arial" w:cs="Arial"/>
      <w:b/>
      <w:bCs/>
      <w:sz w:val="22"/>
      <w:szCs w:val="22"/>
    </w:rPr>
  </w:style>
  <w:style w:type="character" w:styleId="775" w:customStyle="1">
    <w:name w:val="Heading 7 Char"/>
    <w:basedOn w:val="739"/>
    <w:uiPriority w:val="9"/>
    <w:qFormat/>
    <w:rPr>
      <w:rFonts w:ascii="Arial" w:hAnsi="Arial" w:eastAsia="Arial" w:cs="Arial"/>
      <w:b/>
      <w:bCs/>
      <w:i/>
      <w:iCs/>
      <w:sz w:val="22"/>
      <w:szCs w:val="22"/>
    </w:rPr>
  </w:style>
  <w:style w:type="character" w:styleId="776" w:customStyle="1">
    <w:name w:val="Heading 8 Char"/>
    <w:basedOn w:val="739"/>
    <w:uiPriority w:val="9"/>
    <w:qFormat/>
    <w:rPr>
      <w:rFonts w:ascii="Arial" w:hAnsi="Arial" w:eastAsia="Arial" w:cs="Arial"/>
      <w:i/>
      <w:iCs/>
      <w:sz w:val="22"/>
      <w:szCs w:val="22"/>
    </w:rPr>
  </w:style>
  <w:style w:type="character" w:styleId="777" w:customStyle="1">
    <w:name w:val="Heading 9 Char"/>
    <w:basedOn w:val="739"/>
    <w:uiPriority w:val="9"/>
    <w:qFormat/>
    <w:rPr>
      <w:rFonts w:ascii="Arial" w:hAnsi="Arial" w:eastAsia="Arial" w:cs="Arial"/>
      <w:i/>
      <w:iCs/>
      <w:sz w:val="21"/>
      <w:szCs w:val="21"/>
    </w:rPr>
  </w:style>
  <w:style w:type="character" w:styleId="778" w:customStyle="1">
    <w:name w:val="Title Char"/>
    <w:basedOn w:val="739"/>
    <w:uiPriority w:val="10"/>
    <w:qFormat/>
    <w:rPr>
      <w:sz w:val="48"/>
      <w:szCs w:val="48"/>
    </w:rPr>
  </w:style>
  <w:style w:type="character" w:styleId="779" w:customStyle="1">
    <w:name w:val="Subtitle Char"/>
    <w:basedOn w:val="739"/>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character" w:styleId="782" w:customStyle="1">
    <w:name w:val="Header Char"/>
    <w:basedOn w:val="739"/>
    <w:uiPriority w:val="99"/>
    <w:qFormat/>
  </w:style>
  <w:style w:type="character" w:styleId="783" w:customStyle="1">
    <w:name w:val="Caption Char"/>
    <w:uiPriority w:val="99"/>
    <w:qFormat/>
  </w:style>
  <w:style w:type="table" w:styleId="784"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Heading"/>
    <w:uiPriority w:val="39"/>
    <w:unhideWhenUsed/>
    <w:qFormat/>
    <w:rPr>
      <w:rFonts w:hint="default" w:ascii="Times New Roman" w:hAnsi="Times New Roman" w:eastAsia="宋体" w:cs="Times New Roman"/>
    </w:rPr>
  </w:style>
  <w:style w:type="character" w:styleId="806" w:customStyle="1">
    <w:name w:val="标题 1 字符"/>
    <w:link w:val="730"/>
    <w:uiPriority w:val="9"/>
    <w:qFormat/>
    <w:rPr>
      <w:rFonts w:ascii="Arial" w:hAnsi="Arial" w:eastAsia="黑体" w:cs="Arial"/>
      <w:sz w:val="44"/>
      <w:szCs w:val="40"/>
    </w:rPr>
  </w:style>
  <w:style w:type="character" w:styleId="807" w:customStyle="1">
    <w:name w:val="标题 2 字符"/>
    <w:link w:val="731"/>
    <w:uiPriority w:val="9"/>
    <w:qFormat/>
    <w:rPr>
      <w:rFonts w:ascii="Arial" w:hAnsi="Arial" w:eastAsia="Arial" w:cs="Arial"/>
      <w:sz w:val="34"/>
    </w:rPr>
  </w:style>
  <w:style w:type="character" w:styleId="808" w:customStyle="1">
    <w:name w:val="标题 3 字符"/>
    <w:link w:val="732"/>
    <w:uiPriority w:val="9"/>
    <w:qFormat/>
    <w:rPr>
      <w:rFonts w:ascii="Arial" w:hAnsi="Arial" w:eastAsia="Arial" w:cs="Arial"/>
      <w:sz w:val="30"/>
      <w:szCs w:val="30"/>
    </w:rPr>
  </w:style>
  <w:style w:type="character" w:styleId="809" w:customStyle="1">
    <w:name w:val="标题 4 字符"/>
    <w:link w:val="733"/>
    <w:uiPriority w:val="9"/>
    <w:qFormat/>
    <w:rPr>
      <w:rFonts w:ascii="Arial" w:hAnsi="Arial" w:eastAsia="Arial" w:cs="Arial"/>
      <w:b/>
      <w:bCs/>
      <w:sz w:val="26"/>
      <w:szCs w:val="26"/>
    </w:rPr>
  </w:style>
  <w:style w:type="character" w:styleId="810" w:customStyle="1">
    <w:name w:val="标题 5 字符"/>
    <w:link w:val="734"/>
    <w:uiPriority w:val="9"/>
    <w:qFormat/>
    <w:rPr>
      <w:rFonts w:ascii="Arial" w:hAnsi="Arial" w:eastAsia="Arial" w:cs="Arial"/>
      <w:b/>
      <w:bCs/>
      <w:sz w:val="24"/>
      <w:szCs w:val="24"/>
    </w:rPr>
  </w:style>
  <w:style w:type="character" w:styleId="811" w:customStyle="1">
    <w:name w:val="标题 6 字符"/>
    <w:link w:val="735"/>
    <w:uiPriority w:val="9"/>
    <w:qFormat/>
    <w:rPr>
      <w:rFonts w:ascii="Arial" w:hAnsi="Arial" w:eastAsia="Arial" w:cs="Arial"/>
      <w:b/>
      <w:bCs/>
      <w:sz w:val="22"/>
      <w:szCs w:val="22"/>
    </w:rPr>
  </w:style>
  <w:style w:type="character" w:styleId="812" w:customStyle="1">
    <w:name w:val="标题 7 字符"/>
    <w:link w:val="736"/>
    <w:uiPriority w:val="9"/>
    <w:qFormat/>
    <w:rPr>
      <w:rFonts w:ascii="Arial" w:hAnsi="Arial" w:eastAsia="Arial" w:cs="Arial"/>
      <w:b/>
      <w:bCs/>
      <w:i/>
      <w:iCs/>
      <w:sz w:val="22"/>
      <w:szCs w:val="22"/>
    </w:rPr>
  </w:style>
  <w:style w:type="character" w:styleId="813" w:customStyle="1">
    <w:name w:val="标题 8 字符"/>
    <w:link w:val="737"/>
    <w:uiPriority w:val="9"/>
    <w:qFormat/>
    <w:rPr>
      <w:rFonts w:ascii="Arial" w:hAnsi="Arial" w:eastAsia="Arial" w:cs="Arial"/>
      <w:i/>
      <w:iCs/>
      <w:sz w:val="22"/>
      <w:szCs w:val="22"/>
    </w:rPr>
  </w:style>
  <w:style w:type="character" w:styleId="814" w:customStyle="1">
    <w:name w:val="标题 9 字符"/>
    <w:link w:val="738"/>
    <w:uiPriority w:val="9"/>
    <w:qFormat/>
    <w:rPr>
      <w:rFonts w:ascii="Arial" w:hAnsi="Arial" w:eastAsia="Arial" w:cs="Arial"/>
      <w:i/>
      <w:iCs/>
      <w:sz w:val="21"/>
      <w:szCs w:val="21"/>
    </w:rPr>
  </w:style>
  <w:style w:type="paragraph" w:styleId="815">
    <w:name w:val="List Paragraph"/>
    <w:basedOn w:val="729"/>
    <w:uiPriority w:val="34"/>
    <w:qFormat/>
    <w:pPr>
      <w:contextualSpacing/>
      <w:ind w:left="720"/>
    </w:pPr>
  </w:style>
  <w:style w:type="paragraph" w:styleId="816">
    <w:name w:val="No Spacing"/>
    <w:uiPriority w:val="1"/>
    <w:qFormat/>
    <w:rPr>
      <w:rFonts w:hint="default" w:ascii="Calibri" w:hAnsi="Calibri" w:eastAsia="宋体" w:cs="Times New Roman"/>
      <w:lang w:val="en-US" w:eastAsia="zh-CN" w:bidi="ar-SA"/>
    </w:rPr>
  </w:style>
  <w:style w:type="character" w:styleId="817" w:customStyle="1">
    <w:name w:val="标题 字符"/>
    <w:link w:val="763"/>
    <w:uiPriority w:val="10"/>
    <w:qFormat/>
    <w:rPr>
      <w:sz w:val="48"/>
      <w:szCs w:val="48"/>
    </w:rPr>
  </w:style>
  <w:style w:type="character" w:styleId="818" w:customStyle="1">
    <w:name w:val="副标题 字符"/>
    <w:link w:val="756"/>
    <w:uiPriority w:val="11"/>
    <w:qFormat/>
    <w:rPr>
      <w:sz w:val="24"/>
      <w:szCs w:val="24"/>
    </w:rPr>
  </w:style>
  <w:style w:type="paragraph" w:styleId="819">
    <w:name w:val="Quote"/>
    <w:basedOn w:val="729"/>
    <w:next w:val="729"/>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29"/>
    <w:next w:val="729"/>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页眉 字符"/>
    <w:link w:val="753"/>
    <w:uiPriority w:val="99"/>
    <w:qFormat/>
  </w:style>
  <w:style w:type="character" w:styleId="824" w:customStyle="1">
    <w:name w:val="Footer Char"/>
    <w:uiPriority w:val="99"/>
    <w:qFormat/>
  </w:style>
  <w:style w:type="character" w:styleId="825" w:customStyle="1">
    <w:name w:val="页脚 字符"/>
    <w:link w:val="752"/>
    <w:uiPriority w:val="99"/>
    <w:qFormat/>
  </w:style>
  <w:style w:type="table" w:styleId="8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57"/>
    <w:uiPriority w:val="99"/>
    <w:qFormat/>
    <w:rPr>
      <w:sz w:val="18"/>
    </w:rPr>
  </w:style>
  <w:style w:type="character" w:styleId="952" w:customStyle="1">
    <w:name w:val="尾注文本 字符"/>
    <w:link w:val="751"/>
    <w:uiPriority w:val="99"/>
    <w:qFormat/>
    <w:rPr>
      <w:sz w:val="20"/>
    </w:rPr>
  </w:style>
  <w:style w:type="paragraph" w:styleId="953" w:customStyle="1">
    <w:name w:val="TOC 标题1"/>
    <w:uiPriority w:val="39"/>
    <w:unhideWhenUsed/>
    <w:qFormat/>
    <w:rPr>
      <w:rFonts w:hint="default" w:ascii="Calibri" w:hAnsi="Calibri" w:eastAsia="宋体" w:cs="Times New Roman"/>
      <w:lang w:val="en-US" w:eastAsia="zh-CN" w:bidi="ar-SA"/>
    </w:rPr>
  </w:style>
  <w:style w:type="paragraph" w:styleId="954" w:customStyle="1">
    <w:name w:val="标题 11"/>
    <w:basedOn w:val="729"/>
    <w:next w:val="729"/>
    <w:link w:val="1007"/>
    <w:uiPriority w:val="0"/>
    <w:qFormat/>
    <w:pPr>
      <w:jc w:val="center"/>
      <w:keepNext/>
      <w:outlineLvl w:val="0"/>
    </w:pPr>
    <w:rPr>
      <w:rFonts w:ascii="楷体_GB2312" w:hAnsi="楷体_GB2312" w:eastAsia="黑体"/>
      <w:sz w:val="44"/>
      <w:szCs w:val="28"/>
    </w:rPr>
  </w:style>
  <w:style w:type="paragraph" w:styleId="955" w:customStyle="1">
    <w:name w:val="标题 21"/>
    <w:basedOn w:val="729"/>
    <w:next w:val="729"/>
    <w:link w:val="10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6" w:customStyle="1">
    <w:name w:val="标题 31"/>
    <w:basedOn w:val="729"/>
    <w:next w:val="729"/>
    <w:link w:val="989"/>
    <w:uiPriority w:val="0"/>
    <w:qFormat/>
    <w:pPr>
      <w:keepLines/>
      <w:keepNext/>
      <w:spacing w:before="260" w:after="260" w:line="416" w:lineRule="auto"/>
      <w:outlineLvl w:val="2"/>
    </w:pPr>
    <w:rPr>
      <w:b/>
      <w:bCs/>
      <w:sz w:val="32"/>
      <w:szCs w:val="32"/>
    </w:rPr>
  </w:style>
  <w:style w:type="paragraph" w:styleId="957" w:customStyle="1">
    <w:name w:val="标题 41"/>
    <w:basedOn w:val="729"/>
    <w:next w:val="958"/>
    <w:link w:val="980"/>
    <w:uiPriority w:val="0"/>
    <w:qFormat/>
    <w:pPr>
      <w:keepLines/>
      <w:keepNext/>
      <w:spacing w:before="280" w:after="290" w:line="376" w:lineRule="auto"/>
      <w:outlineLvl w:val="3"/>
    </w:pPr>
    <w:rPr>
      <w:rFonts w:ascii="Arial" w:hAnsi="Arial" w:eastAsia="黑体" w:cs="Arial"/>
      <w:b/>
      <w:bCs/>
      <w:sz w:val="28"/>
      <w:szCs w:val="28"/>
    </w:rPr>
  </w:style>
  <w:style w:type="paragraph" w:styleId="958" w:customStyle="1">
    <w:name w:val="正文缩进1"/>
    <w:basedOn w:val="729"/>
    <w:link w:val="992"/>
    <w:uiPriority w:val="0"/>
    <w:qFormat/>
    <w:pPr>
      <w:ind w:firstLine="420"/>
    </w:pPr>
  </w:style>
  <w:style w:type="paragraph" w:styleId="959" w:customStyle="1">
    <w:name w:val="标题 51"/>
    <w:basedOn w:val="729"/>
    <w:next w:val="958"/>
    <w:link w:val="999"/>
    <w:uiPriority w:val="0"/>
    <w:qFormat/>
    <w:pPr>
      <w:keepNext/>
      <w:outlineLvl w:val="4"/>
    </w:pPr>
    <w:rPr>
      <w:rFonts w:ascii="宋体"/>
      <w:color w:val="000000"/>
      <w:sz w:val="28"/>
      <w:szCs w:val="28"/>
    </w:rPr>
  </w:style>
  <w:style w:type="paragraph" w:styleId="960" w:customStyle="1">
    <w:name w:val="标题 61"/>
    <w:basedOn w:val="729"/>
    <w:next w:val="729"/>
    <w:link w:val="97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61" w:customStyle="1">
    <w:name w:val="标题 71"/>
    <w:basedOn w:val="729"/>
    <w:next w:val="729"/>
    <w:link w:val="973"/>
    <w:uiPriority w:val="0"/>
    <w:qFormat/>
    <w:pPr>
      <w:numPr>
        <w:ilvl w:val="6"/>
        <w:numId w:val="2"/>
      </w:numPr>
      <w:keepLines/>
      <w:keepNext/>
      <w:spacing w:before="240" w:after="64" w:line="320" w:lineRule="auto"/>
      <w:outlineLvl w:val="6"/>
    </w:pPr>
    <w:rPr>
      <w:b/>
      <w:bCs/>
      <w:sz w:val="24"/>
      <w:szCs w:val="24"/>
    </w:rPr>
  </w:style>
  <w:style w:type="paragraph" w:styleId="962" w:customStyle="1">
    <w:name w:val="标题 81"/>
    <w:basedOn w:val="729"/>
    <w:next w:val="729"/>
    <w:link w:val="97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63" w:customStyle="1">
    <w:name w:val="标题 91"/>
    <w:basedOn w:val="729"/>
    <w:next w:val="729"/>
    <w:link w:val="1009"/>
    <w:uiPriority w:val="0"/>
    <w:qFormat/>
    <w:pPr>
      <w:numPr>
        <w:ilvl w:val="8"/>
        <w:numId w:val="2"/>
      </w:numPr>
      <w:keepLines/>
      <w:keepNext/>
      <w:spacing w:before="240" w:after="64" w:line="320" w:lineRule="auto"/>
      <w:outlineLvl w:val="8"/>
    </w:pPr>
    <w:rPr>
      <w:rFonts w:ascii="Arial" w:hAnsi="Arial" w:eastAsia="黑体"/>
    </w:rPr>
  </w:style>
  <w:style w:type="character" w:styleId="964" w:customStyle="1">
    <w:name w:val="默认段落字体1"/>
    <w:uiPriority w:val="1"/>
    <w:unhideWhenUsed/>
    <w:qFormat/>
  </w:style>
  <w:style w:type="table" w:styleId="965" w:customStyle="1">
    <w:name w:val="普通表格1"/>
    <w:uiPriority w:val="99"/>
    <w:unhideWhenUsed/>
    <w:qFormat/>
    <w:tblPr>
      <w:tblCellMar>
        <w:left w:w="0" w:type="dxa"/>
        <w:top w:w="0" w:type="dxa"/>
        <w:right w:w="0" w:type="dxa"/>
        <w:bottom w:w="0" w:type="dxa"/>
      </w:tblCellMar>
    </w:tblPr>
  </w:style>
  <w:style w:type="character" w:styleId="966" w:customStyle="1">
    <w:name w:val="批注框文本 Char"/>
    <w:link w:val="967"/>
    <w:uiPriority w:val="0"/>
    <w:semiHidden/>
    <w:qFormat/>
    <w:rPr>
      <w:rFonts w:ascii="Times New Roman" w:hAnsi="Times New Roman" w:eastAsia="宋体" w:cs="Times New Roman"/>
      <w:sz w:val="18"/>
      <w:szCs w:val="18"/>
    </w:rPr>
  </w:style>
  <w:style w:type="paragraph" w:styleId="967" w:customStyle="1">
    <w:name w:val="批注框文本1"/>
    <w:basedOn w:val="729"/>
    <w:link w:val="966"/>
    <w:uiPriority w:val="0"/>
    <w:semiHidden/>
    <w:qFormat/>
    <w:rPr>
      <w:sz w:val="18"/>
      <w:szCs w:val="18"/>
    </w:rPr>
  </w:style>
  <w:style w:type="character" w:styleId="968" w:customStyle="1">
    <w:name w:val="列出段落 Char"/>
    <w:link w:val="969"/>
    <w:uiPriority w:val="0"/>
    <w:qFormat/>
    <w:rPr>
      <w:rFonts w:ascii="Calibri" w:hAnsi="Calibri"/>
      <w:sz w:val="24"/>
      <w:szCs w:val="24"/>
      <w:lang w:eastAsia="en-US" w:bidi="en-US"/>
    </w:rPr>
  </w:style>
  <w:style w:type="paragraph" w:styleId="969" w:customStyle="1">
    <w:name w:val="列出段落1"/>
    <w:basedOn w:val="729"/>
    <w:link w:val="968"/>
    <w:uiPriority w:val="0"/>
    <w:qFormat/>
    <w:pPr>
      <w:contextualSpacing/>
      <w:ind w:left="720"/>
      <w:jc w:val="left"/>
      <w:widowControl/>
    </w:pPr>
    <w:rPr>
      <w:rFonts w:ascii="Calibri" w:hAnsi="Calibri"/>
      <w:sz w:val="24"/>
      <w:szCs w:val="24"/>
      <w:lang w:eastAsia="en-US" w:bidi="en-US"/>
    </w:rPr>
  </w:style>
  <w:style w:type="character" w:styleId="970" w:customStyle="1">
    <w:name w:val="正文文本 Char"/>
    <w:link w:val="971"/>
    <w:uiPriority w:val="0"/>
    <w:qFormat/>
    <w:rPr>
      <w:rFonts w:ascii="楷体_GB2312" w:hAnsi="Arial" w:eastAsia="楷体_GB2312" w:cs="Times New Roman"/>
      <w:sz w:val="28"/>
      <w:szCs w:val="28"/>
    </w:rPr>
  </w:style>
  <w:style w:type="paragraph" w:styleId="971" w:customStyle="1">
    <w:name w:val="正文文本1"/>
    <w:basedOn w:val="729"/>
    <w:link w:val="970"/>
    <w:uiPriority w:val="0"/>
    <w:qFormat/>
    <w:rPr>
      <w:rFonts w:ascii="楷体_GB2312" w:hAnsi="Arial" w:eastAsia="楷体_GB2312"/>
      <w:sz w:val="28"/>
      <w:szCs w:val="28"/>
    </w:rPr>
  </w:style>
  <w:style w:type="character" w:styleId="972" w:customStyle="1">
    <w:name w:val="标题 8 Char"/>
    <w:link w:val="962"/>
    <w:uiPriority w:val="0"/>
    <w:qFormat/>
    <w:rPr>
      <w:rFonts w:ascii="Arial" w:hAnsi="Arial" w:eastAsia="黑体" w:cs="Times New Roman"/>
      <w:sz w:val="24"/>
      <w:szCs w:val="24"/>
    </w:rPr>
  </w:style>
  <w:style w:type="character" w:styleId="973" w:customStyle="1">
    <w:name w:val="标题 7 Char"/>
    <w:link w:val="961"/>
    <w:uiPriority w:val="0"/>
    <w:qFormat/>
    <w:rPr>
      <w:rFonts w:ascii="Times New Roman" w:hAnsi="Times New Roman" w:eastAsia="宋体" w:cs="Times New Roman"/>
      <w:b/>
      <w:bCs/>
      <w:sz w:val="24"/>
      <w:szCs w:val="24"/>
    </w:rPr>
  </w:style>
  <w:style w:type="character" w:styleId="974" w:customStyle="1">
    <w:name w:val="超链接1"/>
    <w:uiPriority w:val="0"/>
    <w:qFormat/>
    <w:rPr>
      <w:color w:val="0000ff"/>
      <w:u w:val="single"/>
    </w:rPr>
  </w:style>
  <w:style w:type="character" w:styleId="975" w:customStyle="1">
    <w:name w:val="正文文本 3 Char"/>
    <w:link w:val="976"/>
    <w:uiPriority w:val="0"/>
    <w:qFormat/>
    <w:rPr>
      <w:rFonts w:ascii="仿宋_GB2312" w:hAnsi="Arial" w:eastAsia="仿宋_GB2312" w:cs="Times New Roman"/>
      <w:sz w:val="32"/>
      <w:szCs w:val="32"/>
    </w:rPr>
  </w:style>
  <w:style w:type="paragraph" w:styleId="976" w:customStyle="1">
    <w:name w:val="正文文本 31"/>
    <w:basedOn w:val="729"/>
    <w:link w:val="975"/>
    <w:uiPriority w:val="0"/>
    <w:qFormat/>
    <w:rPr>
      <w:rFonts w:ascii="仿宋_GB2312" w:hAnsi="Arial" w:eastAsia="仿宋_GB2312"/>
      <w:sz w:val="32"/>
      <w:szCs w:val="32"/>
    </w:rPr>
  </w:style>
  <w:style w:type="character" w:styleId="977" w:customStyle="1">
    <w:name w:val="font5 Char"/>
    <w:uiPriority w:val="0"/>
    <w:qFormat/>
    <w:rPr>
      <w:rFonts w:ascii="宋体" w:hAnsi="宋体" w:eastAsia="宋体"/>
      <w:sz w:val="28"/>
      <w:szCs w:val="28"/>
      <w:lang w:val="en-US" w:eastAsia="zh-CN" w:bidi="ar-SA"/>
    </w:rPr>
  </w:style>
  <w:style w:type="character" w:styleId="978" w:customStyle="1">
    <w:name w:val="标题 6 Char"/>
    <w:link w:val="960"/>
    <w:uiPriority w:val="0"/>
    <w:qFormat/>
    <w:rPr>
      <w:rFonts w:ascii="Arial" w:hAnsi="Arial" w:eastAsia="黑体" w:cs="Times New Roman"/>
      <w:b/>
      <w:bCs/>
      <w:sz w:val="24"/>
      <w:szCs w:val="24"/>
    </w:rPr>
  </w:style>
  <w:style w:type="character" w:styleId="979" w:customStyle="1">
    <w:name w:val="已访问的超链接1"/>
    <w:uiPriority w:val="0"/>
    <w:qFormat/>
    <w:rPr>
      <w:color w:val="800080"/>
      <w:u w:val="single"/>
    </w:rPr>
  </w:style>
  <w:style w:type="character" w:styleId="980" w:customStyle="1">
    <w:name w:val="标题 4 Char"/>
    <w:link w:val="957"/>
    <w:uiPriority w:val="0"/>
    <w:qFormat/>
    <w:rPr>
      <w:rFonts w:ascii="Arial" w:hAnsi="Arial" w:eastAsia="黑体" w:cs="Arial"/>
      <w:b/>
      <w:bCs/>
      <w:sz w:val="28"/>
      <w:szCs w:val="28"/>
    </w:rPr>
  </w:style>
  <w:style w:type="character" w:styleId="981" w:customStyle="1">
    <w:name w:val="二级目录 Char"/>
    <w:link w:val="982"/>
    <w:uiPriority w:val="0"/>
    <w:qFormat/>
    <w:rPr>
      <w:b/>
      <w:sz w:val="30"/>
      <w:szCs w:val="28"/>
    </w:rPr>
  </w:style>
  <w:style w:type="paragraph" w:styleId="982" w:customStyle="1">
    <w:name w:val="二级目录"/>
    <w:next w:val="729"/>
    <w:link w:val="98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83" w:customStyle="1">
    <w:name w:val="页眉 Char"/>
    <w:link w:val="984"/>
    <w:uiPriority w:val="0"/>
    <w:qFormat/>
    <w:rPr>
      <w:rFonts w:ascii="Times New Roman" w:hAnsi="Times New Roman" w:eastAsia="宋体" w:cs="Times New Roman"/>
      <w:sz w:val="18"/>
      <w:szCs w:val="18"/>
    </w:rPr>
  </w:style>
  <w:style w:type="paragraph" w:styleId="984" w:customStyle="1">
    <w:name w:val="页眉1"/>
    <w:basedOn w:val="729"/>
    <w:link w:val="983"/>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码1"/>
    <w:uiPriority w:val="0"/>
    <w:qFormat/>
  </w:style>
  <w:style w:type="character" w:styleId="986" w:customStyle="1">
    <w:name w:val="正文首行缩进 2 Char"/>
    <w:link w:val="987"/>
    <w:uiPriority w:val="0"/>
    <w:qFormat/>
    <w:rPr>
      <w:rFonts w:ascii="宋体" w:hAnsi="宋体" w:eastAsia="宋体" w:cs="Times New Roman"/>
      <w:sz w:val="32"/>
      <w:szCs w:val="20"/>
    </w:rPr>
  </w:style>
  <w:style w:type="paragraph" w:styleId="987" w:customStyle="1">
    <w:name w:val="正文首行缩进 21"/>
    <w:basedOn w:val="988"/>
    <w:link w:val="986"/>
    <w:uiPriority w:val="0"/>
    <w:qFormat/>
    <w:pPr>
      <w:ind w:firstLine="420"/>
      <w:spacing w:line="360" w:lineRule="auto"/>
    </w:pPr>
    <w:rPr>
      <w:rFonts w:ascii="宋体" w:hAnsi="宋体" w:eastAsia="宋体"/>
      <w:sz w:val="21"/>
      <w:szCs w:val="20"/>
    </w:rPr>
  </w:style>
  <w:style w:type="paragraph" w:styleId="988" w:customStyle="1">
    <w:name w:val="正文文本缩进1"/>
    <w:basedOn w:val="729"/>
    <w:link w:val="1004"/>
    <w:uiPriority w:val="0"/>
    <w:qFormat/>
    <w:pPr>
      <w:ind w:firstLine="645"/>
    </w:pPr>
    <w:rPr>
      <w:rFonts w:ascii="楷体_GB2312" w:eastAsia="楷体_GB2312"/>
      <w:sz w:val="32"/>
      <w:szCs w:val="32"/>
    </w:rPr>
  </w:style>
  <w:style w:type="character" w:styleId="989" w:customStyle="1">
    <w:name w:val="标题 3 Char"/>
    <w:link w:val="956"/>
    <w:uiPriority w:val="0"/>
    <w:qFormat/>
    <w:rPr>
      <w:rFonts w:ascii="Times New Roman" w:hAnsi="Times New Roman" w:eastAsia="宋体" w:cs="Times New Roman"/>
      <w:b/>
      <w:bCs/>
      <w:sz w:val="32"/>
      <w:szCs w:val="32"/>
    </w:rPr>
  </w:style>
  <w:style w:type="character" w:styleId="990" w:customStyle="1">
    <w:name w:val="批注文字 Char"/>
    <w:link w:val="991"/>
    <w:uiPriority w:val="0"/>
    <w:semiHidden/>
    <w:qFormat/>
    <w:rPr>
      <w:rFonts w:ascii="Times New Roman" w:hAnsi="Times New Roman" w:eastAsia="宋体" w:cs="Times New Roman"/>
      <w:szCs w:val="21"/>
    </w:rPr>
  </w:style>
  <w:style w:type="paragraph" w:styleId="991" w:customStyle="1">
    <w:name w:val="批注文字1"/>
    <w:basedOn w:val="729"/>
    <w:link w:val="990"/>
    <w:uiPriority w:val="0"/>
    <w:semiHidden/>
    <w:qFormat/>
    <w:pPr>
      <w:jc w:val="left"/>
    </w:pPr>
  </w:style>
  <w:style w:type="character" w:styleId="992" w:customStyle="1">
    <w:name w:val="正文缩进 Char"/>
    <w:link w:val="958"/>
    <w:uiPriority w:val="0"/>
    <w:qFormat/>
    <w:rPr>
      <w:rFonts w:ascii="Times New Roman" w:hAnsi="Times New Roman" w:eastAsia="宋体" w:cs="Times New Roman"/>
      <w:szCs w:val="21"/>
    </w:rPr>
  </w:style>
  <w:style w:type="character" w:styleId="993" w:customStyle="1">
    <w:name w:val="日期 Char"/>
    <w:link w:val="994"/>
    <w:uiPriority w:val="0"/>
    <w:qFormat/>
    <w:rPr>
      <w:rFonts w:ascii="Times New Roman" w:hAnsi="Times New Roman" w:eastAsia="宋体" w:cs="Times New Roman"/>
      <w:sz w:val="24"/>
      <w:szCs w:val="24"/>
    </w:rPr>
  </w:style>
  <w:style w:type="paragraph" w:styleId="994" w:customStyle="1">
    <w:name w:val="日期1"/>
    <w:basedOn w:val="729"/>
    <w:next w:val="729"/>
    <w:link w:val="993"/>
    <w:uiPriority w:val="0"/>
    <w:qFormat/>
    <w:rPr>
      <w:sz w:val="24"/>
      <w:szCs w:val="24"/>
    </w:rPr>
  </w:style>
  <w:style w:type="character" w:styleId="995" w:customStyle="1">
    <w:name w:val="要点1"/>
    <w:uiPriority w:val="0"/>
    <w:qFormat/>
    <w:rPr>
      <w:b/>
      <w:bCs/>
    </w:rPr>
  </w:style>
  <w:style w:type="character" w:styleId="996" w:customStyle="1">
    <w:name w:val="页脚 Char"/>
    <w:link w:val="997"/>
    <w:uiPriority w:val="0"/>
    <w:qFormat/>
    <w:rPr>
      <w:rFonts w:ascii="Times New Roman" w:hAnsi="Times New Roman" w:eastAsia="宋体" w:cs="Times New Roman"/>
      <w:sz w:val="18"/>
      <w:szCs w:val="18"/>
    </w:rPr>
  </w:style>
  <w:style w:type="paragraph" w:styleId="997" w:customStyle="1">
    <w:name w:val="页脚1"/>
    <w:basedOn w:val="729"/>
    <w:link w:val="996"/>
    <w:uiPriority w:val="0"/>
    <w:qFormat/>
    <w:pPr>
      <w:jc w:val="left"/>
      <w:tabs>
        <w:tab w:val="center" w:pos="4153" w:leader="none"/>
        <w:tab w:val="right" w:pos="8306" w:leader="none"/>
      </w:tabs>
    </w:pPr>
    <w:rPr>
      <w:sz w:val="18"/>
      <w:szCs w:val="18"/>
    </w:rPr>
  </w:style>
  <w:style w:type="character" w:styleId="998" w:customStyle="1">
    <w:name w:val="批注引用1"/>
    <w:uiPriority w:val="0"/>
    <w:semiHidden/>
    <w:qFormat/>
    <w:rPr>
      <w:sz w:val="21"/>
      <w:szCs w:val="21"/>
    </w:rPr>
  </w:style>
  <w:style w:type="character" w:styleId="999" w:customStyle="1">
    <w:name w:val="标题 5 Char"/>
    <w:link w:val="959"/>
    <w:uiPriority w:val="0"/>
    <w:qFormat/>
    <w:rPr>
      <w:rFonts w:ascii="宋体" w:hAnsi="Times New Roman" w:eastAsia="宋体" w:cs="Times New Roman"/>
      <w:color w:val="000000"/>
      <w:sz w:val="28"/>
      <w:szCs w:val="28"/>
    </w:rPr>
  </w:style>
  <w:style w:type="character" w:styleId="1000" w:customStyle="1">
    <w:name w:val="文档结构图 Char"/>
    <w:link w:val="1001"/>
    <w:uiPriority w:val="0"/>
    <w:semiHidden/>
    <w:qFormat/>
    <w:rPr>
      <w:rFonts w:ascii="Times New Roman" w:hAnsi="Times New Roman" w:eastAsia="宋体" w:cs="Times New Roman"/>
      <w:szCs w:val="21"/>
      <w:shd w:val="clear" w:color="auto" w:fill="000080"/>
    </w:rPr>
  </w:style>
  <w:style w:type="paragraph" w:styleId="1001" w:customStyle="1">
    <w:name w:val="文档结构图1"/>
    <w:basedOn w:val="729"/>
    <w:link w:val="1000"/>
    <w:uiPriority w:val="0"/>
    <w:semiHidden/>
    <w:qFormat/>
    <w:pPr>
      <w:shd w:val="clear" w:color="auto" w:fill="000080"/>
    </w:pPr>
  </w:style>
  <w:style w:type="character" w:styleId="1002" w:customStyle="1">
    <w:name w:val="正文文本缩进 3 Char"/>
    <w:link w:val="1003"/>
    <w:uiPriority w:val="0"/>
    <w:qFormat/>
    <w:rPr>
      <w:rFonts w:ascii="Arial" w:hAnsi="Arial" w:eastAsia="仿宋_GB2312" w:cs="Arial"/>
      <w:color w:val="ffff00"/>
      <w:sz w:val="32"/>
      <w:szCs w:val="32"/>
    </w:rPr>
  </w:style>
  <w:style w:type="paragraph" w:styleId="1003" w:customStyle="1">
    <w:name w:val="正文文本缩进 31"/>
    <w:basedOn w:val="729"/>
    <w:link w:val="1002"/>
    <w:uiPriority w:val="0"/>
    <w:qFormat/>
    <w:pPr>
      <w:ind w:left="645" w:firstLine="645"/>
    </w:pPr>
    <w:rPr>
      <w:rFonts w:ascii="Arial" w:hAnsi="Arial" w:eastAsia="仿宋_GB2312" w:cs="Arial"/>
      <w:color w:val="ffff00"/>
      <w:sz w:val="32"/>
      <w:szCs w:val="32"/>
    </w:rPr>
  </w:style>
  <w:style w:type="character" w:styleId="1004" w:customStyle="1">
    <w:name w:val="正文文本缩进 Char"/>
    <w:link w:val="988"/>
    <w:uiPriority w:val="0"/>
    <w:qFormat/>
    <w:rPr>
      <w:rFonts w:ascii="楷体_GB2312" w:hAnsi="Times New Roman" w:eastAsia="楷体_GB2312" w:cs="Times New Roman"/>
      <w:sz w:val="32"/>
      <w:szCs w:val="32"/>
    </w:rPr>
  </w:style>
  <w:style w:type="character" w:styleId="1005" w:customStyle="1">
    <w:name w:val="纯文本 Char"/>
    <w:link w:val="1006"/>
    <w:uiPriority w:val="0"/>
    <w:qFormat/>
    <w:rPr>
      <w:rFonts w:ascii="宋体" w:hAnsi="Courier New" w:eastAsia="宋体" w:cs="Courier New"/>
      <w:szCs w:val="21"/>
    </w:rPr>
  </w:style>
  <w:style w:type="paragraph" w:styleId="1006" w:customStyle="1">
    <w:name w:val="纯文本1"/>
    <w:basedOn w:val="729"/>
    <w:link w:val="1005"/>
    <w:uiPriority w:val="0"/>
    <w:qFormat/>
    <w:rPr>
      <w:rFonts w:ascii="宋体" w:hAnsi="Courier New" w:cs="Courier New"/>
    </w:rPr>
  </w:style>
  <w:style w:type="character" w:styleId="1007" w:customStyle="1">
    <w:name w:val="标题 1 Char"/>
    <w:link w:val="954"/>
    <w:uiPriority w:val="0"/>
    <w:qFormat/>
    <w:rPr>
      <w:rFonts w:ascii="楷体_GB2312" w:hAnsi="楷体_GB2312" w:eastAsia="黑体" w:cs="Times New Roman"/>
      <w:sz w:val="44"/>
      <w:szCs w:val="28"/>
    </w:rPr>
  </w:style>
  <w:style w:type="character" w:styleId="1008" w:customStyle="1">
    <w:name w:val="标题 2 Char"/>
    <w:link w:val="955"/>
    <w:uiPriority w:val="0"/>
    <w:qFormat/>
    <w:rPr>
      <w:rFonts w:ascii="Arial" w:hAnsi="Arial" w:eastAsia="幼圆" w:cs="Arial"/>
      <w:b/>
      <w:bCs/>
      <w:sz w:val="44"/>
      <w:szCs w:val="44"/>
    </w:rPr>
  </w:style>
  <w:style w:type="character" w:styleId="1009" w:customStyle="1">
    <w:name w:val="标题 9 Char"/>
    <w:link w:val="963"/>
    <w:uiPriority w:val="0"/>
    <w:qFormat/>
    <w:rPr>
      <w:rFonts w:ascii="Arial" w:hAnsi="Arial" w:eastAsia="黑体" w:cs="Times New Roman"/>
      <w:szCs w:val="21"/>
    </w:rPr>
  </w:style>
  <w:style w:type="character" w:styleId="1010" w:customStyle="1">
    <w:name w:val="正文文本缩进 2 Char"/>
    <w:link w:val="1011"/>
    <w:uiPriority w:val="0"/>
    <w:qFormat/>
    <w:rPr>
      <w:rFonts w:ascii="Arial" w:hAnsi="Arial" w:eastAsia="仿宋_GB2312" w:cs="Arial"/>
      <w:sz w:val="32"/>
      <w:szCs w:val="32"/>
    </w:rPr>
  </w:style>
  <w:style w:type="paragraph" w:styleId="1011" w:customStyle="1">
    <w:name w:val="正文文本缩进 21"/>
    <w:basedOn w:val="729"/>
    <w:link w:val="1010"/>
    <w:uiPriority w:val="0"/>
    <w:qFormat/>
    <w:pPr>
      <w:ind w:left="630" w:firstLine="645"/>
    </w:pPr>
    <w:rPr>
      <w:rFonts w:ascii="Arial" w:hAnsi="Arial" w:eastAsia="仿宋_GB2312" w:cs="Arial"/>
      <w:sz w:val="32"/>
      <w:szCs w:val="32"/>
    </w:rPr>
  </w:style>
  <w:style w:type="character" w:styleId="1012" w:customStyle="1">
    <w:name w:val="正文文本 2 Char"/>
    <w:link w:val="1013"/>
    <w:uiPriority w:val="0"/>
    <w:qFormat/>
    <w:rPr>
      <w:rFonts w:ascii="楷体_GB2312" w:hAnsi="Times New Roman" w:eastAsia="楷体_GB2312" w:cs="Times New Roman"/>
      <w:sz w:val="28"/>
      <w:szCs w:val="28"/>
    </w:rPr>
  </w:style>
  <w:style w:type="paragraph" w:styleId="1013" w:customStyle="1">
    <w:name w:val="正文文本 21"/>
    <w:basedOn w:val="729"/>
    <w:link w:val="1012"/>
    <w:uiPriority w:val="0"/>
    <w:qFormat/>
    <w:pPr>
      <w:jc w:val="center"/>
      <w:widowControl/>
    </w:pPr>
    <w:rPr>
      <w:rFonts w:ascii="楷体_GB2312" w:eastAsia="楷体_GB2312"/>
      <w:sz w:val="28"/>
      <w:szCs w:val="28"/>
    </w:rPr>
  </w:style>
  <w:style w:type="character" w:styleId="1014" w:customStyle="1">
    <w:name w:val="批注主题 Char"/>
    <w:link w:val="1015"/>
    <w:uiPriority w:val="0"/>
    <w:semiHidden/>
    <w:qFormat/>
    <w:rPr>
      <w:rFonts w:ascii="Times New Roman" w:hAnsi="Times New Roman" w:eastAsia="宋体" w:cs="Times New Roman"/>
      <w:b/>
      <w:bCs/>
      <w:szCs w:val="21"/>
    </w:rPr>
  </w:style>
  <w:style w:type="paragraph" w:styleId="1015" w:customStyle="1">
    <w:name w:val="批注主题1"/>
    <w:basedOn w:val="991"/>
    <w:next w:val="991"/>
    <w:link w:val="1014"/>
    <w:uiPriority w:val="0"/>
    <w:semiHidden/>
    <w:qFormat/>
    <w:rPr>
      <w:b/>
      <w:bCs/>
    </w:rPr>
  </w:style>
  <w:style w:type="character" w:styleId="1016" w:customStyle="1">
    <w:name w:val="正文首行缩进 Char"/>
    <w:link w:val="1017"/>
    <w:uiPriority w:val="0"/>
    <w:qFormat/>
    <w:rPr>
      <w:rFonts w:ascii="仿宋_GB2312" w:hAnsi="Times New Roman" w:eastAsia="仿宋_GB2312" w:cs="Times New Roman"/>
      <w:sz w:val="30"/>
      <w:szCs w:val="30"/>
    </w:rPr>
  </w:style>
  <w:style w:type="paragraph" w:styleId="1017" w:customStyle="1">
    <w:name w:val="正文首行缩进1"/>
    <w:basedOn w:val="729"/>
    <w:link w:val="1016"/>
    <w:uiPriority w:val="0"/>
    <w:qFormat/>
    <w:pPr>
      <w:ind w:firstLine="200"/>
      <w:spacing w:line="360" w:lineRule="auto"/>
    </w:pPr>
    <w:rPr>
      <w:rFonts w:ascii="仿宋_GB2312" w:eastAsia="仿宋_GB2312"/>
      <w:sz w:val="30"/>
      <w:szCs w:val="30"/>
    </w:rPr>
  </w:style>
  <w:style w:type="paragraph" w:styleId="1018" w:customStyle="1">
    <w:name w:val="table_lines"/>
    <w:basedOn w:val="729"/>
    <w:uiPriority w:val="0"/>
    <w:qFormat/>
    <w:pPr>
      <w:jc w:val="left"/>
      <w:widowControl/>
    </w:pPr>
    <w:rPr>
      <w:sz w:val="20"/>
      <w:szCs w:val="20"/>
      <w:lang w:val="de-DE" w:eastAsia="de-DE"/>
    </w:rPr>
  </w:style>
  <w:style w:type="paragraph" w:styleId="1019" w:customStyle="1">
    <w:name w:val="Char"/>
    <w:basedOn w:val="1001"/>
    <w:uiPriority w:val="0"/>
    <w:qFormat/>
    <w:rPr>
      <w:rFonts w:ascii="Tahoma" w:hAnsi="Tahoma"/>
      <w:sz w:val="24"/>
      <w:szCs w:val="24"/>
    </w:rPr>
  </w:style>
  <w:style w:type="paragraph" w:styleId="1020" w:customStyle="1">
    <w:name w:val="索引 11"/>
    <w:basedOn w:val="729"/>
    <w:next w:val="729"/>
    <w:uiPriority w:val="0"/>
    <w:semiHidden/>
    <w:qFormat/>
    <w:pPr>
      <w:spacing w:line="240" w:lineRule="atLeast"/>
    </w:pPr>
    <w:rPr>
      <w:b/>
      <w:bCs/>
    </w:rPr>
  </w:style>
  <w:style w:type="paragraph" w:styleId="1021" w:customStyle="1">
    <w:name w:val="目录 51"/>
    <w:basedOn w:val="729"/>
    <w:next w:val="729"/>
    <w:uiPriority w:val="0"/>
    <w:semiHidden/>
    <w:qFormat/>
    <w:pPr>
      <w:ind w:left="840"/>
      <w:jc w:val="left"/>
    </w:pPr>
  </w:style>
  <w:style w:type="paragraph" w:styleId="1022" w:customStyle="1">
    <w:name w:val="Char Char Char Char"/>
    <w:basedOn w:val="1001"/>
    <w:uiPriority w:val="0"/>
    <w:qFormat/>
    <w:pPr>
      <w:spacing w:line="360" w:lineRule="auto"/>
    </w:pPr>
    <w:rPr>
      <w:rFonts w:ascii="Tahoma" w:hAnsi="Tahoma"/>
      <w:sz w:val="24"/>
      <w:szCs w:val="24"/>
    </w:rPr>
  </w:style>
  <w:style w:type="paragraph" w:styleId="1023" w:customStyle="1">
    <w:name w:val="列出段落2"/>
    <w:basedOn w:val="729"/>
    <w:uiPriority w:val="0"/>
    <w:qFormat/>
    <w:pPr>
      <w:contextualSpacing/>
      <w:ind w:left="720"/>
      <w:jc w:val="left"/>
      <w:widowControl/>
    </w:pPr>
    <w:rPr>
      <w:rFonts w:ascii="Calibri" w:hAnsi="Calibri"/>
      <w:sz w:val="24"/>
      <w:szCs w:val="24"/>
      <w:lang w:eastAsia="en-US" w:bidi="en-US"/>
    </w:rPr>
  </w:style>
  <w:style w:type="paragraph" w:styleId="1024"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102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6" w:customStyle="1">
    <w:name w:val="普通 (Web)"/>
    <w:basedOn w:val="729"/>
    <w:uiPriority w:val="0"/>
    <w:qFormat/>
    <w:pPr>
      <w:jc w:val="left"/>
      <w:spacing w:before="100" w:beforeAutospacing="1" w:after="100" w:afterAutospacing="1"/>
      <w:widowControl/>
    </w:pPr>
    <w:rPr>
      <w:rFonts w:ascii="宋体" w:hAnsi="宋体"/>
      <w:sz w:val="24"/>
      <w:szCs w:val="24"/>
    </w:rPr>
  </w:style>
  <w:style w:type="paragraph" w:styleId="1027" w:customStyle="1">
    <w:name w:val="xl2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目录 81"/>
    <w:basedOn w:val="729"/>
    <w:next w:val="729"/>
    <w:uiPriority w:val="0"/>
    <w:semiHidden/>
    <w:qFormat/>
    <w:pPr>
      <w:ind w:left="1470"/>
      <w:jc w:val="left"/>
    </w:pPr>
  </w:style>
  <w:style w:type="paragraph" w:styleId="1029" w:customStyle="1">
    <w:name w:val="目录 91"/>
    <w:basedOn w:val="729"/>
    <w:next w:val="729"/>
    <w:uiPriority w:val="0"/>
    <w:semiHidden/>
    <w:qFormat/>
    <w:pPr>
      <w:ind w:left="1680"/>
      <w:jc w:val="left"/>
    </w:pPr>
  </w:style>
  <w:style w:type="paragraph" w:styleId="1030" w:customStyle="1">
    <w:name w:val="Char1"/>
    <w:basedOn w:val="729"/>
    <w:uiPriority w:val="0"/>
    <w:qFormat/>
    <w:pPr>
      <w:ind w:firstLine="200"/>
      <w:tabs>
        <w:tab w:val="left" w:pos="360" w:leader="none"/>
      </w:tabs>
    </w:pPr>
    <w:rPr>
      <w:sz w:val="28"/>
      <w:szCs w:val="30"/>
    </w:rPr>
  </w:style>
  <w:style w:type="paragraph" w:styleId="1031" w:customStyle="1">
    <w:name w:val="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32" w:customStyle="1">
    <w:name w:val="font7"/>
    <w:basedOn w:val="729"/>
    <w:uiPriority w:val="0"/>
    <w:qFormat/>
    <w:pPr>
      <w:jc w:val="left"/>
      <w:spacing w:before="100" w:beforeAutospacing="1" w:after="100" w:afterAutospacing="1"/>
      <w:widowControl/>
    </w:pPr>
    <w:rPr>
      <w:rFonts w:hint="eastAsia" w:ascii="宋体" w:hAnsi="宋体"/>
      <w:sz w:val="18"/>
      <w:szCs w:val="18"/>
    </w:rPr>
  </w:style>
  <w:style w:type="paragraph" w:styleId="1033" w:customStyle="1">
    <w:name w:val="Char Char Char Char Char Char Char Char Char Char"/>
    <w:basedOn w:val="729"/>
    <w:uiPriority w:val="0"/>
    <w:qFormat/>
    <w:pPr>
      <w:spacing w:line="360" w:lineRule="auto"/>
    </w:pPr>
    <w:rPr>
      <w:sz w:val="24"/>
      <w:szCs w:val="20"/>
    </w:rPr>
  </w:style>
  <w:style w:type="paragraph" w:styleId="1034" w:customStyle="1">
    <w:name w:val="xl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5" w:customStyle="1">
    <w:name w:val="table_1stline"/>
    <w:basedOn w:val="729"/>
    <w:uiPriority w:val="0"/>
    <w:qFormat/>
    <w:pPr>
      <w:jc w:val="left"/>
      <w:spacing w:before="120"/>
      <w:widowControl/>
    </w:pPr>
    <w:rPr>
      <w:bCs/>
      <w:sz w:val="20"/>
      <w:szCs w:val="20"/>
      <w:lang w:val="de-DE" w:eastAsia="de-DE"/>
    </w:rPr>
  </w:style>
  <w:style w:type="paragraph" w:styleId="1036"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7" w:customStyle="1">
    <w:name w:val="目录 31"/>
    <w:basedOn w:val="729"/>
    <w:next w:val="729"/>
    <w:uiPriority w:val="0"/>
    <w:semiHidden/>
    <w:qFormat/>
    <w:pPr>
      <w:ind w:left="420"/>
      <w:jc w:val="left"/>
    </w:pPr>
    <w:rPr>
      <w:i/>
      <w:iCs/>
      <w:szCs w:val="24"/>
    </w:rPr>
  </w:style>
  <w:style w:type="paragraph" w:styleId="1038" w:customStyle="1">
    <w:name w:val="目录 61"/>
    <w:basedOn w:val="729"/>
    <w:next w:val="729"/>
    <w:uiPriority w:val="0"/>
    <w:semiHidden/>
    <w:qFormat/>
    <w:pPr>
      <w:ind w:left="1050"/>
      <w:jc w:val="left"/>
    </w:pPr>
  </w:style>
  <w:style w:type="paragraph" w:styleId="1039" w:customStyle="1">
    <w:name w:val="目录 71"/>
    <w:basedOn w:val="729"/>
    <w:next w:val="729"/>
    <w:uiPriority w:val="0"/>
    <w:semiHidden/>
    <w:qFormat/>
    <w:pPr>
      <w:ind w:left="1260"/>
      <w:jc w:val="left"/>
    </w:pPr>
  </w:style>
  <w:style w:type="paragraph" w:styleId="104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41" w:customStyle="1">
    <w:name w:val="标题3"/>
    <w:basedOn w:val="729"/>
    <w:next w:val="729"/>
    <w:uiPriority w:val="0"/>
    <w:qFormat/>
    <w:pPr>
      <w:ind w:firstLine="624"/>
      <w:spacing w:line="590" w:lineRule="atLeast"/>
    </w:pPr>
    <w:rPr>
      <w:rFonts w:ascii="方正黑体_GBK" w:eastAsia="方正黑体_GBK"/>
      <w:sz w:val="32"/>
      <w:szCs w:val="32"/>
    </w:rPr>
  </w:style>
  <w:style w:type="paragraph" w:styleId="1042" w:customStyle="1">
    <w:name w:val="列表 31"/>
    <w:basedOn w:val="729"/>
    <w:uiPriority w:val="0"/>
    <w:qFormat/>
    <w:pPr>
      <w:ind w:left="100" w:hanging="200"/>
    </w:pPr>
  </w:style>
  <w:style w:type="paragraph" w:styleId="1043" w:customStyle="1">
    <w:name w:val="目录 11"/>
    <w:basedOn w:val="729"/>
    <w:next w:val="729"/>
    <w:uiPriority w:val="0"/>
    <w:semiHidden/>
    <w:qFormat/>
    <w:pPr>
      <w:jc w:val="left"/>
      <w:spacing w:before="120" w:after="120" w:line="400" w:lineRule="exact"/>
      <w:tabs>
        <w:tab w:val="right" w:pos="8720" w:leader="dot"/>
      </w:tabs>
    </w:pPr>
    <w:rPr>
      <w:rFonts w:ascii="宋体" w:hAnsi="宋体"/>
      <w:caps/>
      <w:sz w:val="24"/>
      <w:szCs w:val="24"/>
    </w:rPr>
  </w:style>
  <w:style w:type="paragraph" w:styleId="1044" w:customStyle="1">
    <w:name w:val="xl30"/>
    <w:basedOn w:val="729"/>
    <w:uiPriority w:val="0"/>
    <w:qFormat/>
    <w:pPr>
      <w:jc w:val="center"/>
      <w:spacing w:before="100" w:beforeAutospacing="1" w:after="100" w:afterAutospacing="1"/>
      <w:widowControl/>
    </w:pPr>
    <w:rPr>
      <w:rFonts w:ascii="宋体" w:hAnsi="宋体"/>
      <w:b/>
      <w:bCs/>
      <w:sz w:val="36"/>
      <w:szCs w:val="36"/>
    </w:rPr>
  </w:style>
  <w:style w:type="paragraph" w:styleId="1045" w:customStyle="1">
    <w:name w:val="目录 41"/>
    <w:basedOn w:val="729"/>
    <w:next w:val="729"/>
    <w:uiPriority w:val="0"/>
    <w:semiHidden/>
    <w:qFormat/>
    <w:pPr>
      <w:ind w:left="630"/>
      <w:jc w:val="left"/>
    </w:pPr>
  </w:style>
  <w:style w:type="paragraph" w:styleId="1046" w:customStyle="1">
    <w:name w:val="4"/>
    <w:basedOn w:val="729"/>
    <w:next w:val="1003"/>
    <w:uiPriority w:val="0"/>
    <w:qFormat/>
    <w:pPr>
      <w:ind w:firstLine="420"/>
      <w:spacing w:line="360" w:lineRule="auto"/>
    </w:pPr>
    <w:rPr>
      <w:color w:val="ff0000"/>
      <w:sz w:val="24"/>
      <w:szCs w:val="24"/>
    </w:rPr>
  </w:style>
  <w:style w:type="paragraph" w:styleId="1047" w:customStyle="1">
    <w:name w:val="列表 21"/>
    <w:basedOn w:val="729"/>
    <w:uiPriority w:val="0"/>
    <w:qFormat/>
    <w:pPr>
      <w:ind w:left="100" w:hanging="200"/>
    </w:pPr>
  </w:style>
  <w:style w:type="paragraph" w:styleId="1048" w:customStyle="1">
    <w:name w:val="目录 21"/>
    <w:basedOn w:val="729"/>
    <w:next w:val="729"/>
    <w:uiPriority w:val="0"/>
    <w:semiHidden/>
    <w:qFormat/>
    <w:pPr>
      <w:ind w:left="210"/>
      <w:jc w:val="left"/>
    </w:pPr>
    <w:rPr>
      <w:smallCaps/>
      <w:szCs w:val="24"/>
    </w:rPr>
  </w:style>
  <w:style w:type="paragraph" w:styleId="1049" w:customStyle="1">
    <w:name w:val="Char Char Char Char1"/>
    <w:basedOn w:val="1001"/>
    <w:uiPriority w:val="0"/>
    <w:qFormat/>
    <w:pPr>
      <w:spacing w:line="360" w:lineRule="auto"/>
    </w:pPr>
    <w:rPr>
      <w:rFonts w:ascii="Tahoma" w:hAnsi="Tahoma"/>
      <w:sz w:val="24"/>
      <w:szCs w:val="24"/>
    </w:rPr>
  </w:style>
  <w:style w:type="paragraph" w:styleId="1050" w:customStyle="1">
    <w:name w:val="普通正文"/>
    <w:basedOn w:val="729"/>
    <w:uiPriority w:val="0"/>
    <w:qFormat/>
    <w:pPr>
      <w:ind w:firstLine="480"/>
      <w:jc w:val="left"/>
      <w:spacing w:before="120" w:after="120" w:line="360" w:lineRule="auto"/>
    </w:pPr>
    <w:rPr>
      <w:rFonts w:ascii="Arial" w:hAnsi="Arial"/>
      <w:sz w:val="24"/>
      <w:szCs w:val="24"/>
    </w:rPr>
  </w:style>
  <w:style w:type="paragraph" w:styleId="1051" w:customStyle="1">
    <w:name w:val="Body Text(ch)"/>
    <w:basedOn w:val="729"/>
    <w:next w:val="971"/>
    <w:uiPriority w:val="0"/>
    <w:qFormat/>
    <w:pPr>
      <w:spacing w:after="120"/>
    </w:pPr>
    <w:rPr>
      <w:rFonts w:ascii="宋体" w:hAnsi="Arial"/>
      <w:bCs/>
      <w:iCs/>
      <w:szCs w:val="24"/>
    </w:rPr>
  </w:style>
  <w:style w:type="paragraph" w:styleId="1052" w:customStyle="1">
    <w:name w:val="列表1"/>
    <w:basedOn w:val="729"/>
    <w:uiPriority w:val="0"/>
    <w:qFormat/>
    <w:pPr>
      <w:ind w:left="200" w:hanging="200"/>
    </w:pPr>
  </w:style>
  <w:style w:type="paragraph" w:styleId="1053" w:customStyle="1">
    <w:name w:val="样式1"/>
    <w:basedOn w:val="729"/>
    <w:uiPriority w:val="0"/>
    <w:qFormat/>
    <w:pPr>
      <w:numPr>
        <w:ilvl w:val="0"/>
        <w:numId w:val="4"/>
      </w:numPr>
    </w:pPr>
    <w:rPr>
      <w:rFonts w:ascii="宋体" w:hAnsi="宋体"/>
    </w:rPr>
  </w:style>
  <w:style w:type="paragraph" w:styleId="1054" w:customStyle="1">
    <w:name w:val="xl29"/>
    <w:basedOn w:val="72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customStyle="1">
    <w:name w:val="font5"/>
    <w:basedOn w:val="729"/>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图表目录1"/>
    <w:basedOn w:val="729"/>
    <w:next w:val="729"/>
    <w:uiPriority w:val="0"/>
    <w:semiHidden/>
    <w:qFormat/>
    <w:pPr>
      <w:ind w:left="840" w:hanging="420"/>
    </w:pPr>
  </w:style>
  <w:style w:type="paragraph" w:styleId="1057"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customStyle="1">
    <w:name w:val="font6"/>
    <w:basedOn w:val="729"/>
    <w:uiPriority w:val="0"/>
    <w:qFormat/>
    <w:pPr>
      <w:jc w:val="left"/>
      <w:spacing w:before="100" w:beforeAutospacing="1" w:after="100" w:afterAutospacing="1"/>
      <w:widowControl/>
    </w:pPr>
    <w:rPr>
      <w:rFonts w:hint="eastAsia" w:ascii="宋体" w:hAnsi="宋体"/>
      <w:sz w:val="28"/>
      <w:szCs w:val="28"/>
      <w:u w:val="single"/>
    </w:rPr>
  </w:style>
  <w:style w:type="paragraph" w:styleId="1059"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customStyle="1">
    <w:name w:val="xl24"/>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Char 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062" w:customStyle="1">
    <w:name w:val="标题1"/>
    <w:basedOn w:val="729"/>
    <w:next w:val="7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4" w:customStyle="1">
    <w:name w:val="正文1"/>
    <w:basedOn w:val="729"/>
    <w:next w:val="729"/>
    <w:uiPriority w:val="99"/>
    <w:qFormat/>
    <w:pPr>
      <w:ind w:firstLine="480"/>
      <w:spacing w:line="440" w:lineRule="exact"/>
    </w:pPr>
    <w:rPr>
      <w:rFonts w:ascii="微软雅黑" w:hAnsi="微软雅黑" w:eastAsia="微软雅黑"/>
      <w:sz w:val="24"/>
      <w:szCs w:val="20"/>
    </w:rPr>
  </w:style>
  <w:style w:type="table" w:styleId="1065" w:customStyle="1">
    <w:name w:val="网格型1"/>
    <w:basedOn w:val="965"/>
    <w:uiPriority w:val="0"/>
    <w:qFormat/>
    <w:pPr>
      <w:jc w:val="both"/>
      <w:widowControl w:val="off"/>
    </w:pPr>
    <w:rPr>
      <w:rFonts w:ascii="Times New Roman" w:hAnsi="Times New Roman"/>
    </w:rPr>
    <w:tblPr/>
  </w:style>
  <w:style w:type="character" w:styleId="1066" w:customStyle="1">
    <w:name w:val="正文文本 Char1"/>
    <w:basedOn w:val="739"/>
    <w:uiPriority w:val="99"/>
    <w:semiHidden/>
    <w:qFormat/>
    <w:rPr>
      <w:rFonts w:ascii="Times New Roman" w:hAnsi="Times New Roman"/>
      <w:sz w:val="21"/>
      <w:szCs w:val="21"/>
    </w:rPr>
  </w:style>
  <w:style w:type="paragraph" w:styleId="1067" w:customStyle="1">
    <w:name w:val="正文2"/>
    <w:basedOn w:val="729"/>
    <w:uiPriority w:val="0"/>
    <w:qFormat/>
    <w:pPr>
      <w:spacing w:line="360" w:lineRule="auto"/>
      <w:tabs>
        <w:tab w:val="left" w:pos="6480" w:leader="none"/>
      </w:tabs>
    </w:pPr>
    <w:rPr>
      <w:sz w:val="24"/>
      <w:szCs w:val="24"/>
    </w:rPr>
  </w:style>
  <w:style w:type="paragraph" w:styleId="1068" w:customStyle="1">
    <w:name w:val="1 正文"/>
    <w:basedOn w:val="729"/>
    <w:uiPriority w:val="0"/>
    <w:qFormat/>
    <w:pPr>
      <w:ind w:firstLine="420"/>
      <w:spacing w:line="360" w:lineRule="auto"/>
    </w:pPr>
    <w:rPr>
      <w:rFonts w:ascii="宋体" w:hAnsi="宋体"/>
      <w:sz w:val="24"/>
      <w:szCs w:val="24"/>
    </w:rPr>
  </w:style>
  <w:style w:type="paragraph" w:styleId="1069" w:customStyle="1">
    <w:name w:val="A正文"/>
    <w:basedOn w:val="729"/>
    <w:uiPriority w:val="0"/>
    <w:qFormat/>
    <w:pPr>
      <w:ind w:firstLine="200"/>
      <w:spacing w:line="360" w:lineRule="auto"/>
    </w:pPr>
    <w:rPr>
      <w:rFonts w:cs="宋体"/>
      <w:sz w:val="24"/>
      <w:szCs w:val="28"/>
      <w:lang w:eastAsia="zh-Hans"/>
    </w:rPr>
  </w:style>
  <w:style w:type="paragraph" w:styleId="1070"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71"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73" w:customStyle="1">
    <w:name w:val="UserStyle_11"/>
    <w:uiPriority w:val="0"/>
    <w:qFormat/>
    <w:rPr>
      <w:sz w:val="21"/>
      <w:szCs w:val="21"/>
      <w:lang w:val="en-US" w:eastAsia="zh-CN" w:bidi="ar-SA"/>
    </w:rPr>
  </w:style>
  <w:style w:type="character" w:styleId="1074" w:customStyle="1">
    <w:name w:val="NormalCharacter"/>
    <w:uiPriority w:val="0"/>
    <w:qFormat/>
  </w:style>
  <w:style w:type="character" w:styleId="1075" w:customStyle="1">
    <w:name w:val="font01"/>
    <w:basedOn w:val="739"/>
    <w:uiPriority w:val="0"/>
    <w:qFormat/>
    <w:rPr>
      <w:rFonts w:hint="eastAsia" w:ascii="宋体" w:hAnsi="宋体" w:eastAsia="宋体" w:cs="宋体"/>
      <w:color w:val="000000"/>
      <w:sz w:val="22"/>
      <w:szCs w:val="22"/>
      <w:u w:val="none"/>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李想</cp:lastModifiedBy>
  <cp:revision>91</cp:revision>
  <dcterms:created xsi:type="dcterms:W3CDTF">2023-12-04T02:59:00Z</dcterms:created>
  <dcterms:modified xsi:type="dcterms:W3CDTF">2026-05-14T09:09:21Z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EBA0DBB2971844FC8C0D203CB8208F18_12</vt:lpwstr>
  </property>
  <property fmtid="{D5CDD505-2E9C-101B-9397-08002B2CF9AE}" pid="4" name="KSOTemplateDocerSaveRecord">
    <vt:lpwstr>eyJoZGlkIjoiNjQxYTE4MDQ0OTM5YzE4ZWIwNTE2NzIwMGI5MTIzYTEiLCJ1c2VySWQiOiIxODE0MjIyNzY2In0=</vt:lpwstr>
  </property>
</Properties>
</file>