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94"/>
        <w:jc w:val="both"/>
        <w:spacing w:line="480" w:lineRule="auto"/>
        <w:rPr>
          <w:rFonts w:ascii="仿宋" w:hAnsi="仿宋" w:eastAsia="仿宋" w:cs="仿宋"/>
          <w:b/>
          <w:color w:val="auto"/>
          <w:sz w:val="44"/>
          <w:szCs w:val="44"/>
          <w:highlight w:val="none"/>
          <w:lang w:val="en-US"/>
        </w:rPr>
      </w:pPr>
      <w:r>
        <w:rPr>
          <w:rFonts w:ascii="仿宋" w:hAnsi="仿宋" w:eastAsia="仿宋" w:cs="仿宋"/>
          <w:b/>
          <w:color w:val="auto"/>
          <w:sz w:val="44"/>
          <w:szCs w:val="44"/>
          <w:highlight w:val="none"/>
          <w:lang w:val="en-US"/>
        </w:rPr>
      </w:r>
      <w:r/>
    </w:p>
    <w:p>
      <w:pPr>
        <w:ind w:left="879" w:right="994" w:hanging="168"/>
        <w:jc w:val="center"/>
        <w:spacing w:line="480" w:lineRule="auto"/>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 xml:space="preserve">扬州市妇幼保健院</w:t>
      </w:r>
      <w:r/>
    </w:p>
    <w:p>
      <w:pPr>
        <w:ind w:left="879" w:right="994" w:hanging="168"/>
        <w:jc w:val="center"/>
        <w:spacing w:line="480" w:lineRule="auto"/>
        <w:rPr>
          <w:rFonts w:ascii="仿宋" w:hAnsi="仿宋" w:eastAsia="仿宋" w:cs="仿宋"/>
          <w:bCs/>
          <w:color w:val="auto"/>
          <w:sz w:val="28"/>
          <w:szCs w:val="28"/>
          <w:highlight w:val="none"/>
          <w:lang w:val="en-US"/>
        </w:rPr>
      </w:pPr>
      <w:r>
        <w:rPr>
          <w:rFonts w:hint="eastAsia" w:ascii="仿宋" w:hAnsi="仿宋" w:eastAsia="仿宋" w:cs="仿宋"/>
          <w:b/>
          <w:color w:val="auto"/>
          <w:sz w:val="44"/>
          <w:szCs w:val="44"/>
          <w:highlight w:val="none"/>
          <w:lang w:val="en-US" w:eastAsia="zh-CN"/>
        </w:rPr>
        <w:t xml:space="preserve">护理服务项目</w:t>
      </w:r>
      <w:r/>
    </w:p>
    <w:p>
      <w:pPr>
        <w:pStyle w:val="724"/>
        <w:spacing w:line="480" w:lineRule="auto"/>
        <w:tabs>
          <w:tab w:val="left" w:pos="6947" w:leader="none"/>
        </w:tabs>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ab/>
      </w:r>
      <w:r/>
    </w:p>
    <w:p>
      <w:pPr>
        <w:pStyle w:val="724"/>
        <w:spacing w:line="480" w:lineRule="auto"/>
        <w:tabs>
          <w:tab w:val="left" w:pos="6947" w:leader="none"/>
        </w:tabs>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r>
      <w:r/>
    </w:p>
    <w:p>
      <w:pPr>
        <w:ind w:left="-425" w:right="-482"/>
        <w:jc w:val="center"/>
        <w:spacing w:line="480" w:lineRule="auto"/>
        <w:rPr>
          <w:rFonts w:ascii="仿宋" w:hAnsi="仿宋" w:eastAsia="仿宋" w:cs="仿宋"/>
          <w:bCs/>
          <w:color w:val="auto"/>
          <w:sz w:val="72"/>
          <w:szCs w:val="72"/>
          <w:highlight w:val="none"/>
          <w:lang w:val="en-US"/>
        </w:rPr>
      </w:pPr>
      <w:r>
        <w:rPr>
          <w:rFonts w:hint="eastAsia" w:ascii="仿宋" w:hAnsi="仿宋" w:eastAsia="仿宋" w:cs="仿宋"/>
          <w:bCs/>
          <w:color w:val="auto"/>
          <w:sz w:val="72"/>
          <w:szCs w:val="72"/>
          <w:highlight w:val="none"/>
          <w:lang w:val="en-US"/>
        </w:rPr>
        <w:t xml:space="preserve">招标文件</w:t>
      </w:r>
      <w:r/>
    </w:p>
    <w:p>
      <w:pPr>
        <w:ind w:left="-425" w:right="-482"/>
        <w:jc w:val="center"/>
        <w:spacing w:line="480" w:lineRule="auto"/>
        <w:rPr>
          <w:rFonts w:ascii="仿宋" w:hAnsi="仿宋" w:eastAsia="仿宋" w:cs="仿宋"/>
          <w:bCs/>
          <w:color w:val="auto"/>
          <w:sz w:val="36"/>
          <w:szCs w:val="36"/>
          <w:highlight w:val="none"/>
          <w:lang w:val="en-US"/>
        </w:rPr>
      </w:pPr>
      <w:r>
        <w:rPr>
          <w:rFonts w:ascii="仿宋" w:hAnsi="仿宋" w:eastAsia="仿宋" w:cs="仿宋"/>
          <w:bCs/>
          <w:color w:val="auto"/>
          <w:sz w:val="36"/>
          <w:szCs w:val="36"/>
          <w:highlight w:val="none"/>
          <w:lang w:val="en-US"/>
        </w:rPr>
      </w:r>
      <w:r/>
    </w:p>
    <w:p>
      <w:pPr>
        <w:ind w:left="-425" w:right="-482"/>
        <w:jc w:val="center"/>
        <w:spacing w:line="480" w:lineRule="auto"/>
        <w:rPr>
          <w:rFonts w:ascii="仿宋" w:hAnsi="仿宋" w:eastAsia="仿宋" w:cs="仿宋"/>
          <w:bCs/>
          <w:color w:val="auto"/>
          <w:sz w:val="36"/>
          <w:szCs w:val="36"/>
          <w:highlight w:val="none"/>
          <w:lang w:val="en-US"/>
        </w:rPr>
      </w:pPr>
      <w:r>
        <w:rPr>
          <w:rFonts w:ascii="仿宋" w:hAnsi="仿宋" w:eastAsia="仿宋" w:cs="仿宋"/>
          <w:bCs/>
          <w:color w:val="auto"/>
          <w:sz w:val="36"/>
          <w:szCs w:val="36"/>
          <w:highlight w:val="none"/>
          <w:lang w:val="en-US"/>
        </w:rPr>
      </w:r>
      <w:r/>
    </w:p>
    <w:p>
      <w:pPr>
        <w:ind w:left="-425" w:right="-482"/>
        <w:jc w:val="center"/>
        <w:spacing w:line="480" w:lineRule="auto"/>
        <w:rPr>
          <w:rFonts w:hint="eastAsia"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rPr>
        <w:t xml:space="preserve">项目编号</w:t>
      </w:r>
      <w:r>
        <w:rPr>
          <w:rFonts w:hint="eastAsia" w:ascii="仿宋" w:hAnsi="仿宋" w:eastAsia="仿宋" w:cs="仿宋"/>
          <w:bCs/>
          <w:color w:val="auto"/>
          <w:sz w:val="36"/>
          <w:szCs w:val="36"/>
          <w:highlight w:val="none"/>
          <w:lang w:val="en-US" w:eastAsia="zh-CN"/>
        </w:rPr>
        <w:t xml:space="preserve">：JSZC-321000-JSHY-G2026-0105 </w:t>
      </w:r>
      <w:r/>
    </w:p>
    <w:p>
      <w:pPr>
        <w:ind w:left="-425" w:right="-482"/>
        <w:jc w:val="center"/>
        <w:spacing w:line="480" w:lineRule="auto"/>
        <w:rPr>
          <w:rFonts w:hint="default"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eastAsia="zh-CN"/>
        </w:rPr>
        <w:t xml:space="preserve">代理机构编号：1009-2641HOLLY59F</w:t>
      </w:r>
      <w:r/>
      <w:r>
        <w:rPr>
          <w:rFonts w:ascii="仿宋" w:hAnsi="仿宋" w:eastAsia="仿宋" w:cs="仿宋"/>
          <w:bCs/>
          <w:color w:val="auto"/>
          <w:sz w:val="28"/>
          <w:szCs w:val="28"/>
          <w:highlight w:val="none"/>
          <w:lang w:val="en-US"/>
        </w:rPr>
      </w:r>
      <w:r/>
      <w:r>
        <w:rPr>
          <w:rFonts w:hint="default" w:ascii="仿宋" w:hAnsi="仿宋" w:eastAsia="仿宋" w:cs="仿宋"/>
          <w:bCs/>
          <w:color w:val="auto"/>
          <w:sz w:val="36"/>
          <w:szCs w:val="36"/>
          <w:highlight w:val="none"/>
          <w:lang w:val="en-US" w:eastAsia="zh-CN"/>
        </w:rPr>
      </w:r>
    </w:p>
    <w:p>
      <w:pPr>
        <w:ind w:left="-312" w:right="-906" w:hanging="537"/>
        <w:spacing w:line="480" w:lineRule="auto"/>
        <w:rPr>
          <w:rFonts w:ascii="仿宋" w:hAnsi="仿宋" w:eastAsia="仿宋" w:cs="仿宋"/>
          <w:bCs/>
          <w:color w:val="auto"/>
          <w:sz w:val="28"/>
          <w:szCs w:val="28"/>
          <w:highlight w:val="none"/>
          <w:lang w:val="en-US"/>
        </w:rPr>
      </w:pPr>
      <w:r>
        <w:rPr>
          <w:rFonts w:ascii="仿宋" w:hAnsi="仿宋" w:eastAsia="仿宋" w:cs="仿宋"/>
          <w:bCs/>
          <w:color w:val="auto"/>
          <w:sz w:val="28"/>
          <w:szCs w:val="28"/>
          <w:highlight w:val="none"/>
          <w:lang w:val="en-US"/>
        </w:rPr>
      </w:r>
      <w:r/>
    </w:p>
    <w:p>
      <w:pPr>
        <w:ind w:right="-906"/>
        <w:jc w:val="both"/>
        <w:spacing w:line="480" w:lineRule="auto"/>
        <w:rPr>
          <w:rFonts w:hint="eastAsia"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rPr>
        <w:t xml:space="preserve">采购人：</w:t>
      </w:r>
      <w:r>
        <w:rPr>
          <w:rFonts w:hint="eastAsia" w:ascii="仿宋" w:hAnsi="仿宋" w:eastAsia="仿宋" w:cs="仿宋"/>
          <w:bCs/>
          <w:color w:val="auto"/>
          <w:sz w:val="36"/>
          <w:szCs w:val="36"/>
          <w:highlight w:val="none"/>
          <w:lang w:val="en-US" w:eastAsia="zh-CN"/>
        </w:rPr>
        <w:t xml:space="preserve">扬州市妇幼保健院</w:t>
      </w:r>
      <w:r/>
    </w:p>
    <w:p>
      <w:pPr>
        <w:ind w:left="658" w:right="-906" w:hanging="673"/>
        <w:spacing w:line="480" w:lineRule="auto"/>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采购代理机构：江苏弘业国际技术工程有限公司</w:t>
      </w:r>
      <w:r/>
    </w:p>
    <w:p>
      <w:pPr>
        <w:ind w:left="658" w:right="-906" w:hanging="673"/>
        <w:spacing w:line="480" w:lineRule="auto"/>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日期：二〇二</w:t>
      </w:r>
      <w:r>
        <w:rPr>
          <w:rFonts w:hint="eastAsia" w:ascii="仿宋" w:hAnsi="仿宋" w:eastAsia="仿宋" w:cs="仿宋"/>
          <w:bCs/>
          <w:color w:val="auto"/>
          <w:sz w:val="36"/>
          <w:szCs w:val="36"/>
          <w:highlight w:val="none"/>
          <w:lang w:val="en-US" w:eastAsia="zh-CN"/>
        </w:rPr>
        <w:t xml:space="preserve">六</w:t>
      </w:r>
      <w:r>
        <w:rPr>
          <w:rFonts w:hint="eastAsia" w:ascii="仿宋" w:hAnsi="仿宋" w:eastAsia="仿宋" w:cs="仿宋"/>
          <w:bCs/>
          <w:color w:val="auto"/>
          <w:sz w:val="36"/>
          <w:szCs w:val="36"/>
          <w:highlight w:val="none"/>
          <w:lang w:val="en-US"/>
        </w:rPr>
        <w:t xml:space="preserve">年</w:t>
      </w:r>
      <w:r>
        <w:rPr>
          <w:rFonts w:hint="eastAsia" w:ascii="仿宋" w:hAnsi="仿宋" w:eastAsia="仿宋" w:cs="仿宋"/>
          <w:bCs/>
          <w:color w:val="auto"/>
          <w:sz w:val="36"/>
          <w:szCs w:val="36"/>
          <w:highlight w:val="none"/>
          <w:lang w:val="en-US" w:eastAsia="zh-CN"/>
        </w:rPr>
        <w:t xml:space="preserve">六</w:t>
      </w:r>
      <w:r>
        <w:rPr>
          <w:rFonts w:hint="eastAsia" w:ascii="仿宋" w:hAnsi="仿宋" w:eastAsia="仿宋" w:cs="仿宋"/>
          <w:bCs/>
          <w:color w:val="auto"/>
          <w:sz w:val="36"/>
          <w:szCs w:val="36"/>
          <w:highlight w:val="none"/>
          <w:lang w:val="en-US"/>
        </w:rPr>
        <w:t xml:space="preserve">月</w:t>
      </w:r>
      <w:r/>
    </w:p>
    <w:p>
      <w:pPr>
        <w:spacing w:line="480" w:lineRule="auto"/>
        <w:widowControl/>
        <w:rPr>
          <w:rFonts w:ascii="仿宋" w:hAnsi="仿宋" w:eastAsia="仿宋" w:cs="仿宋"/>
          <w:b/>
          <w:color w:val="auto"/>
          <w:sz w:val="36"/>
          <w:szCs w:val="36"/>
          <w:highlight w:val="none"/>
          <w:lang w:val="en-US"/>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color w:val="auto"/>
          <w:sz w:val="36"/>
          <w:szCs w:val="36"/>
          <w:highlight w:val="none"/>
          <w:lang w:val="en-US"/>
        </w:rPr>
      </w:r>
      <w:r/>
    </w:p>
    <w:p>
      <w:pPr>
        <w:pStyle w:val="728"/>
        <w:ind w:left="1540" w:right="1540"/>
        <w:jc w:val="center"/>
        <w:spacing w:line="360" w:lineRule="auto"/>
        <w:rPr>
          <w:rFonts w:ascii="仿宋" w:hAnsi="仿宋" w:eastAsia="仿宋" w:cs="仿宋"/>
          <w:b/>
          <w:color w:val="auto"/>
          <w:sz w:val="40"/>
          <w:szCs w:val="40"/>
          <w:highlight w:val="none"/>
          <w:lang w:val="en-US"/>
        </w:rPr>
      </w:pPr>
      <w:r>
        <w:rPr>
          <w:rFonts w:hint="eastAsia" w:ascii="仿宋" w:hAnsi="仿宋" w:eastAsia="仿宋" w:cs="仿宋"/>
          <w:b/>
          <w:color w:val="auto"/>
          <w:sz w:val="40"/>
          <w:szCs w:val="40"/>
          <w:highlight w:val="none"/>
          <w:lang w:val="en-US"/>
        </w:rPr>
        <w:t xml:space="preserve">目录</w:t>
      </w:r>
      <w:r/>
    </w:p>
    <w:p>
      <w:pPr>
        <w:pStyle w:val="728"/>
        <w:ind w:left="1540" w:right="1540"/>
        <w:jc w:val="center"/>
        <w:spacing w:line="440" w:lineRule="exact"/>
        <w:rPr>
          <w:rFonts w:ascii="仿宋" w:hAnsi="仿宋" w:eastAsia="仿宋" w:cs="仿宋"/>
          <w:b/>
          <w:color w:val="auto"/>
          <w:sz w:val="28"/>
          <w:szCs w:val="28"/>
          <w:highlight w:val="none"/>
          <w:lang w:val="en-US"/>
        </w:rPr>
      </w:pPr>
      <w:r>
        <w:rPr>
          <w:rFonts w:ascii="仿宋" w:hAnsi="仿宋" w:eastAsia="仿宋" w:cs="仿宋"/>
          <w:b/>
          <w:color w:val="auto"/>
          <w:sz w:val="28"/>
          <w:szCs w:val="28"/>
          <w:highlight w:val="none"/>
          <w:lang w:val="en-US"/>
        </w:rPr>
      </w:r>
      <w:r/>
    </w:p>
    <w:p>
      <w:pPr>
        <w:jc w:val="center"/>
        <w:rPr>
          <w:rFonts w:ascii="仿宋" w:hAnsi="仿宋" w:eastAsia="仿宋" w:cs="仿宋"/>
          <w:color w:val="auto"/>
          <w:highlight w:val="none"/>
        </w:rPr>
      </w:pPr>
      <w:r>
        <w:rPr>
          <w:rFonts w:ascii="仿宋" w:hAnsi="仿宋" w:eastAsia="仿宋" w:cs="仿宋"/>
          <w:color w:val="auto"/>
          <w:highlight w:val="none"/>
        </w:rPr>
      </w:r>
      <w:r/>
    </w:p>
    <w:p>
      <w:pPr>
        <w:pStyle w:val="736"/>
        <w:tabs>
          <w:tab w:val="right" w:pos="8306" w:leader="dot"/>
        </w:tabs>
        <w:rPr>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color w:val="auto"/>
          <w:highlight w:val="none"/>
        </w:rPr>
        <w:fldChar w:fldCharType="begin"/>
      </w:r>
      <w:r>
        <w:rPr>
          <w:color w:val="auto"/>
          <w:highlight w:val="none"/>
        </w:rPr>
        <w:instrText xml:space="preserve"> HYPERLINK \l "_Toc8593" </w:instrText>
      </w:r>
      <w:r>
        <w:rPr>
          <w:color w:val="auto"/>
          <w:highlight w:val="none"/>
        </w:rPr>
        <w:fldChar w:fldCharType="separate"/>
      </w:r>
      <w:r>
        <w:rPr>
          <w:rFonts w:ascii="仿宋" w:hAnsi="仿宋" w:eastAsia="仿宋" w:cs="仿宋"/>
          <w:color w:val="auto"/>
          <w:highlight w:val="none"/>
        </w:rPr>
        <w:t xml:space="preserve">第一章 </w:t>
      </w:r>
      <w:r>
        <w:rPr>
          <w:rFonts w:hint="eastAsia" w:ascii="仿宋" w:hAnsi="仿宋" w:eastAsia="仿宋" w:cs="仿宋"/>
          <w:color w:val="auto"/>
          <w:highlight w:val="none"/>
        </w:rPr>
        <w:t xml:space="preserve">招标公告</w:t>
      </w:r>
      <w:r>
        <w:rPr>
          <w:color w:val="auto"/>
          <w:highlight w:val="none"/>
        </w:rPr>
        <w:tab/>
      </w:r>
      <w:r>
        <w:rPr>
          <w:rFonts w:hint="eastAsia"/>
          <w:color w:val="auto"/>
          <w:highlight w:val="none"/>
          <w:lang w:val="en-US" w:eastAsia="zh-CN"/>
        </w:rPr>
        <w:t xml:space="preserve">2</w:t>
      </w:r>
      <w:r>
        <w:rPr>
          <w:rFonts w:hint="eastAsia"/>
          <w:color w:val="auto"/>
          <w:highlight w:val="none"/>
          <w:lang w:val="en-US"/>
        </w:rPr>
        <w:fldChar w:fldCharType="end"/>
      </w:r>
      <w:r/>
    </w:p>
    <w:p>
      <w:pPr>
        <w:pStyle w:val="736"/>
        <w:tabs>
          <w:tab w:val="right" w:pos="8306" w:leader="dot"/>
        </w:tabs>
        <w:rPr>
          <w:color w:val="auto"/>
          <w:highlight w:val="none"/>
        </w:rPr>
      </w:pPr>
      <w:r>
        <w:rPr>
          <w:color w:val="auto"/>
          <w:highlight w:val="none"/>
        </w:rPr>
        <w:fldChar w:fldCharType="begin"/>
      </w:r>
      <w:r>
        <w:rPr>
          <w:color w:val="auto"/>
          <w:highlight w:val="none"/>
        </w:rPr>
        <w:instrText xml:space="preserve"> HYPERLINK \l "_Toc9541" </w:instrText>
      </w:r>
      <w:r>
        <w:rPr>
          <w:color w:val="auto"/>
          <w:highlight w:val="none"/>
        </w:rPr>
        <w:fldChar w:fldCharType="separate"/>
      </w:r>
      <w:r>
        <w:rPr>
          <w:rFonts w:ascii="仿宋" w:hAnsi="仿宋" w:eastAsia="仿宋" w:cs="仿宋"/>
          <w:color w:val="auto"/>
          <w:highlight w:val="none"/>
        </w:rPr>
        <w:t xml:space="preserve">第二章 </w:t>
      </w:r>
      <w:r>
        <w:rPr>
          <w:rFonts w:hint="eastAsia" w:ascii="仿宋" w:hAnsi="仿宋" w:eastAsia="仿宋" w:cs="仿宋"/>
          <w:color w:val="auto"/>
          <w:highlight w:val="none"/>
        </w:rPr>
        <w:t xml:space="preserve">投标人须知</w:t>
      </w:r>
      <w:r>
        <w:rPr>
          <w:color w:val="auto"/>
          <w:highlight w:val="none"/>
        </w:rPr>
        <w:tab/>
      </w:r>
      <w:r>
        <w:rPr>
          <w:rFonts w:hint="eastAsia"/>
          <w:color w:val="auto"/>
          <w:highlight w:val="none"/>
          <w:lang w:val="en-US" w:eastAsia="zh-CN"/>
        </w:rPr>
        <w:t xml:space="preserve">6</w:t>
      </w:r>
      <w:r>
        <w:rPr>
          <w:rFonts w:hint="eastAsia"/>
          <w:color w:val="auto"/>
          <w:highlight w:val="none"/>
          <w:lang w:val="en-US"/>
        </w:rPr>
        <w:fldChar w:fldCharType="end"/>
      </w:r>
      <w:r/>
    </w:p>
    <w:p>
      <w:pPr>
        <w:pStyle w:val="736"/>
        <w:tabs>
          <w:tab w:val="right" w:pos="8306" w:leader="dot"/>
        </w:tabs>
        <w:rPr>
          <w:color w:val="auto"/>
          <w:highlight w:val="none"/>
        </w:rPr>
      </w:pPr>
      <w:r>
        <w:rPr>
          <w:color w:val="auto"/>
          <w:highlight w:val="none"/>
        </w:rPr>
        <w:fldChar w:fldCharType="begin"/>
      </w:r>
      <w:r>
        <w:rPr>
          <w:color w:val="auto"/>
          <w:highlight w:val="none"/>
        </w:rPr>
        <w:instrText xml:space="preserve"> HYPERLINK \l "_Toc30241" </w:instrText>
      </w:r>
      <w:r>
        <w:rPr>
          <w:color w:val="auto"/>
          <w:highlight w:val="none"/>
        </w:rPr>
        <w:fldChar w:fldCharType="separate"/>
      </w:r>
      <w:r>
        <w:rPr>
          <w:rFonts w:ascii="仿宋" w:hAnsi="仿宋" w:eastAsia="仿宋" w:cs="仿宋"/>
          <w:color w:val="auto"/>
          <w:highlight w:val="none"/>
        </w:rPr>
        <w:t xml:space="preserve">第三章 </w:t>
      </w:r>
      <w:r>
        <w:rPr>
          <w:rFonts w:hint="eastAsia" w:ascii="仿宋" w:hAnsi="仿宋" w:eastAsia="仿宋" w:cs="仿宋"/>
          <w:color w:val="auto"/>
          <w:highlight w:val="none"/>
        </w:rPr>
        <w:t xml:space="preserve">评标办法</w:t>
      </w:r>
      <w:r>
        <w:rPr>
          <w:color w:val="auto"/>
          <w:highlight w:val="none"/>
        </w:rPr>
        <w:tab/>
      </w:r>
      <w:r>
        <w:rPr>
          <w:color w:val="auto"/>
          <w:highlight w:val="none"/>
        </w:rPr>
        <w:fldChar w:fldCharType="begin"/>
      </w:r>
      <w:r>
        <w:rPr>
          <w:color w:val="auto"/>
          <w:highlight w:val="none"/>
        </w:rPr>
        <w:instrText xml:space="preserve"> PAGEREF _Toc30241 \h </w:instrText>
      </w:r>
      <w:r>
        <w:rPr>
          <w:color w:val="auto"/>
          <w:highlight w:val="none"/>
        </w:rPr>
        <w:fldChar w:fldCharType="separate"/>
      </w:r>
      <w:r>
        <w:rPr>
          <w:color w:val="auto"/>
          <w:highlight w:val="none"/>
        </w:rPr>
        <w:t xml:space="preserve">2</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736"/>
        <w:tabs>
          <w:tab w:val="right" w:pos="8306"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"_Toc1682" </w:instrText>
      </w:r>
      <w:r>
        <w:rPr>
          <w:color w:val="auto"/>
          <w:highlight w:val="none"/>
        </w:rPr>
        <w:fldChar w:fldCharType="separate"/>
      </w:r>
      <w:r>
        <w:rPr>
          <w:rFonts w:ascii="仿宋" w:hAnsi="仿宋" w:eastAsia="仿宋" w:cs="仿宋"/>
          <w:color w:val="auto"/>
          <w:highlight w:val="none"/>
        </w:rPr>
        <w:t xml:space="preserve">第四章 </w:t>
      </w:r>
      <w:r>
        <w:rPr>
          <w:rFonts w:hint="eastAsia" w:ascii="仿宋" w:hAnsi="仿宋" w:eastAsia="仿宋" w:cs="仿宋"/>
          <w:color w:val="auto"/>
          <w:highlight w:val="none"/>
        </w:rPr>
        <w:t xml:space="preserve">合同条款</w:t>
      </w:r>
      <w:r>
        <w:rPr>
          <w:color w:val="auto"/>
          <w:highlight w:val="none"/>
        </w:rPr>
        <w:tab/>
      </w:r>
      <w:r>
        <w:rPr>
          <w:rFonts w:hint="eastAsia"/>
          <w:color w:val="auto"/>
          <w:highlight w:val="none"/>
          <w:lang w:val="en-US" w:eastAsia="zh-CN"/>
        </w:rPr>
        <w:t xml:space="preserve">3</w:t>
      </w:r>
      <w:r>
        <w:rPr>
          <w:rFonts w:hint="eastAsia"/>
          <w:color w:val="auto"/>
          <w:highlight w:val="none"/>
          <w:lang w:val="en-US"/>
        </w:rPr>
        <w:fldChar w:fldCharType="end"/>
      </w:r>
      <w:r>
        <w:rPr>
          <w:rFonts w:hint="eastAsia"/>
          <w:color w:val="auto"/>
          <w:highlight w:val="none"/>
          <w:lang w:val="en-US" w:eastAsia="zh-CN"/>
        </w:rPr>
        <w:t xml:space="preserve">3</w:t>
      </w:r>
      <w:r/>
    </w:p>
    <w:p>
      <w:pPr>
        <w:pStyle w:val="736"/>
        <w:tabs>
          <w:tab w:val="right" w:pos="8306" w:leader="dot"/>
        </w:tabs>
        <w:rPr>
          <w:color w:val="auto"/>
          <w:highlight w:val="none"/>
        </w:rPr>
      </w:pPr>
      <w:r>
        <w:rPr>
          <w:color w:val="auto"/>
          <w:highlight w:val="none"/>
        </w:rPr>
        <w:fldChar w:fldCharType="begin"/>
      </w:r>
      <w:r>
        <w:rPr>
          <w:color w:val="auto"/>
          <w:highlight w:val="none"/>
        </w:rPr>
        <w:instrText xml:space="preserve"> HYPERLINK \l "_Toc32004" </w:instrText>
      </w:r>
      <w:r>
        <w:rPr>
          <w:color w:val="auto"/>
          <w:highlight w:val="none"/>
        </w:rPr>
        <w:fldChar w:fldCharType="separate"/>
      </w:r>
      <w:r>
        <w:rPr>
          <w:rFonts w:ascii="仿宋" w:hAnsi="仿宋" w:eastAsia="仿宋" w:cs="仿宋"/>
          <w:color w:val="auto"/>
          <w:highlight w:val="none"/>
        </w:rPr>
        <w:t xml:space="preserve">第五章 </w:t>
      </w:r>
      <w:r>
        <w:rPr>
          <w:rFonts w:hint="eastAsia" w:ascii="仿宋" w:hAnsi="仿宋" w:eastAsia="仿宋" w:cs="仿宋"/>
          <w:color w:val="auto"/>
          <w:highlight w:val="none"/>
          <w:lang w:eastAsia="zh-CN"/>
        </w:rPr>
        <w:t xml:space="preserve">采购需求</w:t>
      </w:r>
      <w:r>
        <w:rPr>
          <w:color w:val="auto"/>
          <w:highlight w:val="none"/>
        </w:rPr>
        <w:tab/>
      </w:r>
      <w:r>
        <w:rPr>
          <w:color w:val="auto"/>
          <w:highlight w:val="none"/>
        </w:rPr>
        <w:fldChar w:fldCharType="begin"/>
      </w:r>
      <w:r>
        <w:rPr>
          <w:color w:val="auto"/>
          <w:highlight w:val="none"/>
        </w:rPr>
        <w:instrText xml:space="preserve"> PAGEREF _Toc32004 \h </w:instrText>
      </w:r>
      <w:r>
        <w:rPr>
          <w:color w:val="auto"/>
          <w:highlight w:val="none"/>
        </w:rPr>
        <w:fldChar w:fldCharType="separate"/>
      </w:r>
      <w:r>
        <w:rPr>
          <w:color w:val="auto"/>
          <w:highlight w:val="none"/>
        </w:rPr>
        <w:t xml:space="preserve">3</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736"/>
        <w:tabs>
          <w:tab w:val="right" w:pos="8306"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"_Toc18592" </w:instrText>
      </w:r>
      <w:r>
        <w:rPr>
          <w:color w:val="auto"/>
          <w:highlight w:val="none"/>
        </w:rPr>
        <w:fldChar w:fldCharType="separate"/>
      </w:r>
      <w:r>
        <w:rPr>
          <w:rFonts w:ascii="仿宋" w:hAnsi="仿宋" w:eastAsia="仿宋" w:cs="仿宋"/>
          <w:color w:val="auto"/>
          <w:szCs w:val="40"/>
          <w:highlight w:val="none"/>
        </w:rPr>
        <w:t xml:space="preserve">第六章 </w:t>
      </w:r>
      <w:r>
        <w:rPr>
          <w:rFonts w:hint="eastAsia" w:ascii="仿宋" w:hAnsi="仿宋" w:eastAsia="仿宋" w:cs="仿宋"/>
          <w:color w:val="auto"/>
          <w:szCs w:val="40"/>
          <w:highlight w:val="none"/>
        </w:rPr>
        <w:t xml:space="preserve">投标文件格式</w:t>
      </w:r>
      <w:r>
        <w:rPr>
          <w:color w:val="auto"/>
          <w:highlight w:val="none"/>
        </w:rPr>
        <w:tab/>
      </w:r>
      <w:r>
        <w:rPr>
          <w:rFonts w:hint="eastAsia"/>
          <w:color w:val="auto"/>
          <w:highlight w:val="none"/>
          <w:lang w:val="en-US" w:eastAsia="zh-CN"/>
        </w:rPr>
        <w:t xml:space="preserve">5</w:t>
      </w:r>
      <w:r>
        <w:rPr>
          <w:rFonts w:hint="eastAsia"/>
          <w:color w:val="auto"/>
          <w:highlight w:val="none"/>
          <w:lang w:val="en-US"/>
        </w:rPr>
        <w:fldChar w:fldCharType="end"/>
      </w:r>
      <w:r>
        <w:rPr>
          <w:rFonts w:hint="eastAsia"/>
          <w:color w:val="auto"/>
          <w:highlight w:val="none"/>
          <w:lang w:val="en-US" w:eastAsia="zh-CN"/>
        </w:rPr>
        <w:t xml:space="preserve">5</w:t>
      </w:r>
      <w:r/>
    </w:p>
    <w:p>
      <w:pPr>
        <w:spacing w:line="440" w:lineRule="exact"/>
        <w:rPr>
          <w:rFonts w:ascii="仿宋" w:hAnsi="仿宋" w:eastAsia="仿宋" w:cs="仿宋"/>
          <w:color w:val="auto"/>
          <w:sz w:val="28"/>
          <w:szCs w:val="28"/>
          <w:highlight w:val="none"/>
        </w:rPr>
      </w:pPr>
      <w:r>
        <w:rPr>
          <w:rFonts w:hint="eastAsia" w:ascii="仿宋" w:hAnsi="仿宋" w:eastAsia="仿宋" w:cs="仿宋"/>
          <w:color w:val="auto"/>
          <w:szCs w:val="28"/>
          <w:highlight w:val="none"/>
        </w:rPr>
        <w:fldChar w:fldCharType="end"/>
      </w:r>
      <w:r/>
    </w:p>
    <w:p>
      <w:pPr>
        <w:widowControl/>
        <w:rPr>
          <w:rFonts w:ascii="仿宋" w:hAnsi="仿宋" w:eastAsia="仿宋" w:cs="仿宋"/>
          <w:b/>
          <w:color w:val="auto"/>
          <w:sz w:val="28"/>
          <w:szCs w:val="28"/>
          <w:highlight w:val="none"/>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cs="仿宋"/>
          <w:b/>
          <w:color w:val="auto"/>
          <w:sz w:val="28"/>
          <w:szCs w:val="28"/>
          <w:highlight w:val="none"/>
        </w:rPr>
      </w:r>
      <w:r/>
    </w:p>
    <w:p>
      <w:pPr>
        <w:pStyle w:val="712"/>
        <w:numPr>
          <w:ilvl w:val="0"/>
          <w:numId w:val="1"/>
        </w:numPr>
        <w:jc w:val="center"/>
        <w:spacing w:before="0" w:after="0" w:line="360" w:lineRule="auto"/>
        <w:rPr>
          <w:rFonts w:ascii="仿宋" w:hAnsi="仿宋" w:eastAsia="仿宋" w:cs="仿宋"/>
          <w:color w:val="auto"/>
          <w:highlight w:val="none"/>
        </w:rPr>
      </w:pPr>
      <w:r/>
      <w:bookmarkStart w:id="0" w:name="_Toc8593"/>
      <w:r>
        <w:rPr>
          <w:rFonts w:hint="eastAsia" w:ascii="仿宋" w:hAnsi="仿宋" w:eastAsia="仿宋" w:cs="仿宋"/>
          <w:color w:val="auto"/>
          <w:highlight w:val="none"/>
        </w:rPr>
        <w:t xml:space="preserve">招标公告</w:t>
      </w:r>
      <w:bookmarkEnd w:id="0"/>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137"/>
        </w:trPr>
        <w:tc>
          <w:tcPr>
            <w:tcBorders>
              <w:top w:val="single" w:color="auto" w:sz="4" w:space="0"/>
              <w:left w:val="single" w:color="auto" w:sz="4" w:space="0"/>
              <w:bottom w:val="single" w:color="auto" w:sz="4" w:space="0"/>
              <w:right w:val="single" w:color="auto" w:sz="4" w:space="0"/>
            </w:tcBorders>
            <w:tcW w:w="8522" w:type="dxa"/>
            <w:textDirection w:val="lrTb"/>
            <w:noWrap w:val="false"/>
          </w:tcPr>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项目概况</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扬州市妇幼保健院护理服务项目</w:t>
            </w:r>
            <w:r>
              <w:rPr>
                <w:rFonts w:hint="eastAsia" w:ascii="仿宋" w:hAnsi="仿宋" w:eastAsia="仿宋" w:cs="仿宋"/>
                <w:color w:val="auto"/>
                <w:sz w:val="24"/>
                <w:szCs w:val="24"/>
                <w:highlight w:val="none"/>
                <w:lang w:val="en-US" w:bidi="ar-SA"/>
              </w:rPr>
              <w:t xml:space="preserve">的潜在投标人应在江苏政府采购网、扬州市政府采购网上获取招标文件，并于</w:t>
            </w:r>
            <w:r>
              <w:rPr>
                <w:rFonts w:hint="eastAsia" w:ascii="仿宋" w:hAnsi="仿宋" w:eastAsia="仿宋" w:cs="仿宋"/>
                <w:color w:val="auto"/>
                <w:sz w:val="24"/>
                <w:szCs w:val="24"/>
                <w:highlight w:val="none"/>
                <w:lang w:val="en-US" w:eastAsia="zh-CN" w:bidi="ar-SA"/>
              </w:rPr>
              <w:t xml:space="preserve">2026年6月23日9时30分</w:t>
            </w:r>
            <w:r>
              <w:rPr>
                <w:rFonts w:hint="eastAsia" w:ascii="仿宋" w:hAnsi="仿宋" w:eastAsia="仿宋" w:cs="仿宋"/>
                <w:color w:val="auto"/>
                <w:sz w:val="24"/>
                <w:szCs w:val="24"/>
                <w:highlight w:val="none"/>
                <w:lang w:val="en-US" w:bidi="ar-SA"/>
              </w:rPr>
              <w:t xml:space="preserve">（北京时间）前递交投标文件。</w:t>
            </w:r>
            <w:r/>
          </w:p>
        </w:tc>
      </w:tr>
    </w:tbl>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一、项目基本情况  </w:t>
      </w:r>
      <w:r/>
    </w:p>
    <w:p>
      <w:pPr>
        <w:ind w:firstLine="2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项目名称：</w:t>
      </w:r>
      <w:r>
        <w:rPr>
          <w:rFonts w:hint="eastAsia" w:ascii="宋体" w:hAnsi="宋体" w:cs="宋体"/>
          <w:color w:val="auto"/>
          <w:szCs w:val="21"/>
          <w:highlight w:val="none"/>
          <w:lang w:val="en-US" w:eastAsia="zh-CN"/>
        </w:rPr>
        <w:t xml:space="preserve">扬州市妇幼保健院</w:t>
      </w:r>
      <w:r>
        <w:rPr>
          <w:rFonts w:hint="eastAsia" w:cs="宋体"/>
          <w:color w:val="auto"/>
          <w:szCs w:val="21"/>
          <w:highlight w:val="none"/>
          <w:lang w:val="en-US" w:eastAsia="zh-CN"/>
        </w:rPr>
        <w:t xml:space="preserve">护理服务项目</w:t>
      </w:r>
      <w:r/>
    </w:p>
    <w:p>
      <w:pPr>
        <w:ind w:firstLine="220"/>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rPr>
        <w:t xml:space="preserve">项目编号</w:t>
      </w:r>
      <w:r>
        <w:rPr>
          <w:rFonts w:hint="eastAsia" w:cs="宋体"/>
          <w:color w:val="auto"/>
          <w:szCs w:val="21"/>
          <w:highlight w:val="none"/>
          <w:lang w:val="en-US" w:eastAsia="zh-CN"/>
        </w:rPr>
        <w:t xml:space="preserve">：JSZC-321000-JSHY-G2026-0105</w:t>
      </w:r>
      <w:r/>
    </w:p>
    <w:p>
      <w:pPr>
        <w:ind w:firstLine="2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rPr>
        <w:t xml:space="preserve">代理机构编号：</w:t>
      </w:r>
      <w:r>
        <w:rPr>
          <w:rFonts w:hint="eastAsia" w:cs="宋体"/>
          <w:color w:val="auto"/>
          <w:szCs w:val="21"/>
          <w:highlight w:val="none"/>
          <w:lang w:val="en-US" w:eastAsia="zh-CN"/>
        </w:rPr>
        <w:t xml:space="preserve">1009-2641HOLLY59F</w:t>
      </w:r>
      <w:r/>
    </w:p>
    <w:p>
      <w:pPr>
        <w:ind w:firstLine="2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cs="宋体"/>
          <w:color w:val="auto"/>
          <w:szCs w:val="21"/>
          <w:highlight w:val="none"/>
          <w:lang w:val="en-US" w:eastAsia="zh-CN"/>
        </w:rPr>
        <w:t xml:space="preserve">1200</w:t>
      </w:r>
      <w:r>
        <w:rPr>
          <w:rFonts w:hint="eastAsia" w:ascii="宋体" w:hAnsi="宋体" w:cs="宋体"/>
          <w:color w:val="auto"/>
          <w:szCs w:val="21"/>
          <w:highlight w:val="none"/>
        </w:rPr>
        <w:t xml:space="preserve">万元</w:t>
      </w:r>
      <w:r/>
    </w:p>
    <w:p>
      <w:pPr>
        <w:ind w:firstLine="2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最高限</w:t>
      </w:r>
      <w:r>
        <w:rPr>
          <w:rFonts w:hint="eastAsia" w:ascii="宋体" w:hAnsi="宋体" w:cs="宋体"/>
          <w:color w:val="auto"/>
          <w:szCs w:val="21"/>
          <w:highlight w:val="none"/>
          <w:lang w:eastAsia="zh-CN"/>
        </w:rPr>
        <w:t xml:space="preserve">价：</w:t>
      </w:r>
      <w:r>
        <w:rPr>
          <w:rFonts w:hint="eastAsia" w:ascii="宋体" w:hAnsi="宋体" w:cs="宋体"/>
          <w:color w:val="auto"/>
          <w:szCs w:val="21"/>
          <w:highlight w:val="none"/>
          <w:lang w:val="en-US" w:eastAsia="zh-CN"/>
        </w:rPr>
        <w:t xml:space="preserve">最高限价</w:t>
      </w:r>
      <w:r>
        <w:rPr>
          <w:rFonts w:hint="eastAsia" w:cs="宋体"/>
          <w:color w:val="auto"/>
          <w:szCs w:val="21"/>
          <w:highlight w:val="none"/>
          <w:lang w:val="en-US" w:eastAsia="zh-CN"/>
        </w:rPr>
        <w:t xml:space="preserve">1200</w:t>
      </w:r>
      <w:r>
        <w:rPr>
          <w:rFonts w:hint="eastAsia" w:ascii="宋体" w:hAnsi="宋体" w:cs="宋体"/>
          <w:color w:val="auto"/>
          <w:szCs w:val="21"/>
          <w:highlight w:val="none"/>
          <w:lang w:val="en-US" w:eastAsia="zh-CN"/>
        </w:rPr>
        <w:t xml:space="preserve">万元（</w:t>
      </w:r>
      <w:r>
        <w:rPr>
          <w:rFonts w:hint="eastAsia" w:cs="宋体"/>
          <w:color w:val="auto"/>
          <w:szCs w:val="21"/>
          <w:highlight w:val="none"/>
          <w:lang w:val="en-US" w:eastAsia="zh-CN"/>
        </w:rPr>
        <w:t xml:space="preserve">400</w:t>
      </w:r>
      <w:r>
        <w:rPr>
          <w:rFonts w:hint="eastAsia" w:ascii="宋体" w:hAnsi="宋体" w:cs="宋体"/>
          <w:color w:val="auto"/>
          <w:szCs w:val="21"/>
          <w:highlight w:val="none"/>
          <w:lang w:val="zh-TW" w:eastAsia="zh-TW"/>
        </w:rPr>
        <w:t xml:space="preserve">万元/年</w:t>
      </w:r>
      <w:r>
        <w:rPr>
          <w:rFonts w:hint="eastAsia" w:ascii="宋体" w:hAnsi="宋体" w:cs="宋体"/>
          <w:color w:val="auto"/>
          <w:szCs w:val="21"/>
          <w:highlight w:val="none"/>
          <w:lang w:val="en-US" w:eastAsia="zh-CN"/>
        </w:rPr>
        <w:t xml:space="preserve">*</w:t>
      </w:r>
      <w:r>
        <w:rPr>
          <w:rFonts w:hint="eastAsia"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年）</w:t>
      </w:r>
      <w:r>
        <w:rPr>
          <w:rFonts w:hint="eastAsia" w:ascii="宋体" w:hAnsi="宋体" w:cs="宋体"/>
          <w:color w:val="auto"/>
          <w:szCs w:val="21"/>
          <w:highlight w:val="none"/>
          <w:lang w:val="zh-TW" w:eastAsia="zh-CN"/>
        </w:rPr>
        <w:t xml:space="preserve">。</w:t>
      </w:r>
      <w:r/>
    </w:p>
    <w:p>
      <w:pPr>
        <w:ind w:firstLine="220"/>
        <w:spacing w:line="440" w:lineRule="exact"/>
        <w:rPr>
          <w:rFonts w:hint="eastAsia" w:ascii="宋体" w:hAnsi="宋体" w:cs="宋体"/>
          <w:color w:val="auto"/>
          <w:szCs w:val="21"/>
          <w:highlight w:val="none"/>
          <w:lang w:val="en-US"/>
        </w:rPr>
      </w:pPr>
      <w:r>
        <w:rPr>
          <w:rFonts w:hint="eastAsia" w:ascii="宋体" w:hAnsi="宋体" w:cs="宋体"/>
          <w:color w:val="auto"/>
          <w:szCs w:val="21"/>
          <w:highlight w:val="none"/>
        </w:rPr>
        <w:t xml:space="preserve">采购需求：详见</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w:t>
      </w:r>
      <w:r/>
    </w:p>
    <w:p>
      <w:pPr>
        <w:ind w:firstLine="220"/>
        <w:spacing w:line="440" w:lineRule="exact"/>
        <w:rPr>
          <w:rFonts w:ascii="仿宋" w:hAnsi="仿宋" w:eastAsia="仿宋" w:cs="仿宋"/>
          <w:color w:val="auto"/>
          <w:sz w:val="24"/>
          <w:szCs w:val="24"/>
          <w:highlight w:val="none"/>
          <w:lang w:val="en-US" w:bidi="ar-SA"/>
        </w:rPr>
      </w:pPr>
      <w:r>
        <w:rPr>
          <w:rFonts w:hint="eastAsia" w:ascii="宋体" w:hAnsi="宋体" w:cs="宋体"/>
          <w:color w:val="auto"/>
          <w:szCs w:val="21"/>
          <w:highlight w:val="none"/>
          <w:lang w:val="en-US"/>
        </w:rPr>
        <w:t xml:space="preserve">合同履行期限：</w:t>
      </w:r>
      <w:r>
        <w:rPr>
          <w:rFonts w:hint="eastAsia" w:cs="宋体"/>
          <w:color w:val="auto"/>
          <w:szCs w:val="21"/>
          <w:highlight w:val="none"/>
          <w:lang w:val="en-US" w:eastAsia="zh-CN"/>
        </w:rPr>
        <w:t xml:space="preserve">三</w:t>
      </w:r>
      <w:r>
        <w:rPr>
          <w:rFonts w:hint="eastAsia" w:ascii="宋体" w:hAnsi="宋体" w:cs="宋体"/>
          <w:color w:val="auto"/>
          <w:szCs w:val="21"/>
          <w:highlight w:val="none"/>
        </w:rPr>
        <w:t xml:space="preserve">年，自合同签订之日起计算。合同一年一签，合同期满考核合格后再行续签下一年合同</w:t>
      </w:r>
      <w:r>
        <w:rPr>
          <w:rFonts w:hint="eastAsia" w:ascii="仿宋" w:hAnsi="仿宋" w:eastAsia="仿宋" w:cs="仿宋"/>
          <w:color w:val="auto"/>
          <w:sz w:val="24"/>
          <w:szCs w:val="24"/>
          <w:highlight w:val="none"/>
          <w:lang w:val="en-US" w:bidi="ar-SA"/>
        </w:rPr>
        <w:t xml:space="preserve">。</w:t>
      </w:r>
      <w:r/>
    </w:p>
    <w:p>
      <w:pPr>
        <w:ind w:firstLine="24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本项目不接受联合体投标。</w:t>
      </w:r>
      <w:r/>
    </w:p>
    <w:p>
      <w:pPr>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投标人的资格要求：</w:t>
      </w:r>
      <w:r/>
    </w:p>
    <w:p>
      <w:pPr>
        <w:pStyle w:val="724"/>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本项目采用资格后审，应提供以下材料</w:t>
      </w:r>
      <w:r/>
    </w:p>
    <w:p>
      <w:pPr>
        <w:ind w:firstLine="24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1.满足《中华人民共和国政府采购法》第二十二条规定：</w:t>
      </w:r>
      <w:r/>
    </w:p>
    <w:p>
      <w:pPr>
        <w:ind w:firstLine="480"/>
        <w:spacing w:line="440" w:lineRule="exact"/>
        <w:rPr>
          <w:rFonts w:ascii="仿宋" w:hAnsi="仿宋" w:eastAsia="仿宋" w:cs="仿宋"/>
          <w:b/>
          <w:bCs/>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1）具有独立承担民事责任的能力</w:t>
      </w:r>
      <w:r>
        <w:rPr>
          <w:rFonts w:hint="eastAsia" w:ascii="仿宋" w:hAnsi="仿宋" w:eastAsia="仿宋" w:cs="仿宋"/>
          <w:b/>
          <w:bCs/>
          <w:i/>
          <w:iCs/>
          <w:color w:val="auto"/>
          <w:sz w:val="24"/>
          <w:szCs w:val="24"/>
          <w:highlight w:val="none"/>
          <w:u w:val="single"/>
          <w:lang w:val="en-US" w:bidi="ar-SA"/>
        </w:rPr>
        <w:t xml:space="preserve">（提供法人或者其他组织的营业执照；供应商为自然人的，提供其身份证）；</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2）具有良好的商业信誉和健全的财务会计制度</w:t>
      </w:r>
      <w:r>
        <w:rPr>
          <w:rFonts w:hint="eastAsia" w:ascii="仿宋" w:hAnsi="仿宋" w:eastAsia="仿宋" w:cs="仿宋"/>
          <w:b/>
          <w:bCs/>
          <w:i/>
          <w:iCs/>
          <w:color w:val="auto"/>
          <w:sz w:val="24"/>
          <w:szCs w:val="24"/>
          <w:highlight w:val="none"/>
          <w:u w:val="single"/>
          <w:lang w:val="en-US" w:bidi="ar-SA"/>
        </w:rPr>
        <w:t xml:space="preserve">（提供</w:t>
      </w:r>
      <w:r>
        <w:rPr>
          <w:rFonts w:hint="eastAsia" w:ascii="仿宋" w:hAnsi="仿宋" w:eastAsia="仿宋" w:cs="仿宋"/>
          <w:b/>
          <w:bCs/>
          <w:i/>
          <w:iCs/>
          <w:color w:val="auto"/>
          <w:sz w:val="24"/>
          <w:szCs w:val="24"/>
          <w:highlight w:val="none"/>
          <w:u w:val="single"/>
          <w:lang w:val="en-US" w:eastAsia="zh-CN" w:bidi="ar-SA"/>
        </w:rPr>
        <w:t xml:space="preserve">2</w:t>
      </w:r>
      <w:r>
        <w:rPr>
          <w:rFonts w:hint="eastAsia" w:ascii="仿宋" w:hAnsi="仿宋" w:eastAsia="仿宋" w:cs="仿宋"/>
          <w:b/>
          <w:bCs/>
          <w:i/>
          <w:iCs/>
          <w:color w:val="auto"/>
          <w:sz w:val="24"/>
          <w:szCs w:val="24"/>
          <w:highlight w:val="none"/>
          <w:u w:val="single"/>
          <w:lang w:val="en-US" w:bidi="ar-SA"/>
        </w:rPr>
        <w:t xml:space="preserve">02</w:t>
      </w:r>
      <w:r>
        <w:rPr>
          <w:rFonts w:hint="eastAsia" w:ascii="仿宋" w:hAnsi="仿宋" w:eastAsia="仿宋" w:cs="仿宋"/>
          <w:b/>
          <w:bCs/>
          <w:i/>
          <w:iCs/>
          <w:color w:val="auto"/>
          <w:sz w:val="24"/>
          <w:szCs w:val="24"/>
          <w:highlight w:val="none"/>
          <w:u w:val="single"/>
          <w:lang w:val="en-US" w:eastAsia="zh-CN" w:bidi="ar-SA"/>
        </w:rPr>
        <w:t xml:space="preserve">4</w:t>
      </w:r>
      <w:r>
        <w:rPr>
          <w:rFonts w:hint="eastAsia" w:ascii="仿宋" w:hAnsi="仿宋" w:eastAsia="仿宋" w:cs="仿宋"/>
          <w:b/>
          <w:bCs/>
          <w:i/>
          <w:iCs/>
          <w:color w:val="auto"/>
          <w:sz w:val="24"/>
          <w:szCs w:val="24"/>
          <w:highlight w:val="none"/>
          <w:u w:val="single"/>
          <w:lang w:val="en-US" w:bidi="ar-SA"/>
        </w:rPr>
        <w:t xml:space="preserve">年度</w:t>
      </w:r>
      <w:r>
        <w:rPr>
          <w:rFonts w:hint="eastAsia" w:ascii="仿宋" w:hAnsi="仿宋" w:eastAsia="仿宋" w:cs="仿宋"/>
          <w:b/>
          <w:bCs/>
          <w:i/>
          <w:iCs/>
          <w:color w:val="auto"/>
          <w:sz w:val="24"/>
          <w:szCs w:val="24"/>
          <w:highlight w:val="none"/>
          <w:u w:val="single"/>
          <w:lang w:val="en-US" w:eastAsia="zh-CN" w:bidi="ar-SA"/>
        </w:rPr>
        <w:t xml:space="preserve">或2025年度</w:t>
      </w:r>
      <w:r>
        <w:rPr>
          <w:rFonts w:hint="eastAsia" w:ascii="仿宋" w:hAnsi="仿宋" w:eastAsia="仿宋" w:cs="仿宋"/>
          <w:b/>
          <w:bCs/>
          <w:i/>
          <w:iCs/>
          <w:color w:val="auto"/>
          <w:sz w:val="24"/>
          <w:szCs w:val="24"/>
          <w:highlight w:val="none"/>
          <w:u w:val="single"/>
          <w:lang w:val="en-US" w:bidi="ar-SA"/>
        </w:rPr>
        <w:t xml:space="preserve">财务报告，至少包含资产负债表、利润表，或投标截止时间前六个月内银行出具的资信证明，或财政部门认可的政府采购专业担保机构出具的投标担保函；成立不满一年的无需提供）；</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（3）具有履行合同所必需的设备和专业技术能力</w:t>
      </w:r>
      <w:r>
        <w:rPr>
          <w:rFonts w:hint="eastAsia" w:ascii="仿宋" w:hAnsi="仿宋" w:eastAsia="仿宋" w:cs="仿宋"/>
          <w:b/>
          <w:bCs/>
          <w:i/>
          <w:iCs/>
          <w:color w:val="auto"/>
          <w:sz w:val="24"/>
          <w:szCs w:val="24"/>
          <w:highlight w:val="none"/>
          <w:u w:val="single"/>
          <w:lang w:val="en-US" w:bidi="ar-SA"/>
        </w:rPr>
        <w:t xml:space="preserve">（供应商根据履行采购项目合同需要，提供履行合同所必需的设备和专业技术能力的声明函或证明材料）；</w:t>
      </w:r>
      <w:r/>
    </w:p>
    <w:p>
      <w:pPr>
        <w:ind w:firstLine="480"/>
        <w:spacing w:line="440" w:lineRule="exact"/>
        <w:rPr>
          <w:rFonts w:ascii="仿宋" w:hAnsi="仿宋" w:eastAsia="仿宋" w:cs="仿宋"/>
          <w:b/>
          <w:bCs/>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（4）有依法缴纳税收和社会保障资金的良好记录</w:t>
      </w:r>
      <w:r>
        <w:rPr>
          <w:rFonts w:hint="eastAsia" w:ascii="仿宋" w:hAnsi="仿宋" w:eastAsia="仿宋" w:cs="仿宋"/>
          <w:b/>
          <w:bCs/>
          <w:i/>
          <w:iCs/>
          <w:color w:val="auto"/>
          <w:sz w:val="24"/>
          <w:szCs w:val="24"/>
          <w:highlight w:val="none"/>
          <w:u w:val="single"/>
          <w:lang w:val="en-US" w:bidi="ar-SA"/>
        </w:rPr>
        <w:t xml:space="preserve">（提供20</w:t>
      </w:r>
      <w:r>
        <w:rPr>
          <w:rFonts w:hint="eastAsia" w:ascii="仿宋" w:hAnsi="仿宋" w:eastAsia="仿宋" w:cs="仿宋"/>
          <w:b/>
          <w:bCs/>
          <w:i/>
          <w:iCs/>
          <w:color w:val="auto"/>
          <w:sz w:val="24"/>
          <w:szCs w:val="24"/>
          <w:highlight w:val="none"/>
          <w:u w:val="single"/>
          <w:lang w:val="en-US" w:eastAsia="zh-CN" w:bidi="ar-SA"/>
        </w:rPr>
        <w:t xml:space="preserve">25</w:t>
      </w:r>
      <w:r>
        <w:rPr>
          <w:rFonts w:hint="eastAsia" w:ascii="仿宋" w:hAnsi="仿宋" w:eastAsia="仿宋" w:cs="仿宋"/>
          <w:b/>
          <w:bCs/>
          <w:i/>
          <w:iCs/>
          <w:color w:val="auto"/>
          <w:sz w:val="24"/>
          <w:szCs w:val="24"/>
          <w:highlight w:val="none"/>
          <w:u w:val="single"/>
          <w:lang w:val="en-US" w:bidi="ar-SA"/>
        </w:rPr>
        <w:t xml:space="preserve">年</w:t>
      </w:r>
      <w:r>
        <w:rPr>
          <w:rFonts w:hint="eastAsia" w:ascii="仿宋" w:hAnsi="仿宋" w:eastAsia="仿宋" w:cs="仿宋"/>
          <w:b/>
          <w:bCs/>
          <w:i/>
          <w:iCs/>
          <w:color w:val="auto"/>
          <w:sz w:val="24"/>
          <w:szCs w:val="24"/>
          <w:highlight w:val="none"/>
          <w:u w:val="single"/>
          <w:lang w:val="en-US" w:eastAsia="zh-CN" w:bidi="ar-SA"/>
        </w:rPr>
        <w:t xml:space="preserve">11</w:t>
      </w:r>
      <w:r>
        <w:rPr>
          <w:rFonts w:hint="eastAsia" w:ascii="仿宋" w:hAnsi="仿宋" w:eastAsia="仿宋" w:cs="仿宋"/>
          <w:b/>
          <w:bCs/>
          <w:i/>
          <w:iCs/>
          <w:color w:val="auto"/>
          <w:sz w:val="24"/>
          <w:szCs w:val="24"/>
          <w:highlight w:val="none"/>
          <w:u w:val="single"/>
          <w:lang w:val="en-US" w:bidi="ar-SA"/>
        </w:rPr>
        <w:t xml:space="preserve">月至今）中任一月份的依法缴纳税收和社会保险费的相关材料（提供相关主管部门证明或银行代扣证明的复印件，根据国家相关政策免缴或迟缴的需提供相关证明材料）；</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（5）参加政府采购活动前三年内，在经营活动中没有重大违法记录</w:t>
      </w:r>
      <w:r>
        <w:rPr>
          <w:rFonts w:hint="eastAsia" w:ascii="仿宋" w:hAnsi="仿宋" w:eastAsia="仿宋" w:cs="仿宋"/>
          <w:b/>
          <w:bCs/>
          <w:i/>
          <w:iCs/>
          <w:color w:val="auto"/>
          <w:sz w:val="24"/>
          <w:szCs w:val="24"/>
          <w:highlight w:val="none"/>
          <w:u w:val="single"/>
          <w:lang w:val="en-US" w:bidi="ar-SA"/>
        </w:rPr>
        <w:t xml:space="preserve">（提供承诺书）</w:t>
      </w:r>
      <w:r>
        <w:rPr>
          <w:rFonts w:hint="eastAsia" w:ascii="仿宋" w:hAnsi="仿宋" w:eastAsia="仿宋" w:cs="仿宋"/>
          <w:i/>
          <w:iCs/>
          <w:color w:val="auto"/>
          <w:sz w:val="24"/>
          <w:szCs w:val="24"/>
          <w:highlight w:val="none"/>
          <w:u w:val="single"/>
          <w:lang w:val="en-US" w:bidi="ar-SA"/>
        </w:rPr>
        <w:t xml:space="preserve">；</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（6）法律、行政法规规定的其他条件：无</w:t>
      </w:r>
      <w:r/>
    </w:p>
    <w:p>
      <w:pPr>
        <w:ind w:firstLine="24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2.本项目的特定资格要求：</w:t>
      </w:r>
      <w:r/>
    </w:p>
    <w:p>
      <w:pPr>
        <w:pStyle w:val="724"/>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 xml:space="preserve">(1)</w:t>
      </w:r>
      <w:r>
        <w:rPr>
          <w:rFonts w:hint="eastAsia" w:ascii="仿宋" w:hAnsi="仿宋" w:eastAsia="仿宋" w:cs="仿宋"/>
          <w:i/>
          <w:iCs/>
          <w:color w:val="auto"/>
          <w:sz w:val="24"/>
          <w:szCs w:val="24"/>
          <w:highlight w:val="none"/>
          <w:u w:val="single"/>
          <w:lang w:val="en-US" w:bidi="ar-SA"/>
        </w:rPr>
        <w:t xml:space="preserve">拒绝被“信用中国”（www.creditchina.gov.cn）、“中国政府采购网”(www.ccgp.gov.cn）、“信用江苏（http://credit.jiangsu.gov.cn/）列入失信被执行人、重大税收违法案件当事人、政府采购严重失信行为的投标人参加投标。</w:t>
      </w:r>
      <w:r/>
    </w:p>
    <w:p>
      <w:pPr>
        <w:ind w:firstLine="24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3.落实政府采购政策满足的资格要求： </w:t>
      </w:r>
      <w:r/>
    </w:p>
    <w:p>
      <w:pPr>
        <w:ind w:firstLine="660"/>
        <w:spacing w:line="440" w:lineRule="exact"/>
        <w:rPr>
          <w:rFonts w:ascii="仿宋" w:hAnsi="仿宋" w:eastAsia="仿宋" w:cs="仿宋"/>
          <w:color w:val="auto"/>
          <w:sz w:val="24"/>
          <w:szCs w:val="24"/>
          <w:highlight w:val="none"/>
          <w:lang w:val="en-US" w:bidi="ar-SA"/>
        </w:rPr>
      </w:pPr>
      <w:r>
        <w:rPr>
          <w:rFonts w:hint="eastAsia"/>
          <w:color w:val="auto"/>
          <w:highlight w:val="none"/>
        </w:rPr>
        <w:t xml:space="preserve">本项目属于</w:t>
      </w:r>
      <w:r>
        <w:rPr>
          <w:rFonts w:hint="eastAsia"/>
          <w:b/>
          <w:bCs/>
          <w:color w:val="auto"/>
          <w:highlight w:val="none"/>
        </w:rPr>
        <w:t xml:space="preserve">服务类</w:t>
      </w:r>
      <w:r>
        <w:rPr>
          <w:rFonts w:hint="eastAsia"/>
          <w:color w:val="auto"/>
          <w:highlight w:val="none"/>
        </w:rPr>
        <w:t xml:space="preserve">采购。</w:t>
      </w:r>
      <w:r>
        <w:rPr>
          <w:rFonts w:hint="eastAsia" w:ascii="仿宋" w:hAnsi="仿宋" w:eastAsia="仿宋" w:cs="仿宋"/>
          <w:color w:val="auto"/>
          <w:sz w:val="24"/>
          <w:szCs w:val="24"/>
          <w:highlight w:val="none"/>
          <w:lang w:val="en-US" w:bidi="ar-SA"/>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三、获取招标文件</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1.时间：自招标文件公告发布之日起5个工作日。5个工作日后仍可下载招标文件，但不作为供应商权益受到损害的证明材料和依据。</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2.获取方式：本项目采用网上注册登记方式。</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3.潜在供应商访问政府采购管理交易系统（苏采云）的网络地址和方法：</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（2）“CA数字证书”的获取：供应商需办理CA锁，“苏采云”系统目前仅支持“苏采云”系统下的政务CA，省内各地区办理的“苏采云”系统下的政务CA全省通用。</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（3）“CA数字证书”的办理材料以及供应商操作手册详见：</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http://zfcg.yangzhou.gov.cn/zfcg/xzzx/202309/4d7de1f7865f4a2894fc22bc452f94d8.shtml。</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（4）潜在供应商访问“苏采云”系统的网络地址和方法：“苏采云”系统的网址：http://jszfcg.jsczt.cn/。</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（5）采购文件（后缀名为“.kedt”）、供应商操作手册及政府采购客户端工具也可通过“苏采云”系统--已报名项目--报名详情页面内相应链接进行下载。</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（6）招标代理机构（采购代理机构）将数据电文形式的采购文件加载至“苏采云”系统，供潜在供应商下载或者查阅。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（7）苏采云系统使用谷歌浏览器参与不见面开标。</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四、提交投标文件截止时间、开标时间和地点</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2026年6月23日9时30分</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地点：“苏采云”系统（网址：http://jszfcg.jsczt.cn/）“开标大厅”。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五、公告期限</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自本公告发布之日起5个工作日。</w:t>
      </w:r>
      <w:r/>
    </w:p>
    <w:p>
      <w:pPr>
        <w:numPr>
          <w:ilvl w:val="0"/>
          <w:numId w:val="3"/>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其他补充事宜：无</w:t>
      </w:r>
      <w:r/>
    </w:p>
    <w:p>
      <w:pPr>
        <w:numPr>
          <w:ilvl w:val="0"/>
          <w:numId w:val="3"/>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对本次招标提出询问，请按以下方式联系。</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1.采购人信息</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名称：</w:t>
      </w:r>
      <w:r>
        <w:rPr>
          <w:rFonts w:hint="eastAsia" w:ascii="仿宋" w:hAnsi="仿宋" w:eastAsia="仿宋" w:cs="仿宋"/>
          <w:color w:val="auto"/>
          <w:sz w:val="24"/>
          <w:szCs w:val="24"/>
          <w:highlight w:val="none"/>
          <w:lang w:val="en-US" w:eastAsia="zh-CN" w:bidi="ar-SA"/>
        </w:rPr>
        <w:t xml:space="preserve">扬州市妇幼保健院</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地址：</w:t>
      </w:r>
      <w:r>
        <w:rPr>
          <w:rFonts w:hint="eastAsia" w:ascii="仿宋" w:hAnsi="仿宋" w:eastAsia="仿宋" w:cs="仿宋"/>
          <w:color w:val="auto"/>
          <w:sz w:val="24"/>
          <w:szCs w:val="24"/>
          <w:highlight w:val="none"/>
          <w:lang w:val="en-US" w:eastAsia="zh-CN" w:bidi="ar-SA"/>
        </w:rPr>
        <w:t xml:space="preserve">江苏省扬州市京杭北路50号</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联系人：</w:t>
      </w:r>
      <w:r>
        <w:rPr>
          <w:rFonts w:hint="eastAsia" w:ascii="仿宋" w:hAnsi="仿宋" w:eastAsia="仿宋" w:cs="仿宋"/>
          <w:color w:val="auto"/>
          <w:sz w:val="24"/>
          <w:szCs w:val="24"/>
          <w:highlight w:val="none"/>
          <w:lang w:val="en-US" w:eastAsia="zh-CN" w:bidi="ar-SA"/>
        </w:rPr>
        <w:t xml:space="preserve">田老师    </w:t>
      </w:r>
      <w:r>
        <w:rPr>
          <w:rFonts w:hint="eastAsia" w:ascii="仿宋" w:hAnsi="仿宋" w:eastAsia="仿宋" w:cs="仿宋"/>
          <w:color w:val="auto"/>
          <w:sz w:val="24"/>
          <w:szCs w:val="24"/>
          <w:highlight w:val="none"/>
          <w:lang w:val="en-US" w:bidi="ar-SA"/>
        </w:rPr>
        <w:t xml:space="preserve"> 电话：</w:t>
      </w:r>
      <w:r>
        <w:rPr>
          <w:rFonts w:hint="eastAsia" w:ascii="仿宋" w:hAnsi="仿宋" w:eastAsia="仿宋" w:cs="仿宋"/>
          <w:color w:val="auto"/>
          <w:sz w:val="24"/>
          <w:szCs w:val="24"/>
          <w:highlight w:val="none"/>
          <w:lang w:val="en-US" w:eastAsia="zh-CN" w:bidi="ar-SA"/>
        </w:rPr>
        <w:t xml:space="preserve">0514-80828096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2.采购代理机构信息</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地址：南京市中华路50号弘业大厦</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联系方式：025-52278371</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传  真：025-52278761</w:t>
      </w:r>
      <w:r/>
    </w:p>
    <w:p>
      <w:pPr>
        <w:ind w:firstLine="480"/>
        <w:spacing w:line="440" w:lineRule="exact"/>
        <w:rPr>
          <w:rFonts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 xml:space="preserve">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仿宋" w:hAnsi="仿宋" w:eastAsia="仿宋" w:cs="仿宋"/>
          <w:color w:val="auto"/>
          <w:sz w:val="24"/>
          <w:szCs w:val="24"/>
          <w:highlight w:val="none"/>
          <w:u w:val="single"/>
          <w:lang w:val="en-US" w:bidi="ar-SA"/>
        </w:rPr>
        <w:t xml:space="preserve">hollyzbzy@artall.com</w:t>
      </w:r>
      <w:r>
        <w:rPr>
          <w:rFonts w:hint="eastAsia" w:ascii="仿宋" w:hAnsi="仿宋" w:eastAsia="仿宋" w:cs="仿宋"/>
          <w:color w:val="auto"/>
          <w:sz w:val="24"/>
          <w:szCs w:val="24"/>
          <w:highlight w:val="none"/>
          <w:u w:val="single"/>
          <w:lang w:val="en-US" w:bidi="ar-SA"/>
        </w:rPr>
        <w:fldChar w:fldCharType="end"/>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项目联系方式</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项目联系人：宋瞰尘</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电话：025-52278371</w:t>
      </w:r>
      <w:r/>
    </w:p>
    <w:p>
      <w:pPr>
        <w:spacing w:line="44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44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t xml:space="preserve">九、其他</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2.供应商如确定参加投标，可自行下载招标文件及有关资料，按照《操作手册》进行注册，领取CA和办理电子签章，并按《操作手册》要求制作、上传电子投标文件，技术支持联系方式：13813140731。</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3.严格执行政府采购关于支持</w:t>
      </w:r>
      <w:r>
        <w:rPr>
          <w:rFonts w:hint="eastAsia" w:ascii="仿宋" w:hAnsi="仿宋" w:eastAsia="仿宋" w:cs="仿宋"/>
          <w:color w:val="auto"/>
          <w:sz w:val="24"/>
          <w:szCs w:val="24"/>
          <w:highlight w:val="none"/>
          <w:lang w:val="en-US"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4.供应商对于投标产品的包装应按照“财办库〔2020〕123号《关于印发《商品包装政府采购需求标准（试行）》、《快递包装政府采购需求标准（试行）》的通知》”执行。</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w:t>
      </w:r>
      <w:r>
        <w:rPr>
          <w:rFonts w:ascii="仿宋" w:hAnsi="仿宋" w:eastAsia="仿宋" w:cs="仿宋"/>
          <w:color w:val="auto"/>
          <w:sz w:val="24"/>
          <w:szCs w:val="24"/>
          <w:highlight w:val="none"/>
          <w:lang w:val="en-US" w:bidi="ar-SA"/>
        </w:rPr>
        <w:t xml:space="preserve">、本次招标不收取投标保证金。</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w:t>
      </w:r>
      <w:r>
        <w:rPr>
          <w:rFonts w:ascii="仿宋" w:hAnsi="仿宋" w:eastAsia="仿宋" w:cs="仿宋"/>
          <w:color w:val="auto"/>
          <w:sz w:val="24"/>
          <w:szCs w:val="24"/>
          <w:highlight w:val="none"/>
          <w:lang w:val="en-US" w:bidi="ar-SA"/>
        </w:rPr>
        <w:t xml:space="preserve">、有关本次招标的事项若存在变动或修改，敬请及时关注“扬州市政府采购网”、“江苏政府采购网”发布的信息。</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7</w:t>
      </w:r>
      <w:r>
        <w:rPr>
          <w:rFonts w:ascii="仿宋" w:hAnsi="仿宋" w:eastAsia="仿宋" w:cs="仿宋"/>
          <w:color w:val="auto"/>
          <w:sz w:val="24"/>
          <w:szCs w:val="24"/>
          <w:highlight w:val="none"/>
          <w:lang w:val="en-US" w:bidi="ar-SA"/>
        </w:rPr>
        <w:t xml:space="preserve">、</w:t>
      </w:r>
      <w:r>
        <w:rPr>
          <w:rFonts w:ascii="仿宋" w:hAnsi="仿宋" w:eastAsia="仿宋" w:cs="仿宋"/>
          <w:i/>
          <w:iCs/>
          <w:color w:val="auto"/>
          <w:sz w:val="24"/>
          <w:szCs w:val="24"/>
          <w:highlight w:val="none"/>
          <w:u w:val="single"/>
          <w:lang w:val="en-US" w:bidi="ar-SA"/>
        </w:rPr>
        <w:t xml:space="preserve">本项目招标文件中所有斜体下划线部分为实质性条款，如不满足，则为无效投标。</w:t>
      </w:r>
      <w:r/>
    </w:p>
    <w:p>
      <w:pPr>
        <w:jc w:val="right"/>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                        </w:t>
      </w:r>
      <w:r/>
    </w:p>
    <w:p>
      <w:pPr>
        <w:ind w:firstLine="4800"/>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江苏弘业国际技术工程有限公司</w:t>
      </w:r>
      <w:r>
        <w:rPr>
          <w:rFonts w:hint="eastAsia" w:ascii="仿宋" w:hAnsi="仿宋" w:eastAsia="仿宋" w:cs="仿宋"/>
          <w:color w:val="auto"/>
          <w:sz w:val="24"/>
          <w:szCs w:val="24"/>
          <w:highlight w:val="none"/>
          <w:lang w:val="en-US" w:bidi="ar-SA"/>
        </w:rPr>
        <w:br w:type="page" w:clear="all"/>
      </w:r>
      <w:r>
        <w:rPr>
          <w:rFonts w:hint="eastAsia" w:ascii="仿宋" w:hAnsi="仿宋" w:eastAsia="仿宋" w:cs="仿宋"/>
          <w:color w:val="auto"/>
          <w:sz w:val="24"/>
          <w:szCs w:val="24"/>
          <w:highlight w:val="none"/>
          <w:lang w:val="en-US" w:eastAsia="zh-CN" w:bidi="ar-SA"/>
        </w:rPr>
        <w:t xml:space="preserve">  </w:t>
      </w:r>
      <w:r/>
    </w:p>
    <w:p>
      <w:pPr>
        <w:pStyle w:val="712"/>
        <w:numPr>
          <w:ilvl w:val="0"/>
          <w:numId w:val="1"/>
        </w:numPr>
        <w:jc w:val="center"/>
        <w:spacing w:before="0" w:after="0" w:line="360" w:lineRule="auto"/>
        <w:rPr>
          <w:rFonts w:ascii="仿宋" w:hAnsi="仿宋" w:eastAsia="仿宋" w:cs="仿宋"/>
          <w:color w:val="auto"/>
          <w:highlight w:val="none"/>
        </w:rPr>
      </w:pPr>
      <w:r/>
      <w:bookmarkStart w:id="1" w:name="_Toc9541"/>
      <w:r>
        <w:rPr>
          <w:rFonts w:hint="eastAsia" w:ascii="仿宋" w:hAnsi="仿宋" w:eastAsia="仿宋" w:cs="仿宋"/>
          <w:color w:val="auto"/>
          <w:highlight w:val="none"/>
        </w:rPr>
        <w:t xml:space="preserve">投标人须知</w:t>
      </w:r>
      <w:bookmarkEnd w:id="1"/>
      <w:r/>
      <w:r/>
    </w:p>
    <w:p>
      <w:pPr>
        <w:ind w:left="-427" w:right="-475"/>
        <w:jc w:val="center"/>
        <w:spacing w:line="440" w:lineRule="exact"/>
        <w:tabs>
          <w:tab w:val="left" w:pos="10915" w:leader="none"/>
        </w:tabs>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t xml:space="preserve">投标人须知前附表</w:t>
      </w:r>
      <w:r/>
    </w:p>
    <w:tbl>
      <w:tblPr>
        <w:tblStyle w:val="718"/>
        <w:tblpPr w:horzAnchor="margin" w:tblpXSpec="center" w:vertAnchor="text" w:tblpY="353" w:leftFromText="180" w:topFromText="0" w:rightFromText="180" w:bottomFromText="0"/>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948"/>
        <w:gridCol w:w="6393"/>
      </w:tblGrid>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778"/>
              <w:ind w:right="65"/>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条目号</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pStyle w:val="778"/>
              <w:ind w:right="88"/>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条目名称</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8"/>
              <w:ind w:right="-111"/>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编列</w:t>
            </w:r>
            <w:r>
              <w:rPr>
                <w:rFonts w:hint="eastAsia" w:ascii="仿宋" w:hAnsi="仿宋" w:eastAsia="仿宋" w:cs="仿宋"/>
                <w:b/>
                <w:bCs/>
                <w:color w:val="auto"/>
                <w:sz w:val="24"/>
                <w:szCs w:val="24"/>
                <w:highlight w:val="none"/>
                <w:lang w:val="en-US"/>
              </w:rPr>
              <w:t xml:space="preserve">内</w:t>
            </w:r>
            <w:r>
              <w:rPr>
                <w:rFonts w:hint="eastAsia" w:ascii="仿宋" w:hAnsi="仿宋" w:eastAsia="仿宋" w:cs="仿宋"/>
                <w:b/>
                <w:bCs/>
                <w:color w:val="auto"/>
                <w:sz w:val="24"/>
                <w:szCs w:val="24"/>
                <w:highlight w:val="none"/>
              </w:rPr>
              <w:t xml:space="preserve">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w:t>
            </w:r>
            <w:r>
              <w:rPr>
                <w:rFonts w:hint="eastAsia" w:ascii="仿宋" w:hAnsi="仿宋" w:eastAsia="仿宋" w:cs="仿宋"/>
                <w:color w:val="auto"/>
                <w:sz w:val="24"/>
                <w:szCs w:val="24"/>
                <w:highlight w:val="none"/>
                <w:lang w:val="en-US" w:eastAsia="zh-CN" w:bidi="ar-SA"/>
              </w:rPr>
              <w:t xml:space="preserve">扬州市妇幼保健院</w:t>
            </w:r>
            <w:r/>
          </w:p>
          <w:p>
            <w:pP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地址：</w:t>
            </w:r>
            <w:r>
              <w:rPr>
                <w:rFonts w:hint="eastAsia" w:ascii="仿宋" w:hAnsi="仿宋" w:eastAsia="仿宋" w:cs="仿宋"/>
                <w:color w:val="auto"/>
                <w:sz w:val="24"/>
                <w:szCs w:val="24"/>
                <w:highlight w:val="none"/>
                <w:lang w:val="en-US" w:eastAsia="zh-CN" w:bidi="ar-SA"/>
              </w:rPr>
              <w:t xml:space="preserve">江苏省扬州市京杭北路50号</w:t>
            </w:r>
            <w:r/>
          </w:p>
          <w:p>
            <w:pPr>
              <w:spacing w:line="42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联系人：</w:t>
            </w:r>
            <w:r>
              <w:rPr>
                <w:rFonts w:hint="eastAsia" w:ascii="仿宋" w:hAnsi="仿宋" w:eastAsia="仿宋" w:cs="仿宋"/>
                <w:color w:val="auto"/>
                <w:sz w:val="24"/>
                <w:szCs w:val="24"/>
                <w:highlight w:val="none"/>
                <w:lang w:val="en-US" w:eastAsia="zh-CN" w:bidi="ar-SA"/>
              </w:rPr>
              <w:t xml:space="preserve">田老师    </w:t>
            </w:r>
            <w:r>
              <w:rPr>
                <w:rFonts w:hint="eastAsia" w:ascii="仿宋" w:hAnsi="仿宋" w:eastAsia="仿宋" w:cs="仿宋"/>
                <w:color w:val="auto"/>
                <w:sz w:val="24"/>
                <w:szCs w:val="24"/>
                <w:highlight w:val="none"/>
                <w:lang w:val="en-US" w:bidi="ar-SA"/>
              </w:rPr>
              <w:t xml:space="preserve"> 电话：</w:t>
            </w:r>
            <w:r>
              <w:rPr>
                <w:rFonts w:hint="eastAsia" w:ascii="仿宋" w:hAnsi="仿宋" w:eastAsia="仿宋" w:cs="仿宋"/>
                <w:color w:val="auto"/>
                <w:sz w:val="24"/>
                <w:szCs w:val="24"/>
                <w:highlight w:val="none"/>
                <w:lang w:val="en-US" w:eastAsia="zh-CN" w:bidi="ar-SA"/>
              </w:rPr>
              <w:t xml:space="preserve">0514-80828096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采购代理机构</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地址：南京市中华路50号弘业大厦</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联系人：宋瞰尘</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电话：025-52278371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电子邮箱：hollyzbzy@artall.com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项目名称</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扬州市妇幼保健院</w:t>
            </w:r>
            <w:r>
              <w:rPr>
                <w:rFonts w:hint="eastAsia" w:ascii="仿宋" w:hAnsi="仿宋" w:eastAsia="仿宋" w:cs="仿宋"/>
                <w:color w:val="auto"/>
                <w:sz w:val="24"/>
                <w:szCs w:val="24"/>
                <w:highlight w:val="none"/>
                <w:lang w:val="en-US" w:eastAsia="zh-CN" w:bidi="ar-SA"/>
              </w:rPr>
              <w:t xml:space="preserve">护理服务项目</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实施地点</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采购人指定地点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招标规模</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详见采购需求</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招标范围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 xml:space="preserve">扬州市妇幼保健院</w:t>
            </w:r>
            <w:r>
              <w:rPr>
                <w:rFonts w:hint="eastAsia" w:ascii="仿宋" w:hAnsi="仿宋" w:eastAsia="仿宋" w:cs="仿宋"/>
                <w:color w:val="auto"/>
                <w:sz w:val="24"/>
                <w:szCs w:val="24"/>
                <w:highlight w:val="none"/>
                <w:lang w:val="en-US" w:eastAsia="zh-CN" w:bidi="ar-SA"/>
              </w:rPr>
              <w:t xml:space="preserve">护理服务</w:t>
            </w:r>
            <w:r>
              <w:rPr>
                <w:rFonts w:hint="eastAsia" w:ascii="仿宋" w:hAnsi="仿宋" w:eastAsia="仿宋" w:cs="仿宋"/>
                <w:color w:val="auto"/>
                <w:sz w:val="24"/>
                <w:szCs w:val="24"/>
                <w:highlight w:val="none"/>
                <w:lang w:val="en-US" w:bidi="ar-SA"/>
              </w:rPr>
              <w:t xml:space="preserve">，具体内容详见招标文件。</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最高限价</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none"/>
                <w:lang w:val="zh-TW" w:eastAsia="zh-CN" w:bidi="ar-SA"/>
              </w:rPr>
            </w:pPr>
            <w:r>
              <w:rPr>
                <w:rFonts w:hint="eastAsia" w:ascii="仿宋" w:hAnsi="仿宋" w:eastAsia="仿宋" w:cs="仿宋"/>
                <w:color w:val="auto"/>
                <w:sz w:val="24"/>
                <w:szCs w:val="24"/>
                <w:highlight w:val="none"/>
                <w:lang w:val="en-US" w:eastAsia="zh-CN" w:bidi="ar-SA"/>
              </w:rPr>
              <w:t xml:space="preserve">1200万元（400</w:t>
            </w:r>
            <w:r>
              <w:rPr>
                <w:rFonts w:hint="eastAsia" w:ascii="仿宋" w:hAnsi="仿宋" w:eastAsia="仿宋" w:cs="仿宋"/>
                <w:color w:val="auto"/>
                <w:sz w:val="24"/>
                <w:szCs w:val="24"/>
                <w:highlight w:val="none"/>
                <w:lang w:val="zh-TW" w:eastAsia="zh-TW" w:bidi="ar-SA"/>
              </w:rPr>
              <w:t xml:space="preserve">万元/年</w:t>
            </w:r>
            <w:r>
              <w:rPr>
                <w:rFonts w:hint="eastAsia" w:ascii="仿宋" w:hAnsi="仿宋" w:eastAsia="仿宋" w:cs="仿宋"/>
                <w:color w:val="auto"/>
                <w:sz w:val="24"/>
                <w:szCs w:val="24"/>
                <w:highlight w:val="none"/>
                <w:lang w:val="en-US" w:eastAsia="zh-CN" w:bidi="ar-SA"/>
              </w:rPr>
              <w:t xml:space="preserve">*3年）</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投标总价超过最高限价，均将导致投标无效。</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计价方式</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报价为一次报价。不接受备选的投标方案或有选择的报价，只允许有一个报价。投标报价内容包括：设备本身、安装调试费、人工费、服务费、税金以及交付使用过程中涉及到的其他一切费用。</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质量要求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符合国家相关标准或国家建设安装质量规范要求、招标文件要求并经采购人验收合格。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资金来源</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财政资金</w:t>
            </w:r>
            <w:r>
              <w:rPr>
                <w:rFonts w:hint="eastAsia" w:ascii="仿宋" w:hAnsi="仿宋" w:eastAsia="仿宋" w:cs="仿宋"/>
                <w:color w:val="auto"/>
                <w:sz w:val="24"/>
                <w:szCs w:val="24"/>
                <w:highlight w:val="none"/>
                <w:lang w:val="en-US" w:bidi="ar-SA"/>
              </w:rPr>
              <w:t xml:space="preserve">。</w:t>
            </w:r>
            <w:r/>
          </w:p>
        </w:tc>
      </w:tr>
      <w:tr>
        <w:trPr>
          <w:trHeight w:val="423"/>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资金落实</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bidi="ar-SA"/>
              </w:rPr>
              <w:t xml:space="preserve">已落实。</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合同履行期限</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三</w:t>
            </w:r>
            <w:r>
              <w:rPr>
                <w:rFonts w:hint="eastAsia" w:ascii="仿宋" w:hAnsi="仿宋" w:eastAsia="仿宋" w:cs="仿宋"/>
                <w:color w:val="auto"/>
                <w:sz w:val="24"/>
                <w:szCs w:val="24"/>
                <w:highlight w:val="none"/>
                <w:lang w:bidi="ar-SA"/>
              </w:rPr>
              <w:t xml:space="preserve">年，自合同签订之日起计算。合同一年一签，合同期满考核合格后再行续签下一年合同</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培训</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技术培训的内容包括但不限于操作培训、设备和系统维护培训。</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对采购人相关工作人员进行培训，需要有培训计划和点检表，确保被培训人员具有独立操作、独立解决中小故障的能力。</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投标人资格要求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见招标公告内容。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投标有效期</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不少于90个日历天（从投标截止之日起算）。</w:t>
            </w:r>
            <w:r/>
          </w:p>
        </w:tc>
      </w:tr>
      <w:tr>
        <w:trPr>
          <w:trHeight w:val="90"/>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是否允许递交备选投标方案</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不允许。</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招标项目是否允许分包</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不允许。</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构成招标文件的其他资料</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招标文件的澄清及补充等。</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是否接受联合体投标</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本次招标不接受联合体投标。</w:t>
            </w:r>
            <w:r/>
          </w:p>
        </w:tc>
      </w:tr>
      <w:tr>
        <w:trPr>
          <w:trHeight w:val="1324"/>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踏勘现场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本次项目不组织统一的现场踏勘，如有需要购买招标文件后投标人自行踏勘。</w:t>
            </w:r>
            <w:r/>
          </w:p>
          <w:p>
            <w:pPr>
              <w:pStyle w:val="724"/>
              <w:spacing w:after="0" w:line="4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地点：</w:t>
            </w:r>
            <w:r>
              <w:rPr>
                <w:rFonts w:hint="eastAsia" w:ascii="仿宋" w:hAnsi="仿宋" w:eastAsia="仿宋" w:cs="仿宋"/>
                <w:color w:val="auto"/>
                <w:sz w:val="24"/>
                <w:szCs w:val="24"/>
                <w:highlight w:val="none"/>
                <w:lang w:val="en-US" w:eastAsia="zh-CN" w:bidi="ar-SA"/>
              </w:rPr>
              <w:t xml:space="preserve">江苏省扬州市京杭北路50号</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投标预备会</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本次项目不召开。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招标文件的澄清、补充、修改的时间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澄清、补充、修改的内容影响投标文件编制的，采购人将在投标截止时间15日前发布，不足15日的，采购人将顺延递交投标文件的截止时间。</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投标人自行关注公告</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潜在投标人应自行关注江苏政府采购网、扬州市政府采购网公告，采购人不再一一通知。投标人因自身贻误行为导致投标失败的，责任自负。</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构成投标文件的其他资料</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必须严格按照第六章《投标文件格式》的内容逐页编写，并加上投标人自认为需要提供的其他材料。</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投标地点及截止时间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地点：“苏采云”系统（网址：http://jszfcg.jsczt.cn/）“开标大厅”。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时间：</w:t>
            </w:r>
            <w:r>
              <w:rPr>
                <w:rFonts w:hint="eastAsia" w:ascii="仿宋" w:hAnsi="仿宋" w:eastAsia="仿宋" w:cs="仿宋"/>
                <w:color w:val="auto"/>
                <w:sz w:val="24"/>
                <w:szCs w:val="24"/>
                <w:highlight w:val="none"/>
                <w:lang w:val="en-US" w:eastAsia="zh-CN" w:bidi="ar-SA"/>
              </w:rPr>
              <w:t xml:space="preserve">2026年6月23日9时30分</w:t>
            </w:r>
            <w:r>
              <w:rPr>
                <w:rFonts w:hint="eastAsia" w:ascii="仿宋" w:hAnsi="仿宋" w:eastAsia="仿宋" w:cs="仿宋"/>
                <w:color w:val="auto"/>
                <w:sz w:val="24"/>
                <w:szCs w:val="24"/>
                <w:highlight w:val="none"/>
                <w:lang w:val="en-US" w:bidi="ar-SA"/>
              </w:rPr>
              <w:t xml:space="preserve">（北京时间）。</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投标报价的其他要求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关于扬州市妇幼保健院</w:t>
            </w:r>
            <w:r>
              <w:rPr>
                <w:rFonts w:hint="eastAsia" w:ascii="仿宋" w:hAnsi="仿宋" w:eastAsia="仿宋" w:cs="仿宋"/>
                <w:color w:val="auto"/>
                <w:sz w:val="24"/>
                <w:szCs w:val="24"/>
                <w:highlight w:val="none"/>
                <w:lang w:val="en-US" w:eastAsia="zh-CN" w:bidi="ar-SA"/>
              </w:rPr>
              <w:t xml:space="preserve">护理服务项目</w:t>
            </w:r>
            <w:r>
              <w:rPr>
                <w:rFonts w:hint="eastAsia" w:ascii="仿宋" w:hAnsi="仿宋" w:eastAsia="仿宋" w:cs="仿宋"/>
                <w:color w:val="auto"/>
                <w:sz w:val="24"/>
                <w:szCs w:val="24"/>
                <w:highlight w:val="none"/>
                <w:lang w:val="en-US" w:bidi="ar-SA"/>
              </w:rPr>
              <w:t xml:space="preserve">，请各位投标人认真阅读如下内容，并在报价时充分考虑。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 报价为一次报价，于开标会议当场宣读。</w:t>
            </w:r>
            <w:r/>
          </w:p>
          <w:p>
            <w:pP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2. 本项目不接受备选的投标方案或有选择的报价，只允许有一个报价。投标报价内容包括：人工费（工资、社保、公积金、制服、福利费、高温费）、管理服务费、税金以及交付使用过程中涉及到的其他一切费用（加班费在服务过程中根据实际产生的另行结算）。</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 报价注意事项：</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 价格一律以人民币计算，以元为单位标准；</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 投标人报价时应充分考虑所有可能影响到报价的因素，一旦评标结束最终中标，如发生漏、缺、少项，都将被认为是中标人的报价让利行为，损失自负。</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投标保证金</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无</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投标保证金不予退还的情形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本条不适用</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开标时间、开标地点</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40" w:lineRule="exact"/>
              <w:rPr>
                <w:rFonts w:hint="eastAsia" w:ascii="仿宋" w:hAnsi="仿宋" w:eastAsia="仿宋" w:cs="仿宋"/>
                <w:strike/>
                <w:color w:val="auto"/>
                <w:sz w:val="24"/>
                <w:szCs w:val="24"/>
                <w:highlight w:val="none"/>
                <w:lang w:val="en-US" w:eastAsia="zh-CN" w:bidi="ar-SA"/>
              </w:rPr>
            </w:pPr>
            <w:r>
              <w:rPr>
                <w:rFonts w:hint="eastAsia" w:ascii="仿宋" w:hAnsi="仿宋" w:eastAsia="仿宋" w:cs="仿宋"/>
                <w:color w:val="auto"/>
                <w:sz w:val="24"/>
                <w:szCs w:val="24"/>
                <w:highlight w:val="none"/>
                <w:lang w:val="en-US"/>
              </w:rPr>
              <w:t xml:space="preserve">开标时间</w:t>
            </w:r>
            <w:r>
              <w:rPr>
                <w:rFonts w:hint="eastAsia" w:ascii="仿宋" w:hAnsi="仿宋" w:eastAsia="仿宋" w:cs="仿宋"/>
                <w:color w:val="auto"/>
                <w:sz w:val="24"/>
                <w:szCs w:val="24"/>
                <w:highlight w:val="none"/>
                <w:lang w:val="en-US" w:bidi="ar-SA"/>
              </w:rPr>
              <w:t xml:space="preserve">：</w:t>
            </w:r>
            <w:r>
              <w:rPr>
                <w:rFonts w:hint="eastAsia" w:ascii="仿宋" w:hAnsi="仿宋" w:eastAsia="仿宋" w:cs="仿宋"/>
                <w:color w:val="auto"/>
                <w:sz w:val="24"/>
                <w:szCs w:val="24"/>
                <w:highlight w:val="none"/>
                <w:lang w:val="en-US" w:eastAsia="zh-CN" w:bidi="ar-SA"/>
              </w:rPr>
              <w:t xml:space="preserve">2026年6月23日9时30分</w:t>
            </w:r>
            <w:r/>
          </w:p>
          <w:p>
            <w:pPr>
              <w:pStyle w:val="779"/>
              <w:ind w:firstLine="0"/>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开标地点：“苏采云”系统（网址：http://jszfcg.jsczt.cn/）“开标大厅”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w:t>
            </w:r>
            <w:r/>
          </w:p>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的组建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numPr>
                <w:ilvl w:val="0"/>
                <w:numId w:val="4"/>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评标委员会成员构成：随机抽取。</w:t>
            </w:r>
            <w:r/>
          </w:p>
          <w:p>
            <w:pPr>
              <w:pStyle w:val="779"/>
              <w:numPr>
                <w:ilvl w:val="0"/>
                <w:numId w:val="4"/>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评标委员会成员共5人。</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评标办法及资料要求</w:t>
            </w:r>
            <w:r/>
          </w:p>
          <w:p>
            <w:pPr>
              <w:jc w:val="center"/>
              <w:spacing w:line="42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综合评分，详见第三章《评标办法》。</w:t>
            </w:r>
            <w:r/>
          </w:p>
          <w:p>
            <w:pPr>
              <w:pStyle w:val="779"/>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rPr>
              <w:t xml:space="preserve">评审涉及证书（均应在有效期内，已在有效期外尚在办理延期过程中的视为无效），资料应在投标文件中附复印件，并加盖投标人公章。</w:t>
            </w:r>
            <w:r/>
          </w:p>
          <w:p>
            <w:pPr>
              <w:pStyle w:val="779"/>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涉及到原件备查的，要求见评标办法，密封要求见本投标人须知前附表第32条。</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否决投标的情形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ind w:left="55" w:firstLine="0"/>
              <w:spacing w:line="420" w:lineRule="exact"/>
              <w:tabs>
                <w:tab w:val="left" w:pos="668"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SA"/>
              </w:rPr>
              <w:t xml:space="preserve">投标文件存在不满足以下情形之一的，由评标委员会审核并经过询标程序，其投标文件将被否决： </w:t>
            </w:r>
            <w:r/>
          </w:p>
          <w:p>
            <w:pPr>
              <w:pStyle w:val="779"/>
              <w:numPr>
                <w:ilvl w:val="0"/>
                <w:numId w:val="6"/>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资格性审查</w:t>
            </w:r>
            <w:r/>
          </w:p>
          <w:p>
            <w:pPr>
              <w:spacing w:line="42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（1）具有独立承担民事责任的能力</w:t>
            </w:r>
            <w:r>
              <w:rPr>
                <w:rFonts w:hint="eastAsia" w:ascii="仿宋" w:hAnsi="仿宋" w:eastAsia="仿宋" w:cs="仿宋"/>
                <w:b/>
                <w:bCs/>
                <w:color w:val="auto"/>
                <w:sz w:val="24"/>
                <w:szCs w:val="24"/>
                <w:highlight w:val="none"/>
                <w:lang w:val="en-US" w:bidi="ar-SA"/>
              </w:rPr>
              <w:t xml:space="preserve">（提供法人或者其他组织的营业执照；供应商为自然人的，提供其身份证）；</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（2）具有良好的商业信誉和健全的财务会计制度</w:t>
            </w:r>
            <w:r>
              <w:rPr>
                <w:rFonts w:hint="eastAsia" w:ascii="仿宋" w:hAnsi="仿宋" w:eastAsia="仿宋" w:cs="仿宋"/>
                <w:b/>
                <w:bCs/>
                <w:color w:val="auto"/>
                <w:sz w:val="24"/>
                <w:szCs w:val="24"/>
                <w:highlight w:val="none"/>
                <w:lang w:val="en-US" w:bidi="ar-SA"/>
              </w:rPr>
              <w:t xml:space="preserve">（提供202</w:t>
            </w:r>
            <w:r>
              <w:rPr>
                <w:rFonts w:hint="eastAsia" w:ascii="仿宋" w:hAnsi="仿宋" w:eastAsia="仿宋" w:cs="仿宋"/>
                <w:b/>
                <w:bCs/>
                <w:color w:val="auto"/>
                <w:sz w:val="24"/>
                <w:szCs w:val="24"/>
                <w:highlight w:val="none"/>
                <w:lang w:val="en-US" w:eastAsia="zh-CN" w:bidi="ar-SA"/>
              </w:rPr>
              <w:t xml:space="preserve">4</w:t>
            </w:r>
            <w:r>
              <w:rPr>
                <w:rFonts w:hint="eastAsia" w:ascii="仿宋" w:hAnsi="仿宋" w:eastAsia="仿宋" w:cs="仿宋"/>
                <w:b/>
                <w:bCs/>
                <w:color w:val="auto"/>
                <w:sz w:val="24"/>
                <w:szCs w:val="24"/>
                <w:highlight w:val="none"/>
                <w:lang w:val="en-US" w:bidi="ar-SA"/>
              </w:rPr>
              <w:t xml:space="preserve">年度</w:t>
            </w:r>
            <w:r>
              <w:rPr>
                <w:rFonts w:hint="eastAsia" w:ascii="仿宋" w:hAnsi="仿宋" w:eastAsia="仿宋" w:cs="仿宋"/>
                <w:b/>
                <w:bCs/>
                <w:color w:val="auto"/>
                <w:sz w:val="24"/>
                <w:szCs w:val="24"/>
                <w:highlight w:val="none"/>
                <w:lang w:val="en-US" w:eastAsia="zh-CN" w:bidi="ar-SA"/>
              </w:rPr>
              <w:t xml:space="preserve">或2025年度</w:t>
            </w:r>
            <w:r>
              <w:rPr>
                <w:rFonts w:hint="eastAsia" w:ascii="仿宋" w:hAnsi="仿宋" w:eastAsia="仿宋" w:cs="仿宋"/>
                <w:b/>
                <w:bCs/>
                <w:color w:val="auto"/>
                <w:sz w:val="24"/>
                <w:szCs w:val="24"/>
                <w:highlight w:val="none"/>
                <w:lang w:val="en-US" w:bidi="ar-SA"/>
              </w:rPr>
              <w:t xml:space="preserve">财务报告，至少包含资产负债表、利润表，或投标截止时间前六个月内银行出具的资信证明，或财政部门认可的政府采购专业担保机构出具的投标担保函；成立不满一年的无需提供）；</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（3）具有履行合同所必需的设备和专业技术能力</w:t>
            </w:r>
            <w:r>
              <w:rPr>
                <w:rFonts w:hint="eastAsia" w:ascii="仿宋" w:hAnsi="仿宋" w:eastAsia="仿宋" w:cs="仿宋"/>
                <w:b/>
                <w:bCs/>
                <w:color w:val="auto"/>
                <w:sz w:val="24"/>
                <w:szCs w:val="24"/>
                <w:highlight w:val="none"/>
                <w:lang w:val="en-US" w:bidi="ar-SA"/>
              </w:rPr>
              <w:t xml:space="preserve">（供应商根据履行采购项目合同需要，提供履行合同所必需的设备和专业技术能力的声明函或证明材料）；</w:t>
            </w:r>
            <w:r/>
          </w:p>
          <w:p>
            <w:pPr>
              <w:spacing w:line="42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（4）有依法缴纳税收和社会保障资金的良好记录</w:t>
            </w:r>
            <w:r>
              <w:rPr>
                <w:rFonts w:hint="eastAsia" w:ascii="仿宋" w:hAnsi="仿宋" w:eastAsia="仿宋" w:cs="仿宋"/>
                <w:b/>
                <w:bCs/>
                <w:color w:val="auto"/>
                <w:sz w:val="24"/>
                <w:szCs w:val="24"/>
                <w:highlight w:val="none"/>
                <w:lang w:val="en-US" w:bidi="ar-SA"/>
              </w:rPr>
              <w:t xml:space="preserve">（提供202</w:t>
            </w:r>
            <w:r>
              <w:rPr>
                <w:rFonts w:hint="eastAsia" w:ascii="仿宋" w:hAnsi="仿宋" w:eastAsia="仿宋" w:cs="仿宋"/>
                <w:b/>
                <w:bCs/>
                <w:color w:val="auto"/>
                <w:sz w:val="24"/>
                <w:szCs w:val="24"/>
                <w:highlight w:val="none"/>
                <w:lang w:val="en-US" w:eastAsia="zh-CN" w:bidi="ar-SA"/>
              </w:rPr>
              <w:t xml:space="preserve">5</w:t>
            </w:r>
            <w:r>
              <w:rPr>
                <w:rFonts w:hint="eastAsia" w:ascii="仿宋" w:hAnsi="仿宋" w:eastAsia="仿宋" w:cs="仿宋"/>
                <w:b/>
                <w:bCs/>
                <w:color w:val="auto"/>
                <w:sz w:val="24"/>
                <w:szCs w:val="24"/>
                <w:highlight w:val="none"/>
                <w:lang w:val="en-US" w:bidi="ar-SA"/>
              </w:rPr>
              <w:t xml:space="preserve">年</w:t>
            </w:r>
            <w:r>
              <w:rPr>
                <w:rFonts w:hint="eastAsia" w:ascii="仿宋" w:hAnsi="仿宋" w:eastAsia="仿宋" w:cs="仿宋"/>
                <w:b/>
                <w:bCs/>
                <w:color w:val="auto"/>
                <w:sz w:val="24"/>
                <w:szCs w:val="24"/>
                <w:highlight w:val="none"/>
                <w:lang w:val="en-US" w:eastAsia="zh-CN" w:bidi="ar-SA"/>
              </w:rPr>
              <w:t xml:space="preserve">11</w:t>
            </w:r>
            <w:r>
              <w:rPr>
                <w:rFonts w:hint="eastAsia" w:ascii="仿宋" w:hAnsi="仿宋" w:eastAsia="仿宋" w:cs="仿宋"/>
                <w:b/>
                <w:bCs/>
                <w:color w:val="auto"/>
                <w:sz w:val="24"/>
                <w:szCs w:val="24"/>
                <w:highlight w:val="none"/>
                <w:lang w:val="en-US" w:bidi="ar-SA"/>
              </w:rPr>
              <w:t xml:space="preserve">月至今）中任一月份的依法缴纳税收和社会保险费的相关材料（提供相关主管部门证明或银行代扣证明的复印件，根据国家相关政策免缴或迟缴的需提供相关证明材料）；</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（5）参加政府采购活动前三年内，在经营活动中没有重大违法记录</w:t>
            </w:r>
            <w:r>
              <w:rPr>
                <w:rFonts w:hint="eastAsia" w:ascii="仿宋" w:hAnsi="仿宋" w:eastAsia="仿宋" w:cs="仿宋"/>
                <w:b/>
                <w:bCs/>
                <w:color w:val="auto"/>
                <w:sz w:val="24"/>
                <w:szCs w:val="24"/>
                <w:highlight w:val="none"/>
                <w:lang w:val="en-US" w:bidi="ar-SA"/>
              </w:rPr>
              <w:t xml:space="preserve">（提供承诺书）</w:t>
            </w:r>
            <w:r>
              <w:rPr>
                <w:rFonts w:hint="eastAsia" w:ascii="仿宋" w:hAnsi="仿宋" w:eastAsia="仿宋" w:cs="仿宋"/>
                <w:color w:val="auto"/>
                <w:sz w:val="24"/>
                <w:szCs w:val="24"/>
                <w:highlight w:val="none"/>
                <w:lang w:val="en-US" w:bidi="ar-SA"/>
              </w:rPr>
              <w:t xml:space="preserve">；</w:t>
            </w:r>
            <w:r/>
          </w:p>
          <w:p>
            <w:pPr>
              <w:pStyle w:val="779"/>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（6）法律、行政法规规定的其他条件：无</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w:t>
            </w:r>
            <w:r/>
          </w:p>
          <w:p>
            <w:pPr>
              <w:pStyle w:val="779"/>
              <w:ind w:firstLine="240"/>
              <w:spacing w:line="42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拒绝被“信用中国”（www.creditchina.gov.cn）、“中国政府采购网”(www.ccgp.gov.cn）、“信用江苏（http://credit.jiangsu.gov.cn/）列入失信被执行人、重大税收违法案件当事人、政府采购严重失信行为的投标人参加投标。</w:t>
            </w:r>
            <w:r/>
          </w:p>
          <w:p>
            <w:pPr>
              <w:pStyle w:val="779"/>
              <w:ind w:firstLine="24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2.符合性审查</w:t>
            </w:r>
            <w:r/>
          </w:p>
          <w:p>
            <w:pPr>
              <w:pStyle w:val="779"/>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投标函及投标函附录载明的项目完成期不响应招标文件要求的； </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投标人不以自己的名义或未按招标文件要求提供投标保证金，或提供的投标保证金有缺陷而不能接受的； </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投标报价高于招标文件设定的最高投标限价的； </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同一投标人提交两个以上不同的投标文件或者投标报价的； </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投标文件载明的投标报价或其它关键内容字迹模糊或无法分辨的；</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对招标文件合同条款出现任何负偏离的；</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采用的验收标准和方法、主要技术指标达不到国家强制性标准的或要求的；</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未按招标文件中所列投标文件格式及投标文件组成编制投标文件；</w:t>
            </w:r>
            <w:r/>
          </w:p>
          <w:p>
            <w:pPr>
              <w:pStyle w:val="779"/>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技术条款中 “*”负偏离的和商务条款中任何负偏离的。</w:t>
            </w:r>
            <w:r/>
          </w:p>
          <w:p>
            <w:pPr>
              <w:pStyle w:val="779"/>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3.其他</w:t>
            </w:r>
            <w:r/>
          </w:p>
          <w:p>
            <w:pPr>
              <w:pStyle w:val="779"/>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提供备选方案的；</w:t>
            </w:r>
            <w:r/>
          </w:p>
          <w:p>
            <w:pPr>
              <w:pStyle w:val="779"/>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投标文件有采购人不能接受的条件的；</w:t>
            </w:r>
            <w:r/>
          </w:p>
          <w:p>
            <w:pPr>
              <w:pStyle w:val="779"/>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未采用人民币报价的；</w:t>
            </w:r>
            <w:r/>
          </w:p>
          <w:p>
            <w:pPr>
              <w:pStyle w:val="779"/>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招标文件中规定的其他要求。</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确定中标人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采购人不授权评标委员会确定中标人。</w:t>
            </w:r>
            <w:r/>
          </w:p>
          <w:p>
            <w:pPr>
              <w:pStyle w:val="779"/>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评标委员会推荐前三名为中标候选人。</w:t>
            </w:r>
            <w:r/>
          </w:p>
          <w:p>
            <w:pPr>
              <w:pStyle w:val="779"/>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r/>
          </w:p>
          <w:p>
            <w:pPr>
              <w:pStyle w:val="779"/>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履约</w:t>
            </w:r>
            <w:r>
              <w:rPr>
                <w:rFonts w:hint="eastAsia" w:ascii="仿宋" w:hAnsi="仿宋" w:eastAsia="仿宋" w:cs="仿宋"/>
                <w:color w:val="auto"/>
                <w:sz w:val="24"/>
                <w:szCs w:val="24"/>
                <w:highlight w:val="none"/>
                <w:lang w:val="en-US" w:eastAsia="zh-CN" w:bidi="ar-SA"/>
              </w:rPr>
              <w:t xml:space="preserve">保证金</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numPr>
                <w:ilvl w:val="0"/>
                <w:numId w:val="0"/>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项目中标单位需在本合同签署后，在五个工作日向医院交纳人50000元的履约保证金。合同期满后医院不计利息全额退还供应商保证金。如供应商在合同履行过程中存在违约情形的，医院有权从履约保证金中直接扣除相应的款项。履约保证金被扣除后，供应商应当在医院规定的期限内补足。（需提供承诺函并加盖单位公章）</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不再招标的情形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重新招标后投标人仍少于3个的，经原审批或核准部门批准后不再进行招标。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质疑与投诉</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供应商应在法定质疑期内一次性提出针对同一采购程序环节的质疑。供应商质疑实行实名制，其质疑应当有具体的质疑事项及事实根据，并配合采购人、采购代理机构处理质疑。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（2）供应商应知其权益受到损害之日，是指：</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1）对本项目采购文件提出质疑的，为采购文件公告期限届满之日；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2）对本项目采购过程提出质疑的，为各采购程序环节结束之日；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3）对本项目中标或者成交结果提出质疑的，为中标或者成交结果公告期限届满之日。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（3）投标人委托代理质疑的，应当向代理人提交授权委托书，并载明委托代理的具体权限和事项。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（4）质疑函的必备内容</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1）质疑函必须注明质疑人单位名称、详细地址、邮编、单位和法定代表人电话号码、联系人及电话；</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2）所参加项目的具体质疑事项及事实依据；</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3）认为自己合法权益受到损害或可能受到损害的相关证据材料；</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4）提起质疑的日期；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5）质疑函必须由法定代表人签字并加盖公章（委托代理质疑的还应按本条款第（3）条规定提供授权委托书）。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（5）质疑应符合下列条件：</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1）质疑人是参与所质疑项目的投标人；</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2）质疑函内容符合相关的规定；</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3）在规定的有效期限内提起质疑；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4）国务院财政部门规定的其他条件。</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招标采购单位在收到投标人的书面质疑后七个工作日内作出答复，采购人、采购代理机构可以组织原评标委员会协助答复质疑，并以书面形式通知质疑投标人和其他有关人员，但答复的内容不涉及商业秘密。</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（8）提出质疑的投标人对答复不满意的，或者采购人、采购代理机构未在规定期限内作出答复的，可以在答复期满后十五个工作日内向同级政府采购监督管理部门投诉。</w:t>
            </w:r>
            <w:r/>
          </w:p>
          <w:p>
            <w:pPr>
              <w:spacing w:line="420" w:lineRule="exact"/>
              <w:rPr>
                <w:rFonts w:ascii="仿宋" w:hAnsi="仿宋" w:eastAsia="仿宋" w:cs="仿宋"/>
                <w:color w:val="auto"/>
                <w:sz w:val="24"/>
                <w:szCs w:val="24"/>
                <w:highlight w:val="none"/>
                <w:lang w:val="en-US" w:bidi="ar-SA"/>
              </w:rPr>
            </w:pPr>
            <w:r/>
            <w:bookmarkStart w:id="2" w:name="EB8439d347654149b8973a575299810d6b"/>
            <w:r>
              <w:rPr>
                <w:rFonts w:hint="eastAsia" w:ascii="仿宋" w:hAnsi="仿宋" w:eastAsia="仿宋" w:cs="仿宋"/>
                <w:color w:val="auto"/>
                <w:sz w:val="24"/>
                <w:szCs w:val="24"/>
                <w:highlight w:val="none"/>
                <w:lang w:val="en-US" w:bidi="ar-SA"/>
              </w:rPr>
              <w:t xml:space="preserve">（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2"/>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代理费收费标准</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根据采购人与代理机构的代理协议约定，</w:t>
            </w:r>
            <w:r>
              <w:rPr>
                <w:rFonts w:hint="eastAsia" w:ascii="仿宋" w:hAnsi="仿宋" w:eastAsia="仿宋" w:cs="仿宋"/>
                <w:color w:val="auto"/>
                <w:sz w:val="24"/>
                <w:szCs w:val="24"/>
                <w:highlight w:val="none"/>
                <w:lang w:val="en-US" w:bidi="ar-SA"/>
              </w:rPr>
              <w:t xml:space="preserve">本项目采购代理服务费参照江苏省招标投标协会（苏招协[2022]002）《江苏省招标代理服务收费的指导意见》货物收费指导价标准一次性支付给招标代理机构。</w:t>
            </w:r>
            <w:r>
              <w:rPr>
                <w:rFonts w:hint="eastAsia" w:ascii="仿宋" w:hAnsi="仿宋" w:eastAsia="仿宋" w:cs="仿宋"/>
                <w:color w:val="auto"/>
                <w:sz w:val="24"/>
                <w:szCs w:val="24"/>
                <w:highlight w:val="none"/>
                <w:lang w:val="en-US" w:eastAsia="zh-CN" w:bidi="ar-SA"/>
              </w:rPr>
              <w:t xml:space="preserve">应在领取中标通知书前缴纳。</w:t>
            </w:r>
            <w:r/>
          </w:p>
          <w:p>
            <w:pPr>
              <w:spacing w:line="42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本项目预算包含代理服务费，采购人不额外支付，供应商投标报价需包含该费用。</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账户信息：</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户    名：江苏弘业国际技术工程有限公司</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开户银行：中国银行南京市中华路支行   </w:t>
            </w:r>
            <w:r/>
          </w:p>
          <w:p>
            <w:pPr>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账    号：527460884999</w:t>
            </w:r>
            <w:r/>
          </w:p>
        </w:tc>
      </w:tr>
      <w:tr>
        <w:trPr>
          <w:trHeight w:val="846"/>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采购标的所属行业</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779"/>
              <w:ind w:firstLine="0"/>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 xml:space="preserve">本项目采购标的对应的行业主要为</w:t>
            </w:r>
            <w:r>
              <w:rPr>
                <w:rFonts w:hint="eastAsia" w:ascii="仿宋" w:hAnsi="仿宋" w:eastAsia="仿宋" w:cs="仿宋"/>
                <w:color w:val="auto"/>
                <w:sz w:val="24"/>
                <w:szCs w:val="24"/>
                <w:highlight w:val="none"/>
                <w:u w:val="single"/>
                <w:lang w:val="en-US" w:bidi="ar-SA"/>
              </w:rPr>
              <w:t xml:space="preserve">其他未列明行业</w:t>
            </w:r>
            <w:r>
              <w:rPr>
                <w:rFonts w:hint="eastAsia" w:ascii="仿宋" w:hAnsi="仿宋" w:eastAsia="仿宋" w:cs="仿宋"/>
                <w:color w:val="auto"/>
                <w:sz w:val="24"/>
                <w:szCs w:val="24"/>
                <w:highlight w:val="none"/>
                <w:lang w:val="en-US" w:bidi="ar-SA"/>
              </w:rPr>
              <w:t xml:space="preserve">。</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特别说明</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 xml:space="preserve">投标人须知与投标人须知前附表不一致时，以投标人须知前附表为准。</w:t>
            </w:r>
            <w:r/>
          </w:p>
        </w:tc>
      </w:tr>
    </w:tbl>
    <w:p>
      <w:pPr>
        <w:ind w:left="-427" w:right="-475"/>
        <w:jc w:val="center"/>
        <w:spacing w:line="440" w:lineRule="exact"/>
        <w:tabs>
          <w:tab w:val="left" w:pos="10915" w:leader="none"/>
        </w:tabs>
        <w:rPr>
          <w:rFonts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br w:type="page" w:clear="all"/>
      </w:r>
      <w:r>
        <w:rPr>
          <w:rFonts w:hint="eastAsia" w:ascii="仿宋" w:hAnsi="仿宋" w:eastAsia="仿宋" w:cs="仿宋"/>
          <w:b/>
          <w:bCs/>
          <w:color w:val="auto"/>
          <w:sz w:val="36"/>
          <w:szCs w:val="36"/>
          <w:highlight w:val="none"/>
          <w:lang w:val="en-US"/>
        </w:rPr>
        <w:t xml:space="preserve">投标人须知</w:t>
      </w:r>
      <w:r/>
    </w:p>
    <w:p>
      <w:pPr>
        <w:pStyle w:val="779"/>
        <w:numPr>
          <w:ilvl w:val="0"/>
          <w:numId w:val="10"/>
        </w:numPr>
        <w:ind w:hanging="2469"/>
        <w:spacing w:line="440" w:lineRule="exact"/>
        <w:tabs>
          <w:tab w:val="left" w:pos="426" w:leader="none"/>
        </w:tabs>
        <w:rPr>
          <w:rFonts w:ascii="仿宋" w:hAnsi="仿宋" w:eastAsia="仿宋" w:cs="仿宋"/>
          <w:bCs/>
          <w:color w:val="auto"/>
          <w:spacing w:val="14"/>
          <w:highlight w:val="none"/>
        </w:rPr>
      </w:pPr>
      <w:r>
        <w:rPr>
          <w:rFonts w:hint="eastAsia" w:ascii="仿宋" w:hAnsi="仿宋" w:eastAsia="仿宋" w:cs="仿宋"/>
          <w:bCs/>
          <w:color w:val="auto"/>
          <w:highlight w:val="none"/>
        </w:rPr>
        <w:t xml:space="preserve">总则 </w:t>
      </w: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z w:val="22"/>
          <w:szCs w:val="22"/>
          <w:highlight w:val="none"/>
        </w:rPr>
      </w:pPr>
      <w:r/>
      <w:bookmarkStart w:id="3" w:name="1.1_项目概况"/>
      <w:r/>
      <w:bookmarkEnd w:id="3"/>
      <w:r>
        <w:rPr>
          <w:rFonts w:hint="eastAsia" w:ascii="仿宋" w:hAnsi="仿宋" w:eastAsia="仿宋" w:cs="仿宋"/>
          <w:b w:val="0"/>
          <w:color w:val="auto"/>
          <w:spacing w:val="14"/>
          <w:sz w:val="22"/>
          <w:szCs w:val="22"/>
          <w:highlight w:val="none"/>
        </w:rPr>
        <w:t xml:space="preserve">项目概况</w:t>
      </w:r>
      <w:r/>
    </w:p>
    <w:p>
      <w:pPr>
        <w:pStyle w:val="779"/>
        <w:numPr>
          <w:ilvl w:val="2"/>
          <w:numId w:val="10"/>
        </w:numPr>
        <w:ind w:left="426" w:right="-477" w:hanging="852"/>
        <w:spacing w:line="440" w:lineRule="exact"/>
        <w:rPr>
          <w:rFonts w:ascii="仿宋" w:hAnsi="仿宋" w:eastAsia="仿宋" w:cs="仿宋"/>
          <w:bCs/>
          <w:color w:val="auto"/>
          <w:spacing w:val="14"/>
          <w:highlight w:val="none"/>
        </w:rPr>
      </w:pPr>
      <w:r>
        <w:rPr>
          <w:rFonts w:hint="eastAsia" w:ascii="仿宋" w:hAnsi="仿宋" w:eastAsia="仿宋" w:cs="仿宋"/>
          <w:color w:val="auto"/>
          <w:highlight w:val="none"/>
          <w:lang w:bidi="ar-SA"/>
        </w:rPr>
        <w:t xml:space="preserve">根据《</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政府采购法》、《</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政府采购法实施条例》、《</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民法典》、《</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刑法》和《</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反不正当竞争法》等有关法律、法规和规章的规定，本项目已具备招标条件，现对</w:t>
      </w:r>
      <w:r>
        <w:rPr>
          <w:rFonts w:hint="eastAsia" w:ascii="仿宋" w:hAnsi="仿宋" w:eastAsia="仿宋" w:cs="仿宋"/>
          <w:color w:val="auto"/>
          <w:highlight w:val="none"/>
          <w:lang w:val="en-US" w:bidi="ar-SA"/>
        </w:rPr>
        <w:t xml:space="preserve">本项目</w:t>
      </w:r>
      <w:r>
        <w:rPr>
          <w:rFonts w:hint="eastAsia" w:ascii="仿宋" w:hAnsi="仿宋" w:eastAsia="仿宋" w:cs="仿宋"/>
          <w:color w:val="auto"/>
          <w:highlight w:val="none"/>
          <w:lang w:bidi="ar-SA"/>
        </w:rPr>
        <w:t xml:space="preserve">进行招标。</w:t>
      </w:r>
      <w:r/>
    </w:p>
    <w:p>
      <w:pPr>
        <w:pStyle w:val="779"/>
        <w:numPr>
          <w:ilvl w:val="2"/>
          <w:numId w:val="10"/>
        </w:numPr>
        <w:ind w:left="426" w:right="-477" w:hanging="852"/>
        <w:spacing w:line="440" w:lineRule="exact"/>
        <w:rPr>
          <w:rFonts w:ascii="仿宋" w:hAnsi="仿宋" w:eastAsia="仿宋" w:cs="仿宋"/>
          <w:bCs/>
          <w:color w:val="auto"/>
          <w:spacing w:val="-18"/>
          <w:highlight w:val="none"/>
        </w:rPr>
      </w:pPr>
      <w:r>
        <w:rPr>
          <w:rFonts w:hint="eastAsia" w:ascii="仿宋" w:hAnsi="仿宋" w:eastAsia="仿宋" w:cs="仿宋"/>
          <w:color w:val="auto"/>
          <w:highlight w:val="none"/>
          <w:lang w:bidi="ar-SA"/>
        </w:rPr>
        <w:t xml:space="preserve">本招标项目采购人：</w:t>
      </w:r>
      <w:r>
        <w:rPr>
          <w:rFonts w:hint="eastAsia" w:ascii="仿宋" w:hAnsi="仿宋" w:eastAsia="仿宋" w:cs="仿宋"/>
          <w:color w:val="auto"/>
          <w:highlight w:val="none"/>
          <w:lang w:val="en-US" w:eastAsia="zh-CN" w:bidi="ar-SA"/>
        </w:rPr>
        <w:t xml:space="preserve">扬州市妇幼保健院</w:t>
      </w:r>
      <w:r>
        <w:rPr>
          <w:rFonts w:hint="eastAsia" w:ascii="仿宋" w:hAnsi="仿宋" w:eastAsia="仿宋" w:cs="仿宋"/>
          <w:color w:val="auto"/>
          <w:highlight w:val="none"/>
          <w:lang w:bidi="ar-SA"/>
        </w:rPr>
        <w:t xml:space="preserve">。</w:t>
      </w:r>
      <w:r/>
    </w:p>
    <w:p>
      <w:pPr>
        <w:pStyle w:val="779"/>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bidi="ar-SA"/>
        </w:rPr>
        <w:t xml:space="preserve">本招标项目采购代理机构：</w:t>
      </w:r>
      <w:r>
        <w:rPr>
          <w:rFonts w:hint="eastAsia" w:ascii="仿宋" w:hAnsi="仿宋" w:eastAsia="仿宋" w:cs="仿宋"/>
          <w:color w:val="auto"/>
          <w:highlight w:val="none"/>
          <w:lang w:val="en-US" w:bidi="ar-SA"/>
        </w:rPr>
        <w:t xml:space="preserve">江苏弘业国际技术工程有限公司。</w:t>
      </w:r>
      <w:r/>
    </w:p>
    <w:p>
      <w:pPr>
        <w:pStyle w:val="779"/>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val="en-US" w:bidi="ar-SA"/>
        </w:rPr>
        <w:t xml:space="preserve">本招标项目名称：</w:t>
      </w:r>
      <w:r>
        <w:rPr>
          <w:rFonts w:hint="eastAsia" w:ascii="仿宋" w:hAnsi="仿宋" w:eastAsia="仿宋" w:cs="仿宋"/>
          <w:color w:val="auto"/>
          <w:highlight w:val="none"/>
          <w:lang w:val="en-US" w:eastAsia="zh-CN" w:bidi="ar-SA"/>
        </w:rPr>
        <w:t xml:space="preserve">扬州市妇幼保健院护理服务项目</w:t>
      </w:r>
      <w:r>
        <w:rPr>
          <w:rFonts w:hint="eastAsia" w:ascii="仿宋" w:hAnsi="仿宋" w:eastAsia="仿宋" w:cs="仿宋"/>
          <w:color w:val="auto"/>
          <w:highlight w:val="none"/>
          <w:lang w:val="en-US" w:bidi="ar-SA"/>
        </w:rPr>
        <w:t xml:space="preserve">。 </w:t>
      </w:r>
      <w:r/>
    </w:p>
    <w:p>
      <w:pPr>
        <w:pStyle w:val="779"/>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val="en-US" w:bidi="ar-SA"/>
        </w:rPr>
        <w:t xml:space="preserve">本招标项目地点：</w:t>
      </w:r>
      <w:r>
        <w:rPr>
          <w:rFonts w:hint="eastAsia" w:ascii="仿宋" w:hAnsi="仿宋" w:eastAsia="仿宋" w:cs="仿宋"/>
          <w:color w:val="auto"/>
          <w:sz w:val="22"/>
          <w:szCs w:val="22"/>
          <w:highlight w:val="none"/>
          <w:lang w:val="en-US" w:eastAsia="zh-CN" w:bidi="ar-SA"/>
        </w:rPr>
        <w:t xml:space="preserve">江苏省扬州市京杭北路50号</w:t>
      </w: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bookmarkStart w:id="4" w:name="1.2_资金来源和落实情况"/>
      <w:r/>
      <w:bookmarkEnd w:id="4"/>
      <w:r>
        <w:rPr>
          <w:rFonts w:hint="eastAsia" w:ascii="仿宋" w:hAnsi="仿宋" w:eastAsia="仿宋" w:cs="仿宋"/>
          <w:b w:val="0"/>
          <w:color w:val="auto"/>
          <w:spacing w:val="14"/>
          <w:sz w:val="22"/>
          <w:szCs w:val="22"/>
          <w:highlight w:val="none"/>
        </w:rPr>
        <w:t xml:space="preserve">资金来源和落实情况</w:t>
      </w:r>
      <w:r/>
    </w:p>
    <w:p>
      <w:pPr>
        <w:pStyle w:val="779"/>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本招标项目的资金来源：见投标人须知前附表。</w:t>
      </w:r>
      <w:r/>
    </w:p>
    <w:p>
      <w:pPr>
        <w:pStyle w:val="779"/>
        <w:numPr>
          <w:ilvl w:val="2"/>
          <w:numId w:val="10"/>
        </w:numPr>
        <w:ind w:left="426" w:right="-477" w:hanging="852"/>
        <w:spacing w:line="440" w:lineRule="exact"/>
        <w:rPr>
          <w:rFonts w:ascii="仿宋" w:hAnsi="仿宋" w:eastAsia="仿宋" w:cs="仿宋"/>
          <w:bCs/>
          <w:color w:val="auto"/>
          <w:spacing w:val="14"/>
          <w:highlight w:val="none"/>
        </w:rPr>
      </w:pPr>
      <w:r>
        <w:rPr>
          <w:rFonts w:hint="eastAsia" w:ascii="仿宋" w:hAnsi="仿宋" w:eastAsia="仿宋" w:cs="仿宋"/>
          <w:color w:val="auto"/>
          <w:highlight w:val="none"/>
          <w:lang w:bidi="ar-SA"/>
        </w:rPr>
        <w:t xml:space="preserve">本招标项目的资金落实情况：见投标人须知前附表</w:t>
      </w:r>
      <w:r>
        <w:rPr>
          <w:rFonts w:hint="eastAsia" w:ascii="仿宋" w:hAnsi="仿宋" w:eastAsia="仿宋" w:cs="仿宋"/>
          <w:bCs/>
          <w:color w:val="auto"/>
          <w:spacing w:val="14"/>
          <w:highlight w:val="none"/>
        </w:rPr>
        <w:t xml:space="preserve">。</w:t>
      </w: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bookmarkStart w:id="5" w:name="1.3_招标范围及计划服务期"/>
      <w:r/>
      <w:bookmarkEnd w:id="5"/>
      <w:r>
        <w:rPr>
          <w:rFonts w:hint="eastAsia" w:ascii="仿宋" w:hAnsi="仿宋" w:eastAsia="仿宋" w:cs="仿宋"/>
          <w:b w:val="0"/>
          <w:color w:val="auto"/>
          <w:spacing w:val="14"/>
          <w:sz w:val="22"/>
          <w:szCs w:val="22"/>
          <w:highlight w:val="none"/>
        </w:rPr>
        <w:t xml:space="preserve">招标范围及计划服务期</w:t>
      </w:r>
      <w:r/>
    </w:p>
    <w:p>
      <w:pPr>
        <w:pStyle w:val="779"/>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本次招标范围：见投标人须知前附表。</w:t>
      </w:r>
      <w:r/>
    </w:p>
    <w:p>
      <w:pPr>
        <w:pStyle w:val="779"/>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本招标项目的</w:t>
      </w:r>
      <w:r>
        <w:rPr>
          <w:rFonts w:hint="eastAsia" w:ascii="仿宋" w:hAnsi="仿宋" w:eastAsia="仿宋" w:cs="仿宋"/>
          <w:color w:val="auto"/>
          <w:highlight w:val="none"/>
          <w:lang w:val="en-US" w:bidi="ar-SA"/>
        </w:rPr>
        <w:t xml:space="preserve">完成</w:t>
      </w:r>
      <w:r>
        <w:rPr>
          <w:rFonts w:hint="eastAsia" w:ascii="仿宋" w:hAnsi="仿宋" w:eastAsia="仿宋" w:cs="仿宋"/>
          <w:color w:val="auto"/>
          <w:highlight w:val="none"/>
          <w:lang w:bidi="ar-SA"/>
        </w:rPr>
        <w:t xml:space="preserve">期：见投标人须知前附表。</w:t>
      </w: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投标人资格要求</w:t>
      </w:r>
      <w:r/>
    </w:p>
    <w:p>
      <w:pPr>
        <w:pStyle w:val="779"/>
        <w:numPr>
          <w:ilvl w:val="2"/>
          <w:numId w:val="10"/>
        </w:numPr>
        <w:ind w:left="2943" w:hanging="33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投标人应具备承担本标段的资格条件、要求。</w:t>
      </w:r>
      <w:r/>
    </w:p>
    <w:p>
      <w:pPr>
        <w:pStyle w:val="779"/>
        <w:numPr>
          <w:ilvl w:val="2"/>
          <w:numId w:val="10"/>
        </w:numPr>
        <w:ind w:left="426" w:right="-95" w:hanging="852"/>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lang w:val="en-US"/>
        </w:rPr>
        <w:t xml:space="preserve">本项目不接受联合体投标。</w:t>
      </w:r>
      <w:r/>
    </w:p>
    <w:p>
      <w:pPr>
        <w:pStyle w:val="779"/>
        <w:numPr>
          <w:ilvl w:val="2"/>
          <w:numId w:val="10"/>
        </w:numPr>
        <w:ind w:right="-475" w:hanging="2228"/>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投标人不得存在下列情形之一： </w:t>
      </w:r>
      <w:r/>
    </w:p>
    <w:p>
      <w:pPr>
        <w:pStyle w:val="779"/>
        <w:ind w:left="1392" w:hanging="1819"/>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lang w:val="en-US"/>
        </w:rPr>
        <w:t xml:space="preserve">1.4.3.1 </w:t>
      </w:r>
      <w:r>
        <w:rPr>
          <w:rFonts w:hint="eastAsia" w:ascii="仿宋" w:hAnsi="仿宋" w:eastAsia="仿宋" w:cs="仿宋"/>
          <w:bCs/>
          <w:color w:val="auto"/>
          <w:highlight w:val="none"/>
        </w:rPr>
        <w:t xml:space="preserve">为采购人不具有独立法人资格的附属机构（单位）；</w:t>
      </w:r>
      <w:r/>
    </w:p>
    <w:p>
      <w:pPr>
        <w:pStyle w:val="779"/>
        <w:ind w:left="1392" w:hanging="1819"/>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1.4.3.2 为本标段提供招标代理服务或其分支机构；</w:t>
      </w:r>
      <w:r/>
    </w:p>
    <w:p>
      <w:pPr>
        <w:pStyle w:val="779"/>
        <w:ind w:left="433" w:hanging="86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1.4.3.3 单位负责人或实际控制人为同一人或者存在控股、管理关系的不同单位，同时参加本项目投标的；</w:t>
      </w:r>
      <w:r/>
    </w:p>
    <w:p>
      <w:pPr>
        <w:pStyle w:val="779"/>
        <w:ind w:left="420" w:hanging="847"/>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lang w:val="en-US"/>
        </w:rPr>
        <w:t xml:space="preserve">1.4.3.4 </w:t>
      </w:r>
      <w:r>
        <w:rPr>
          <w:rFonts w:hint="eastAsia" w:ascii="仿宋" w:hAnsi="仿宋" w:eastAsia="仿宋" w:cs="仿宋"/>
          <w:bCs/>
          <w:color w:val="auto"/>
          <w:spacing w:val="-1"/>
          <w:highlight w:val="none"/>
        </w:rPr>
        <w:t xml:space="preserve">投标人及其法定代表人控股的其他公司，同时参加本标段投标的；</w:t>
      </w:r>
      <w:r/>
    </w:p>
    <w:p>
      <w:pPr>
        <w:pStyle w:val="779"/>
        <w:ind w:left="438" w:hanging="865"/>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1.4.3.5</w:t>
      </w:r>
      <w:r>
        <w:rPr>
          <w:rFonts w:hint="eastAsia" w:ascii="仿宋" w:hAnsi="仿宋" w:eastAsia="仿宋" w:cs="仿宋"/>
          <w:bCs/>
          <w:color w:val="auto"/>
          <w:highlight w:val="none"/>
        </w:rPr>
        <w:t xml:space="preserve">与采购人存在利害关系可能影响招标公正性的法人、其他组织或者个</w:t>
      </w:r>
      <w:r>
        <w:rPr>
          <w:rFonts w:hint="eastAsia" w:ascii="仿宋" w:hAnsi="仿宋" w:eastAsia="仿宋" w:cs="仿宋"/>
          <w:bCs/>
          <w:color w:val="auto"/>
          <w:highlight w:val="none"/>
          <w:lang w:val="en-US"/>
        </w:rPr>
        <w:t xml:space="preserve">人；</w:t>
      </w:r>
      <w:r/>
    </w:p>
    <w:p>
      <w:pPr>
        <w:pStyle w:val="779"/>
        <w:ind w:left="-42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1.4.3.6 被责令停业的； </w:t>
      </w:r>
      <w:r/>
    </w:p>
    <w:p>
      <w:pPr>
        <w:pStyle w:val="779"/>
        <w:ind w:left="-42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1.4.3.7 被暂停或取消投标资格的；</w:t>
      </w:r>
      <w:r/>
    </w:p>
    <w:p>
      <w:pPr>
        <w:pStyle w:val="779"/>
        <w:ind w:left="264" w:hanging="704"/>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1.4.3.8 处于财产被接管、冻结和破产状态，以及投标资格被暂停且在暂停期内的。</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费用承担</w:t>
      </w:r>
      <w:r/>
    </w:p>
    <w:p>
      <w:pPr>
        <w:pStyle w:val="724"/>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投标人应承担其编制投标文件与递交投标文件所涉及的一切费用。不论投标结果如何，采购人在任何情况下无义务和也无责任承担这些费用。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保密</w:t>
      </w:r>
      <w:r/>
    </w:p>
    <w:p>
      <w:pPr>
        <w:pStyle w:val="724"/>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参与招标投标活动的各方应对招标文件和投标文件中的商业和技术等秘密保密，违者应对由此造成的后果承担法律责任。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语言文字</w:t>
      </w:r>
      <w:r/>
    </w:p>
    <w:p>
      <w:pPr>
        <w:pStyle w:val="724"/>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除专用术语外，与招标投标有关的语言均使用中文。投标文件构成资料为非中文时应提供中文译版，并以中文为准，否则可视为未提供。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6" w:name="1.8_计量单位"/>
      <w:r/>
      <w:bookmarkEnd w:id="6"/>
      <w:r>
        <w:rPr>
          <w:rFonts w:hint="eastAsia" w:ascii="仿宋" w:hAnsi="仿宋" w:eastAsia="仿宋" w:cs="仿宋"/>
          <w:b w:val="0"/>
          <w:color w:val="auto"/>
          <w:spacing w:val="14"/>
          <w:sz w:val="22"/>
          <w:szCs w:val="22"/>
          <w:highlight w:val="none"/>
        </w:rPr>
        <w:t xml:space="preserve">计量单位</w:t>
      </w:r>
      <w:r/>
    </w:p>
    <w:p>
      <w:pPr>
        <w:pStyle w:val="724"/>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所有计量均采用中华人民共和国法定计量单位。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踏勘现场</w:t>
      </w:r>
      <w:r/>
    </w:p>
    <w:p>
      <w:pPr>
        <w:pStyle w:val="779"/>
        <w:numPr>
          <w:ilvl w:val="2"/>
          <w:numId w:val="10"/>
        </w:numPr>
        <w:ind w:left="426" w:right="-9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投标人须知前附表规定组织踏勘现场的，采购人按投标人须知前附表规定的时间、地点组织投标人踏勘项目现场。</w:t>
      </w:r>
      <w:r/>
    </w:p>
    <w:p>
      <w:pPr>
        <w:pStyle w:val="779"/>
        <w:numPr>
          <w:ilvl w:val="2"/>
          <w:numId w:val="10"/>
        </w:numPr>
        <w:ind w:left="426" w:right="-9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投标人踏勘现场发生的费用自理。</w:t>
      </w:r>
      <w:r/>
    </w:p>
    <w:p>
      <w:pPr>
        <w:pStyle w:val="779"/>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除采购人的原因外，投标人自行负责在踏勘现场中所发生的人员伤亡和财产损失。 </w:t>
      </w:r>
      <w:r/>
    </w:p>
    <w:p>
      <w:pPr>
        <w:pStyle w:val="779"/>
        <w:numPr>
          <w:ilvl w:val="2"/>
          <w:numId w:val="10"/>
        </w:numPr>
        <w:ind w:left="426" w:right="-9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采购人在踏勘现场中介绍的场地和相关的周边环境情况，供投标人在编制投标文件时参考，采购人不对投标人据此作出的判断和决策负责。 </w:t>
      </w:r>
      <w:r/>
    </w:p>
    <w:p>
      <w:pPr>
        <w:pStyle w:val="779"/>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采购人提供的本项目的相关参考资料，并不构成合同文件的组成部分，投标人应对上述资料的解释、推论和应用负责，采购人不对投标人据此作出的判断和决策承担任何责任。</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z w:val="22"/>
          <w:szCs w:val="22"/>
          <w:highlight w:val="none"/>
        </w:rPr>
      </w:pPr>
      <w:r>
        <w:rPr>
          <w:rFonts w:hint="eastAsia" w:ascii="仿宋" w:hAnsi="仿宋" w:eastAsia="仿宋" w:cs="仿宋"/>
          <w:b w:val="0"/>
          <w:color w:val="auto"/>
          <w:spacing w:val="14"/>
          <w:sz w:val="22"/>
          <w:szCs w:val="22"/>
          <w:highlight w:val="none"/>
        </w:rPr>
        <w:t xml:space="preserve">投标预备会</w:t>
      </w:r>
      <w:r/>
    </w:p>
    <w:p>
      <w:pPr>
        <w:ind w:left="599" w:hanging="159"/>
        <w:spacing w:line="440" w:lineRule="exact"/>
        <w:rPr>
          <w:rFonts w:ascii="仿宋" w:hAnsi="仿宋" w:eastAsia="仿宋" w:cs="仿宋"/>
          <w:bCs/>
          <w:color w:val="auto"/>
          <w:spacing w:val="-5"/>
          <w:highlight w:val="none"/>
          <w:lang w:val="en-US"/>
        </w:rPr>
      </w:pPr>
      <w:r>
        <w:rPr>
          <w:rFonts w:hint="eastAsia" w:ascii="仿宋" w:hAnsi="仿宋" w:eastAsia="仿宋" w:cs="仿宋"/>
          <w:bCs/>
          <w:color w:val="auto"/>
          <w:spacing w:val="-5"/>
          <w:highlight w:val="none"/>
          <w:lang w:val="en-US"/>
        </w:rPr>
        <w:t xml:space="preserve">本项目不适用</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分包</w:t>
      </w:r>
      <w:r>
        <w:rPr>
          <w:rFonts w:hint="eastAsia" w:ascii="仿宋" w:hAnsi="仿宋" w:eastAsia="仿宋" w:cs="仿宋"/>
          <w:b w:val="0"/>
          <w:color w:val="auto"/>
          <w:spacing w:val="14"/>
          <w:sz w:val="22"/>
          <w:szCs w:val="22"/>
          <w:highlight w:val="none"/>
          <w:lang w:val="en-US"/>
        </w:rPr>
        <w:t xml:space="preserve">和转包</w:t>
      </w:r>
      <w:r/>
    </w:p>
    <w:p>
      <w:pPr>
        <w:pStyle w:val="779"/>
        <w:ind w:left="426" w:right="-9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合格的投标人必须符合招标文件相关规定，且具备独立完成本项目的能力。中标后不允许分包、转包。</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偏离</w:t>
      </w:r>
      <w:r/>
    </w:p>
    <w:p>
      <w:pPr>
        <w:pStyle w:val="779"/>
        <w:ind w:left="426" w:right="-50" w:firstLine="0"/>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投标人须知前附表允许投标文件偏离招标文件某些要求的，偏离应当符合招标文件规定的偏离范围和幅度。 </w:t>
      </w:r>
      <w:r/>
    </w:p>
    <w:p>
      <w:pPr>
        <w:pStyle w:val="779"/>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招标文件</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招标文件组成包括：</w:t>
      </w:r>
      <w:r/>
    </w:p>
    <w:p>
      <w:pPr>
        <w:ind w:firstLine="389"/>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本招标文件包括</w:t>
      </w:r>
      <w:r/>
    </w:p>
    <w:p>
      <w:pPr>
        <w:pStyle w:val="779"/>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招标公告 </w:t>
      </w:r>
      <w:r/>
    </w:p>
    <w:p>
      <w:pPr>
        <w:pStyle w:val="779"/>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投标人须知</w:t>
      </w:r>
      <w:r/>
    </w:p>
    <w:p>
      <w:pPr>
        <w:pStyle w:val="779"/>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评标办法</w:t>
      </w:r>
      <w:r/>
    </w:p>
    <w:p>
      <w:pPr>
        <w:pStyle w:val="779"/>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合同条款</w:t>
      </w:r>
      <w:r/>
    </w:p>
    <w:p>
      <w:pPr>
        <w:pStyle w:val="779"/>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lang w:eastAsia="zh-CN"/>
        </w:rPr>
        <w:t xml:space="preserve">采购需求</w:t>
      </w:r>
      <w:r>
        <w:rPr>
          <w:rFonts w:hint="eastAsia" w:ascii="仿宋" w:hAnsi="仿宋" w:eastAsia="仿宋" w:cs="仿宋"/>
          <w:bCs/>
          <w:color w:val="auto"/>
          <w:highlight w:val="none"/>
        </w:rPr>
        <w:t xml:space="preserve"> </w:t>
      </w:r>
      <w:r/>
    </w:p>
    <w:p>
      <w:pPr>
        <w:pStyle w:val="779"/>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投标文件格式</w:t>
      </w:r>
      <w:r/>
    </w:p>
    <w:p>
      <w:pPr>
        <w:pStyle w:val="724"/>
        <w:ind w:left="425" w:right="46" w:firstLine="10"/>
        <w:spacing w:after="0" w:line="440" w:lineRule="exact"/>
        <w:rPr>
          <w:rFonts w:ascii="仿宋" w:hAnsi="仿宋" w:eastAsia="仿宋" w:cs="仿宋"/>
          <w:b/>
          <w:bCs/>
          <w:color w:val="auto"/>
          <w:spacing w:val="14"/>
          <w:highlight w:val="none"/>
        </w:rPr>
      </w:pPr>
      <w:r>
        <w:rPr>
          <w:rFonts w:hint="eastAsia" w:ascii="仿宋" w:hAnsi="仿宋" w:eastAsia="仿宋" w:cs="仿宋"/>
          <w:b/>
          <w:bCs/>
          <w:color w:val="auto"/>
          <w:spacing w:val="14"/>
          <w:highlight w:val="none"/>
        </w:rPr>
        <w:t xml:space="preserve">对招标文件所作的澄清、修改，构成招标文件的组成部分。 </w:t>
      </w:r>
      <w:r/>
    </w:p>
    <w:p>
      <w:pPr>
        <w:pStyle w:val="724"/>
        <w:ind w:left="425" w:right="46" w:firstLine="10"/>
        <w:spacing w:after="0" w:line="440" w:lineRule="exact"/>
        <w:rPr>
          <w:rFonts w:ascii="仿宋" w:hAnsi="仿宋" w:eastAsia="仿宋" w:cs="仿宋"/>
          <w:b/>
          <w:bCs/>
          <w:color w:val="auto"/>
          <w:spacing w:val="14"/>
          <w:highlight w:val="none"/>
        </w:rPr>
      </w:pPr>
      <w:r>
        <w:rPr>
          <w:rFonts w:hint="eastAsia" w:ascii="仿宋" w:hAnsi="仿宋" w:eastAsia="仿宋" w:cs="仿宋"/>
          <w:b/>
          <w:bCs/>
          <w:color w:val="auto"/>
          <w:spacing w:val="14"/>
          <w:highlight w:val="none"/>
        </w:rPr>
        <w:t xml:space="preserve">招标文件、招标文件的澄清或修改等在同一内容的表述上不一致时，以最后发出的书面文件为准。</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招标文件的澄清</w:t>
      </w:r>
      <w:r/>
    </w:p>
    <w:p>
      <w:pPr>
        <w:pStyle w:val="779"/>
        <w:numPr>
          <w:ilvl w:val="2"/>
          <w:numId w:val="10"/>
        </w:numPr>
        <w:ind w:left="426" w:right="46" w:hanging="852"/>
        <w:spacing w:line="440" w:lineRule="exact"/>
        <w:tabs>
          <w:tab w:val="left" w:pos="440" w:leader="none"/>
          <w:tab w:val="left" w:pos="8789"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投标人应仔细阅读和检查招标文件的全部内容。如发现缺页或附件不</w:t>
      </w:r>
      <w:r>
        <w:rPr>
          <w:rFonts w:hint="eastAsia" w:ascii="仿宋" w:hAnsi="仿宋" w:eastAsia="仿宋" w:cs="仿宋"/>
          <w:bCs/>
          <w:color w:val="auto"/>
          <w:spacing w:val="-10"/>
          <w:highlight w:val="none"/>
        </w:rPr>
        <w:t xml:space="preserve">全，应及时向采购人提出，以便补齐。如有疑问，应在投标人须知前附表规定的时间前以书面形式</w:t>
      </w:r>
      <w:r>
        <w:rPr>
          <w:rFonts w:hint="eastAsia" w:ascii="仿宋" w:hAnsi="仿宋" w:eastAsia="仿宋" w:cs="仿宋"/>
          <w:bCs/>
          <w:color w:val="auto"/>
          <w:spacing w:val="-1"/>
          <w:highlight w:val="none"/>
        </w:rPr>
        <w:t xml:space="preserve">，要求采购人对招标文件予以澄清。</w:t>
      </w:r>
      <w:r/>
    </w:p>
    <w:p>
      <w:pPr>
        <w:pStyle w:val="779"/>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招标文件的澄清将在投标人须知前附表规定的投标截止时间 </w:t>
      </w:r>
      <w:r>
        <w:rPr>
          <w:rFonts w:hint="eastAsia" w:ascii="仿宋" w:hAnsi="仿宋" w:eastAsia="仿宋" w:cs="仿宋"/>
          <w:bCs/>
          <w:color w:val="auto"/>
          <w:spacing w:val="-5"/>
          <w:highlight w:val="none"/>
          <w:lang w:val="en-US"/>
        </w:rPr>
        <w:t xml:space="preserve">15 </w:t>
      </w:r>
      <w:r>
        <w:rPr>
          <w:rFonts w:hint="eastAsia" w:ascii="仿宋" w:hAnsi="仿宋" w:eastAsia="仿宋" w:cs="仿宋"/>
          <w:bCs/>
          <w:color w:val="auto"/>
          <w:spacing w:val="-5"/>
          <w:highlight w:val="none"/>
        </w:rPr>
        <w:t xml:space="preserve">天前以书面形式发给所有购买招标文件的投标人，但不指明澄清问题的来源。如果澄清发出的时间距投标截止时间不足 </w:t>
      </w:r>
      <w:r>
        <w:rPr>
          <w:rFonts w:hint="eastAsia" w:ascii="仿宋" w:hAnsi="仿宋" w:eastAsia="仿宋" w:cs="仿宋"/>
          <w:bCs/>
          <w:color w:val="auto"/>
          <w:spacing w:val="-5"/>
          <w:highlight w:val="none"/>
          <w:lang w:val="en-US"/>
        </w:rPr>
        <w:t xml:space="preserve">15 </w:t>
      </w:r>
      <w:r>
        <w:rPr>
          <w:rFonts w:hint="eastAsia" w:ascii="仿宋" w:hAnsi="仿宋" w:eastAsia="仿宋" w:cs="仿宋"/>
          <w:bCs/>
          <w:color w:val="auto"/>
          <w:spacing w:val="-5"/>
          <w:highlight w:val="none"/>
        </w:rPr>
        <w:t xml:space="preserve">天，相应延长投标截止时间。 </w:t>
      </w:r>
      <w:r/>
    </w:p>
    <w:p>
      <w:pPr>
        <w:pStyle w:val="779"/>
        <w:numPr>
          <w:ilvl w:val="2"/>
          <w:numId w:val="10"/>
        </w:numPr>
        <w:ind w:left="426" w:right="46" w:hanging="852"/>
        <w:spacing w:line="440" w:lineRule="exact"/>
        <w:tabs>
          <w:tab w:val="left" w:pos="440" w:leader="none"/>
          <w:tab w:val="left" w:pos="8789"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投标人在收到澄清后，应在投标人须知前附表规定的时间内以书面形式通知采购人，确认己收到该澄清，</w:t>
      </w:r>
      <w:r>
        <w:rPr>
          <w:rFonts w:hint="eastAsia" w:ascii="仿宋" w:hAnsi="仿宋" w:eastAsia="仿宋" w:cs="仿宋"/>
          <w:bCs/>
          <w:color w:val="auto"/>
          <w:spacing w:val="-5"/>
          <w:highlight w:val="none"/>
          <w:lang w:val="en-US"/>
        </w:rPr>
        <w:t xml:space="preserve">在发出澄清的一个工作日内未回复的，视为已收到澄清</w:t>
      </w:r>
      <w:r>
        <w:rPr>
          <w:rFonts w:hint="eastAsia" w:ascii="仿宋" w:hAnsi="仿宋" w:eastAsia="仿宋" w:cs="仿宋"/>
          <w:bCs/>
          <w:color w:val="auto"/>
          <w:spacing w:val="-5"/>
          <w:highlight w:val="none"/>
        </w:rPr>
        <w:t xml:space="preserve">。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招标文件的修改</w:t>
      </w:r>
      <w:r/>
    </w:p>
    <w:p>
      <w:pPr>
        <w:pStyle w:val="779"/>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在投标截止时间15天前，采购人可以书面形式修改招标文件，并通知所有已购买招标文件的投标人。如果修改招标文件的时间距投标截止时间不足15天，相应延长投标截止时间。 </w:t>
      </w:r>
      <w:r/>
    </w:p>
    <w:p>
      <w:pPr>
        <w:pStyle w:val="779"/>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投标人收到修改内容后，应在投标人须知前附表规定的时间内以书面形式通知采购人，确认己收到该修改，</w:t>
      </w:r>
      <w:r>
        <w:rPr>
          <w:rFonts w:hint="eastAsia" w:ascii="仿宋" w:hAnsi="仿宋" w:eastAsia="仿宋" w:cs="仿宋"/>
          <w:bCs/>
          <w:color w:val="auto"/>
          <w:spacing w:val="-5"/>
          <w:highlight w:val="none"/>
          <w:lang w:val="en-US"/>
        </w:rPr>
        <w:t xml:space="preserve">在发出修改的一个工作日内未回复的，视为已收到修改</w:t>
      </w:r>
      <w:r>
        <w:rPr>
          <w:rFonts w:hint="eastAsia" w:ascii="仿宋" w:hAnsi="仿宋" w:eastAsia="仿宋" w:cs="仿宋"/>
          <w:bCs/>
          <w:color w:val="auto"/>
          <w:spacing w:val="-5"/>
          <w:highlight w:val="none"/>
        </w:rPr>
        <w:t xml:space="preserve">。</w:t>
      </w:r>
      <w:r/>
    </w:p>
    <w:p>
      <w:pPr>
        <w:pStyle w:val="779"/>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投标文件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投标文件的组成</w:t>
      </w:r>
      <w:r/>
    </w:p>
    <w:p>
      <w:pPr>
        <w:pStyle w:val="779"/>
        <w:ind w:left="426" w:right="46" w:firstLine="0"/>
        <w:spacing w:line="440" w:lineRule="exact"/>
        <w:tabs>
          <w:tab w:val="left" w:pos="2884" w:leader="none"/>
          <w:tab w:val="left" w:pos="8789" w:leader="none"/>
        </w:tabs>
        <w:rPr>
          <w:rFonts w:ascii="仿宋" w:hAnsi="仿宋" w:eastAsia="仿宋" w:cs="仿宋"/>
          <w:bCs/>
          <w:color w:val="auto"/>
          <w:highlight w:val="none"/>
          <w:lang w:val="en-US"/>
        </w:rPr>
      </w:pPr>
      <w:r>
        <w:rPr>
          <w:rFonts w:hint="eastAsia" w:ascii="仿宋" w:hAnsi="仿宋" w:eastAsia="仿宋" w:cs="仿宋"/>
          <w:bCs/>
          <w:color w:val="auto"/>
          <w:spacing w:val="-5"/>
          <w:highlight w:val="none"/>
        </w:rPr>
        <w:t xml:space="preserve">投标人编写的投标文件应包括下列部分：内容及格式详见第六章“投标文件格式”。</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投标报价</w:t>
      </w:r>
      <w:r/>
    </w:p>
    <w:p>
      <w:pPr>
        <w:pStyle w:val="779"/>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spacing w:val="-2"/>
          <w:highlight w:val="none"/>
        </w:rPr>
        <w:t xml:space="preserve">投标人应按本招标文件中“投标文件格式”的要求填写相应表格。</w:t>
      </w:r>
      <w:r/>
    </w:p>
    <w:p>
      <w:pPr>
        <w:pStyle w:val="779"/>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spacing w:val="-2"/>
          <w:highlight w:val="none"/>
        </w:rPr>
        <w:t xml:space="preserve">投标人在投标截止时间前修改投标函中的投标总报价，应同时修改本招标文件中“投标文件格式”中的相应报价。此修改须符合本</w:t>
      </w:r>
      <w:r>
        <w:rPr>
          <w:rFonts w:hint="eastAsia" w:ascii="仿宋" w:hAnsi="仿宋" w:eastAsia="仿宋" w:cs="仿宋"/>
          <w:bCs/>
          <w:color w:val="auto"/>
          <w:spacing w:val="-13"/>
          <w:highlight w:val="none"/>
        </w:rPr>
        <w:t xml:space="preserve">章第 </w:t>
      </w:r>
      <w:r>
        <w:rPr>
          <w:rFonts w:hint="eastAsia" w:ascii="仿宋" w:hAnsi="仿宋" w:eastAsia="仿宋" w:cs="仿宋"/>
          <w:bCs/>
          <w:color w:val="auto"/>
          <w:highlight w:val="none"/>
        </w:rPr>
        <w:t xml:space="preserve">4.3</w:t>
      </w:r>
      <w:r>
        <w:rPr>
          <w:rFonts w:hint="eastAsia" w:ascii="仿宋" w:hAnsi="仿宋" w:eastAsia="仿宋" w:cs="仿宋"/>
          <w:bCs/>
          <w:color w:val="auto"/>
          <w:spacing w:val="-12"/>
          <w:highlight w:val="none"/>
        </w:rPr>
        <w:t xml:space="preserve">款的有关要求。 </w:t>
      </w:r>
      <w:r/>
    </w:p>
    <w:p>
      <w:pPr>
        <w:pStyle w:val="779"/>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3"/>
          <w:highlight w:val="none"/>
        </w:rPr>
        <w:t xml:space="preserve">采购人设有最高限价的，投标人的投标报价不得超过最高限价</w:t>
      </w:r>
      <w:r>
        <w:rPr>
          <w:rFonts w:hint="eastAsia" w:ascii="仿宋" w:hAnsi="仿宋" w:eastAsia="仿宋" w:cs="仿宋"/>
          <w:bCs/>
          <w:color w:val="auto"/>
          <w:spacing w:val="-4"/>
          <w:highlight w:val="none"/>
        </w:rPr>
        <w:t xml:space="preserve">，</w:t>
      </w:r>
      <w:r>
        <w:rPr>
          <w:rFonts w:hint="eastAsia" w:ascii="仿宋" w:hAnsi="仿宋" w:eastAsia="仿宋" w:cs="仿宋"/>
          <w:bCs/>
          <w:color w:val="auto"/>
          <w:spacing w:val="-3"/>
          <w:highlight w:val="none"/>
        </w:rPr>
        <w:t xml:space="preserve">最高限价</w:t>
      </w:r>
      <w:r>
        <w:rPr>
          <w:rFonts w:hint="eastAsia" w:ascii="仿宋" w:hAnsi="仿宋" w:eastAsia="仿宋" w:cs="仿宋"/>
          <w:bCs/>
          <w:color w:val="auto"/>
          <w:spacing w:val="-4"/>
          <w:highlight w:val="none"/>
        </w:rPr>
        <w:t xml:space="preserve">详见投标人须知前附表。</w:t>
      </w:r>
      <w:r/>
    </w:p>
    <w:p>
      <w:pPr>
        <w:pStyle w:val="779"/>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投标报价的其他要求详见投标人须知前附表。</w:t>
      </w:r>
      <w:r/>
    </w:p>
    <w:p>
      <w:pPr>
        <w:pStyle w:val="779"/>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投标人的报价不仅应包括招标文件提供的技术条款上所标明的，还应包括任何未明确标出的，全套系统安装后保证正常安全运行所不可缺少的配件及附件的全部费用。</w:t>
      </w:r>
      <w:r/>
    </w:p>
    <w:p>
      <w:pPr>
        <w:pStyle w:val="779"/>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投标人的投标报价，应是完成</w:t>
      </w:r>
      <w:r>
        <w:rPr>
          <w:rFonts w:hint="eastAsia" w:ascii="仿宋" w:hAnsi="仿宋" w:eastAsia="仿宋" w:cs="仿宋"/>
          <w:bCs/>
          <w:color w:val="auto"/>
          <w:highlight w:val="none"/>
          <w:lang w:val="en-US"/>
        </w:rPr>
        <w:t xml:space="preserve">本文件</w:t>
      </w:r>
      <w:r>
        <w:rPr>
          <w:rFonts w:hint="eastAsia" w:ascii="仿宋" w:hAnsi="仿宋" w:eastAsia="仿宋" w:cs="仿宋"/>
          <w:bCs/>
          <w:color w:val="auto"/>
          <w:highlight w:val="none"/>
        </w:rPr>
        <w:t xml:space="preserve">所列招标</w:t>
      </w:r>
      <w:r>
        <w:rPr>
          <w:rFonts w:hint="eastAsia" w:ascii="仿宋" w:hAnsi="仿宋" w:eastAsia="仿宋" w:cs="仿宋"/>
          <w:bCs/>
          <w:color w:val="auto"/>
          <w:highlight w:val="none"/>
          <w:lang w:val="en-US"/>
        </w:rPr>
        <w:t xml:space="preserve">项目</w:t>
      </w:r>
      <w:r>
        <w:rPr>
          <w:rFonts w:hint="eastAsia" w:ascii="仿宋" w:hAnsi="仿宋" w:eastAsia="仿宋" w:cs="仿宋"/>
          <w:bCs/>
          <w:color w:val="auto"/>
          <w:highlight w:val="none"/>
        </w:rPr>
        <w:t xml:space="preserve">范围及</w:t>
      </w:r>
      <w:r>
        <w:rPr>
          <w:rFonts w:hint="eastAsia" w:ascii="仿宋" w:hAnsi="仿宋" w:eastAsia="仿宋" w:cs="仿宋"/>
          <w:bCs/>
          <w:color w:val="auto"/>
          <w:highlight w:val="none"/>
          <w:lang w:val="en-US"/>
        </w:rPr>
        <w:t xml:space="preserve">项目完成期</w:t>
      </w:r>
      <w:r>
        <w:rPr>
          <w:rFonts w:hint="eastAsia" w:ascii="仿宋" w:hAnsi="仿宋" w:eastAsia="仿宋" w:cs="仿宋"/>
          <w:bCs/>
          <w:color w:val="auto"/>
          <w:highlight w:val="none"/>
        </w:rPr>
        <w:t xml:space="preserve">的全部，</w:t>
      </w:r>
      <w:r>
        <w:rPr>
          <w:rFonts w:hint="eastAsia" w:ascii="仿宋" w:hAnsi="仿宋" w:eastAsia="仿宋" w:cs="仿宋"/>
          <w:bCs/>
          <w:color w:val="auto"/>
          <w:highlight w:val="none"/>
          <w:lang w:val="en-US"/>
        </w:rPr>
        <w:t xml:space="preserve">除招标文件中规定的可调整内容外，</w:t>
      </w:r>
      <w:r>
        <w:rPr>
          <w:rFonts w:hint="eastAsia" w:ascii="仿宋" w:hAnsi="仿宋" w:eastAsia="仿宋" w:cs="仿宋"/>
          <w:bCs/>
          <w:color w:val="auto"/>
          <w:highlight w:val="none"/>
        </w:rPr>
        <w:t xml:space="preserve">不得以任何理由予以</w:t>
      </w:r>
      <w:r>
        <w:rPr>
          <w:rFonts w:hint="eastAsia" w:ascii="仿宋" w:hAnsi="仿宋" w:eastAsia="仿宋" w:cs="仿宋"/>
          <w:bCs/>
          <w:color w:val="auto"/>
          <w:highlight w:val="none"/>
          <w:lang w:val="en-US"/>
        </w:rPr>
        <w:t xml:space="preserve">调整</w:t>
      </w:r>
      <w:r>
        <w:rPr>
          <w:rFonts w:hint="eastAsia" w:ascii="仿宋" w:hAnsi="仿宋" w:eastAsia="仿宋" w:cs="仿宋"/>
          <w:bCs/>
          <w:color w:val="auto"/>
          <w:highlight w:val="none"/>
        </w:rPr>
        <w:t xml:space="preserve">，作为投标人计算单价或总价的依据。</w:t>
      </w:r>
      <w:r/>
    </w:p>
    <w:p>
      <w:pPr>
        <w:pStyle w:val="779"/>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采购人</w:t>
      </w:r>
      <w:r>
        <w:rPr>
          <w:rFonts w:hint="eastAsia" w:ascii="仿宋" w:hAnsi="仿宋" w:eastAsia="仿宋" w:cs="仿宋"/>
          <w:bCs/>
          <w:color w:val="auto"/>
          <w:highlight w:val="none"/>
          <w:lang w:val="en-US"/>
        </w:rPr>
        <w:t xml:space="preserve">仅</w:t>
      </w:r>
      <w:r>
        <w:rPr>
          <w:rFonts w:hint="eastAsia" w:ascii="仿宋" w:hAnsi="仿宋" w:eastAsia="仿宋" w:cs="仿宋"/>
          <w:bCs/>
          <w:color w:val="auto"/>
          <w:highlight w:val="none"/>
        </w:rPr>
        <w:t xml:space="preserve">提供设备存放场地。</w:t>
      </w:r>
      <w:r>
        <w:rPr>
          <w:rFonts w:hint="eastAsia" w:ascii="仿宋" w:hAnsi="仿宋" w:eastAsia="仿宋" w:cs="仿宋"/>
          <w:bCs/>
          <w:color w:val="auto"/>
          <w:highlight w:val="none"/>
          <w:lang w:val="en-US"/>
        </w:rPr>
        <w:t xml:space="preserve">投标人应考虑</w:t>
      </w:r>
      <w:r>
        <w:rPr>
          <w:rFonts w:hint="eastAsia" w:ascii="仿宋" w:hAnsi="仿宋" w:eastAsia="仿宋" w:cs="仿宋"/>
          <w:bCs/>
          <w:color w:val="auto"/>
          <w:highlight w:val="none"/>
        </w:rPr>
        <w:t xml:space="preserve">设备装卸、安装时所需的水电、脚手架、墙体开孔（含修复）及其他所需费用，全部包括在投标报价内。</w:t>
      </w:r>
      <w:r/>
    </w:p>
    <w:p>
      <w:pPr>
        <w:pStyle w:val="779"/>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安装调试过程中所需的材料、设备等由中标人自行解决，相关费用包含在投标报价中。</w:t>
      </w:r>
      <w:r/>
    </w:p>
    <w:p>
      <w:pPr>
        <w:pStyle w:val="779"/>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《开标一览表》作为投标人投标报价的依据，投标人对《开标一览表》、《</w:t>
      </w:r>
      <w:r>
        <w:rPr>
          <w:rFonts w:hint="eastAsia" w:ascii="仿宋" w:hAnsi="仿宋" w:eastAsia="仿宋" w:cs="仿宋"/>
          <w:bCs/>
          <w:color w:val="auto"/>
          <w:highlight w:val="none"/>
          <w:lang w:val="en-US"/>
        </w:rPr>
        <w:t xml:space="preserve">明细报价表</w:t>
      </w:r>
      <w:r>
        <w:rPr>
          <w:rFonts w:hint="eastAsia" w:ascii="仿宋" w:hAnsi="仿宋" w:eastAsia="仿宋" w:cs="仿宋"/>
          <w:bCs/>
          <w:color w:val="auto"/>
          <w:highlight w:val="none"/>
        </w:rPr>
        <w:t xml:space="preserve">》中所列的项目名称、计量单位、数量均不能更改，否则视为不响应招标文件，作无效标处理。 </w:t>
      </w:r>
      <w:r/>
    </w:p>
    <w:p>
      <w:pPr>
        <w:pStyle w:val="779"/>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投标人应按招标文件要求在《</w:t>
      </w:r>
      <w:r>
        <w:rPr>
          <w:rFonts w:hint="eastAsia" w:ascii="仿宋" w:hAnsi="仿宋" w:eastAsia="仿宋" w:cs="仿宋"/>
          <w:bCs/>
          <w:color w:val="auto"/>
          <w:highlight w:val="none"/>
          <w:lang w:val="en-US"/>
        </w:rPr>
        <w:t xml:space="preserve">明细报价表</w:t>
      </w:r>
      <w:r>
        <w:rPr>
          <w:rFonts w:hint="eastAsia" w:ascii="仿宋" w:hAnsi="仿宋" w:eastAsia="仿宋" w:cs="仿宋"/>
          <w:bCs/>
          <w:color w:val="auto"/>
          <w:highlight w:val="none"/>
        </w:rPr>
        <w:t xml:space="preserve">》中列出的项目填报单价和合价。每一项目只允许有一个报价，任何有选择的报价将不予接受，投标人未填单价或合价的项目，在实施后，采购人将不予以支付，并视作该项费用已包括在其它有价款的单价或合价内。</w:t>
      </w:r>
      <w:r/>
    </w:p>
    <w:p>
      <w:pPr>
        <w:pStyle w:val="779"/>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《明细报价表》由投标人根据招标文件要求、投标人拟优化方案及自身经验，自行填报。投标人按要求应列入而未列入的设施设备、措施服务等，均认为已含在本表中。</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7" w:name="3.3_投标有效期"/>
      <w:r/>
      <w:bookmarkEnd w:id="7"/>
      <w:r>
        <w:rPr>
          <w:rFonts w:hint="eastAsia" w:ascii="仿宋" w:hAnsi="仿宋" w:eastAsia="仿宋" w:cs="仿宋"/>
          <w:b w:val="0"/>
          <w:color w:val="auto"/>
          <w:spacing w:val="14"/>
          <w:sz w:val="22"/>
          <w:szCs w:val="22"/>
          <w:highlight w:val="none"/>
        </w:rPr>
        <w:t xml:space="preserve">投标有效期</w:t>
      </w:r>
      <w:r/>
    </w:p>
    <w:p>
      <w:pPr>
        <w:pStyle w:val="779"/>
        <w:numPr>
          <w:ilvl w:val="2"/>
          <w:numId w:val="10"/>
        </w:numPr>
        <w:ind w:left="426"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在投标人须知前附表规定的投标有效期内，投标人不得撤销其投标文件。 </w:t>
      </w:r>
      <w:r/>
    </w:p>
    <w:p>
      <w:pPr>
        <w:pStyle w:val="779"/>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8" w:name="3.4_投标保证金"/>
      <w:r/>
      <w:bookmarkEnd w:id="8"/>
      <w:r>
        <w:rPr>
          <w:rFonts w:hint="eastAsia" w:ascii="仿宋" w:hAnsi="仿宋" w:eastAsia="仿宋" w:cs="仿宋"/>
          <w:b w:val="0"/>
          <w:color w:val="auto"/>
          <w:spacing w:val="14"/>
          <w:sz w:val="22"/>
          <w:szCs w:val="22"/>
          <w:highlight w:val="none"/>
        </w:rPr>
        <w:t xml:space="preserve">投标保证金</w:t>
      </w:r>
      <w:r/>
    </w:p>
    <w:p>
      <w:pPr>
        <w:pStyle w:val="779"/>
        <w:numPr>
          <w:ilvl w:val="2"/>
          <w:numId w:val="10"/>
        </w:numPr>
        <w:ind w:left="425"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本项目不收取</w:t>
      </w:r>
      <w:r>
        <w:rPr>
          <w:rFonts w:hint="eastAsia" w:ascii="仿宋" w:hAnsi="仿宋" w:eastAsia="仿宋" w:cs="仿宋"/>
          <w:bCs/>
          <w:color w:val="auto"/>
          <w:spacing w:val="-3"/>
          <w:highlight w:val="none"/>
        </w:rPr>
        <w:t xml:space="preserve">投标保证金。  </w:t>
      </w:r>
      <w:r/>
    </w:p>
    <w:p>
      <w:pPr>
        <w:pStyle w:val="715"/>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资格审查资料</w:t>
      </w:r>
      <w:r/>
    </w:p>
    <w:p>
      <w:pPr>
        <w:pStyle w:val="779"/>
        <w:numPr>
          <w:ilvl w:val="2"/>
          <w:numId w:val="10"/>
        </w:numPr>
        <w:ind w:left="425"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“投标人基本情况表”应附投标人营业执照副本、资质证书副本等材料的复印件。 </w:t>
      </w:r>
      <w:r/>
    </w:p>
    <w:p>
      <w:pPr>
        <w:pStyle w:val="779"/>
        <w:numPr>
          <w:ilvl w:val="2"/>
          <w:numId w:val="10"/>
        </w:numPr>
        <w:ind w:left="425"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投标单位应本着诚实信用的原则，提供真实可信的资格审查资料。若投标单位提供虚假资料，一经查实，除按否决投标处理外，其投标保证金不予退还。 </w:t>
      </w:r>
      <w:r/>
    </w:p>
    <w:p>
      <w:pPr>
        <w:pStyle w:val="779"/>
        <w:numPr>
          <w:ilvl w:val="2"/>
          <w:numId w:val="10"/>
        </w:numPr>
        <w:ind w:left="425"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实质性响应招标文件及评审打分资料详见投标人须知前附表。 </w:t>
      </w:r>
      <w:r/>
    </w:p>
    <w:p>
      <w:pPr>
        <w:pStyle w:val="715"/>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9" w:name="3.6备选投标方案"/>
      <w:r/>
      <w:bookmarkEnd w:id="9"/>
      <w:r>
        <w:rPr>
          <w:rFonts w:hint="eastAsia" w:ascii="仿宋" w:hAnsi="仿宋" w:eastAsia="仿宋" w:cs="仿宋"/>
          <w:b w:val="0"/>
          <w:color w:val="auto"/>
          <w:spacing w:val="14"/>
          <w:sz w:val="22"/>
          <w:szCs w:val="22"/>
          <w:highlight w:val="none"/>
        </w:rPr>
        <w:t xml:space="preserve">备选投标方案</w:t>
      </w:r>
      <w:r/>
    </w:p>
    <w:p>
      <w:pPr>
        <w:pStyle w:val="724"/>
        <w:ind w:left="425" w:right="-96"/>
        <w:spacing w:after="0" w:line="440" w:lineRule="exact"/>
        <w:rPr>
          <w:rFonts w:ascii="仿宋" w:hAnsi="仿宋" w:eastAsia="仿宋" w:cs="仿宋"/>
          <w:bCs/>
          <w:color w:val="auto"/>
          <w:highlight w:val="none"/>
        </w:rPr>
      </w:pPr>
      <w:r>
        <w:rPr>
          <w:rFonts w:hint="eastAsia" w:ascii="仿宋" w:hAnsi="仿宋" w:eastAsia="仿宋" w:cs="仿宋"/>
          <w:bCs/>
          <w:color w:val="auto"/>
          <w:spacing w:val="-6"/>
          <w:highlight w:val="none"/>
        </w:rPr>
        <w:t xml:space="preserve">投标人不得递交备选投标方案。</w:t>
      </w:r>
      <w:r/>
    </w:p>
    <w:p>
      <w:pPr>
        <w:pStyle w:val="715"/>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投标文件的编制</w:t>
      </w:r>
      <w:r/>
    </w:p>
    <w:p>
      <w:pPr>
        <w:pStyle w:val="779"/>
        <w:numPr>
          <w:ilvl w:val="2"/>
          <w:numId w:val="10"/>
        </w:numPr>
        <w:ind w:left="425" w:right="-96" w:hanging="852"/>
        <w:spacing w:line="440" w:lineRule="exact"/>
        <w:tabs>
          <w:tab w:val="left" w:pos="440" w:leader="none"/>
          <w:tab w:val="left" w:pos="8222" w:leader="none"/>
        </w:tabs>
        <w:rPr>
          <w:rFonts w:ascii="仿宋" w:hAnsi="仿宋" w:eastAsia="仿宋" w:cs="仿宋"/>
          <w:bCs/>
          <w:color w:val="auto"/>
          <w:highlight w:val="none"/>
        </w:rPr>
      </w:pPr>
      <w:r>
        <w:rPr>
          <w:rFonts w:hint="eastAsia" w:ascii="仿宋" w:hAnsi="仿宋" w:eastAsia="仿宋" w:cs="仿宋"/>
          <w:bCs/>
          <w:color w:val="auto"/>
          <w:spacing w:val="-4"/>
          <w:highlight w:val="none"/>
        </w:rPr>
        <w:t xml:space="preserve">投标文件应按第六章“投标文件格式”进行编写，如有必要，可以增</w:t>
      </w:r>
      <w:r>
        <w:rPr>
          <w:rFonts w:hint="eastAsia" w:ascii="仿宋" w:hAnsi="仿宋" w:eastAsia="仿宋" w:cs="仿宋"/>
          <w:bCs/>
          <w:color w:val="auto"/>
          <w:spacing w:val="-11"/>
          <w:highlight w:val="none"/>
        </w:rPr>
        <w:t xml:space="preserve">加附页，作为投标文件的组成部分。其中，投标函在满足招标文件实质性要求的基础上，可以提出比招标文件要求更有利于采购人的承诺。</w:t>
      </w:r>
      <w:r/>
    </w:p>
    <w:p>
      <w:pPr>
        <w:pStyle w:val="779"/>
        <w:numPr>
          <w:ilvl w:val="2"/>
          <w:numId w:val="10"/>
        </w:numPr>
        <w:ind w:left="426" w:right="-96" w:hanging="852"/>
        <w:spacing w:line="440" w:lineRule="exact"/>
        <w:tabs>
          <w:tab w:val="left" w:pos="440" w:leader="none"/>
        </w:tabs>
        <w:rPr>
          <w:rFonts w:ascii="仿宋" w:hAnsi="仿宋" w:eastAsia="仿宋" w:cs="仿宋"/>
          <w:bCs/>
          <w:color w:val="auto"/>
          <w:spacing w:val="-4"/>
          <w:highlight w:val="none"/>
        </w:rPr>
      </w:pPr>
      <w:r>
        <w:rPr>
          <w:rFonts w:hint="eastAsia" w:ascii="仿宋" w:hAnsi="仿宋" w:eastAsia="仿宋" w:cs="仿宋"/>
          <w:bCs/>
          <w:color w:val="auto"/>
          <w:spacing w:val="-4"/>
          <w:highlight w:val="none"/>
          <w:lang w:val="en-US"/>
        </w:rPr>
        <w:t xml:space="preserve">投标文件组成：</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评分索引表</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投标书</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开标一览表</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报价明细表</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中小企业声明函及残疾人福利性单位声明函</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供应商信用承诺书</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资格证明文件</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法定代表人身份证明书</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授权委托书</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类似业绩情况一览表</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技术条款响应表</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商务条款响应表</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投标设备说明</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项目方案</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投入本项目的技术人员数量及技术等级</w:t>
      </w:r>
      <w:r/>
    </w:p>
    <w:p>
      <w:pPr>
        <w:pStyle w:val="779"/>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投标人可供选择的备品、配套零部件、易损易耗件价格表</w:t>
      </w:r>
      <w:r/>
    </w:p>
    <w:p>
      <w:pPr>
        <w:pStyle w:val="779"/>
        <w:numPr>
          <w:ilvl w:val="0"/>
          <w:numId w:val="12"/>
        </w:numPr>
        <w:spacing w:line="440" w:lineRule="exact"/>
        <w:tabs>
          <w:tab w:val="left" w:pos="426" w:leader="none"/>
        </w:tabs>
        <w:rPr>
          <w:rFonts w:ascii="仿宋" w:hAnsi="仿宋" w:eastAsia="仿宋" w:cs="仿宋"/>
          <w:bCs/>
          <w:color w:val="auto"/>
          <w:highlight w:val="none"/>
        </w:rPr>
      </w:pPr>
      <w:r>
        <w:rPr>
          <w:rFonts w:hint="eastAsia" w:ascii="仿宋" w:hAnsi="仿宋" w:eastAsia="仿宋" w:cs="仿宋"/>
          <w:color w:val="auto"/>
          <w:highlight w:val="none"/>
        </w:rPr>
        <w:t xml:space="preserve">投标人认为应该提交的其他资料</w:t>
      </w:r>
      <w:r/>
    </w:p>
    <w:p>
      <w:pPr>
        <w:pStyle w:val="779"/>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 </w:t>
      </w: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z w:val="22"/>
          <w:szCs w:val="22"/>
          <w:highlight w:val="none"/>
        </w:rPr>
      </w:pPr>
      <w:r/>
      <w:bookmarkStart w:id="10" w:name="4.1_投标文件的密封和标记"/>
      <w:r/>
      <w:bookmarkEnd w:id="10"/>
      <w:r>
        <w:rPr>
          <w:rFonts w:hint="eastAsia" w:ascii="仿宋" w:hAnsi="仿宋" w:eastAsia="仿宋" w:cs="仿宋"/>
          <w:b w:val="0"/>
          <w:color w:val="auto"/>
          <w:spacing w:val="5"/>
          <w:sz w:val="22"/>
          <w:szCs w:val="22"/>
          <w:highlight w:val="none"/>
        </w:rPr>
        <w:t xml:space="preserve">电子投标文件的递交投标人应当按照《操作手册》规定，在投标截止时间前制作并上传电子投标文件。</w:t>
      </w:r>
      <w:r/>
    </w:p>
    <w:p>
      <w:pPr>
        <w:pStyle w:val="715"/>
        <w:numPr>
          <w:ilvl w:val="1"/>
          <w:numId w:val="10"/>
        </w:numPr>
        <w:ind w:left="426" w:hanging="852"/>
        <w:keepLines w:val="0"/>
        <w:keepNext w:val="0"/>
        <w:spacing w:before="0" w:after="0" w:line="440" w:lineRule="exact"/>
        <w:rPr>
          <w:rFonts w:ascii="仿宋" w:hAnsi="仿宋" w:eastAsia="仿宋" w:cs="仿宋"/>
          <w:b w:val="0"/>
          <w:color w:val="auto"/>
          <w:highlight w:val="none"/>
        </w:rPr>
      </w:pPr>
      <w:r/>
      <w:bookmarkStart w:id="11" w:name="4.2_投标文件的递交"/>
      <w:r/>
      <w:bookmarkEnd w:id="11"/>
      <w:r>
        <w:rPr>
          <w:rFonts w:hint="eastAsia" w:ascii="仿宋" w:hAnsi="仿宋" w:eastAsia="仿宋" w:cs="仿宋"/>
          <w:b w:val="0"/>
          <w:color w:val="auto"/>
          <w:spacing w:val="5"/>
          <w:sz w:val="22"/>
          <w:szCs w:val="22"/>
          <w:highlight w:val="none"/>
          <w:lang w:val="en-US" w:eastAsia="zh-CN"/>
        </w:rPr>
        <w:t xml:space="preserve">   </w:t>
      </w:r>
      <w:r>
        <w:rPr>
          <w:rFonts w:hint="eastAsia" w:ascii="仿宋" w:hAnsi="仿宋" w:eastAsia="仿宋" w:cs="仿宋"/>
          <w:b w:val="0"/>
          <w:color w:val="auto"/>
          <w:spacing w:val="5"/>
          <w:sz w:val="22"/>
          <w:szCs w:val="22"/>
          <w:highlight w:val="none"/>
        </w:rPr>
        <w:t xml:space="preserve">政府采购管理交易系统（苏采云）相关要求是本招标文件的组成部分。</w:t>
      </w: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投标人应对 CA 证书妥善保管，如被他人盗用投标，因此带来的结果均由投标人自行承担。</w:t>
      </w: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投标人应当对招标文件提出的要求和条件作出实质性响应，并在电子投标系统逐条应答。</w:t>
      </w: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投标人应对要求提供的资格证明文件（如资质证书、资格证书）、技术资料（如白皮书、彩页、手册、检测报告等）扫描上传至投标系统。</w:t>
      </w: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投标人应当在招标文件要求提交投标文件的截止时间前，将投标文件提交至“苏采云”系统，逾期提交的投标文件，“苏采云”系统将自动拒收。</w:t>
      </w: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各投标人应在规定时间内凭CA证书进行网上解密。</w:t>
      </w:r>
      <w:r/>
    </w:p>
    <w:p>
      <w:pPr>
        <w:pStyle w:val="779"/>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开标程序 </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bookmarkStart w:id="12" w:name="5.1_开标时间和地点、参加开标会议的要求"/>
      <w:r/>
      <w:bookmarkEnd w:id="12"/>
      <w:r>
        <w:rPr>
          <w:rFonts w:hint="eastAsia" w:ascii="仿宋" w:hAnsi="仿宋" w:eastAsia="仿宋" w:cs="仿宋"/>
          <w:b w:val="0"/>
          <w:color w:val="auto"/>
          <w:sz w:val="22"/>
          <w:szCs w:val="22"/>
          <w:highlight w:val="none"/>
        </w:rPr>
        <w:t xml:space="preserve">开标时间和地点、参加开标会议的要求</w:t>
      </w:r>
      <w:r/>
    </w:p>
    <w:p>
      <w:pPr>
        <w:pStyle w:val="724"/>
        <w:ind w:left="426" w:right="-96"/>
        <w:spacing w:after="0" w:line="440" w:lineRule="exact"/>
        <w:tabs>
          <w:tab w:val="left" w:pos="8222"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采购人在投标人须知前附表第</w:t>
      </w:r>
      <w:r>
        <w:rPr>
          <w:rFonts w:hint="eastAsia" w:ascii="仿宋" w:hAnsi="仿宋" w:eastAsia="仿宋" w:cs="仿宋"/>
          <w:bCs/>
          <w:color w:val="auto"/>
          <w:highlight w:val="none"/>
          <w:lang w:val="en-US"/>
        </w:rPr>
        <w:t xml:space="preserve">27条</w:t>
      </w:r>
      <w:r>
        <w:rPr>
          <w:rFonts w:hint="eastAsia" w:ascii="仿宋" w:hAnsi="仿宋" w:eastAsia="仿宋" w:cs="仿宋"/>
          <w:bCs/>
          <w:color w:val="auto"/>
          <w:highlight w:val="none"/>
        </w:rPr>
        <w:t xml:space="preserve">规定的投标截止时间（开标时间）和投标人须知前附表规定的地点公开开标，参加开标会议的要求见投标人须知前附表。 </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bookmarkStart w:id="13" w:name="5.2开标"/>
      <w:r/>
      <w:bookmarkEnd w:id="13"/>
      <w:r>
        <w:rPr>
          <w:rFonts w:hint="eastAsia" w:ascii="仿宋" w:hAnsi="仿宋" w:eastAsia="仿宋" w:cs="仿宋"/>
          <w:b w:val="0"/>
          <w:color w:val="auto"/>
          <w:sz w:val="22"/>
          <w:szCs w:val="22"/>
          <w:highlight w:val="none"/>
        </w:rPr>
        <w:t xml:space="preserve">开标</w:t>
      </w:r>
      <w:r/>
    </w:p>
    <w:p>
      <w:pPr>
        <w:pStyle w:val="779"/>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代理机构将在招标公告中规定的时间和地点组织公开开标。投标人应当按照《操作手册》规定，参加开标活动。投标人未参加开标的，视同认可开标结果。</w:t>
      </w:r>
      <w:r/>
    </w:p>
    <w:p>
      <w:pPr>
        <w:pStyle w:val="779"/>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投标人不足3家的，不得开标。 </w:t>
      </w:r>
      <w:r/>
    </w:p>
    <w:p>
      <w:pPr>
        <w:pStyle w:val="779"/>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开标仪式由代理机构主持。“政府采购管理交易系统（苏采云）”将自动对项目进行开标，并宣读各投标人的《开标一览表》。 </w:t>
      </w:r>
      <w:r/>
    </w:p>
    <w:p>
      <w:pPr>
        <w:pStyle w:val="779"/>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投标人在开标过程中涉及到的投标文件解密、开标结果确认等工作，应按照《操作手册》规定执行。</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1"/>
          <w:sz w:val="22"/>
          <w:szCs w:val="22"/>
          <w:highlight w:val="none"/>
        </w:rPr>
      </w:pPr>
      <w:r/>
      <w:bookmarkStart w:id="14" w:name="5.3_开标异议"/>
      <w:r/>
      <w:bookmarkEnd w:id="14"/>
      <w:r>
        <w:rPr>
          <w:rFonts w:hint="eastAsia" w:ascii="仿宋" w:hAnsi="仿宋" w:eastAsia="仿宋" w:cs="仿宋"/>
          <w:b w:val="0"/>
          <w:color w:val="auto"/>
          <w:spacing w:val="-1"/>
          <w:sz w:val="22"/>
          <w:szCs w:val="22"/>
          <w:highlight w:val="none"/>
        </w:rPr>
        <w:t xml:space="preserve">开标异议</w:t>
      </w:r>
      <w:r/>
    </w:p>
    <w:p>
      <w:pPr>
        <w:pStyle w:val="724"/>
        <w:ind w:left="426" w:right="-96"/>
        <w:spacing w:after="0" w:line="440" w:lineRule="exact"/>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投标人对开标有异议的，应当在开标现场提出，采购人当场作出答复，并制作记录。 </w:t>
      </w:r>
      <w:r/>
    </w:p>
    <w:p>
      <w:pPr>
        <w:pStyle w:val="779"/>
        <w:numPr>
          <w:ilvl w:val="0"/>
          <w:numId w:val="10"/>
        </w:numPr>
        <w:ind w:hanging="2469"/>
        <w:spacing w:line="440" w:lineRule="exact"/>
        <w:tabs>
          <w:tab w:val="left" w:pos="426" w:leader="none"/>
        </w:tabs>
        <w:rPr>
          <w:rFonts w:ascii="仿宋" w:hAnsi="仿宋" w:eastAsia="仿宋" w:cs="仿宋"/>
          <w:bCs/>
          <w:color w:val="auto"/>
          <w:spacing w:val="-1"/>
          <w:highlight w:val="none"/>
        </w:rPr>
      </w:pPr>
      <w:r/>
      <w:bookmarkStart w:id="15" w:name="6._评标"/>
      <w:r/>
      <w:bookmarkEnd w:id="15"/>
      <w:r>
        <w:rPr>
          <w:rFonts w:hint="eastAsia" w:ascii="仿宋" w:hAnsi="仿宋" w:eastAsia="仿宋" w:cs="仿宋"/>
          <w:bCs/>
          <w:color w:val="auto"/>
          <w:spacing w:val="-1"/>
          <w:highlight w:val="none"/>
        </w:rPr>
        <w:t xml:space="preserve">评标 </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1"/>
          <w:sz w:val="22"/>
          <w:szCs w:val="22"/>
          <w:highlight w:val="none"/>
        </w:rPr>
      </w:pPr>
      <w:r/>
      <w:bookmarkStart w:id="16" w:name="6.1_评标委员会"/>
      <w:r/>
      <w:bookmarkEnd w:id="16"/>
      <w:r>
        <w:rPr>
          <w:rFonts w:hint="eastAsia" w:ascii="仿宋" w:hAnsi="仿宋" w:eastAsia="仿宋" w:cs="仿宋"/>
          <w:b w:val="0"/>
          <w:color w:val="auto"/>
          <w:spacing w:val="-1"/>
          <w:sz w:val="22"/>
          <w:szCs w:val="22"/>
          <w:highlight w:val="none"/>
        </w:rPr>
        <w:t xml:space="preserve">评标委员会</w:t>
      </w:r>
      <w:r/>
    </w:p>
    <w:p>
      <w:pPr>
        <w:pStyle w:val="779"/>
        <w:ind w:left="426" w:firstLine="0"/>
        <w:spacing w:line="440" w:lineRule="exact"/>
        <w:tabs>
          <w:tab w:val="left" w:pos="127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评标由采购人依法组建的评标委员会负责。评标委员会成员人数以及技术、经济等方面专家的确定方式见投标人须知前附表。</w:t>
      </w:r>
      <w:r/>
    </w:p>
    <w:p>
      <w:pPr>
        <w:pStyle w:val="779"/>
        <w:numPr>
          <w:ilvl w:val="2"/>
          <w:numId w:val="10"/>
        </w:numPr>
        <w:ind w:left="426" w:hanging="852"/>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评标委员会成员有下列情形之一的，应当回避： </w:t>
      </w:r>
      <w:r/>
    </w:p>
    <w:p>
      <w:pPr>
        <w:pStyle w:val="779"/>
        <w:numPr>
          <w:ilvl w:val="0"/>
          <w:numId w:val="14"/>
        </w:numPr>
        <w:ind w:left="959" w:hanging="534"/>
        <w:spacing w:line="440" w:lineRule="exact"/>
        <w:tabs>
          <w:tab w:val="left" w:pos="88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采购人或投标人的主要负责人的近亲属；</w:t>
      </w:r>
      <w:r/>
    </w:p>
    <w:p>
      <w:pPr>
        <w:pStyle w:val="779"/>
        <w:numPr>
          <w:ilvl w:val="0"/>
          <w:numId w:val="14"/>
        </w:numPr>
        <w:ind w:left="959" w:hanging="534"/>
        <w:spacing w:line="440" w:lineRule="exact"/>
        <w:tabs>
          <w:tab w:val="left" w:pos="44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项目主管部门或者行政监督部门的人员； </w:t>
      </w:r>
      <w:r/>
    </w:p>
    <w:p>
      <w:pPr>
        <w:pStyle w:val="779"/>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与投标人有经济利益关系，可能影响对投标公正评审的； </w:t>
      </w:r>
      <w:r/>
    </w:p>
    <w:p>
      <w:pPr>
        <w:pStyle w:val="779"/>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曾因在招标、评标以及其他与招标投标有关活动中从事违法行为而受过行政处罚或刑事处罚的；</w:t>
      </w:r>
      <w:r/>
    </w:p>
    <w:p>
      <w:pPr>
        <w:pStyle w:val="779"/>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法律法规规定的相关情形。</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17" w:name="6.2_评标原则"/>
      <w:r/>
      <w:bookmarkEnd w:id="17"/>
      <w:r>
        <w:rPr>
          <w:rFonts w:hint="eastAsia" w:ascii="仿宋" w:hAnsi="仿宋" w:eastAsia="仿宋" w:cs="仿宋"/>
          <w:b w:val="0"/>
          <w:color w:val="auto"/>
          <w:spacing w:val="-2"/>
          <w:sz w:val="22"/>
          <w:szCs w:val="22"/>
          <w:highlight w:val="none"/>
        </w:rPr>
        <w:t xml:space="preserve">评标原则</w:t>
      </w:r>
      <w:r>
        <w:rPr>
          <w:rFonts w:hint="eastAsia" w:ascii="仿宋" w:hAnsi="仿宋" w:eastAsia="仿宋" w:cs="仿宋"/>
          <w:b w:val="0"/>
          <w:color w:val="auto"/>
          <w:spacing w:val="-2"/>
          <w:sz w:val="22"/>
          <w:szCs w:val="22"/>
          <w:highlight w:val="none"/>
        </w:rPr>
        <w:tab/>
      </w:r>
      <w:r/>
    </w:p>
    <w:p>
      <w:pPr>
        <w:pStyle w:val="724"/>
        <w:ind w:left="427"/>
        <w:spacing w:after="0"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评标活动遵循公平、公正、科学和择优的原则。 </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18" w:name="6.3_评标"/>
      <w:r/>
      <w:bookmarkEnd w:id="18"/>
      <w:r>
        <w:rPr>
          <w:rFonts w:hint="eastAsia" w:ascii="仿宋" w:hAnsi="仿宋" w:eastAsia="仿宋" w:cs="仿宋"/>
          <w:b w:val="0"/>
          <w:color w:val="auto"/>
          <w:spacing w:val="-2"/>
          <w:sz w:val="22"/>
          <w:szCs w:val="22"/>
          <w:highlight w:val="none"/>
        </w:rPr>
        <w:t xml:space="preserve">评标</w:t>
      </w:r>
      <w:r/>
    </w:p>
    <w:p>
      <w:pPr>
        <w:pStyle w:val="724"/>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评标办法见投标人须知前附表，评标委员会按照招标文件规定的评标标准和方法，客观、公正地对投标文件提出评审意见。招标文件没有规定的评标标准和方法，不作为评标依据。 </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19" w:name="6.4中标候选人公示媒介"/>
      <w:r/>
      <w:bookmarkEnd w:id="19"/>
      <w:r>
        <w:rPr>
          <w:rFonts w:hint="eastAsia" w:ascii="仿宋" w:hAnsi="仿宋" w:eastAsia="仿宋" w:cs="仿宋"/>
          <w:b w:val="0"/>
          <w:color w:val="auto"/>
          <w:spacing w:val="-2"/>
          <w:sz w:val="22"/>
          <w:szCs w:val="22"/>
          <w:highlight w:val="none"/>
          <w:lang w:val="en-US"/>
        </w:rPr>
        <w:t xml:space="preserve">结果公告</w:t>
      </w:r>
      <w:r>
        <w:rPr>
          <w:rFonts w:hint="eastAsia" w:ascii="仿宋" w:hAnsi="仿宋" w:eastAsia="仿宋" w:cs="仿宋"/>
          <w:b w:val="0"/>
          <w:color w:val="auto"/>
          <w:spacing w:val="-2"/>
          <w:sz w:val="22"/>
          <w:szCs w:val="22"/>
          <w:highlight w:val="none"/>
        </w:rPr>
        <w:t xml:space="preserve">媒介</w:t>
      </w:r>
      <w:r/>
    </w:p>
    <w:p>
      <w:pPr>
        <w:pStyle w:val="724"/>
        <w:ind w:left="426" w:right="-96" w:firstLine="14"/>
        <w:spacing w:after="0" w:line="440" w:lineRule="exact"/>
        <w:tabs>
          <w:tab w:val="left" w:pos="8222" w:leader="none"/>
        </w:tabs>
        <w:rPr>
          <w:rFonts w:ascii="仿宋" w:hAnsi="仿宋" w:eastAsia="仿宋" w:cs="仿宋"/>
          <w:bCs/>
          <w:color w:val="auto"/>
          <w:spacing w:val="-2"/>
          <w:highlight w:val="none"/>
          <w:lang w:val="en-US"/>
        </w:rPr>
      </w:pPr>
      <w:r>
        <w:rPr>
          <w:rFonts w:hint="eastAsia" w:ascii="仿宋" w:hAnsi="仿宋" w:eastAsia="仿宋" w:cs="仿宋"/>
          <w:bCs/>
          <w:color w:val="auto"/>
          <w:spacing w:val="-2"/>
          <w:highlight w:val="none"/>
        </w:rPr>
        <w:t xml:space="preserve">见投标人须知前附表。 </w:t>
      </w:r>
      <w:r/>
    </w:p>
    <w:p>
      <w:pPr>
        <w:pStyle w:val="779"/>
        <w:numPr>
          <w:ilvl w:val="0"/>
          <w:numId w:val="10"/>
        </w:numPr>
        <w:ind w:hanging="2469"/>
        <w:spacing w:line="440" w:lineRule="exact"/>
        <w:tabs>
          <w:tab w:val="left" w:pos="426"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合同授予 </w:t>
      </w:r>
      <w:r/>
    </w:p>
    <w:p>
      <w:pPr>
        <w:pStyle w:val="715"/>
        <w:numPr>
          <w:ilvl w:val="1"/>
          <w:numId w:val="10"/>
        </w:numPr>
        <w:ind w:left="440"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rPr>
          <w:rFonts w:hint="eastAsia" w:ascii="仿宋" w:hAnsi="仿宋" w:eastAsia="仿宋" w:cs="仿宋"/>
          <w:b w:val="0"/>
          <w:color w:val="auto"/>
          <w:spacing w:val="-2"/>
          <w:sz w:val="22"/>
          <w:szCs w:val="22"/>
          <w:highlight w:val="none"/>
        </w:rPr>
        <w:t xml:space="preserve">中标人确定方式</w:t>
      </w:r>
      <w:r/>
    </w:p>
    <w:p>
      <w:pPr>
        <w:pStyle w:val="724"/>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采购人依据评标委员会推荐的中标候选人确定中标人，评标委员会推荐中标候选人的人数及定标方式见投标人须知前附表。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0" w:name="7.2中标公示"/>
      <w:r/>
      <w:bookmarkEnd w:id="20"/>
      <w:r>
        <w:rPr>
          <w:rFonts w:hint="eastAsia" w:ascii="仿宋" w:hAnsi="仿宋" w:eastAsia="仿宋" w:cs="仿宋"/>
          <w:b w:val="0"/>
          <w:color w:val="auto"/>
          <w:spacing w:val="-2"/>
          <w:sz w:val="22"/>
          <w:szCs w:val="22"/>
          <w:highlight w:val="none"/>
          <w:lang w:val="en-US" w:eastAsia="zh-CN"/>
        </w:rPr>
        <w:t xml:space="preserve">    </w:t>
      </w:r>
      <w:r>
        <w:rPr>
          <w:rFonts w:hint="eastAsia" w:ascii="仿宋" w:hAnsi="仿宋" w:eastAsia="仿宋" w:cs="仿宋"/>
          <w:b w:val="0"/>
          <w:color w:val="auto"/>
          <w:spacing w:val="-2"/>
          <w:sz w:val="22"/>
          <w:szCs w:val="22"/>
          <w:highlight w:val="none"/>
        </w:rPr>
        <w:t xml:space="preserve">中标</w:t>
      </w:r>
      <w:r/>
    </w:p>
    <w:p>
      <w:pPr>
        <w:pStyle w:val="724"/>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采购人自确定中标候选人之日起，应在与发布招标公告一致的媒介上发布</w:t>
      </w:r>
      <w:r>
        <w:rPr>
          <w:rFonts w:hint="eastAsia" w:ascii="仿宋" w:hAnsi="仿宋" w:eastAsia="仿宋" w:cs="仿宋"/>
          <w:bCs/>
          <w:color w:val="auto"/>
          <w:spacing w:val="-2"/>
          <w:highlight w:val="none"/>
          <w:lang w:val="en-US"/>
        </w:rPr>
        <w:t xml:space="preserve">结果公告</w:t>
      </w:r>
      <w:r>
        <w:rPr>
          <w:rFonts w:hint="eastAsia" w:ascii="仿宋" w:hAnsi="仿宋" w:eastAsia="仿宋" w:cs="仿宋"/>
          <w:bCs/>
          <w:color w:val="auto"/>
          <w:spacing w:val="-2"/>
          <w:highlight w:val="none"/>
        </w:rPr>
        <w:t xml:space="preserve">，公示期为</w:t>
      </w:r>
      <w:r>
        <w:rPr>
          <w:rFonts w:hint="eastAsia" w:ascii="仿宋" w:hAnsi="仿宋" w:eastAsia="仿宋" w:cs="仿宋"/>
          <w:bCs/>
          <w:color w:val="auto"/>
          <w:spacing w:val="-2"/>
          <w:highlight w:val="none"/>
          <w:lang w:val="en-US"/>
        </w:rPr>
        <w:t xml:space="preserve">1个工作日</w:t>
      </w:r>
      <w:r>
        <w:rPr>
          <w:rFonts w:hint="eastAsia" w:ascii="仿宋" w:hAnsi="仿宋" w:eastAsia="仿宋" w:cs="仿宋"/>
          <w:bCs/>
          <w:color w:val="auto"/>
          <w:spacing w:val="-2"/>
          <w:highlight w:val="none"/>
        </w:rPr>
        <w:t xml:space="preserve">。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1" w:name="7.3_中标通知"/>
      <w:r/>
      <w:bookmarkEnd w:id="21"/>
      <w:r>
        <w:rPr>
          <w:rFonts w:hint="eastAsia" w:ascii="仿宋" w:hAnsi="仿宋" w:eastAsia="仿宋" w:cs="仿宋"/>
          <w:b w:val="0"/>
          <w:color w:val="auto"/>
          <w:spacing w:val="-2"/>
          <w:sz w:val="22"/>
          <w:szCs w:val="22"/>
          <w:highlight w:val="none"/>
          <w:lang w:val="en-US" w:eastAsia="zh-CN"/>
        </w:rPr>
        <w:t xml:space="preserve">    </w:t>
      </w:r>
      <w:r>
        <w:rPr>
          <w:rFonts w:hint="eastAsia" w:ascii="仿宋" w:hAnsi="仿宋" w:eastAsia="仿宋" w:cs="仿宋"/>
          <w:b w:val="0"/>
          <w:color w:val="auto"/>
          <w:spacing w:val="-2"/>
          <w:sz w:val="22"/>
          <w:szCs w:val="22"/>
          <w:highlight w:val="none"/>
        </w:rPr>
        <w:t xml:space="preserve">中标通知</w:t>
      </w:r>
      <w:r/>
    </w:p>
    <w:p>
      <w:pPr>
        <w:pStyle w:val="779"/>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中标人确定后，采购人将在投标有效期内以书面形式向中标人发出中标通知书。 </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2" w:name="7.4_履约担保"/>
      <w:r/>
      <w:bookmarkEnd w:id="22"/>
      <w:r>
        <w:rPr>
          <w:rFonts w:hint="eastAsia" w:ascii="仿宋" w:hAnsi="仿宋" w:eastAsia="仿宋" w:cs="仿宋"/>
          <w:b w:val="0"/>
          <w:color w:val="auto"/>
          <w:spacing w:val="-2"/>
          <w:sz w:val="22"/>
          <w:szCs w:val="22"/>
          <w:highlight w:val="none"/>
          <w:lang w:val="en-US" w:eastAsia="zh-CN"/>
        </w:rPr>
        <w:t xml:space="preserve">    </w:t>
      </w:r>
      <w:r>
        <w:rPr>
          <w:rFonts w:hint="eastAsia" w:ascii="仿宋" w:hAnsi="仿宋" w:eastAsia="仿宋" w:cs="仿宋"/>
          <w:b w:val="0"/>
          <w:color w:val="auto"/>
          <w:spacing w:val="-2"/>
          <w:sz w:val="22"/>
          <w:szCs w:val="22"/>
          <w:highlight w:val="none"/>
        </w:rPr>
        <w:t xml:space="preserve">履约担保</w:t>
      </w:r>
      <w:r/>
    </w:p>
    <w:p>
      <w:pPr>
        <w:pStyle w:val="779"/>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在签订合同前，中标人应按投标人须知前附表规定的金额、担保形式向采购人提交履约担保。 </w:t>
      </w:r>
      <w:r/>
    </w:p>
    <w:p>
      <w:pPr>
        <w:pStyle w:val="779"/>
        <w:numPr>
          <w:ilvl w:val="2"/>
          <w:numId w:val="10"/>
        </w:numPr>
        <w:ind w:left="426" w:right="-96" w:hanging="852"/>
        <w:spacing w:line="440" w:lineRule="exact"/>
        <w:rPr>
          <w:rFonts w:ascii="仿宋" w:hAnsi="仿宋" w:eastAsia="仿宋" w:cs="仿宋"/>
          <w:bCs/>
          <w:color w:val="auto"/>
          <w:spacing w:val="-4"/>
          <w:highlight w:val="none"/>
        </w:rPr>
      </w:pPr>
      <w:r>
        <w:rPr>
          <w:rFonts w:hint="eastAsia" w:ascii="仿宋" w:hAnsi="仿宋" w:eastAsia="仿宋" w:cs="仿宋"/>
          <w:bCs/>
          <w:color w:val="auto"/>
          <w:spacing w:val="-2"/>
          <w:highlight w:val="none"/>
        </w:rPr>
        <w:t xml:space="preserve">中标人不能按本章第 7.4.1 项要求提交履约担保的，视为放弃中标，其投标保证金不予退还，给采购人造成的损失超过投标保证金数额的，中标人还应当对超过部分予以赔偿。</w:t>
      </w: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23" w:name="7.5_签订合同"/>
      <w:r/>
      <w:bookmarkEnd w:id="23"/>
      <w:r>
        <w:rPr>
          <w:rFonts w:hint="eastAsia" w:ascii="仿宋" w:hAnsi="仿宋" w:eastAsia="仿宋" w:cs="仿宋"/>
          <w:b w:val="0"/>
          <w:color w:val="auto"/>
          <w:spacing w:val="14"/>
          <w:sz w:val="22"/>
          <w:szCs w:val="22"/>
          <w:highlight w:val="none"/>
        </w:rPr>
        <w:t xml:space="preserve">签订合同</w:t>
      </w:r>
      <w:r/>
    </w:p>
    <w:p>
      <w:pPr>
        <w:pStyle w:val="779"/>
        <w:numPr>
          <w:ilvl w:val="2"/>
          <w:numId w:val="10"/>
        </w:numPr>
        <w:ind w:left="426" w:right="-9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2"/>
          <w:highlight w:val="none"/>
        </w:rPr>
        <w:t xml:space="preserve">采购人和中标人应在中标通知书规定的时间内，根据招标文件和中标</w:t>
      </w:r>
      <w:r>
        <w:rPr>
          <w:rFonts w:hint="eastAsia" w:ascii="仿宋" w:hAnsi="仿宋" w:eastAsia="仿宋" w:cs="仿宋"/>
          <w:bCs/>
          <w:color w:val="auto"/>
          <w:spacing w:val="-8"/>
          <w:highlight w:val="none"/>
        </w:rPr>
        <w:t xml:space="preserve">人的投标文件订立书面合同。中标人无正当理由拒签合同的，采购人取消其中标</w:t>
      </w:r>
      <w:r>
        <w:rPr>
          <w:rFonts w:hint="eastAsia" w:ascii="仿宋" w:hAnsi="仿宋" w:eastAsia="仿宋" w:cs="仿宋"/>
          <w:bCs/>
          <w:color w:val="auto"/>
          <w:spacing w:val="-10"/>
          <w:highlight w:val="none"/>
        </w:rPr>
        <w:t xml:space="preserve">资格，其投标保证金不予退还；给采购人造成的损失超过投标保证金数额的，中标人还应当对超过部分予以赔偿。</w:t>
      </w:r>
      <w:r/>
    </w:p>
    <w:p>
      <w:pPr>
        <w:pStyle w:val="779"/>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发出中标通知书后，采购人无正当理由拒签合同的，采购人向中标人退还投标保证金；给中标人造成损失的，还应当赔偿损失。 </w:t>
      </w:r>
      <w:r/>
    </w:p>
    <w:p>
      <w:pPr>
        <w:pStyle w:val="779"/>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重新招标和不再招标 </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rPr>
          <w:rFonts w:hint="eastAsia" w:ascii="仿宋" w:hAnsi="仿宋" w:eastAsia="仿宋" w:cs="仿宋"/>
          <w:b w:val="0"/>
          <w:color w:val="auto"/>
          <w:spacing w:val="14"/>
          <w:sz w:val="22"/>
          <w:szCs w:val="22"/>
          <w:highlight w:val="none"/>
        </w:rPr>
        <w:t xml:space="preserve">重新招标</w:t>
      </w:r>
      <w:r/>
    </w:p>
    <w:p>
      <w:pPr>
        <w:pStyle w:val="724"/>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有下列情形之一的，采购人将重新招标： </w:t>
      </w:r>
      <w:r/>
    </w:p>
    <w:p>
      <w:pPr>
        <w:pStyle w:val="779"/>
        <w:numPr>
          <w:ilvl w:val="0"/>
          <w:numId w:val="15"/>
        </w:numPr>
        <w:ind w:left="665" w:hanging="240"/>
        <w:spacing w:line="440" w:lineRule="exact"/>
        <w:tabs>
          <w:tab w:val="left" w:pos="660"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投标截止时间止，投标人少于 </w:t>
      </w:r>
      <w:r>
        <w:rPr>
          <w:rFonts w:hint="eastAsia" w:ascii="仿宋" w:hAnsi="仿宋" w:eastAsia="仿宋" w:cs="仿宋"/>
          <w:bCs/>
          <w:color w:val="auto"/>
          <w:highlight w:val="none"/>
        </w:rPr>
        <w:t xml:space="preserve">3</w:t>
      </w:r>
      <w:r>
        <w:rPr>
          <w:rFonts w:hint="eastAsia" w:ascii="仿宋" w:hAnsi="仿宋" w:eastAsia="仿宋" w:cs="仿宋"/>
          <w:bCs/>
          <w:color w:val="auto"/>
          <w:spacing w:val="-15"/>
          <w:highlight w:val="none"/>
        </w:rPr>
        <w:t xml:space="preserve"> 个的； </w:t>
      </w:r>
      <w:r/>
    </w:p>
    <w:p>
      <w:pPr>
        <w:pStyle w:val="779"/>
        <w:numPr>
          <w:ilvl w:val="0"/>
          <w:numId w:val="15"/>
        </w:numPr>
        <w:ind w:left="665" w:hanging="240"/>
        <w:spacing w:line="440" w:lineRule="exact"/>
        <w:tabs>
          <w:tab w:val="left" w:pos="66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经评标委员会评审后否决所有投标的。</w:t>
      </w: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5"/>
          <w:sz w:val="22"/>
          <w:szCs w:val="22"/>
          <w:highlight w:val="none"/>
        </w:rPr>
      </w:pPr>
      <w:r/>
      <w:bookmarkStart w:id="24" w:name="8.2_不再招标"/>
      <w:r/>
      <w:bookmarkEnd w:id="24"/>
      <w:r>
        <w:rPr>
          <w:rFonts w:hint="eastAsia" w:ascii="仿宋" w:hAnsi="仿宋" w:eastAsia="仿宋" w:cs="仿宋"/>
          <w:b w:val="0"/>
          <w:color w:val="auto"/>
          <w:spacing w:val="-5"/>
          <w:sz w:val="22"/>
          <w:szCs w:val="22"/>
          <w:highlight w:val="none"/>
        </w:rPr>
        <w:t xml:space="preserve">不再招标</w:t>
      </w:r>
      <w:r/>
    </w:p>
    <w:p>
      <w:pPr>
        <w:pStyle w:val="724"/>
        <w:ind w:left="442" w:right="-96" w:hanging="1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重新招标后投标人仍少于</w:t>
      </w:r>
      <w:r>
        <w:rPr>
          <w:rFonts w:hint="eastAsia" w:ascii="仿宋" w:hAnsi="仿宋" w:eastAsia="仿宋" w:cs="仿宋"/>
          <w:bCs/>
          <w:color w:val="auto"/>
          <w:spacing w:val="-5"/>
          <w:highlight w:val="none"/>
          <w:lang w:val="en-US"/>
        </w:rPr>
        <w:t xml:space="preserve">3</w:t>
      </w:r>
      <w:r>
        <w:rPr>
          <w:rFonts w:hint="eastAsia" w:ascii="仿宋" w:hAnsi="仿宋" w:eastAsia="仿宋" w:cs="仿宋"/>
          <w:bCs/>
          <w:color w:val="auto"/>
          <w:spacing w:val="-5"/>
          <w:highlight w:val="none"/>
        </w:rPr>
        <w:t xml:space="preserve">个的，经原审批或核准部门批准后不再进行招标。 </w:t>
      </w:r>
      <w:r/>
    </w:p>
    <w:p>
      <w:pPr>
        <w:pStyle w:val="779"/>
        <w:numPr>
          <w:ilvl w:val="0"/>
          <w:numId w:val="10"/>
        </w:numPr>
        <w:ind w:hanging="2469"/>
        <w:spacing w:line="440" w:lineRule="exact"/>
        <w:tabs>
          <w:tab w:val="left" w:pos="426"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纪律和监督 </w:t>
      </w: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25" w:name="9.1_对招标人的纪律要求"/>
      <w:r/>
      <w:bookmarkEnd w:id="25"/>
      <w:r>
        <w:rPr>
          <w:rFonts w:hint="eastAsia" w:ascii="仿宋" w:hAnsi="仿宋" w:eastAsia="仿宋" w:cs="仿宋"/>
          <w:b w:val="0"/>
          <w:color w:val="auto"/>
          <w:spacing w:val="-5"/>
          <w:sz w:val="22"/>
          <w:szCs w:val="22"/>
          <w:highlight w:val="none"/>
        </w:rPr>
        <w:t xml:space="preserve">对采购人的纪律要求</w:t>
      </w:r>
      <w:r/>
    </w:p>
    <w:p>
      <w:pPr>
        <w:pStyle w:val="724"/>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采购人不得泄漏招标投标活动中应当保密的情况和资料，不得与投标人串通损害国家利益、社会公共利益或者他人合法权益。</w:t>
      </w: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26" w:name="9.2_对投标人的纪律要求"/>
      <w:r/>
      <w:bookmarkEnd w:id="26"/>
      <w:r>
        <w:rPr>
          <w:rFonts w:hint="eastAsia" w:ascii="仿宋" w:hAnsi="仿宋" w:eastAsia="仿宋" w:cs="仿宋"/>
          <w:b w:val="0"/>
          <w:color w:val="auto"/>
          <w:spacing w:val="-5"/>
          <w:sz w:val="22"/>
          <w:szCs w:val="22"/>
          <w:highlight w:val="none"/>
        </w:rPr>
        <w:t xml:space="preserve">对投标人的纪律要求</w:t>
      </w:r>
      <w:r/>
    </w:p>
    <w:p>
      <w:pPr>
        <w:pStyle w:val="724"/>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27" w:name="9.3_对评标委员会成员的纪律要求"/>
      <w:r/>
      <w:bookmarkEnd w:id="27"/>
      <w:r>
        <w:rPr>
          <w:rFonts w:hint="eastAsia" w:ascii="仿宋" w:hAnsi="仿宋" w:eastAsia="仿宋" w:cs="仿宋"/>
          <w:b w:val="0"/>
          <w:color w:val="auto"/>
          <w:spacing w:val="-5"/>
          <w:sz w:val="22"/>
          <w:szCs w:val="22"/>
          <w:highlight w:val="none"/>
        </w:rPr>
        <w:t xml:space="preserve">对评标委员会成员的纪律要求</w:t>
      </w:r>
      <w:r/>
    </w:p>
    <w:p>
      <w:pPr>
        <w:pStyle w:val="724"/>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bookmarkStart w:id="28" w:name="9.4_对与评标活动有关的工作人员的纪律要求"/>
      <w:r/>
      <w:bookmarkEnd w:id="28"/>
      <w:r>
        <w:rPr>
          <w:rFonts w:hint="eastAsia" w:ascii="仿宋" w:hAnsi="仿宋" w:eastAsia="仿宋" w:cs="仿宋"/>
          <w:b w:val="0"/>
          <w:color w:val="auto"/>
          <w:spacing w:val="-5"/>
          <w:sz w:val="22"/>
          <w:szCs w:val="22"/>
          <w:highlight w:val="none"/>
          <w:lang w:val="en-US" w:eastAsia="zh-CN"/>
        </w:rPr>
        <w:t xml:space="preserve">    </w:t>
      </w:r>
      <w:r>
        <w:rPr>
          <w:rFonts w:hint="eastAsia" w:ascii="仿宋" w:hAnsi="仿宋" w:eastAsia="仿宋" w:cs="仿宋"/>
          <w:b w:val="0"/>
          <w:color w:val="auto"/>
          <w:spacing w:val="-5"/>
          <w:sz w:val="22"/>
          <w:szCs w:val="22"/>
          <w:highlight w:val="none"/>
        </w:rPr>
        <w:t xml:space="preserve">对与评标活动有关的工作人员的纪律要求</w:t>
      </w:r>
      <w:r/>
    </w:p>
    <w:p>
      <w:pPr>
        <w:pStyle w:val="724"/>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r/>
    </w:p>
    <w:p>
      <w:pPr>
        <w:pStyle w:val="779"/>
        <w:numPr>
          <w:ilvl w:val="0"/>
          <w:numId w:val="10"/>
        </w:numPr>
        <w:ind w:left="426" w:hanging="852"/>
        <w:spacing w:line="440" w:lineRule="exact"/>
        <w:tabs>
          <w:tab w:val="left" w:pos="440" w:leader="none"/>
        </w:tabs>
        <w:rPr>
          <w:rFonts w:ascii="仿宋" w:hAnsi="仿宋" w:eastAsia="仿宋" w:cs="仿宋"/>
          <w:bCs/>
          <w:color w:val="auto"/>
          <w:spacing w:val="-5"/>
          <w:highlight w:val="none"/>
        </w:rPr>
      </w:pPr>
      <w:r/>
      <w:bookmarkStart w:id="29" w:name="9.5异议与投诉"/>
      <w:r/>
      <w:bookmarkEnd w:id="29"/>
      <w:r/>
      <w:bookmarkStart w:id="30" w:name="10._需要补充的其他内容"/>
      <w:r/>
      <w:bookmarkEnd w:id="30"/>
      <w:r>
        <w:rPr>
          <w:rFonts w:hint="eastAsia" w:ascii="仿宋" w:hAnsi="仿宋" w:eastAsia="仿宋" w:cs="仿宋"/>
          <w:bCs/>
          <w:color w:val="auto"/>
          <w:spacing w:val="-5"/>
          <w:highlight w:val="none"/>
          <w:lang w:val="en-US"/>
        </w:rPr>
        <w:t xml:space="preserve">质疑与投诉</w:t>
      </w:r>
      <w:r/>
    </w:p>
    <w:p>
      <w:pPr>
        <w:pStyle w:val="779"/>
        <w:numPr>
          <w:ilvl w:val="1"/>
          <w:numId w:val="10"/>
        </w:numPr>
        <w:ind w:left="443" w:hanging="869"/>
        <w:spacing w:line="440" w:lineRule="exact"/>
        <w:tabs>
          <w:tab w:val="left" w:pos="426"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投标人认为采购文件、采购过程和中标结果使自己的权益受到损害的，可以在知道或者应知其权益受到损害之日起七个工作日内（具体起算时间见</w:t>
      </w:r>
      <w:r>
        <w:rPr>
          <w:rFonts w:hint="eastAsia" w:ascii="仿宋" w:hAnsi="仿宋" w:eastAsia="仿宋" w:cs="仿宋"/>
          <w:bCs/>
          <w:color w:val="auto"/>
          <w:spacing w:val="-5"/>
          <w:highlight w:val="none"/>
          <w:lang w:val="en-US"/>
        </w:rPr>
        <w:t xml:space="preserve">10</w:t>
      </w:r>
      <w:r>
        <w:rPr>
          <w:rFonts w:hint="eastAsia" w:ascii="仿宋" w:hAnsi="仿宋" w:eastAsia="仿宋" w:cs="仿宋"/>
          <w:bCs/>
          <w:color w:val="auto"/>
          <w:spacing w:val="-5"/>
          <w:highlight w:val="none"/>
        </w:rPr>
        <w:t xml:space="preserve">.</w:t>
      </w:r>
      <w:r>
        <w:rPr>
          <w:rFonts w:hint="eastAsia" w:ascii="仿宋" w:hAnsi="仿宋" w:eastAsia="仿宋" w:cs="仿宋"/>
          <w:bCs/>
          <w:color w:val="auto"/>
          <w:spacing w:val="-5"/>
          <w:highlight w:val="none"/>
          <w:lang w:val="en-US"/>
        </w:rPr>
        <w:t xml:space="preserve">4</w:t>
      </w:r>
      <w:r>
        <w:rPr>
          <w:rFonts w:hint="eastAsia" w:ascii="仿宋" w:hAnsi="仿宋" w:eastAsia="仿宋" w:cs="仿宋"/>
          <w:bCs/>
          <w:color w:val="auto"/>
          <w:spacing w:val="-5"/>
          <w:highlight w:val="none"/>
        </w:rPr>
        <w:t xml:space="preserve">），将质疑函以书面形式由法定代表人或法人授权代表送达采购代理机构或采购单位。质疑超出采购机构代理范围的，供应商应当向采购人提出。</w:t>
      </w:r>
      <w:r/>
    </w:p>
    <w:p>
      <w:pPr>
        <w:pStyle w:val="779"/>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5"/>
          <w:highlight w:val="none"/>
        </w:rPr>
        <w:t xml:space="preserve">供应商应在法定</w:t>
      </w:r>
      <w:r>
        <w:rPr>
          <w:rFonts w:hint="eastAsia" w:ascii="仿宋" w:hAnsi="仿宋" w:eastAsia="仿宋" w:cs="仿宋"/>
          <w:bCs/>
          <w:color w:val="auto"/>
          <w:spacing w:val="-1"/>
          <w:highlight w:val="none"/>
        </w:rPr>
        <w:t xml:space="preserve">质疑期内一次性提出针对同一采购程序环节的质疑。</w:t>
      </w:r>
      <w:r/>
    </w:p>
    <w:p>
      <w:pPr>
        <w:pStyle w:val="779"/>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供应商质疑实行实名制，其质疑应当有具体的质疑事项及事实根据，并配合采购人、采购代理机构处理质疑。</w:t>
      </w:r>
      <w:r/>
    </w:p>
    <w:p>
      <w:pPr>
        <w:pStyle w:val="779"/>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供应商应知其权益受到损害之日，是指：</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（1）对本项目采购文件提出质疑的，为采购文件公告期限届满之日；</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（2）对本项目采购过程提出质疑的，为各采购程序环节结束之日；</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（3）对本项目中标或者成交结果提出质疑的，为中标或者成交结果公告期限届满之日。</w:t>
      </w:r>
      <w:r/>
    </w:p>
    <w:p>
      <w:pPr>
        <w:pStyle w:val="779"/>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投标人委托代理质疑的，应当向代理人提交授权委托书，并载明委托代理的具体权限和事项。 </w:t>
      </w:r>
      <w:r/>
    </w:p>
    <w:p>
      <w:pPr>
        <w:pStyle w:val="779"/>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质疑函的必备内容</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（1）质疑函必须注明质疑人单位名称、详细地址、邮编、单位和法定代表人电话号码、联系人及电话；</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（2）所参加项目的具体质疑事项及事实依据；</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（3）认为自己合法权益受到损害或可能受到损害的相关证据材料；</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（4）提起质疑的日期； </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（5）质疑函必须由法定代表人签字并加盖公章（委托代理质疑的还应按</w:t>
      </w:r>
      <w:r>
        <w:rPr>
          <w:rFonts w:hint="eastAsia" w:ascii="仿宋" w:hAnsi="仿宋" w:eastAsia="仿宋" w:cs="仿宋"/>
          <w:bCs/>
          <w:color w:val="auto"/>
          <w:spacing w:val="-1"/>
          <w:highlight w:val="none"/>
          <w:lang w:val="en-US"/>
        </w:rPr>
        <w:t xml:space="preserve">10</w:t>
      </w:r>
      <w:r>
        <w:rPr>
          <w:rFonts w:hint="eastAsia" w:ascii="仿宋" w:hAnsi="仿宋" w:eastAsia="仿宋" w:cs="仿宋"/>
          <w:bCs/>
          <w:color w:val="auto"/>
          <w:spacing w:val="-1"/>
          <w:highlight w:val="none"/>
        </w:rPr>
        <w:t xml:space="preserve">.3条规定提供授权委托书）。 </w:t>
      </w:r>
      <w:r/>
    </w:p>
    <w:p>
      <w:pPr>
        <w:pStyle w:val="779"/>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质疑应符合下列条件：</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（1）质疑人是参与所质疑项目的投标人；</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（2）质疑函内容符合相关的规定；</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（3）在规定的有效期限内提起质疑；</w:t>
      </w:r>
      <w:r/>
    </w:p>
    <w:p>
      <w:pPr>
        <w:pStyle w:val="779"/>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（4）国务院财政部门规定的其他条件。</w:t>
      </w:r>
      <w:r/>
    </w:p>
    <w:p>
      <w:pPr>
        <w:pStyle w:val="779"/>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采购代理机构或采购人</w:t>
      </w:r>
      <w:r>
        <w:rPr>
          <w:rFonts w:hint="eastAsia" w:ascii="仿宋" w:hAnsi="仿宋" w:eastAsia="仿宋" w:cs="仿宋"/>
          <w:bCs/>
          <w:color w:val="auto"/>
          <w:spacing w:val="-1"/>
          <w:highlight w:val="none"/>
        </w:rPr>
        <w:t xml:space="preserve">在收到质疑函后，认为质疑函内容、格式等不符合本规定的，告知质疑人进行补正。质疑人应当在法定质疑期限内进行补正并重新提交质疑函，拒不补正或者超过法定期限后未重新提交质疑函的，为无效质疑。</w:t>
      </w:r>
      <w:r/>
    </w:p>
    <w:p>
      <w:pPr>
        <w:pStyle w:val="779"/>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采购代理机构或采购人</w:t>
      </w:r>
      <w:r>
        <w:rPr>
          <w:rFonts w:hint="eastAsia" w:ascii="仿宋" w:hAnsi="仿宋" w:eastAsia="仿宋" w:cs="仿宋"/>
          <w:bCs/>
          <w:color w:val="auto"/>
          <w:spacing w:val="-1"/>
          <w:highlight w:val="none"/>
        </w:rPr>
        <w:t xml:space="preserve">在收到投标人的书面质疑后七个工作日内作出答复，采购人、采购代理机构可以组织原评标委员会协助答复质疑，并以书面形式通知质疑投标人和其他有关人员，但答复的内容不涉及商业秘密。</w:t>
      </w:r>
      <w:r/>
    </w:p>
    <w:p>
      <w:pPr>
        <w:pStyle w:val="779"/>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提出质疑的投标人对答复不满意的，或者采购人、采购代理机构未在规定期限内作出答复的，可以在答复期满后十五个工作日内向同级政府采购监督管理部门投诉。</w:t>
      </w:r>
      <w:r/>
    </w:p>
    <w:p>
      <w:pPr>
        <w:pStyle w:val="779"/>
        <w:numPr>
          <w:ilvl w:val="1"/>
          <w:numId w:val="10"/>
        </w:numPr>
        <w:ind w:left="443" w:hanging="8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r/>
    </w:p>
    <w:p>
      <w:pPr>
        <w:pStyle w:val="779"/>
        <w:numPr>
          <w:ilvl w:val="0"/>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需要补充的其他内容 </w:t>
      </w:r>
      <w:r/>
    </w:p>
    <w:p>
      <w:pPr>
        <w:pStyle w:val="779"/>
        <w:numPr>
          <w:ilvl w:val="1"/>
          <w:numId w:val="10"/>
        </w:numPr>
        <w:ind w:hanging="324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否决投标的情形见投标人须知前附表</w:t>
      </w:r>
      <w:r>
        <w:rPr>
          <w:rFonts w:hint="eastAsia" w:ascii="仿宋" w:hAnsi="仿宋" w:eastAsia="仿宋" w:cs="仿宋"/>
          <w:bCs/>
          <w:color w:val="auto"/>
          <w:highlight w:val="none"/>
        </w:rPr>
        <w:t xml:space="preserve"> 。</w:t>
      </w:r>
      <w:r/>
    </w:p>
    <w:p>
      <w:pPr>
        <w:pStyle w:val="779"/>
        <w:numPr>
          <w:ilvl w:val="1"/>
          <w:numId w:val="10"/>
        </w:numPr>
        <w:ind w:hanging="3249"/>
        <w:spacing w:line="440" w:lineRule="exact"/>
        <w:tabs>
          <w:tab w:val="left" w:pos="426" w:leader="none"/>
        </w:tabs>
        <w:rPr>
          <w:rFonts w:ascii="仿宋" w:hAnsi="仿宋" w:eastAsia="仿宋" w:cs="仿宋"/>
          <w:b/>
          <w:color w:val="auto"/>
          <w:highlight w:val="none"/>
        </w:rPr>
      </w:pPr>
      <w:r>
        <w:rPr>
          <w:rFonts w:hint="eastAsia" w:ascii="仿宋" w:hAnsi="仿宋" w:eastAsia="仿宋" w:cs="仿宋"/>
          <w:b/>
          <w:color w:val="auto"/>
          <w:spacing w:val="-1"/>
          <w:highlight w:val="none"/>
        </w:rPr>
        <w:t xml:space="preserve">特别说明见投标人须知前附表。</w:t>
      </w:r>
      <w:r/>
    </w:p>
    <w:p>
      <w:pPr>
        <w:pStyle w:val="779"/>
        <w:numPr>
          <w:ilvl w:val="1"/>
          <w:numId w:val="10"/>
        </w:numPr>
        <w:ind w:hanging="3249"/>
        <w:spacing w:line="440" w:lineRule="exact"/>
        <w:tabs>
          <w:tab w:val="left" w:pos="426" w:leader="none"/>
        </w:tabs>
        <w:rPr>
          <w:rFonts w:ascii="仿宋" w:hAnsi="仿宋" w:eastAsia="仿宋" w:cs="仿宋"/>
          <w:color w:val="auto"/>
          <w:highlight w:val="none"/>
        </w:rPr>
      </w:pPr>
      <w:r>
        <w:rPr>
          <w:rFonts w:hint="eastAsia" w:ascii="仿宋" w:hAnsi="仿宋" w:eastAsia="仿宋" w:cs="仿宋"/>
          <w:bCs/>
          <w:color w:val="auto"/>
          <w:spacing w:val="-1"/>
          <w:highlight w:val="none"/>
          <w:lang w:val="en-US"/>
        </w:rPr>
        <w:t xml:space="preserve">错误的修正</w:t>
      </w:r>
      <w:r/>
    </w:p>
    <w:p>
      <w:pPr>
        <w:pStyle w:val="779"/>
        <w:ind w:left="261" w:hanging="701"/>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11.3.1 </w:t>
      </w:r>
      <w:r>
        <w:rPr>
          <w:rFonts w:hint="eastAsia" w:ascii="仿宋" w:hAnsi="仿宋" w:eastAsia="仿宋" w:cs="仿宋"/>
          <w:color w:val="auto"/>
          <w:highlight w:val="none"/>
        </w:rPr>
        <w:t xml:space="preserve">评标委员会将对确定为实质上响应招标文件要求的投标文件进行校核，看其是否有计算上、累计上或表达上的错误，修正错误的原则如下:</w:t>
      </w:r>
      <w:r/>
    </w:p>
    <w:p>
      <w:pPr>
        <w:pStyle w:val="779"/>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（1）投标文件中开标一览表（报价表）内容与投标文件中相应内容不一致的，以开标一览表（报价表）为准；</w:t>
      </w:r>
      <w:r/>
    </w:p>
    <w:p>
      <w:pPr>
        <w:pStyle w:val="779"/>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（2）如果数字表示的金额和用文字表示的金额不一致时，应以文字表示的金额为准；</w:t>
      </w:r>
      <w:r/>
    </w:p>
    <w:p>
      <w:pPr>
        <w:pStyle w:val="779"/>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（3）当单价与数量的乘积与合价不一致时，以单价为准，</w:t>
      </w:r>
      <w:r>
        <w:rPr>
          <w:rFonts w:hint="eastAsia" w:ascii="仿宋" w:hAnsi="仿宋" w:eastAsia="仿宋" w:cs="仿宋"/>
          <w:color w:val="auto"/>
          <w:highlight w:val="none"/>
          <w:lang w:val="en-US"/>
        </w:rPr>
        <w:t xml:space="preserve">修正合价。</w:t>
      </w:r>
      <w:r>
        <w:rPr>
          <w:rFonts w:hint="eastAsia" w:ascii="仿宋" w:hAnsi="仿宋" w:eastAsia="仿宋" w:cs="仿宋"/>
          <w:color w:val="auto"/>
          <w:highlight w:val="none"/>
        </w:rPr>
        <w:t xml:space="preserve">除非评标委员会认为单价有明显的小数点错误，此时应以标出的合价为准，并修改单价；</w:t>
      </w:r>
      <w:r/>
    </w:p>
    <w:p>
      <w:pPr>
        <w:pStyle w:val="779"/>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rPr>
        <w:t xml:space="preserve">4</w:t>
      </w:r>
      <w:r>
        <w:rPr>
          <w:rFonts w:hint="eastAsia" w:ascii="仿宋" w:hAnsi="仿宋" w:eastAsia="仿宋" w:cs="仿宋"/>
          <w:color w:val="auto"/>
          <w:highlight w:val="none"/>
        </w:rPr>
        <w:t xml:space="preserve">）合计累计金额与小计金额不一致的，以合计累计金额为准，并修改小计金额，总投标价不变。</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11.3.2 </w:t>
      </w:r>
      <w:r>
        <w:rPr>
          <w:rFonts w:hint="eastAsia" w:ascii="仿宋" w:hAnsi="仿宋" w:eastAsia="仿宋" w:cs="仿宋"/>
          <w:color w:val="auto"/>
          <w:highlight w:val="none"/>
        </w:rPr>
        <w:t xml:space="preserve">按上述修正错误的原则及方法调整或修正投标文件的投标报价，投标人同意后，调整后的投标报价对投标人起约束作用。同时出现两种以上不一致的，按照前款规定的顺序修正。如果投标人不接受修正后的报价，则其投标</w:t>
      </w:r>
      <w:r>
        <w:rPr>
          <w:rFonts w:hint="eastAsia" w:ascii="仿宋" w:hAnsi="仿宋" w:eastAsia="仿宋" w:cs="仿宋"/>
          <w:color w:val="auto"/>
          <w:highlight w:val="none"/>
          <w:lang w:val="en-US"/>
        </w:rPr>
        <w:t xml:space="preserve">无效</w:t>
      </w:r>
      <w:r>
        <w:rPr>
          <w:rFonts w:hint="eastAsia" w:ascii="仿宋" w:hAnsi="仿宋" w:eastAsia="仿宋" w:cs="仿宋"/>
          <w:color w:val="auto"/>
          <w:highlight w:val="none"/>
        </w:rPr>
        <w:t xml:space="preserve">并且其投标保证金或投标保函也将被没收，并不影响</w:t>
      </w:r>
      <w:r>
        <w:rPr>
          <w:rFonts w:hint="eastAsia" w:ascii="仿宋" w:hAnsi="仿宋" w:eastAsia="仿宋" w:cs="仿宋"/>
          <w:color w:val="auto"/>
          <w:highlight w:val="none"/>
          <w:lang w:val="en-US"/>
        </w:rPr>
        <w:t xml:space="preserve">对其他投标人的</w:t>
      </w:r>
      <w:r>
        <w:rPr>
          <w:rFonts w:hint="eastAsia" w:ascii="仿宋" w:hAnsi="仿宋" w:eastAsia="仿宋" w:cs="仿宋"/>
          <w:color w:val="auto"/>
          <w:highlight w:val="none"/>
        </w:rPr>
        <w:t xml:space="preserve">评标工作。</w:t>
      </w:r>
      <w:r/>
    </w:p>
    <w:p>
      <w:pPr>
        <w:pStyle w:val="779"/>
        <w:ind w:left="264" w:hanging="704"/>
        <w:spacing w:line="440" w:lineRule="exact"/>
        <w:tabs>
          <w:tab w:val="left" w:pos="426" w:leader="none"/>
        </w:tabs>
        <w:rPr>
          <w:rFonts w:ascii="仿宋" w:hAnsi="仿宋" w:eastAsia="仿宋" w:cs="仿宋"/>
          <w:b/>
          <w:bCs/>
          <w:color w:val="auto"/>
          <w:highlight w:val="none"/>
        </w:rPr>
      </w:pPr>
      <w:r>
        <w:rPr>
          <w:rFonts w:hint="eastAsia" w:ascii="仿宋" w:hAnsi="仿宋" w:eastAsia="仿宋" w:cs="仿宋"/>
          <w:color w:val="auto"/>
          <w:highlight w:val="none"/>
          <w:lang w:val="en-US"/>
        </w:rPr>
        <w:t xml:space="preserve">11.4  </w:t>
      </w:r>
      <w:r>
        <w:rPr>
          <w:rFonts w:hint="eastAsia" w:ascii="仿宋" w:hAnsi="仿宋" w:eastAsia="仿宋" w:cs="仿宋"/>
          <w:b/>
          <w:bCs/>
          <w:color w:val="auto"/>
          <w:highlight w:val="none"/>
        </w:rPr>
        <w:t xml:space="preserve">政府采购政策功能落实</w:t>
      </w:r>
      <w:bookmarkStart w:id="31" w:name="EBd9bc59d5f2ed4fb8a64ee2e373d8cc72"/>
      <w:r/>
      <w:bookmarkEnd w:id="31"/>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w:t>
      </w:r>
      <w:r>
        <w:rPr>
          <w:rFonts w:hint="eastAsia" w:ascii="仿宋" w:hAnsi="仿宋" w:eastAsia="仿宋" w:cs="仿宋"/>
          <w:color w:val="auto"/>
          <w:highlight w:val="none"/>
        </w:rPr>
        <w:t xml:space="preserve"> 政府采购促进中小企业发展，在政府采购活动中，供应商提供的货物、工程或者服务符合下列情形的，享受中小企业扶持政策：</w:t>
      </w:r>
      <w:r/>
    </w:p>
    <w:p>
      <w:pPr>
        <w:pStyle w:val="779"/>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pStyle w:val="779"/>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pStyle w:val="779"/>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供应商参加政府</w:t>
      </w:r>
      <w:r>
        <w:rPr>
          <w:rFonts w:hint="eastAsia" w:ascii="仿宋" w:hAnsi="仿宋" w:eastAsia="仿宋" w:cs="仿宋"/>
          <w:color w:val="auto"/>
          <w:highlight w:val="none"/>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11.4.3 </w:t>
      </w:r>
      <w:r>
        <w:rPr>
          <w:rFonts w:hint="eastAsia" w:ascii="仿宋" w:hAnsi="仿宋" w:eastAsia="仿宋" w:cs="仿宋"/>
          <w:color w:val="auto"/>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11.4.4</w:t>
      </w:r>
      <w:r>
        <w:rPr>
          <w:rFonts w:hint="eastAsia" w:ascii="仿宋" w:hAnsi="仿宋" w:eastAsia="仿宋" w:cs="仿宋"/>
          <w:color w:val="auto"/>
          <w:highlight w:val="none"/>
        </w:rPr>
        <w:t xml:space="preserve">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11.4.5 </w:t>
      </w:r>
      <w:r>
        <w:rPr>
          <w:rFonts w:hint="eastAsia" w:ascii="仿宋" w:hAnsi="仿宋" w:eastAsia="仿宋" w:cs="仿宋"/>
          <w:color w:val="auto"/>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11.4.6</w:t>
      </w:r>
      <w:r>
        <w:rPr>
          <w:rFonts w:hint="eastAsia" w:ascii="仿宋" w:hAnsi="仿宋" w:eastAsia="仿宋" w:cs="仿宋"/>
          <w:color w:val="auto"/>
          <w:highlight w:val="none"/>
        </w:rPr>
        <w:t xml:space="preserve"> 提供的产品属于政府强制采购节能产品的，供应商应当选择依据国家标准中二级能效（水效）指标认证的节能产品投标，并提供有效的节能产品认证证书复印件。</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11.4.7 </w:t>
      </w:r>
      <w:r>
        <w:rPr>
          <w:rFonts w:hint="eastAsia" w:ascii="仿宋" w:hAnsi="仿宋" w:eastAsia="仿宋" w:cs="仿宋"/>
          <w:color w:val="auto"/>
          <w:highlight w:val="none"/>
        </w:rPr>
        <w:t xml:space="preserve">提供的产品属于环境标志产品的,供应商应当选择依据相关标准的最新版本认证的环境标志产品投标,并提供有效的环境标志产品认证证书复印件。 </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11.4.8 </w:t>
      </w:r>
      <w:r>
        <w:rPr>
          <w:rFonts w:hint="eastAsia" w:ascii="仿宋" w:hAnsi="仿宋" w:eastAsia="仿宋" w:cs="仿宋"/>
          <w:color w:val="auto"/>
          <w:highlight w:val="none"/>
        </w:rPr>
        <w:t xml:space="preserve">进口产品政策</w:t>
      </w:r>
      <w:r/>
    </w:p>
    <w:p>
      <w:pPr>
        <w:pStyle w:val="779"/>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pStyle w:val="779"/>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（2）允许进口产品参加的，满足需求的国内产品可以参加。</w:t>
      </w:r>
      <w:r/>
    </w:p>
    <w:p>
      <w:pPr>
        <w:pStyle w:val="779"/>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（3）允许进口产品参加的，优先采购向我国企业转让技术、与我国企业签订消化吸收再创新方案的供应商的进口产品。</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11.4.9 </w:t>
      </w:r>
      <w:r>
        <w:rPr>
          <w:rFonts w:hint="eastAsia" w:ascii="仿宋" w:hAnsi="仿宋" w:eastAsia="仿宋" w:cs="仿宋"/>
          <w:color w:val="auto"/>
          <w:highlight w:val="none"/>
        </w:rPr>
        <w:t xml:space="preserve">落实政府采购《商品包装政府采购需求标准(试行)》、《快递包装政府采购需求标准（试行）》（财办库〔2020〕123号〕、《绿色数据中心政府采购需求标准（试行）》（财库〔2023]7号）等需求标准。</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11.4.10 </w:t>
      </w:r>
      <w:r>
        <w:rPr>
          <w:rFonts w:hint="eastAsia"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11.4.11</w:t>
      </w:r>
      <w:r>
        <w:rPr>
          <w:rFonts w:hint="eastAsia" w:ascii="仿宋" w:hAnsi="仿宋" w:eastAsia="仿宋" w:cs="仿宋"/>
          <w:color w:val="auto"/>
          <w:highlight w:val="none"/>
        </w:rPr>
        <w:t xml:space="preserve"> 支持乡村产业振兴管理：落实《关于运用政府采购政策支持乡村产业振兴的通知》（财库〔2021〕19号）有关要求。</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11.4.12 </w:t>
      </w:r>
      <w:r>
        <w:rPr>
          <w:rFonts w:hint="eastAsia" w:ascii="仿宋" w:hAnsi="仿宋" w:eastAsia="仿宋" w:cs="仿宋"/>
          <w:color w:val="auto"/>
          <w:highlight w:val="none"/>
        </w:rPr>
        <w:t xml:space="preserve">涉及</w:t>
      </w:r>
      <w:r>
        <w:rPr>
          <w:rFonts w:hint="eastAsia" w:ascii="仿宋" w:hAnsi="仿宋" w:eastAsia="仿宋" w:cs="仿宋"/>
          <w:color w:val="auto"/>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11.4.13 </w:t>
      </w:r>
      <w:r>
        <w:rPr>
          <w:rFonts w:hint="eastAsia" w:ascii="仿宋" w:hAnsi="仿宋" w:eastAsia="仿宋" w:cs="仿宋"/>
          <w:color w:val="auto"/>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11.4.14</w:t>
      </w:r>
      <w:r>
        <w:rPr>
          <w:rFonts w:hint="eastAsia" w:ascii="仿宋" w:hAnsi="仿宋" w:eastAsia="仿宋" w:cs="仿宋"/>
          <w:color w:val="auto"/>
          <w:highlight w:val="none"/>
        </w:rPr>
        <w:t xml:space="preserve">创新产品采购</w:t>
      </w:r>
      <w:r/>
    </w:p>
    <w:p>
      <w:pPr>
        <w:pStyle w:val="779"/>
        <w:ind w:left="220" w:firstLine="0"/>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11.4.15 </w:t>
      </w:r>
      <w:r>
        <w:rPr>
          <w:rFonts w:hint="eastAsia" w:ascii="仿宋" w:hAnsi="仿宋" w:eastAsia="仿宋" w:cs="仿宋"/>
          <w:color w:val="auto"/>
          <w:highlight w:val="none"/>
        </w:rPr>
        <w:t xml:space="preserve">网络产品、市场准入类产品采购</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11.4.16 </w:t>
      </w:r>
      <w:r>
        <w:rPr>
          <w:rFonts w:hint="eastAsia" w:ascii="仿宋" w:hAnsi="仿宋" w:eastAsia="仿宋" w:cs="仿宋"/>
          <w:color w:val="auto"/>
          <w:highlight w:val="none"/>
        </w:rPr>
        <w:t xml:space="preserve">本项目</w:t>
      </w:r>
      <w:r>
        <w:rPr>
          <w:rFonts w:hint="eastAsia" w:ascii="仿宋" w:hAnsi="仿宋" w:eastAsia="仿宋" w:cs="仿宋"/>
          <w:color w:val="auto"/>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11.4.17 </w:t>
      </w:r>
      <w:r>
        <w:rPr>
          <w:rFonts w:hint="eastAsia" w:ascii="仿宋" w:hAnsi="仿宋" w:eastAsia="仿宋" w:cs="仿宋"/>
          <w:color w:val="auto"/>
          <w:highlight w:val="none"/>
        </w:rPr>
        <w:t xml:space="preserve">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pStyle w:val="779"/>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11.4.18 </w:t>
      </w:r>
      <w:r>
        <w:rPr>
          <w:rFonts w:hint="eastAsia" w:ascii="仿宋" w:hAnsi="仿宋" w:eastAsia="仿宋" w:cs="仿宋"/>
          <w:color w:val="auto"/>
          <w:highlight w:val="none"/>
        </w:rPr>
        <w:t xml:space="preserve">落实《关于在全省政府采购领域推行电子履约保函（保险）的通知》（苏财购〔2023〕15号）。</w:t>
      </w:r>
      <w:r/>
    </w:p>
    <w:p>
      <w:pPr>
        <w:pStyle w:val="779"/>
        <w:ind w:left="264" w:hanging="70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11.4.19 政府采购中实施本国产品标准及相关政策</w:t>
      </w:r>
      <w:r/>
    </w:p>
    <w:p>
      <w:pPr>
        <w:pStyle w:val="779"/>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1.本项目对采购本国产品给予政策支持。</w:t>
      </w:r>
      <w:r/>
    </w:p>
    <w:p>
      <w:pPr>
        <w:pStyle w:val="779"/>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9"/>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ind w:firstLine="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11.4.20 根据财库〔2026〕2号文件，评审委员会启动异常低价投标审查的情形和具体要求，包括：</w:t>
      </w:r>
      <w:r/>
    </w:p>
    <w:p>
      <w:pPr>
        <w:pStyle w:val="779"/>
        <w:ind w:left="264" w:hanging="26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（一）1.投标报价低于全部通过符合性审查供应商投标报价平均值50%的，即投标报价&lt;全部通过符合性审查供应商投标报价平均值×50%；</w:t>
      </w:r>
      <w:r/>
    </w:p>
    <w:p>
      <w:pPr>
        <w:pStyle w:val="779"/>
        <w:ind w:left="660" w:hanging="22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2.投标报价低于通过符合性审查的次低报价供应商投标报价50%的，即投标报价&lt;通过符合性审查的次低报价供应商投标报价×50%；</w:t>
      </w:r>
      <w:r/>
    </w:p>
    <w:p>
      <w:pPr>
        <w:pStyle w:val="779"/>
        <w:ind w:firstLine="44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3.投标报价低于采购项目最高限价45%的，即投标报价&lt;采购项目最高限价×45%；</w:t>
      </w:r>
      <w:r/>
    </w:p>
    <w:p>
      <w:pPr>
        <w:pStyle w:val="779"/>
        <w:ind w:left="660" w:hanging="22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4.评审委员会基于专业判断，认为供应商报价过低，有可能影响产品质量或者不能诚信履约的其他情形。</w:t>
      </w:r>
      <w:r/>
    </w:p>
    <w:p>
      <w:pPr>
        <w:pStyle w:val="779"/>
        <w:ind w:left="264" w:hanging="70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779"/>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79"/>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9"/>
        <w:ind w:firstLine="22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异常低价投标审查的启动原因、审查意见和审查结果应当在评审报告中记录，并随供应商提供的相关书面说明及证明材料，以及评审委员会有关互联网浏览、查询历史一并归档。</w:t>
      </w:r>
      <w:r/>
    </w:p>
    <w:p>
      <w:pPr>
        <w:pStyle w:val="779"/>
        <w:ind w:left="264" w:hanging="70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11.4.20 未按要求提供相关材料的，不享受相关政策。</w:t>
      </w:r>
      <w:r/>
    </w:p>
    <w:p>
      <w:pPr>
        <w:pStyle w:val="779"/>
        <w:ind w:left="264" w:hanging="704"/>
        <w:spacing w:line="440" w:lineRule="exact"/>
        <w:tabs>
          <w:tab w:val="left" w:pos="426" w:leader="none"/>
        </w:tabs>
        <w:rPr>
          <w:rFonts w:ascii="宋体" w:hAnsi="宋体"/>
          <w:color w:val="auto"/>
          <w:highlight w:val="none"/>
        </w:rPr>
      </w:pPr>
      <w:r>
        <w:rPr>
          <w:rFonts w:hint="eastAsia" w:ascii="仿宋" w:hAnsi="仿宋" w:eastAsia="仿宋" w:cs="仿宋"/>
          <w:color w:val="auto"/>
          <w:highlight w:val="none"/>
          <w:lang w:val="en-US"/>
        </w:rPr>
        <w:t xml:space="preserve">11.4.21 在本项目政府采购活动过程中，如果所执行的标准有更新的，按照最新标准执行。</w:t>
      </w:r>
      <w:r/>
    </w:p>
    <w:p>
      <w:pPr>
        <w:pStyle w:val="712"/>
        <w:numPr>
          <w:ilvl w:val="0"/>
          <w:numId w:val="1"/>
        </w:numPr>
        <w:jc w:val="center"/>
        <w:spacing w:before="0" w:after="0" w:line="360" w:lineRule="auto"/>
        <w:rPr>
          <w:rFonts w:ascii="仿宋" w:hAnsi="仿宋" w:eastAsia="仿宋" w:cs="仿宋"/>
          <w:color w:val="auto"/>
          <w:highlight w:val="none"/>
        </w:rPr>
      </w:pPr>
      <w:r>
        <w:rPr>
          <w:rFonts w:hint="eastAsia" w:ascii="仿宋" w:hAnsi="仿宋" w:eastAsia="仿宋" w:cs="仿宋"/>
          <w:color w:val="auto"/>
          <w:highlight w:val="none"/>
        </w:rPr>
        <w:br w:type="page" w:clear="all"/>
      </w:r>
      <w:bookmarkStart w:id="32" w:name="_Toc30241"/>
      <w:r>
        <w:rPr>
          <w:rFonts w:hint="eastAsia" w:ascii="仿宋" w:hAnsi="仿宋" w:eastAsia="仿宋" w:cs="仿宋"/>
          <w:color w:val="auto"/>
          <w:highlight w:val="none"/>
        </w:rPr>
        <w:t xml:space="preserve">评标办法</w:t>
      </w:r>
      <w:bookmarkEnd w:id="32"/>
      <w:r/>
      <w:r/>
    </w:p>
    <w:p>
      <w:pPr>
        <w:pStyle w:val="724"/>
        <w:ind w:right="-96" w:firstLine="448"/>
        <w:spacing w:after="0" w:line="440" w:lineRule="exact"/>
        <w:rPr>
          <w:rFonts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 xml:space="preserve">根据《中华人民共和国政府采购法》、《中华人民共和国政府采购法实施条例》等有关规定，制定本办法。 </w:t>
      </w:r>
      <w:r/>
    </w:p>
    <w:p>
      <w:pPr>
        <w:pStyle w:val="724"/>
        <w:numPr>
          <w:ilvl w:val="0"/>
          <w:numId w:val="16"/>
        </w:numPr>
        <w:ind w:left="655" w:right="-96" w:hanging="655"/>
        <w:spacing w:after="0" w:line="440" w:lineRule="exact"/>
        <w:rPr>
          <w:rFonts w:ascii="仿宋" w:hAnsi="仿宋" w:eastAsia="仿宋" w:cs="仿宋"/>
          <w:b/>
          <w:color w:val="auto"/>
          <w:spacing w:val="-8"/>
          <w:sz w:val="24"/>
          <w:szCs w:val="24"/>
          <w:highlight w:val="none"/>
        </w:rPr>
      </w:pPr>
      <w:r>
        <w:rPr>
          <w:rFonts w:hint="eastAsia" w:ascii="仿宋" w:hAnsi="仿宋" w:eastAsia="仿宋" w:cs="仿宋"/>
          <w:b/>
          <w:color w:val="auto"/>
          <w:spacing w:val="6"/>
          <w:sz w:val="24"/>
          <w:szCs w:val="24"/>
          <w:highlight w:val="none"/>
        </w:rPr>
        <w:t xml:space="preserve">评标原则</w:t>
      </w:r>
      <w:r/>
    </w:p>
    <w:p>
      <w:pPr>
        <w:ind w:right="-96" w:firstLine="476"/>
        <w:spacing w:line="44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评标应遵循公平、公正、科学、择优的原则。</w:t>
      </w:r>
      <w:r/>
    </w:p>
    <w:p>
      <w:pPr>
        <w:pStyle w:val="724"/>
        <w:numPr>
          <w:ilvl w:val="0"/>
          <w:numId w:val="16"/>
        </w:numPr>
        <w:ind w:left="655" w:right="-96" w:hanging="655"/>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评标组织 </w:t>
      </w:r>
      <w:r/>
    </w:p>
    <w:p>
      <w:pPr>
        <w:pStyle w:val="724"/>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评标工作由采购人依法组建的评标委员会负责，评标委员会的组建见投标人须知前附表，评标委员会成员</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人。 </w:t>
      </w:r>
      <w:r/>
    </w:p>
    <w:p>
      <w:pPr>
        <w:pStyle w:val="724"/>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r/>
    </w:p>
    <w:p>
      <w:pPr>
        <w:pStyle w:val="724"/>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评标委员会应当按照招标文件确定的评标标准和方法，客观、公正对投标文件进行评审和比较，招标文件没有规定的评标标准和方法不得作为评标的依据。 </w:t>
      </w:r>
      <w:r/>
    </w:p>
    <w:p>
      <w:pPr>
        <w:pStyle w:val="724"/>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评标委员会对投标文件作出的评审结论，应当符合有关法律、法规、规章和招标文件的规定。 </w:t>
      </w:r>
      <w:r/>
    </w:p>
    <w:p>
      <w:pPr>
        <w:pStyle w:val="724"/>
        <w:numPr>
          <w:ilvl w:val="0"/>
          <w:numId w:val="16"/>
        </w:numPr>
        <w:ind w:left="655" w:right="-96" w:hanging="600"/>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评标程序和内容 </w:t>
      </w:r>
      <w:r/>
    </w:p>
    <w:p>
      <w:pPr>
        <w:pStyle w:val="724"/>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熟悉招标文件和评标办法； </w:t>
      </w:r>
      <w:r/>
    </w:p>
    <w:p>
      <w:pPr>
        <w:pStyle w:val="724"/>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投标文件的资格性</w:t>
      </w:r>
      <w:r>
        <w:rPr>
          <w:rFonts w:hint="eastAsia" w:ascii="仿宋" w:hAnsi="仿宋" w:eastAsia="仿宋" w:cs="仿宋"/>
          <w:color w:val="auto"/>
          <w:sz w:val="24"/>
          <w:szCs w:val="24"/>
          <w:highlight w:val="none"/>
          <w:lang w:val="en-US"/>
        </w:rPr>
        <w:t xml:space="preserve">审查</w:t>
      </w:r>
      <w:r>
        <w:rPr>
          <w:rFonts w:hint="eastAsia" w:ascii="仿宋" w:hAnsi="仿宋" w:eastAsia="仿宋" w:cs="仿宋"/>
          <w:color w:val="auto"/>
          <w:sz w:val="24"/>
          <w:szCs w:val="24"/>
          <w:highlight w:val="none"/>
        </w:rPr>
        <w:t xml:space="preserve">；</w:t>
      </w:r>
      <w:r/>
    </w:p>
    <w:p>
      <w:pPr>
        <w:pStyle w:val="724"/>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投标文件的符合性</w:t>
      </w:r>
      <w:r>
        <w:rPr>
          <w:rFonts w:hint="eastAsia" w:ascii="仿宋" w:hAnsi="仿宋" w:eastAsia="仿宋" w:cs="仿宋"/>
          <w:color w:val="auto"/>
          <w:sz w:val="24"/>
          <w:szCs w:val="24"/>
          <w:highlight w:val="none"/>
          <w:lang w:val="en-US"/>
        </w:rPr>
        <w:t xml:space="preserve">审查</w:t>
      </w:r>
      <w:r>
        <w:rPr>
          <w:rFonts w:hint="eastAsia" w:ascii="仿宋" w:hAnsi="仿宋" w:eastAsia="仿宋" w:cs="仿宋"/>
          <w:color w:val="auto"/>
          <w:sz w:val="24"/>
          <w:szCs w:val="24"/>
          <w:highlight w:val="none"/>
        </w:rPr>
        <w:t xml:space="preserve">；  </w:t>
      </w:r>
      <w:r/>
    </w:p>
    <w:p>
      <w:pPr>
        <w:pStyle w:val="724"/>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投标文件的技术</w:t>
      </w:r>
      <w:r>
        <w:rPr>
          <w:rFonts w:hint="eastAsia" w:ascii="仿宋" w:hAnsi="仿宋" w:eastAsia="仿宋" w:cs="仿宋"/>
          <w:color w:val="auto"/>
          <w:sz w:val="24"/>
          <w:szCs w:val="24"/>
          <w:highlight w:val="none"/>
          <w:lang w:val="en-US"/>
        </w:rPr>
        <w:t xml:space="preserve">及商务</w:t>
      </w:r>
      <w:r>
        <w:rPr>
          <w:rFonts w:hint="eastAsia" w:ascii="仿宋" w:hAnsi="仿宋" w:eastAsia="仿宋" w:cs="仿宋"/>
          <w:color w:val="auto"/>
          <w:sz w:val="24"/>
          <w:szCs w:val="24"/>
          <w:highlight w:val="none"/>
        </w:rPr>
        <w:t xml:space="preserve">评审； </w:t>
      </w:r>
      <w:r/>
    </w:p>
    <w:p>
      <w:pPr>
        <w:pStyle w:val="724"/>
        <w:numPr>
          <w:ilvl w:val="0"/>
          <w:numId w:val="17"/>
        </w:numPr>
        <w:ind w:left="1276" w:hanging="85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必要时对投标文件中的问题进行询标，包括</w:t>
      </w:r>
      <w:r>
        <w:rPr>
          <w:rFonts w:hint="eastAsia" w:ascii="仿宋" w:hAnsi="仿宋" w:eastAsia="仿宋" w:cs="仿宋"/>
          <w:color w:val="auto"/>
          <w:sz w:val="24"/>
          <w:szCs w:val="24"/>
          <w:highlight w:val="none"/>
          <w:lang w:val="en-US"/>
        </w:rPr>
        <w:t xml:space="preserve">但不限于</w:t>
      </w:r>
      <w:r>
        <w:rPr>
          <w:rFonts w:hint="eastAsia" w:ascii="仿宋" w:hAnsi="仿宋" w:eastAsia="仿宋" w:cs="仿宋"/>
          <w:color w:val="auto"/>
          <w:sz w:val="24"/>
          <w:szCs w:val="24"/>
          <w:highlight w:val="none"/>
        </w:rPr>
        <w:t xml:space="preserve">拟作出否决投标决定前对相关投标人进行的询问核实； </w:t>
      </w:r>
      <w:r/>
    </w:p>
    <w:p>
      <w:pPr>
        <w:pStyle w:val="724"/>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根据评标办法和标准对投标文件进行综合评分、排序； </w:t>
      </w:r>
      <w:r/>
    </w:p>
    <w:p>
      <w:pPr>
        <w:pStyle w:val="724"/>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完成评标报告，推荐中标候选人。</w:t>
      </w:r>
      <w:r/>
    </w:p>
    <w:p>
      <w:pPr>
        <w:pStyle w:val="724"/>
        <w:numPr>
          <w:ilvl w:val="0"/>
          <w:numId w:val="16"/>
        </w:numPr>
        <w:ind w:left="655" w:right="-96" w:hanging="600"/>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评审细则 </w:t>
      </w:r>
      <w:r/>
    </w:p>
    <w:p>
      <w:pPr>
        <w:pStyle w:val="724"/>
        <w:ind w:right="-96" w:firstLine="480"/>
        <w:jc w:val="both"/>
        <w:spacing w:after="0"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1、资格性审查及符合性审查详见投标人须知前附表</w:t>
      </w:r>
      <w:r/>
    </w:p>
    <w:p>
      <w:pPr>
        <w:pStyle w:val="724"/>
        <w:ind w:right="-96" w:firstLine="480"/>
        <w:jc w:val="both"/>
        <w:spacing w:after="0"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2、评分细则</w:t>
      </w:r>
      <w:r/>
    </w:p>
    <w:p>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br w:type="page" w:clear="all"/>
      </w:r>
      <w:r/>
    </w:p>
    <w:p>
      <w:pPr>
        <w:pStyle w:val="724"/>
        <w:ind w:right="-96" w:firstLine="221"/>
        <w:spacing w:before="36" w:after="0"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tbl>
      <w:tblPr>
        <w:tblStyle w:val="718"/>
        <w:tblW w:w="905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17"/>
        <w:gridCol w:w="768"/>
        <w:gridCol w:w="1056"/>
        <w:gridCol w:w="4954"/>
        <w:gridCol w:w="960"/>
      </w:tblGrid>
      <w:tr>
        <w:trPr>
          <w:jc w:val="center"/>
          <w:tblHeader/>
        </w:trPr>
        <w:tc>
          <w:tcPr>
            <w:tcW w:w="1317" w:type="dxa"/>
            <w:vAlign w:val="center"/>
            <w:textDirection w:val="lrTb"/>
            <w:noWrap/>
          </w:tcPr>
          <w:p>
            <w:pPr>
              <w:jc w:val="center"/>
              <w:rPr>
                <w:b/>
                <w:bCs/>
                <w:color w:val="auto"/>
                <w:highlight w:val="none"/>
              </w:rPr>
            </w:pPr>
            <w:r>
              <w:rPr>
                <w:rFonts w:hint="eastAsia"/>
                <w:b/>
                <w:bCs/>
                <w:color w:val="auto"/>
                <w:highlight w:val="none"/>
              </w:rPr>
              <w:t xml:space="preserve">评分项</w:t>
            </w:r>
            <w:r/>
          </w:p>
        </w:tc>
        <w:tc>
          <w:tcPr>
            <w:tcW w:w="768" w:type="dxa"/>
            <w:vAlign w:val="center"/>
            <w:textDirection w:val="lrTb"/>
            <w:noWrap/>
          </w:tcPr>
          <w:p>
            <w:pPr>
              <w:jc w:val="center"/>
              <w:rPr>
                <w:b/>
                <w:bCs/>
                <w:color w:val="auto"/>
                <w:highlight w:val="none"/>
              </w:rPr>
            </w:pPr>
            <w:r>
              <w:rPr>
                <w:rFonts w:hint="eastAsia"/>
                <w:b/>
                <w:bCs/>
                <w:color w:val="auto"/>
                <w:highlight w:val="none"/>
              </w:rPr>
              <w:t xml:space="preserve">序号</w:t>
            </w:r>
            <w:r/>
          </w:p>
        </w:tc>
        <w:tc>
          <w:tcPr>
            <w:tcW w:w="1056" w:type="dxa"/>
            <w:vAlign w:val="center"/>
            <w:textDirection w:val="lrTb"/>
            <w:noWrap/>
          </w:tcPr>
          <w:p>
            <w:pPr>
              <w:jc w:val="center"/>
              <w:rPr>
                <w:b/>
                <w:bCs/>
                <w:color w:val="auto"/>
                <w:highlight w:val="none"/>
              </w:rPr>
            </w:pPr>
            <w:r>
              <w:rPr>
                <w:rFonts w:hint="eastAsia"/>
                <w:b/>
                <w:bCs/>
                <w:color w:val="auto"/>
                <w:highlight w:val="none"/>
              </w:rPr>
              <w:t xml:space="preserve">评分因素</w:t>
            </w:r>
            <w:r/>
          </w:p>
        </w:tc>
        <w:tc>
          <w:tcPr>
            <w:tcW w:w="4954" w:type="dxa"/>
            <w:vAlign w:val="center"/>
            <w:textDirection w:val="lrTb"/>
            <w:noWrap/>
          </w:tcPr>
          <w:p>
            <w:pPr>
              <w:jc w:val="center"/>
              <w:rPr>
                <w:b/>
                <w:bCs/>
                <w:color w:val="auto"/>
                <w:highlight w:val="none"/>
              </w:rPr>
            </w:pPr>
            <w:r>
              <w:rPr>
                <w:rFonts w:hint="eastAsia"/>
                <w:b/>
                <w:bCs/>
                <w:color w:val="auto"/>
                <w:highlight w:val="none"/>
              </w:rPr>
              <w:t xml:space="preserve">评分细则</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分值</w:t>
            </w:r>
            <w:r/>
          </w:p>
        </w:tc>
      </w:tr>
      <w:tr>
        <w:trPr>
          <w:jc w:val="center"/>
          <w:trHeight w:val="2282"/>
        </w:trPr>
        <w:tc>
          <w:tcPr>
            <w:tcW w:w="1317" w:type="dxa"/>
            <w:vAlign w:val="center"/>
            <w:textDirection w:val="lrTb"/>
            <w:noWrap/>
          </w:tcPr>
          <w:p>
            <w:pPr>
              <w:rPr>
                <w:b/>
                <w:bCs/>
                <w:color w:val="auto"/>
                <w:highlight w:val="none"/>
              </w:rPr>
            </w:pPr>
            <w:r>
              <w:rPr>
                <w:rFonts w:hint="eastAsia"/>
                <w:b/>
                <w:bCs/>
                <w:color w:val="auto"/>
                <w:highlight w:val="none"/>
              </w:rPr>
              <w:t xml:space="preserve">一、价格部分</w:t>
            </w:r>
            <w:r/>
          </w:p>
          <w:p>
            <w:pPr>
              <w:rPr>
                <w:b/>
                <w:bCs/>
                <w:color w:val="auto"/>
                <w:highlight w:val="none"/>
              </w:rPr>
            </w:pPr>
            <w:r>
              <w:rPr>
                <w:rFonts w:hint="eastAsia"/>
                <w:b/>
                <w:bCs/>
                <w:color w:val="auto"/>
                <w:highlight w:val="none"/>
              </w:rPr>
              <w:t xml:space="preserve">（10分）</w:t>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1.1</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价格</w:t>
            </w:r>
            <w:r/>
          </w:p>
        </w:tc>
        <w:tc>
          <w:tcPr>
            <w:tcBorders>
              <w:bottom w:val="single" w:color="auto" w:sz="4" w:space="0"/>
            </w:tcBorders>
            <w:tcW w:w="4954" w:type="dxa"/>
            <w:vAlign w:val="center"/>
            <w:textDirection w:val="lrTb"/>
            <w:noWrap/>
          </w:tcPr>
          <w:p>
            <w:pPr>
              <w:ind w:right="0"/>
              <w:jc w:val="left"/>
              <w:keepLines w:val="0"/>
              <w:keepNext w:val="0"/>
              <w:pageBreakBefore w:val="0"/>
              <w:spacing w:line="36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价格分采用低价优先法计算，即满足采购文件要求且投标价格最低的供应商投标报价为评标基准价，其价格分为满分</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0分，其它投标人的价格分统一按照以下公式计算：投标报价得分=（评标基准价/该投标人的投标报价）×</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0分。分值保留小数点后</w:t>
            </w:r>
            <w:r>
              <w:rPr>
                <w:rFonts w:hint="eastAsia" w:ascii="宋体" w:hAnsi="宋体" w:eastAsia="宋体" w:cs="宋体"/>
                <w:b w:val="0"/>
                <w:bCs w:val="0"/>
                <w:color w:val="auto"/>
                <w:sz w:val="24"/>
                <w:highlight w:val="none"/>
                <w:lang w:val="en-US"/>
              </w:rPr>
              <w:t xml:space="preserve">2</w:t>
            </w:r>
            <w:r>
              <w:rPr>
                <w:rFonts w:hint="eastAsia" w:ascii="宋体" w:hAnsi="宋体" w:eastAsia="宋体" w:cs="宋体"/>
                <w:b w:val="0"/>
                <w:bCs w:val="0"/>
                <w:color w:val="auto"/>
                <w:sz w:val="24"/>
                <w:highlight w:val="none"/>
              </w:rPr>
              <w:t xml:space="preserve">位。</w:t>
            </w:r>
            <w:r/>
          </w:p>
          <w:p>
            <w:pPr>
              <w:ind w:right="0"/>
              <w:jc w:val="left"/>
              <w:keepLines w:val="0"/>
              <w:keepNext w:val="0"/>
              <w:pageBreakBefore w:val="0"/>
              <w:spacing w:line="360" w:lineRule="exact"/>
              <w:rPr>
                <w:color w:val="auto"/>
                <w:sz w:val="24"/>
                <w:szCs w:val="24"/>
                <w:highlight w:val="none"/>
              </w:rPr>
            </w:pPr>
            <w:r>
              <w:rPr>
                <w:rFonts w:hint="eastAsia" w:ascii="宋体" w:hAnsi="宋体" w:eastAsia="宋体" w:cs="宋体"/>
                <w:b w:val="0"/>
                <w:bCs w:val="0"/>
                <w:color w:val="auto"/>
                <w:sz w:val="24"/>
                <w:highlight w:val="none"/>
              </w:rPr>
              <w:t xml:space="preserve">因落实政府采购政策进行价格调整的，以调整后的价格计算评审基准价和最终报价。</w:t>
            </w:r>
            <w:r/>
          </w:p>
        </w:tc>
        <w:tc>
          <w:tcPr>
            <w:tcBorders>
              <w:bottom w:val="single" w:color="auto" w:sz="4" w:space="0"/>
            </w:tcBorders>
            <w:tcW w:w="960" w:type="dxa"/>
            <w:vAlign w:val="center"/>
            <w:textDirection w:val="lrTb"/>
            <w:noWrap/>
          </w:tcPr>
          <w:p>
            <w:pPr>
              <w:jc w:val="center"/>
              <w:rPr>
                <w:b/>
                <w:bCs/>
                <w:color w:val="auto"/>
                <w:highlight w:val="none"/>
              </w:rPr>
            </w:pPr>
            <w:r>
              <w:rPr>
                <w:rFonts w:hint="eastAsia"/>
                <w:b/>
                <w:bCs/>
                <w:color w:val="auto"/>
                <w:highlight w:val="none"/>
              </w:rPr>
              <w:t xml:space="preserve">10</w:t>
            </w:r>
            <w:r/>
          </w:p>
        </w:tc>
      </w:tr>
      <w:tr>
        <w:trPr>
          <w:jc w:val="center"/>
          <w:trHeight w:val="1100"/>
        </w:trPr>
        <w:tc>
          <w:tcPr>
            <w:tcW w:w="1317" w:type="dxa"/>
            <w:vAlign w:val="center"/>
            <w:textDirection w:val="lrTb"/>
            <w:noWrap/>
          </w:tcPr>
          <w:p>
            <w:pPr>
              <w:rPr>
                <w:b/>
                <w:bCs/>
                <w:color w:val="auto"/>
                <w:highlight w:val="none"/>
              </w:rPr>
            </w:pPr>
            <w:r>
              <w:rPr>
                <w:rFonts w:hint="eastAsia"/>
                <w:b/>
                <w:bCs/>
                <w:color w:val="auto"/>
                <w:highlight w:val="none"/>
              </w:rPr>
              <w:t xml:space="preserve">二、供应商业绩</w:t>
            </w:r>
            <w:r/>
          </w:p>
          <w:p>
            <w:pPr>
              <w:rPr>
                <w:b/>
                <w:bCs/>
                <w:color w:val="auto"/>
                <w:highlight w:val="none"/>
              </w:rPr>
            </w:pPr>
            <w:r>
              <w:rPr>
                <w:rFonts w:hint="eastAsia"/>
                <w:b/>
                <w:bCs/>
                <w:color w:val="auto"/>
                <w:highlight w:val="none"/>
              </w:rPr>
              <w:t xml:space="preserve">（9分）</w:t>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2.1</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业绩</w:t>
            </w:r>
            <w:r/>
          </w:p>
        </w:tc>
        <w:tc>
          <w:tcPr>
            <w:tcW w:w="4954" w:type="dxa"/>
            <w:vAlign w:val="center"/>
            <w:textDirection w:val="lrTb"/>
            <w:noWrap/>
          </w:tcPr>
          <w:p>
            <w:pPr>
              <w:ind w:right="0"/>
              <w:jc w:val="left"/>
              <w:keepLines w:val="0"/>
              <w:keepNext w:val="0"/>
              <w:pageBreakBefore w:val="0"/>
              <w:spacing w:line="360" w:lineRule="exact"/>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2022</w:t>
            </w:r>
            <w:r>
              <w:rPr>
                <w:rFonts w:hint="eastAsia" w:ascii="宋体" w:hAnsi="宋体" w:eastAsia="宋体" w:cs="宋体"/>
                <w:b w:val="0"/>
                <w:bCs w:val="0"/>
                <w:color w:val="auto"/>
                <w:sz w:val="24"/>
                <w:highlight w:val="none"/>
              </w:rPr>
              <w:t xml:space="preserve">年1月1日以来（以合同签订的时间为准）</w:t>
            </w:r>
            <w:r>
              <w:rPr>
                <w:rFonts w:hint="eastAsia" w:ascii="宋体" w:hAnsi="宋体" w:eastAsia="宋体" w:cs="宋体"/>
                <w:b w:val="0"/>
                <w:bCs w:val="0"/>
                <w:color w:val="auto"/>
                <w:sz w:val="24"/>
                <w:highlight w:val="none"/>
                <w:lang w:val="en-US" w:eastAsia="zh-CN"/>
              </w:rPr>
              <w:t xml:space="preserve">与本项目类似的</w:t>
            </w:r>
            <w:r>
              <w:rPr>
                <w:rFonts w:hint="eastAsia" w:ascii="宋体" w:hAnsi="宋体" w:eastAsia="宋体" w:cs="宋体"/>
                <w:b w:val="0"/>
                <w:bCs w:val="0"/>
                <w:color w:val="auto"/>
                <w:sz w:val="24"/>
                <w:highlight w:val="none"/>
              </w:rPr>
              <w:t xml:space="preserve">生活护理服务</w:t>
            </w:r>
            <w:r>
              <w:rPr>
                <w:rFonts w:hint="eastAsia" w:ascii="宋体" w:hAnsi="宋体" w:eastAsia="宋体" w:cs="宋体"/>
                <w:b w:val="0"/>
                <w:bCs w:val="0"/>
                <w:color w:val="auto"/>
                <w:sz w:val="24"/>
                <w:highlight w:val="none"/>
                <w:lang w:val="en-US" w:eastAsia="zh-CN"/>
              </w:rPr>
              <w:t xml:space="preserve">业绩</w:t>
            </w:r>
            <w:r>
              <w:rPr>
                <w:rFonts w:hint="eastAsia"/>
                <w:color w:val="auto"/>
                <w:sz w:val="24"/>
                <w:szCs w:val="24"/>
                <w:highlight w:val="none"/>
              </w:rPr>
              <w:t xml:space="preserve">每提供一份得</w:t>
            </w:r>
            <w:r>
              <w:rPr>
                <w:rFonts w:hint="eastAsia"/>
                <w:color w:val="auto"/>
                <w:sz w:val="24"/>
                <w:szCs w:val="24"/>
                <w:highlight w:val="none"/>
                <w:lang w:val="en-US" w:eastAsia="zh-CN"/>
              </w:rPr>
              <w:t xml:space="preserve">2</w:t>
            </w:r>
            <w:r>
              <w:rPr>
                <w:rFonts w:hint="eastAsia"/>
                <w:color w:val="auto"/>
                <w:sz w:val="24"/>
                <w:szCs w:val="24"/>
                <w:highlight w:val="none"/>
              </w:rPr>
              <w:t xml:space="preserve">分，最多得</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rPr>
                <w:rFonts w:hint="eastAsia" w:cs="宋体"/>
                <w:b w:val="0"/>
                <w:bCs w:val="0"/>
                <w:color w:val="auto"/>
                <w:sz w:val="24"/>
                <w:highlight w:val="none"/>
                <w:lang w:eastAsia="zh-CN"/>
              </w:rPr>
              <w:t xml:space="preserve">；</w:t>
            </w:r>
            <w:r>
              <w:rPr>
                <w:rFonts w:hint="eastAsia" w:cs="宋体"/>
                <w:b w:val="0"/>
                <w:bCs w:val="0"/>
                <w:color w:val="auto"/>
                <w:sz w:val="24"/>
                <w:highlight w:val="none"/>
                <w:lang w:val="en-US" w:eastAsia="zh-CN"/>
              </w:rPr>
              <w:t xml:space="preserve">同时</w:t>
            </w:r>
            <w:r>
              <w:rPr>
                <w:rFonts w:hint="eastAsia" w:ascii="宋体" w:hAnsi="宋体" w:cs="宋体"/>
                <w:i w:val="0"/>
                <w:iCs w:val="0"/>
                <w:color w:val="auto"/>
                <w:sz w:val="24"/>
                <w:highlight w:val="none"/>
              </w:rPr>
              <w:t xml:space="preserve">提供上述</w:t>
            </w:r>
            <w:r>
              <w:rPr>
                <w:rFonts w:hint="eastAsia" w:ascii="宋体" w:hAnsi="宋体" w:cs="宋体"/>
                <w:i w:val="0"/>
                <w:iCs w:val="0"/>
                <w:color w:val="auto"/>
                <w:sz w:val="24"/>
                <w:highlight w:val="none"/>
                <w:lang w:val="en-US" w:eastAsia="zh-CN"/>
              </w:rPr>
              <w:t xml:space="preserve">合同单位</w:t>
            </w:r>
            <w:r>
              <w:rPr>
                <w:rFonts w:hint="eastAsia" w:cs="宋体"/>
                <w:i w:val="0"/>
                <w:iCs w:val="0"/>
                <w:color w:val="auto"/>
                <w:sz w:val="24"/>
                <w:highlight w:val="none"/>
                <w:lang w:val="en-US" w:eastAsia="zh-CN"/>
              </w:rPr>
              <w:t xml:space="preserve">出具的满意度评价，评价内容为</w:t>
            </w:r>
            <w:r>
              <w:rPr>
                <w:rFonts w:hint="eastAsia" w:ascii="宋体" w:hAnsi="宋体" w:cs="宋体"/>
                <w:i w:val="0"/>
                <w:iCs w:val="0"/>
                <w:color w:val="auto"/>
                <w:sz w:val="24"/>
                <w:highlight w:val="none"/>
              </w:rPr>
              <w:t xml:space="preserve">“满意”或“优秀”类评价意见，每提供一份得1分，最多得3分。</w:t>
            </w:r>
            <w:r/>
          </w:p>
          <w:p>
            <w:pPr>
              <w:rPr>
                <w:color w:val="auto"/>
                <w:sz w:val="24"/>
                <w:szCs w:val="24"/>
                <w:highlight w:val="none"/>
              </w:rPr>
            </w:pPr>
            <w:r>
              <w:rPr>
                <w:rFonts w:hint="eastAsia"/>
                <w:color w:val="auto"/>
                <w:sz w:val="24"/>
                <w:szCs w:val="24"/>
                <w:highlight w:val="none"/>
              </w:rPr>
              <w:t xml:space="preserve">（提供合同复印件</w:t>
            </w:r>
            <w:r>
              <w:rPr>
                <w:rFonts w:hint="eastAsia"/>
                <w:color w:val="auto"/>
                <w:sz w:val="24"/>
                <w:szCs w:val="24"/>
                <w:highlight w:val="none"/>
                <w:lang w:eastAsia="zh-CN"/>
              </w:rPr>
              <w:t xml:space="preserve">、</w:t>
            </w:r>
            <w:r>
              <w:rPr>
                <w:rFonts w:hint="eastAsia" w:cs="宋体"/>
                <w:i w:val="0"/>
                <w:iCs w:val="0"/>
                <w:color w:val="auto"/>
                <w:sz w:val="24"/>
                <w:highlight w:val="none"/>
                <w:lang w:val="en-US" w:eastAsia="zh-CN"/>
              </w:rPr>
              <w:t xml:space="preserve">满意度评价复印件</w:t>
            </w:r>
            <w:r>
              <w:rPr>
                <w:rFonts w:hint="eastAsia"/>
                <w:color w:val="auto"/>
                <w:sz w:val="24"/>
                <w:szCs w:val="24"/>
                <w:highlight w:val="none"/>
              </w:rPr>
              <w:t xml:space="preserve">并加盖供应商公章，</w:t>
            </w:r>
            <w:r>
              <w:rPr>
                <w:rFonts w:hint="eastAsia"/>
                <w:color w:val="auto"/>
                <w:sz w:val="24"/>
                <w:szCs w:val="24"/>
                <w:highlight w:val="none"/>
                <w:lang w:val="en-US" w:eastAsia="zh-CN"/>
              </w:rPr>
              <w:t xml:space="preserve">及合同单位联系人。</w:t>
            </w:r>
            <w:r>
              <w:rPr>
                <w:rFonts w:hint="eastAsia"/>
                <w:color w:val="auto"/>
                <w:sz w:val="24"/>
                <w:szCs w:val="24"/>
                <w:highlight w:val="none"/>
              </w:rPr>
              <w:t xml:space="preserve">合同须能反映项目名称、服务内容、签订时间和签章清晰可见，合同涂改、合同印章、签字不清晰不得分。）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9</w:t>
            </w:r>
            <w:r/>
          </w:p>
        </w:tc>
      </w:tr>
      <w:tr>
        <w:trPr>
          <w:jc w:val="center"/>
          <w:trHeight w:val="1100"/>
        </w:trPr>
        <w:tc>
          <w:tcPr>
            <w:tcW w:w="1317" w:type="dxa"/>
            <w:vAlign w:val="center"/>
            <w:vMerge w:val="restart"/>
            <w:textDirection w:val="lrTb"/>
            <w:noWrap/>
          </w:tcPr>
          <w:p>
            <w:pPr>
              <w:rPr>
                <w:b/>
                <w:bCs/>
                <w:color w:val="auto"/>
                <w:highlight w:val="none"/>
              </w:rPr>
            </w:pPr>
            <w:r>
              <w:rPr>
                <w:rFonts w:hint="eastAsia"/>
                <w:b/>
                <w:bCs/>
                <w:color w:val="auto"/>
                <w:highlight w:val="none"/>
              </w:rPr>
              <w:t xml:space="preserve">三、供应商拟派驻的管理人员（13分）</w:t>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3.1</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供应商拟派驻的项目经理（1名）</w:t>
            </w:r>
            <w:r/>
          </w:p>
        </w:tc>
        <w:tc>
          <w:tcPr>
            <w:tcW w:w="4954" w:type="dxa"/>
            <w:vAlign w:val="center"/>
            <w:textDirection w:val="lrTb"/>
            <w:noWrap/>
          </w:tcPr>
          <w:p>
            <w:pPr>
              <w:rPr>
                <w:rFonts w:hint="eastAsia" w:eastAsia="宋体"/>
                <w:color w:val="auto"/>
                <w:sz w:val="24"/>
                <w:szCs w:val="24"/>
                <w:highlight w:val="none"/>
                <w:lang w:eastAsia="zh-CN"/>
              </w:rPr>
            </w:pPr>
            <w:r>
              <w:rPr>
                <w:rFonts w:hint="eastAsia"/>
                <w:color w:val="auto"/>
                <w:sz w:val="24"/>
                <w:szCs w:val="24"/>
                <w:highlight w:val="none"/>
              </w:rPr>
              <w:t xml:space="preserve">1）具备医学相关知识（医学、护理学等均可），大专及以上学历的得1分</w:t>
            </w:r>
            <w:r>
              <w:rPr>
                <w:rFonts w:hint="eastAsia"/>
                <w:color w:val="auto"/>
                <w:sz w:val="24"/>
                <w:szCs w:val="24"/>
                <w:highlight w:val="none"/>
                <w:lang w:eastAsia="zh-CN"/>
              </w:rPr>
              <w:t xml:space="preserve">；</w:t>
            </w:r>
            <w:r/>
          </w:p>
          <w:p>
            <w:pPr>
              <w:rPr>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具有护理职称：</w:t>
            </w:r>
            <w:r>
              <w:rPr>
                <w:rFonts w:hint="eastAsia"/>
                <w:color w:val="auto"/>
                <w:sz w:val="24"/>
                <w:szCs w:val="24"/>
                <w:highlight w:val="none"/>
                <w:lang w:val="en-US" w:eastAsia="zh-CN"/>
              </w:rPr>
              <w:t xml:space="preserve">具有</w:t>
            </w:r>
            <w:r>
              <w:rPr>
                <w:rFonts w:hint="eastAsia" w:ascii="宋体" w:hAnsi="宋体" w:eastAsia="宋体" w:cs="宋体"/>
                <w:b w:val="0"/>
                <w:bCs w:val="0"/>
                <w:color w:val="auto"/>
                <w:sz w:val="24"/>
                <w:highlight w:val="none"/>
              </w:rPr>
              <w:t xml:space="preserve">护理专业中级以上（含中级）职称</w:t>
            </w:r>
            <w:r>
              <w:rPr>
                <w:rFonts w:hint="eastAsia"/>
                <w:color w:val="auto"/>
                <w:sz w:val="24"/>
                <w:szCs w:val="24"/>
                <w:highlight w:val="none"/>
              </w:rPr>
              <w:t xml:space="preserve">的得2分，否则不得分；共2分。</w:t>
            </w:r>
            <w:r/>
          </w:p>
          <w:p>
            <w:pPr>
              <w:rPr>
                <w:color w:val="auto"/>
                <w:sz w:val="24"/>
                <w:szCs w:val="24"/>
                <w:highlight w:val="none"/>
              </w:rPr>
            </w:pPr>
            <w:r>
              <w:rPr>
                <w:rFonts w:hint="eastAsia"/>
                <w:color w:val="auto"/>
                <w:sz w:val="24"/>
                <w:szCs w:val="24"/>
                <w:highlight w:val="none"/>
                <w:lang w:val="en-US" w:eastAsia="zh-CN"/>
              </w:rPr>
              <w:t xml:space="preserve">3</w:t>
            </w:r>
            <w:r>
              <w:rPr>
                <w:rFonts w:hint="eastAsia"/>
                <w:color w:val="auto"/>
                <w:sz w:val="24"/>
                <w:szCs w:val="24"/>
                <w:highlight w:val="none"/>
              </w:rPr>
              <w:t xml:space="preserve">）具有5年以上</w:t>
            </w:r>
            <w:bookmarkStart w:id="33" w:name="OLE_LINK2"/>
            <w:r>
              <w:rPr>
                <w:rFonts w:hint="eastAsia"/>
                <w:color w:val="auto"/>
                <w:sz w:val="24"/>
                <w:szCs w:val="24"/>
                <w:highlight w:val="none"/>
              </w:rPr>
              <w:t xml:space="preserve">医院</w:t>
            </w:r>
            <w:bookmarkEnd w:id="33"/>
            <w:r>
              <w:rPr>
                <w:rFonts w:hint="eastAsia"/>
                <w:color w:val="auto"/>
                <w:sz w:val="24"/>
                <w:szCs w:val="24"/>
                <w:highlight w:val="none"/>
              </w:rPr>
              <w:t xml:space="preserve">医护管理和孕产妇护理管理工作经验得</w:t>
            </w:r>
            <w:r>
              <w:rPr>
                <w:rFonts w:hint="eastAsia"/>
                <w:color w:val="auto"/>
                <w:sz w:val="24"/>
                <w:szCs w:val="24"/>
                <w:highlight w:val="none"/>
                <w:lang w:val="en-US" w:eastAsia="zh-CN"/>
              </w:rPr>
              <w:t xml:space="preserve">3</w:t>
            </w:r>
            <w:r>
              <w:rPr>
                <w:rFonts w:hint="eastAsia"/>
                <w:color w:val="auto"/>
                <w:sz w:val="24"/>
                <w:szCs w:val="24"/>
                <w:highlight w:val="none"/>
              </w:rPr>
              <w:t xml:space="preserve">分，</w:t>
            </w:r>
            <w:bookmarkStart w:id="34" w:name="OLE_LINK16"/>
            <w:r>
              <w:rPr>
                <w:rFonts w:hint="eastAsia"/>
                <w:color w:val="auto"/>
                <w:sz w:val="24"/>
                <w:szCs w:val="24"/>
                <w:highlight w:val="none"/>
              </w:rPr>
              <w:t xml:space="preserve">3年以上5年以下工作经验得2分，2年以下工作经验不得分</w:t>
            </w:r>
            <w:bookmarkEnd w:id="34"/>
            <w:r>
              <w:rPr>
                <w:rFonts w:hint="eastAsia"/>
                <w:color w:val="auto"/>
                <w:sz w:val="24"/>
                <w:szCs w:val="24"/>
                <w:highlight w:val="none"/>
              </w:rPr>
              <w:t xml:space="preserve">；</w:t>
            </w:r>
            <w:bookmarkStart w:id="35" w:name="OLE_LINK24"/>
            <w:r>
              <w:rPr>
                <w:rFonts w:hint="eastAsia"/>
                <w:color w:val="auto"/>
                <w:sz w:val="24"/>
                <w:szCs w:val="24"/>
                <w:highlight w:val="none"/>
              </w:rPr>
              <w:t xml:space="preserve">共</w:t>
            </w:r>
            <w:r>
              <w:rPr>
                <w:rFonts w:hint="eastAsia"/>
                <w:color w:val="auto"/>
                <w:sz w:val="24"/>
                <w:szCs w:val="24"/>
                <w:highlight w:val="none"/>
                <w:lang w:val="en-US" w:eastAsia="zh-CN"/>
              </w:rPr>
              <w:t xml:space="preserve">3</w:t>
            </w:r>
            <w:r>
              <w:rPr>
                <w:rFonts w:hint="eastAsia"/>
                <w:color w:val="auto"/>
                <w:sz w:val="24"/>
                <w:szCs w:val="24"/>
                <w:highlight w:val="none"/>
              </w:rPr>
              <w:t xml:space="preserve">分</w:t>
            </w:r>
            <w:bookmarkEnd w:id="35"/>
            <w:r>
              <w:rPr>
                <w:rFonts w:hint="eastAsia"/>
                <w:color w:val="auto"/>
                <w:sz w:val="24"/>
                <w:szCs w:val="24"/>
                <w:highlight w:val="none"/>
              </w:rPr>
              <w:t xml:space="preserve">。</w:t>
            </w:r>
            <w:r/>
          </w:p>
          <w:p>
            <w:pPr>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）供应商提供书面承诺，合同服务期内不以任何理由更换拟派驻的项目经理，且能够常驻医院，承诺格式自拟，能提供书面承诺的得1分，未提供的不得分。共1分。</w:t>
            </w:r>
            <w:r/>
          </w:p>
          <w:p>
            <w:pPr>
              <w:rPr>
                <w:color w:val="auto"/>
                <w:sz w:val="24"/>
                <w:szCs w:val="24"/>
                <w:highlight w:val="none"/>
              </w:rPr>
            </w:pPr>
            <w:r>
              <w:rPr>
                <w:rFonts w:hint="eastAsia"/>
                <w:color w:val="auto"/>
                <w:sz w:val="24"/>
                <w:szCs w:val="24"/>
                <w:highlight w:val="none"/>
              </w:rPr>
              <w:t xml:space="preserve">需提供项目经理相应的学历证书证明、个人资格或资质证书（复印件）、工作经验/经历证明材料（需提供加盖以往服务单位出具加盖公章的</w:t>
            </w:r>
            <w:r>
              <w:rPr>
                <w:rFonts w:hint="eastAsia"/>
                <w:color w:val="auto"/>
                <w:sz w:val="24"/>
                <w:szCs w:val="24"/>
                <w:highlight w:val="none"/>
                <w:lang w:eastAsia="zh-CN"/>
              </w:rPr>
              <w:t xml:space="preserve">《</w:t>
            </w:r>
            <w:r>
              <w:rPr>
                <w:rFonts w:hint="eastAsia"/>
                <w:color w:val="auto"/>
                <w:sz w:val="24"/>
                <w:szCs w:val="24"/>
                <w:highlight w:val="none"/>
              </w:rPr>
              <w:t xml:space="preserve">项目参与证明函</w:t>
            </w:r>
            <w:r>
              <w:rPr>
                <w:rFonts w:hint="eastAsia"/>
                <w:color w:val="auto"/>
                <w:sz w:val="24"/>
                <w:szCs w:val="24"/>
                <w:highlight w:val="none"/>
                <w:lang w:eastAsia="zh-CN"/>
              </w:rPr>
              <w:t xml:space="preserve">》</w:t>
            </w:r>
            <w:r>
              <w:rPr>
                <w:rFonts w:hint="eastAsia"/>
                <w:color w:val="auto"/>
                <w:sz w:val="24"/>
                <w:szCs w:val="24"/>
                <w:highlight w:val="none"/>
              </w:rPr>
              <w:t xml:space="preserve">并提供项目联系人姓名和联系方式）、与供应商签订的聘用合同、开标前三个月任一个月供应商为其缴纳的社保证明，已退休人员需提供退休证及与供应商签订的聘用合同（不用提交社保证明），否则不得分。</w:t>
            </w:r>
            <w:r/>
          </w:p>
          <w:p>
            <w:pPr>
              <w:rPr>
                <w:color w:val="auto"/>
                <w:sz w:val="24"/>
                <w:szCs w:val="24"/>
                <w:highlight w:val="none"/>
              </w:rPr>
            </w:pPr>
            <w:r>
              <w:rPr>
                <w:color w:val="auto"/>
                <w:sz w:val="24"/>
                <w:szCs w:val="24"/>
                <w:highlight w:val="none"/>
              </w:rPr>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7</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3.2</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供应商拟派驻的</w:t>
            </w:r>
            <w:bookmarkStart w:id="36" w:name="OLE_LINK10"/>
            <w:r>
              <w:rPr>
                <w:rFonts w:hint="eastAsia"/>
                <w:color w:val="auto"/>
                <w:sz w:val="24"/>
                <w:szCs w:val="24"/>
                <w:highlight w:val="none"/>
              </w:rPr>
              <w:t xml:space="preserve">项目主管</w:t>
            </w:r>
            <w:bookmarkEnd w:id="36"/>
            <w:r>
              <w:rPr>
                <w:rFonts w:hint="eastAsia"/>
                <w:color w:val="auto"/>
                <w:sz w:val="24"/>
                <w:szCs w:val="24"/>
                <w:highlight w:val="none"/>
              </w:rPr>
              <w:t xml:space="preserve">（2名）</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1）具备医学相关知识（医学、护理学等均可），大专及以上学历的每有1名得1分；共2分。</w:t>
            </w:r>
            <w:r/>
          </w:p>
          <w:p>
            <w:pPr>
              <w:rPr>
                <w:color w:val="auto"/>
                <w:sz w:val="24"/>
                <w:szCs w:val="24"/>
                <w:highlight w:val="none"/>
              </w:rPr>
            </w:pPr>
            <w:r>
              <w:rPr>
                <w:rFonts w:hint="eastAsia"/>
                <w:color w:val="auto"/>
                <w:sz w:val="24"/>
                <w:szCs w:val="24"/>
                <w:highlight w:val="none"/>
              </w:rPr>
              <w:t xml:space="preserve">2）具有医院孕产妇生活护理主管工作经验3年以上的每有1名得1分，3年以下不得分；共2分。</w:t>
            </w:r>
            <w:r/>
          </w:p>
          <w:p>
            <w:pPr>
              <w:rPr>
                <w:color w:val="auto"/>
                <w:sz w:val="24"/>
                <w:szCs w:val="24"/>
                <w:highlight w:val="none"/>
              </w:rPr>
            </w:pPr>
            <w:r>
              <w:rPr>
                <w:rFonts w:hint="eastAsia"/>
                <w:color w:val="auto"/>
                <w:sz w:val="24"/>
                <w:szCs w:val="24"/>
                <w:highlight w:val="none"/>
              </w:rPr>
              <w:t xml:space="preserve">3）具有护士职业证书或医疗护理员证的每有1名得1分；共2分。</w:t>
            </w:r>
            <w:r/>
          </w:p>
          <w:p>
            <w:pPr>
              <w:rPr>
                <w:color w:val="auto"/>
                <w:sz w:val="24"/>
                <w:szCs w:val="24"/>
                <w:highlight w:val="none"/>
              </w:rPr>
            </w:pPr>
            <w:r>
              <w:rPr>
                <w:rFonts w:hint="eastAsia"/>
                <w:color w:val="auto"/>
                <w:sz w:val="24"/>
                <w:szCs w:val="24"/>
                <w:highlight w:val="none"/>
              </w:rPr>
              <w:t xml:space="preserve">需提供相应的学历证书证明、资质证书（复印件）</w:t>
            </w:r>
            <w:r>
              <w:rPr>
                <w:rFonts w:hint="eastAsia"/>
                <w:color w:val="auto"/>
                <w:sz w:val="24"/>
                <w:szCs w:val="24"/>
                <w:highlight w:val="none"/>
                <w:lang w:eastAsia="zh-CN"/>
              </w:rPr>
              <w:t xml:space="preserve">、</w:t>
            </w:r>
            <w:r>
              <w:rPr>
                <w:rFonts w:hint="eastAsia"/>
                <w:color w:val="auto"/>
                <w:sz w:val="24"/>
                <w:szCs w:val="24"/>
                <w:highlight w:val="none"/>
              </w:rPr>
              <w:t xml:space="preserve">工作经验/经历证明材料（需提供加盖以往服务单位出具加盖公章的</w:t>
            </w:r>
            <w:r>
              <w:rPr>
                <w:rFonts w:hint="eastAsia"/>
                <w:color w:val="auto"/>
                <w:sz w:val="24"/>
                <w:szCs w:val="24"/>
                <w:highlight w:val="none"/>
                <w:lang w:eastAsia="zh-CN"/>
              </w:rPr>
              <w:t xml:space="preserve">《</w:t>
            </w:r>
            <w:r>
              <w:rPr>
                <w:rFonts w:hint="eastAsia"/>
                <w:color w:val="auto"/>
                <w:sz w:val="24"/>
                <w:szCs w:val="24"/>
                <w:highlight w:val="none"/>
              </w:rPr>
              <w:t xml:space="preserve">项目参与证明函</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格式自拟</w:t>
            </w:r>
            <w:r>
              <w:rPr>
                <w:rFonts w:hint="eastAsia"/>
                <w:color w:val="auto"/>
                <w:sz w:val="24"/>
                <w:szCs w:val="24"/>
                <w:highlight w:val="none"/>
                <w:lang w:eastAsia="zh-CN"/>
              </w:rPr>
              <w:t xml:space="preserve">）</w:t>
            </w:r>
            <w:r>
              <w:rPr>
                <w:rFonts w:hint="eastAsia"/>
                <w:color w:val="auto"/>
                <w:sz w:val="24"/>
                <w:szCs w:val="24"/>
                <w:highlight w:val="none"/>
              </w:rPr>
              <w:t xml:space="preserve">并提供项目联系人姓名和联系方式）、资质证书（复印件）、与供应商签订的聘用合同、开标前三个月任一个月供应商为其缴纳的社保证明，否则不得分。</w:t>
            </w:r>
            <w:r/>
          </w:p>
          <w:p>
            <w:pPr>
              <w:rPr>
                <w:color w:val="auto"/>
                <w:sz w:val="24"/>
                <w:szCs w:val="24"/>
                <w:highlight w:val="none"/>
              </w:rPr>
            </w:pPr>
            <w:r>
              <w:rPr>
                <w:rFonts w:hint="eastAsia"/>
                <w:color w:val="auto"/>
                <w:sz w:val="24"/>
                <w:szCs w:val="24"/>
                <w:highlight w:val="none"/>
              </w:rPr>
              <w:t xml:space="preserve">项目主管与项目经理不得为同一人。</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p>
            <w:pPr>
              <w:jc w:val="center"/>
              <w:rPr>
                <w:b/>
                <w:bCs/>
                <w:color w:val="auto"/>
                <w:highlight w:val="none"/>
              </w:rPr>
            </w:pPr>
            <w:r>
              <w:rPr>
                <w:b/>
                <w:bCs/>
                <w:color w:val="auto"/>
                <w:highlight w:val="none"/>
              </w:rPr>
            </w:r>
            <w:r/>
          </w:p>
        </w:tc>
      </w:tr>
      <w:tr>
        <w:trPr>
          <w:jc w:val="center"/>
          <w:trHeight w:val="1100"/>
        </w:trPr>
        <w:tc>
          <w:tcPr>
            <w:tcW w:w="1317" w:type="dxa"/>
            <w:vAlign w:val="center"/>
            <w:textDirection w:val="lrTb"/>
            <w:noWrap/>
          </w:tcPr>
          <w:p>
            <w:pPr>
              <w:rPr>
                <w:b/>
                <w:bCs/>
                <w:color w:val="auto"/>
                <w:highlight w:val="none"/>
              </w:rPr>
            </w:pPr>
            <w:r>
              <w:rPr>
                <w:rFonts w:hint="eastAsia"/>
                <w:b/>
                <w:bCs/>
                <w:color w:val="auto"/>
                <w:highlight w:val="none"/>
              </w:rPr>
              <w:t xml:space="preserve">四、供应商拟派驻的团队成员（</w:t>
            </w:r>
            <w:r>
              <w:rPr>
                <w:rFonts w:hint="eastAsia"/>
                <w:b/>
                <w:bCs/>
                <w:color w:val="auto"/>
                <w:highlight w:val="none"/>
                <w:lang w:val="en-US" w:eastAsia="zh-CN"/>
              </w:rPr>
              <w:t xml:space="preserve">10</w:t>
            </w:r>
            <w:r>
              <w:rPr>
                <w:rFonts w:hint="eastAsia"/>
                <w:b/>
                <w:bCs/>
                <w:color w:val="auto"/>
                <w:highlight w:val="none"/>
              </w:rPr>
              <w:t xml:space="preserve">分</w:t>
            </w:r>
            <w:r/>
          </w:p>
          <w:p>
            <w:pPr>
              <w:rPr>
                <w:b/>
                <w:bCs/>
                <w:color w:val="auto"/>
                <w:highlight w:val="none"/>
              </w:rPr>
            </w:pPr>
            <w:r>
              <w:rPr>
                <w:rFonts w:hint="eastAsia"/>
                <w:b/>
                <w:bCs/>
                <w:color w:val="auto"/>
                <w:highlight w:val="none"/>
              </w:rPr>
              <w:t xml:space="preserve">）</w:t>
            </w:r>
            <w:r/>
          </w:p>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4.1</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供应商拟派驻的团队成员</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供应商提供为本项目配备的专职护理员名单，每提供一名得</w:t>
            </w:r>
            <w:r>
              <w:rPr>
                <w:rFonts w:hint="eastAsia"/>
                <w:color w:val="auto"/>
                <w:sz w:val="24"/>
                <w:szCs w:val="24"/>
                <w:highlight w:val="none"/>
                <w:lang w:val="en-US" w:eastAsia="zh-CN"/>
              </w:rPr>
              <w:t xml:space="preserve">0.25</w:t>
            </w:r>
            <w:r>
              <w:rPr>
                <w:rFonts w:hint="eastAsia"/>
                <w:color w:val="auto"/>
                <w:sz w:val="24"/>
                <w:szCs w:val="24"/>
                <w:highlight w:val="none"/>
              </w:rPr>
              <w:t xml:space="preserve">分，最多得10分，护理员需具备：</w:t>
            </w:r>
            <w:r/>
          </w:p>
          <w:p>
            <w:pPr>
              <w:rPr>
                <w:color w:val="auto"/>
                <w:sz w:val="24"/>
                <w:szCs w:val="24"/>
                <w:highlight w:val="none"/>
              </w:rPr>
            </w:pPr>
            <w:r>
              <w:rPr>
                <w:rFonts w:hint="eastAsia"/>
                <w:color w:val="auto"/>
                <w:sz w:val="24"/>
                <w:szCs w:val="24"/>
                <w:highlight w:val="none"/>
              </w:rPr>
              <w:t xml:space="preserve">(1)具备医疗护理员</w:t>
            </w:r>
            <w:r>
              <w:rPr>
                <w:rFonts w:hint="eastAsia"/>
                <w:color w:val="auto"/>
                <w:sz w:val="24"/>
                <w:szCs w:val="24"/>
                <w:highlight w:val="none"/>
                <w:lang w:val="en-US" w:eastAsia="zh-CN"/>
              </w:rPr>
              <w:t xml:space="preserve">证</w:t>
            </w:r>
            <w:r>
              <w:rPr>
                <w:rFonts w:hint="eastAsia"/>
                <w:color w:val="auto"/>
                <w:sz w:val="24"/>
                <w:szCs w:val="24"/>
                <w:highlight w:val="none"/>
              </w:rPr>
              <w:t xml:space="preserve">和母婴护理类资格证</w:t>
            </w:r>
            <w:r/>
          </w:p>
          <w:p>
            <w:pPr>
              <w:rPr>
                <w:color w:val="auto"/>
                <w:sz w:val="24"/>
                <w:szCs w:val="24"/>
                <w:highlight w:val="none"/>
              </w:rPr>
            </w:pPr>
            <w:r>
              <w:rPr>
                <w:rFonts w:hint="eastAsia"/>
                <w:color w:val="auto"/>
                <w:sz w:val="24"/>
                <w:szCs w:val="24"/>
                <w:highlight w:val="none"/>
              </w:rPr>
              <w:t xml:space="preserve">(2)具有不少于3年的医院孕产妇生活护理工作经验</w:t>
            </w:r>
            <w:r/>
          </w:p>
          <w:p>
            <w:pPr>
              <w:rPr>
                <w:color w:val="auto"/>
                <w:sz w:val="24"/>
                <w:szCs w:val="24"/>
                <w:highlight w:val="none"/>
              </w:rPr>
            </w:pPr>
            <w:r>
              <w:rPr>
                <w:rFonts w:hint="eastAsia"/>
                <w:color w:val="auto"/>
                <w:sz w:val="24"/>
                <w:szCs w:val="24"/>
                <w:highlight w:val="none"/>
              </w:rPr>
              <w:t xml:space="preserve">需提供团队成员个人资质证书（复印件）、工作经验/经历证明材料（需提供加盖以往服务单位出具加盖公章的</w:t>
            </w:r>
            <w:r>
              <w:rPr>
                <w:rFonts w:hint="eastAsia"/>
                <w:color w:val="auto"/>
                <w:sz w:val="24"/>
                <w:szCs w:val="24"/>
                <w:highlight w:val="none"/>
                <w:lang w:eastAsia="zh-CN"/>
              </w:rPr>
              <w:t xml:space="preserve">《</w:t>
            </w:r>
            <w:r>
              <w:rPr>
                <w:rFonts w:hint="eastAsia"/>
                <w:color w:val="auto"/>
                <w:sz w:val="24"/>
                <w:szCs w:val="24"/>
                <w:highlight w:val="none"/>
              </w:rPr>
              <w:t xml:space="preserve">项目参与证明函</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格式自拟</w:t>
            </w:r>
            <w:r>
              <w:rPr>
                <w:rFonts w:hint="eastAsia"/>
                <w:color w:val="auto"/>
                <w:sz w:val="24"/>
                <w:szCs w:val="24"/>
                <w:highlight w:val="none"/>
                <w:lang w:eastAsia="zh-CN"/>
              </w:rPr>
              <w:t xml:space="preserve">）</w:t>
            </w:r>
            <w:r>
              <w:rPr>
                <w:rFonts w:hint="eastAsia"/>
                <w:color w:val="auto"/>
                <w:sz w:val="24"/>
                <w:szCs w:val="24"/>
                <w:highlight w:val="none"/>
              </w:rPr>
              <w:t xml:space="preserve">并提供项目联系人姓名和联系方式）、与供应商签订的聘用合同、开标前三个月任一个月供应商为其缴纳的社保证明，</w:t>
            </w:r>
            <w:r>
              <w:rPr>
                <w:rFonts w:hint="eastAsia"/>
                <w:color w:val="auto"/>
                <w:sz w:val="24"/>
                <w:szCs w:val="24"/>
                <w:highlight w:val="none"/>
                <w:lang w:val="en-US" w:eastAsia="zh-CN"/>
              </w:rPr>
              <w:t xml:space="preserve">缺项</w:t>
            </w:r>
            <w:r>
              <w:rPr>
                <w:rFonts w:hint="eastAsia"/>
                <w:color w:val="auto"/>
                <w:sz w:val="24"/>
                <w:szCs w:val="24"/>
                <w:highlight w:val="none"/>
              </w:rPr>
              <w:t xml:space="preserve">不得分。</w:t>
            </w:r>
            <w:r/>
          </w:p>
        </w:tc>
        <w:tc>
          <w:tcPr>
            <w:tcW w:w="960" w:type="dxa"/>
            <w:vAlign w:val="center"/>
            <w:textDirection w:val="lrTb"/>
            <w:noWrap/>
          </w:tcPr>
          <w:p>
            <w:pPr>
              <w:jc w:val="center"/>
              <w:rPr>
                <w:rFonts w:hint="eastAsia"/>
                <w:b/>
                <w:bCs/>
                <w:color w:val="auto"/>
                <w:highlight w:val="none"/>
              </w:rPr>
            </w:pPr>
            <w:r>
              <w:rPr>
                <w:rFonts w:hint="eastAsia"/>
                <w:b/>
                <w:bCs/>
                <w:color w:val="auto"/>
                <w:highlight w:val="none"/>
              </w:rPr>
              <w:t xml:space="preserve">10</w:t>
            </w:r>
            <w:r/>
          </w:p>
        </w:tc>
      </w:tr>
      <w:tr>
        <w:trPr>
          <w:jc w:val="center"/>
          <w:trHeight w:val="1100"/>
        </w:trPr>
        <w:tc>
          <w:tcPr>
            <w:tcW w:w="1317" w:type="dxa"/>
            <w:vAlign w:val="center"/>
            <w:vMerge w:val="restart"/>
            <w:textDirection w:val="lrTb"/>
            <w:noWrap/>
          </w:tcPr>
          <w:p>
            <w:pPr>
              <w:rPr>
                <w:b/>
                <w:bCs/>
                <w:color w:val="auto"/>
                <w:highlight w:val="none"/>
              </w:rPr>
            </w:pPr>
            <w:r>
              <w:rPr>
                <w:rFonts w:hint="eastAsia"/>
                <w:b/>
                <w:bCs/>
                <w:color w:val="auto"/>
                <w:highlight w:val="none"/>
              </w:rPr>
              <w:t xml:space="preserve">五、技术评估（53分）</w:t>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5.1</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服务方案</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供应商为满足本项目的服务要求，提出包括服务宗旨、服务理念、服务目标、管理模式、岗位设置、人员配置方案等方面的分析及实施方案。评委根据分析及实施方案的质量综合评分。</w:t>
            </w:r>
            <w:r/>
          </w:p>
          <w:p>
            <w:pPr>
              <w:rPr>
                <w:color w:val="auto"/>
                <w:sz w:val="24"/>
                <w:szCs w:val="24"/>
                <w:highlight w:val="none"/>
              </w:rPr>
            </w:pPr>
            <w:r>
              <w:rPr>
                <w:rFonts w:hint="eastAsia"/>
                <w:color w:val="auto"/>
                <w:sz w:val="24"/>
                <w:szCs w:val="24"/>
                <w:highlight w:val="none"/>
              </w:rPr>
              <w:t xml:space="preserve">内容科学合理、完整、切实可行的得6分；</w:t>
            </w:r>
            <w:r/>
          </w:p>
          <w:p>
            <w:pPr>
              <w:rPr>
                <w:color w:val="auto"/>
                <w:sz w:val="24"/>
                <w:szCs w:val="24"/>
                <w:highlight w:val="none"/>
              </w:rPr>
            </w:pPr>
            <w:r>
              <w:rPr>
                <w:rFonts w:hint="eastAsia"/>
                <w:color w:val="auto"/>
                <w:sz w:val="24"/>
                <w:szCs w:val="24"/>
                <w:highlight w:val="none"/>
              </w:rPr>
              <w:t xml:space="preserve">内容完整但科学合理及可行性欠缺的得3分；</w:t>
            </w:r>
            <w:r/>
          </w:p>
          <w:p>
            <w:pPr>
              <w:rPr>
                <w:color w:val="auto"/>
                <w:sz w:val="24"/>
                <w:szCs w:val="24"/>
                <w:highlight w:val="none"/>
              </w:rPr>
            </w:pPr>
            <w:r>
              <w:rPr>
                <w:rFonts w:hint="eastAsia"/>
                <w:color w:val="auto"/>
                <w:sz w:val="24"/>
                <w:szCs w:val="24"/>
                <w:highlight w:val="none"/>
              </w:rPr>
              <w:t xml:space="preserve">方案不全面、不具备可执行性的得1分；未提供服务方案的不得分。 </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5.2</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管理规章制度</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供应商需提供管理规章制度方案。</w:t>
            </w:r>
            <w:r/>
          </w:p>
          <w:p>
            <w:pPr>
              <w:rPr>
                <w:color w:val="auto"/>
                <w:sz w:val="24"/>
                <w:szCs w:val="24"/>
                <w:highlight w:val="none"/>
              </w:rPr>
            </w:pPr>
            <w:r>
              <w:rPr>
                <w:rFonts w:hint="eastAsia"/>
                <w:color w:val="auto"/>
                <w:sz w:val="24"/>
                <w:szCs w:val="24"/>
                <w:highlight w:val="none"/>
              </w:rPr>
              <w:t xml:space="preserve">根据供应商提供方案的完整性、针对性、可执行性进行评审。</w:t>
            </w:r>
            <w:r/>
          </w:p>
          <w:p>
            <w:pPr>
              <w:rPr>
                <w:color w:val="auto"/>
                <w:sz w:val="24"/>
                <w:szCs w:val="24"/>
                <w:highlight w:val="none"/>
              </w:rPr>
            </w:pPr>
            <w:r>
              <w:rPr>
                <w:rFonts w:hint="eastAsia"/>
                <w:color w:val="auto"/>
                <w:sz w:val="24"/>
                <w:szCs w:val="24"/>
                <w:highlight w:val="none"/>
              </w:rPr>
              <w:t xml:space="preserve">方案完整全面、针对性强、可执行性高的得6分；</w:t>
            </w:r>
            <w:r/>
          </w:p>
          <w:p>
            <w:pPr>
              <w:rPr>
                <w:color w:val="auto"/>
                <w:sz w:val="24"/>
                <w:szCs w:val="24"/>
                <w:highlight w:val="none"/>
              </w:rPr>
            </w:pPr>
            <w:r>
              <w:rPr>
                <w:rFonts w:hint="eastAsia"/>
                <w:color w:val="auto"/>
                <w:sz w:val="24"/>
                <w:szCs w:val="24"/>
                <w:highlight w:val="none"/>
              </w:rPr>
              <w:t xml:space="preserve">方案较完整、针对性较强、可执行性较高的得3分；</w:t>
            </w:r>
            <w:r/>
          </w:p>
          <w:p>
            <w:pPr>
              <w:rPr>
                <w:color w:val="auto"/>
                <w:sz w:val="24"/>
                <w:szCs w:val="24"/>
                <w:highlight w:val="none"/>
              </w:rPr>
            </w:pPr>
            <w:r>
              <w:rPr>
                <w:rFonts w:hint="eastAsia"/>
                <w:color w:val="auto"/>
                <w:sz w:val="24"/>
                <w:szCs w:val="24"/>
                <w:highlight w:val="none"/>
              </w:rPr>
              <w:t xml:space="preserve">方案简单且无明显内容缺失、可执行性一般的得1分；</w:t>
            </w:r>
            <w:r/>
          </w:p>
          <w:p>
            <w:pPr>
              <w:rPr>
                <w:color w:val="auto"/>
                <w:sz w:val="24"/>
                <w:szCs w:val="24"/>
                <w:highlight w:val="none"/>
              </w:rPr>
            </w:pPr>
            <w:r>
              <w:rPr>
                <w:rFonts w:hint="eastAsia"/>
                <w:color w:val="auto"/>
                <w:sz w:val="24"/>
                <w:szCs w:val="24"/>
                <w:highlight w:val="none"/>
              </w:rPr>
              <w:t xml:space="preserve">其余或不提供不得分。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5.3</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管理重点难点和措施</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供应商需提供对本项目重点难点分析和措施方案。根据供应商提供方案的完整性、针对性、可执行性进行评审。</w:t>
            </w:r>
            <w:r/>
          </w:p>
          <w:p>
            <w:pPr>
              <w:rPr>
                <w:color w:val="auto"/>
                <w:sz w:val="24"/>
                <w:szCs w:val="24"/>
                <w:highlight w:val="none"/>
              </w:rPr>
            </w:pPr>
            <w:r>
              <w:rPr>
                <w:rFonts w:hint="eastAsia"/>
                <w:color w:val="auto"/>
                <w:sz w:val="24"/>
                <w:szCs w:val="24"/>
                <w:highlight w:val="none"/>
              </w:rPr>
              <w:t xml:space="preserve">方案完整全面、针对性强、可执行性高的得6分；</w:t>
            </w:r>
            <w:r/>
          </w:p>
          <w:p>
            <w:pPr>
              <w:rPr>
                <w:color w:val="auto"/>
                <w:sz w:val="24"/>
                <w:szCs w:val="24"/>
                <w:highlight w:val="none"/>
              </w:rPr>
            </w:pPr>
            <w:r>
              <w:rPr>
                <w:rFonts w:hint="eastAsia"/>
                <w:color w:val="auto"/>
                <w:sz w:val="24"/>
                <w:szCs w:val="24"/>
                <w:highlight w:val="none"/>
              </w:rPr>
              <w:t xml:space="preserve">方案较完整、针对性较强、可执行性较高的得3分；</w:t>
            </w:r>
            <w:r/>
          </w:p>
          <w:p>
            <w:pPr>
              <w:rPr>
                <w:color w:val="auto"/>
                <w:sz w:val="24"/>
                <w:szCs w:val="24"/>
                <w:highlight w:val="none"/>
              </w:rPr>
            </w:pPr>
            <w:r>
              <w:rPr>
                <w:rFonts w:hint="eastAsia"/>
                <w:color w:val="auto"/>
                <w:sz w:val="24"/>
                <w:szCs w:val="24"/>
                <w:highlight w:val="none"/>
              </w:rPr>
              <w:t xml:space="preserve">方案简单且无明显内容缺失、可执行性一般的得1分；</w:t>
            </w:r>
            <w:r/>
          </w:p>
          <w:p>
            <w:pPr>
              <w:rPr>
                <w:color w:val="auto"/>
                <w:sz w:val="24"/>
                <w:szCs w:val="24"/>
                <w:highlight w:val="none"/>
              </w:rPr>
            </w:pPr>
            <w:r>
              <w:rPr>
                <w:rFonts w:hint="eastAsia"/>
                <w:color w:val="auto"/>
                <w:sz w:val="24"/>
                <w:szCs w:val="24"/>
                <w:highlight w:val="none"/>
              </w:rPr>
              <w:t xml:space="preserve">其余或不提供不得分。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5.4</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正式接管前具体措施</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供应商需提供正式接管前的具体措施方案。</w:t>
            </w:r>
            <w:r/>
          </w:p>
          <w:p>
            <w:pPr>
              <w:rPr>
                <w:color w:val="auto"/>
                <w:sz w:val="24"/>
                <w:szCs w:val="24"/>
                <w:highlight w:val="none"/>
              </w:rPr>
            </w:pPr>
            <w:r>
              <w:rPr>
                <w:rFonts w:hint="eastAsia"/>
                <w:color w:val="auto"/>
                <w:sz w:val="24"/>
                <w:szCs w:val="24"/>
                <w:highlight w:val="none"/>
              </w:rPr>
              <w:t xml:space="preserve">根据供应商提供方案的完整性、针对性、可执行性进行评审。</w:t>
            </w:r>
            <w:r/>
          </w:p>
          <w:p>
            <w:pPr>
              <w:rPr>
                <w:color w:val="auto"/>
                <w:sz w:val="24"/>
                <w:szCs w:val="24"/>
                <w:highlight w:val="none"/>
              </w:rPr>
            </w:pPr>
            <w:r>
              <w:rPr>
                <w:rFonts w:hint="eastAsia"/>
                <w:color w:val="auto"/>
                <w:sz w:val="24"/>
                <w:szCs w:val="24"/>
                <w:highlight w:val="none"/>
              </w:rPr>
              <w:t xml:space="preserve">方案完整全面、针对性强、可执行性高的得6分；</w:t>
            </w:r>
            <w:r/>
          </w:p>
          <w:p>
            <w:pPr>
              <w:rPr>
                <w:color w:val="auto"/>
                <w:sz w:val="24"/>
                <w:szCs w:val="24"/>
                <w:highlight w:val="none"/>
              </w:rPr>
            </w:pPr>
            <w:r>
              <w:rPr>
                <w:rFonts w:hint="eastAsia"/>
                <w:color w:val="auto"/>
                <w:sz w:val="24"/>
                <w:szCs w:val="24"/>
                <w:highlight w:val="none"/>
              </w:rPr>
              <w:t xml:space="preserve">方案较完整、针对性较强、可执行性较高的得3分；</w:t>
            </w:r>
            <w:r/>
          </w:p>
          <w:p>
            <w:pPr>
              <w:rPr>
                <w:color w:val="auto"/>
                <w:sz w:val="24"/>
                <w:szCs w:val="24"/>
                <w:highlight w:val="none"/>
              </w:rPr>
            </w:pPr>
            <w:r>
              <w:rPr>
                <w:rFonts w:hint="eastAsia"/>
                <w:color w:val="auto"/>
                <w:sz w:val="24"/>
                <w:szCs w:val="24"/>
                <w:highlight w:val="none"/>
              </w:rPr>
              <w:t xml:space="preserve">方案简单且无明显内容缺失、可执行性一般的得1分；</w:t>
            </w:r>
            <w:r/>
          </w:p>
          <w:p>
            <w:pPr>
              <w:rPr>
                <w:color w:val="auto"/>
                <w:sz w:val="24"/>
                <w:szCs w:val="24"/>
                <w:highlight w:val="none"/>
              </w:rPr>
            </w:pPr>
            <w:r>
              <w:rPr>
                <w:rFonts w:hint="eastAsia"/>
                <w:color w:val="auto"/>
                <w:sz w:val="24"/>
                <w:szCs w:val="24"/>
                <w:highlight w:val="none"/>
              </w:rPr>
              <w:t xml:space="preserve">其余或不提供不得分。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5.5</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投诉处理机制</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供应商需制定投诉处理机制方案：</w:t>
            </w:r>
            <w:r/>
          </w:p>
          <w:p>
            <w:pPr>
              <w:rPr>
                <w:color w:val="auto"/>
                <w:sz w:val="24"/>
                <w:szCs w:val="24"/>
                <w:highlight w:val="none"/>
              </w:rPr>
            </w:pPr>
            <w:r>
              <w:rPr>
                <w:rFonts w:hint="eastAsia"/>
                <w:color w:val="auto"/>
                <w:sz w:val="24"/>
                <w:szCs w:val="24"/>
                <w:highlight w:val="none"/>
              </w:rPr>
              <w:t xml:space="preserve">根据供应商提供方案的完整性、针对性、可执行性进行评审。</w:t>
            </w:r>
            <w:r/>
          </w:p>
          <w:p>
            <w:pPr>
              <w:rPr>
                <w:color w:val="auto"/>
                <w:sz w:val="24"/>
                <w:szCs w:val="24"/>
                <w:highlight w:val="none"/>
              </w:rPr>
            </w:pPr>
            <w:r>
              <w:rPr>
                <w:rFonts w:hint="eastAsia"/>
                <w:color w:val="auto"/>
                <w:sz w:val="24"/>
                <w:szCs w:val="24"/>
                <w:highlight w:val="none"/>
              </w:rPr>
              <w:t xml:space="preserve">方案完整全面、针对性强、可执行性强的得6分；</w:t>
            </w:r>
            <w:r/>
          </w:p>
          <w:p>
            <w:pPr>
              <w:rPr>
                <w:color w:val="auto"/>
                <w:sz w:val="24"/>
                <w:szCs w:val="24"/>
                <w:highlight w:val="none"/>
              </w:rPr>
            </w:pPr>
            <w:r>
              <w:rPr>
                <w:rFonts w:hint="eastAsia"/>
                <w:color w:val="auto"/>
                <w:sz w:val="24"/>
                <w:szCs w:val="24"/>
                <w:highlight w:val="none"/>
              </w:rPr>
              <w:t xml:space="preserve">方案无明显缺失、具备一定的针对性、可执行性的得3分；</w:t>
            </w:r>
            <w:r/>
          </w:p>
          <w:p>
            <w:pPr>
              <w:rPr>
                <w:color w:val="auto"/>
                <w:sz w:val="24"/>
                <w:szCs w:val="24"/>
                <w:highlight w:val="none"/>
              </w:rPr>
            </w:pPr>
            <w:r>
              <w:rPr>
                <w:rFonts w:hint="eastAsia"/>
                <w:color w:val="auto"/>
                <w:sz w:val="24"/>
                <w:szCs w:val="24"/>
                <w:highlight w:val="none"/>
              </w:rPr>
              <w:t xml:space="preserve">方案简单且无明显内容缺失、可执行性一般的得1分；</w:t>
            </w:r>
            <w:r/>
          </w:p>
          <w:p>
            <w:pPr>
              <w:rPr>
                <w:color w:val="auto"/>
                <w:sz w:val="24"/>
                <w:szCs w:val="24"/>
                <w:highlight w:val="none"/>
              </w:rPr>
            </w:pPr>
            <w:r>
              <w:rPr>
                <w:rFonts w:hint="eastAsia"/>
                <w:color w:val="auto"/>
                <w:sz w:val="24"/>
                <w:szCs w:val="24"/>
                <w:highlight w:val="none"/>
              </w:rPr>
              <w:t xml:space="preserve">其余或不提供不得分。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5.6</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生活护理方案</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提供对孕产妇进行生活护理服务的工作内容、流程、标准等。评委根据所提供的方案进行综合评分：</w:t>
            </w:r>
            <w:r/>
          </w:p>
          <w:p>
            <w:pPr>
              <w:rPr>
                <w:color w:val="auto"/>
                <w:sz w:val="24"/>
                <w:szCs w:val="24"/>
                <w:highlight w:val="none"/>
              </w:rPr>
            </w:pPr>
            <w:r>
              <w:rPr>
                <w:rFonts w:hint="eastAsia"/>
                <w:color w:val="auto"/>
                <w:sz w:val="24"/>
                <w:szCs w:val="24"/>
                <w:highlight w:val="none"/>
              </w:rPr>
              <w:t xml:space="preserve">方案全面、合理，具有针对性，科学合理具备可执行性的得6分；</w:t>
            </w:r>
            <w:r/>
          </w:p>
          <w:p>
            <w:pPr>
              <w:rPr>
                <w:color w:val="auto"/>
                <w:sz w:val="24"/>
                <w:szCs w:val="24"/>
                <w:highlight w:val="none"/>
              </w:rPr>
            </w:pPr>
            <w:r>
              <w:rPr>
                <w:rFonts w:hint="eastAsia"/>
                <w:color w:val="auto"/>
                <w:sz w:val="24"/>
                <w:szCs w:val="24"/>
                <w:highlight w:val="none"/>
              </w:rPr>
              <w:t xml:space="preserve">方案考虑的相对不够全面，但依旧具备可行性的得3分；</w:t>
            </w:r>
            <w:r/>
          </w:p>
          <w:p>
            <w:pPr>
              <w:rPr>
                <w:color w:val="auto"/>
                <w:sz w:val="24"/>
                <w:szCs w:val="24"/>
                <w:highlight w:val="none"/>
              </w:rPr>
            </w:pPr>
            <w:r>
              <w:rPr>
                <w:rFonts w:hint="eastAsia"/>
                <w:color w:val="auto"/>
                <w:sz w:val="24"/>
                <w:szCs w:val="24"/>
                <w:highlight w:val="none"/>
              </w:rPr>
              <w:t xml:space="preserve">方案不全面、不具备可执行性的得1分；未提供服务方案的不得分。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5.7</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岗前培训及阶段性培训管理</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供应商需提供岗前培训及阶段性培训管理方案。</w:t>
            </w:r>
            <w:r/>
          </w:p>
          <w:p>
            <w:pPr>
              <w:rPr>
                <w:color w:val="auto"/>
                <w:sz w:val="24"/>
                <w:szCs w:val="24"/>
                <w:highlight w:val="none"/>
              </w:rPr>
            </w:pPr>
            <w:r>
              <w:rPr>
                <w:rFonts w:hint="eastAsia"/>
                <w:color w:val="auto"/>
                <w:sz w:val="24"/>
                <w:szCs w:val="24"/>
                <w:highlight w:val="none"/>
              </w:rPr>
              <w:t xml:space="preserve">根据供应商提供方案的完整性、针对性、可执行性进行评审。</w:t>
            </w:r>
            <w:r/>
          </w:p>
          <w:p>
            <w:pPr>
              <w:rPr>
                <w:color w:val="auto"/>
                <w:sz w:val="24"/>
                <w:szCs w:val="24"/>
                <w:highlight w:val="none"/>
              </w:rPr>
            </w:pPr>
            <w:r>
              <w:rPr>
                <w:rFonts w:hint="eastAsia"/>
                <w:color w:val="auto"/>
                <w:sz w:val="24"/>
                <w:szCs w:val="24"/>
                <w:highlight w:val="none"/>
              </w:rPr>
              <w:t xml:space="preserve">方案完整全面、针对性强、可执行性高的得6分；</w:t>
            </w:r>
            <w:r/>
          </w:p>
          <w:p>
            <w:pPr>
              <w:rPr>
                <w:color w:val="auto"/>
                <w:sz w:val="24"/>
                <w:szCs w:val="24"/>
                <w:highlight w:val="none"/>
              </w:rPr>
            </w:pPr>
            <w:r>
              <w:rPr>
                <w:rFonts w:hint="eastAsia"/>
                <w:color w:val="auto"/>
                <w:sz w:val="24"/>
                <w:szCs w:val="24"/>
                <w:highlight w:val="none"/>
              </w:rPr>
              <w:t xml:space="preserve">方案较完整、针对性较强、可执行性较高的得3分；</w:t>
            </w:r>
            <w:r/>
          </w:p>
          <w:p>
            <w:pPr>
              <w:rPr>
                <w:color w:val="auto"/>
                <w:sz w:val="24"/>
                <w:szCs w:val="24"/>
                <w:highlight w:val="none"/>
              </w:rPr>
            </w:pPr>
            <w:r>
              <w:rPr>
                <w:rFonts w:hint="eastAsia"/>
                <w:color w:val="auto"/>
                <w:sz w:val="24"/>
                <w:szCs w:val="24"/>
                <w:highlight w:val="none"/>
              </w:rPr>
              <w:t xml:space="preserve">方案简单且无明显内容缺失、可执行性一般的得1分；</w:t>
            </w:r>
            <w:r/>
          </w:p>
          <w:p>
            <w:pPr>
              <w:rPr>
                <w:color w:val="auto"/>
                <w:sz w:val="24"/>
                <w:szCs w:val="24"/>
                <w:highlight w:val="none"/>
              </w:rPr>
            </w:pPr>
            <w:r>
              <w:rPr>
                <w:rFonts w:hint="eastAsia"/>
                <w:color w:val="auto"/>
                <w:sz w:val="24"/>
                <w:szCs w:val="24"/>
                <w:highlight w:val="none"/>
              </w:rPr>
              <w:t xml:space="preserve">其余或不提供不得分。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5.8</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应急方案</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提供供应商应急方案（提供服务期内可能的突发情况和应对方案）。</w:t>
            </w:r>
            <w:r/>
          </w:p>
          <w:p>
            <w:pPr>
              <w:rPr>
                <w:color w:val="auto"/>
                <w:sz w:val="24"/>
                <w:szCs w:val="24"/>
                <w:highlight w:val="none"/>
              </w:rPr>
            </w:pPr>
            <w:r/>
            <w:bookmarkStart w:id="37" w:name="OLE_LINK5"/>
            <w:r>
              <w:rPr>
                <w:rFonts w:hint="eastAsia"/>
                <w:color w:val="auto"/>
                <w:sz w:val="24"/>
                <w:szCs w:val="24"/>
                <w:highlight w:val="none"/>
              </w:rPr>
              <w:t xml:space="preserve">方案全面、合理，具有针对性，科学合理具备可执行性的得6分；</w:t>
            </w:r>
            <w:r/>
          </w:p>
          <w:p>
            <w:pPr>
              <w:rPr>
                <w:color w:val="auto"/>
                <w:sz w:val="24"/>
                <w:szCs w:val="24"/>
                <w:highlight w:val="none"/>
              </w:rPr>
            </w:pPr>
            <w:r>
              <w:rPr>
                <w:rFonts w:hint="eastAsia"/>
                <w:color w:val="auto"/>
                <w:sz w:val="24"/>
                <w:szCs w:val="24"/>
                <w:highlight w:val="none"/>
              </w:rPr>
              <w:t xml:space="preserve">方案考虑的相对不够全面，但依旧具备可行性的得3分；</w:t>
            </w:r>
            <w:r/>
          </w:p>
          <w:p>
            <w:pPr>
              <w:rPr>
                <w:color w:val="auto"/>
                <w:sz w:val="24"/>
                <w:szCs w:val="24"/>
                <w:highlight w:val="none"/>
              </w:rPr>
            </w:pPr>
            <w:r>
              <w:rPr>
                <w:rFonts w:hint="eastAsia"/>
                <w:color w:val="auto"/>
                <w:sz w:val="24"/>
                <w:szCs w:val="24"/>
                <w:highlight w:val="none"/>
              </w:rPr>
              <w:t xml:space="preserve">方案不全面、不具备可执行性的得1分；未提供服务方案的不得分。</w:t>
            </w:r>
            <w:bookmarkEnd w:id="37"/>
            <w:r>
              <w:rPr>
                <w:rFonts w:hint="eastAsia"/>
                <w:color w:val="auto"/>
                <w:sz w:val="24"/>
                <w:szCs w:val="24"/>
                <w:highlight w:val="none"/>
              </w:rPr>
              <w:t xml:space="preserve"> </w:t>
            </w:r>
            <w:r/>
          </w:p>
          <w:p>
            <w:pPr>
              <w:rPr>
                <w:color w:val="auto"/>
                <w:sz w:val="24"/>
                <w:szCs w:val="24"/>
                <w:highlight w:val="none"/>
              </w:rPr>
            </w:pPr>
            <w:r>
              <w:rPr>
                <w:color w:val="auto"/>
                <w:sz w:val="24"/>
                <w:szCs w:val="24"/>
                <w:highlight w:val="none"/>
              </w:rPr>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6</w:t>
            </w: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5.9</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增值服务</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供应商提供的增值服务。评委根据所提供的方案进行综合评分</w:t>
            </w:r>
            <w:r/>
          </w:p>
          <w:p>
            <w:pPr>
              <w:rPr>
                <w:color w:val="auto"/>
                <w:sz w:val="24"/>
                <w:szCs w:val="24"/>
                <w:highlight w:val="none"/>
              </w:rPr>
            </w:pPr>
            <w:r>
              <w:rPr>
                <w:rFonts w:hint="eastAsia"/>
                <w:color w:val="auto"/>
                <w:sz w:val="24"/>
                <w:szCs w:val="24"/>
                <w:highlight w:val="none"/>
              </w:rPr>
              <w:t xml:space="preserve">方案全面、合理，具有针对性，科学合理具备可执行性的得5分；</w:t>
            </w:r>
            <w:r/>
          </w:p>
          <w:p>
            <w:pPr>
              <w:rPr>
                <w:color w:val="auto"/>
                <w:sz w:val="24"/>
                <w:szCs w:val="24"/>
                <w:highlight w:val="none"/>
              </w:rPr>
            </w:pPr>
            <w:r>
              <w:rPr>
                <w:rFonts w:hint="eastAsia"/>
                <w:color w:val="auto"/>
                <w:sz w:val="24"/>
                <w:szCs w:val="24"/>
                <w:highlight w:val="none"/>
              </w:rPr>
              <w:t xml:space="preserve">方案考虑的相对不够全面，但依旧具备可行性的得2分；</w:t>
            </w:r>
            <w:r/>
          </w:p>
          <w:p>
            <w:pPr>
              <w:rPr>
                <w:color w:val="auto"/>
                <w:sz w:val="24"/>
                <w:szCs w:val="24"/>
                <w:highlight w:val="none"/>
              </w:rPr>
            </w:pPr>
            <w:r>
              <w:rPr>
                <w:rFonts w:hint="eastAsia"/>
                <w:color w:val="auto"/>
                <w:sz w:val="24"/>
                <w:szCs w:val="24"/>
                <w:highlight w:val="none"/>
              </w:rPr>
              <w:t xml:space="preserve">方案不全面、不具备可执行性的得1分；未提供服务方案的不得分。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5</w:t>
            </w:r>
            <w:r/>
          </w:p>
        </w:tc>
      </w:tr>
      <w:tr>
        <w:trPr>
          <w:jc w:val="center"/>
          <w:trHeight w:val="2175"/>
        </w:trPr>
        <w:tc>
          <w:tcPr>
            <w:tcW w:w="1317" w:type="dxa"/>
            <w:vAlign w:val="center"/>
            <w:textDirection w:val="lrTb"/>
            <w:noWrap/>
          </w:tcPr>
          <w:p>
            <w:pPr>
              <w:rPr>
                <w:b/>
                <w:bCs/>
                <w:color w:val="auto"/>
                <w:highlight w:val="none"/>
              </w:rPr>
            </w:pPr>
            <w:r>
              <w:rPr>
                <w:rFonts w:hint="eastAsia"/>
                <w:b/>
                <w:bCs/>
                <w:color w:val="auto"/>
                <w:highlight w:val="none"/>
              </w:rPr>
              <w:t xml:space="preserve">六、投标人承诺（5分）</w:t>
            </w:r>
            <w:r/>
          </w:p>
        </w:tc>
        <w:tc>
          <w:tcPr>
            <w:tcW w:w="768" w:type="dxa"/>
            <w:vAlign w:val="center"/>
            <w:textDirection w:val="lrTb"/>
            <w:noWrap/>
          </w:tcPr>
          <w:p>
            <w:pPr>
              <w:rPr>
                <w:color w:val="auto"/>
                <w:sz w:val="24"/>
                <w:szCs w:val="24"/>
                <w:highlight w:val="none"/>
              </w:rPr>
            </w:pPr>
            <w:r>
              <w:rPr>
                <w:rFonts w:hint="eastAsia"/>
                <w:color w:val="auto"/>
                <w:sz w:val="24"/>
                <w:szCs w:val="24"/>
                <w:highlight w:val="none"/>
              </w:rPr>
              <w:t xml:space="preserve">6.1</w:t>
            </w:r>
            <w:r/>
          </w:p>
        </w:tc>
        <w:tc>
          <w:tcPr>
            <w:tcW w:w="1056" w:type="dxa"/>
            <w:vAlign w:val="center"/>
            <w:textDirection w:val="lrTb"/>
            <w:noWrap/>
          </w:tcPr>
          <w:p>
            <w:pPr>
              <w:rPr>
                <w:color w:val="auto"/>
                <w:sz w:val="24"/>
                <w:szCs w:val="24"/>
                <w:highlight w:val="none"/>
              </w:rPr>
            </w:pPr>
            <w:r>
              <w:rPr>
                <w:rFonts w:hint="eastAsia"/>
                <w:color w:val="auto"/>
                <w:sz w:val="24"/>
                <w:szCs w:val="24"/>
                <w:highlight w:val="none"/>
              </w:rPr>
              <w:t xml:space="preserve">加派人员承诺</w:t>
            </w:r>
            <w:r/>
          </w:p>
        </w:tc>
        <w:tc>
          <w:tcPr>
            <w:tcW w:w="4954" w:type="dxa"/>
            <w:vAlign w:val="center"/>
            <w:textDirection w:val="lrTb"/>
            <w:noWrap/>
          </w:tcPr>
          <w:p>
            <w:pPr>
              <w:rPr>
                <w:color w:val="auto"/>
                <w:sz w:val="24"/>
                <w:szCs w:val="24"/>
                <w:highlight w:val="none"/>
              </w:rPr>
            </w:pPr>
            <w:r>
              <w:rPr>
                <w:rFonts w:hint="eastAsia"/>
                <w:color w:val="auto"/>
                <w:sz w:val="24"/>
                <w:szCs w:val="24"/>
                <w:highlight w:val="none"/>
              </w:rPr>
              <w:t xml:space="preserve">当出现现场护理人员不足或其他紧急情况需加派人员时，供应商承诺多长时间内可将人员派驻到场，并提供可行性方案。</w:t>
            </w:r>
            <w:r/>
          </w:p>
          <w:p>
            <w:pPr>
              <w:rPr>
                <w:color w:val="auto"/>
                <w:sz w:val="24"/>
                <w:szCs w:val="24"/>
                <w:highlight w:val="none"/>
              </w:rPr>
            </w:pPr>
            <w:r/>
            <w:bookmarkStart w:id="38" w:name="OLE_LINK13"/>
            <w:r>
              <w:rPr>
                <w:rFonts w:hint="eastAsia"/>
                <w:color w:val="auto"/>
                <w:sz w:val="24"/>
                <w:szCs w:val="24"/>
                <w:highlight w:val="none"/>
              </w:rPr>
              <w:t xml:space="preserve">承诺</w:t>
            </w:r>
            <w:bookmarkEnd w:id="38"/>
            <w:r>
              <w:rPr>
                <w:rFonts w:hint="eastAsia"/>
                <w:color w:val="auto"/>
                <w:sz w:val="24"/>
                <w:szCs w:val="24"/>
                <w:highlight w:val="none"/>
              </w:rPr>
              <w:t xml:space="preserve">30分钟内到场，</w:t>
            </w:r>
            <w:bookmarkStart w:id="39" w:name="OLE_LINK12"/>
            <w:r>
              <w:rPr>
                <w:rFonts w:hint="eastAsia"/>
                <w:color w:val="auto"/>
                <w:sz w:val="24"/>
                <w:szCs w:val="24"/>
                <w:highlight w:val="none"/>
              </w:rPr>
              <w:t xml:space="preserve">且具有可行性的</w:t>
            </w:r>
            <w:bookmarkEnd w:id="39"/>
            <w:r>
              <w:rPr>
                <w:rFonts w:hint="eastAsia"/>
                <w:color w:val="auto"/>
                <w:sz w:val="24"/>
                <w:szCs w:val="24"/>
                <w:highlight w:val="none"/>
              </w:rPr>
              <w:t xml:space="preserve">得5分；</w:t>
            </w:r>
            <w:r/>
          </w:p>
          <w:p>
            <w:pPr>
              <w:rPr>
                <w:color w:val="auto"/>
                <w:sz w:val="24"/>
                <w:szCs w:val="24"/>
                <w:highlight w:val="none"/>
              </w:rPr>
            </w:pPr>
            <w:r>
              <w:rPr>
                <w:rFonts w:hint="eastAsia"/>
                <w:color w:val="auto"/>
                <w:sz w:val="24"/>
                <w:szCs w:val="24"/>
                <w:highlight w:val="none"/>
              </w:rPr>
              <w:t xml:space="preserve">承诺1小时到场，且具有可行性的得3分；</w:t>
            </w:r>
            <w:r/>
          </w:p>
          <w:p>
            <w:pPr>
              <w:rPr>
                <w:color w:val="auto"/>
                <w:sz w:val="24"/>
                <w:szCs w:val="24"/>
                <w:highlight w:val="none"/>
              </w:rPr>
            </w:pPr>
            <w:r>
              <w:rPr>
                <w:rFonts w:hint="eastAsia"/>
                <w:color w:val="auto"/>
                <w:sz w:val="24"/>
                <w:szCs w:val="24"/>
                <w:highlight w:val="none"/>
              </w:rPr>
              <w:t xml:space="preserve">承诺</w:t>
            </w:r>
            <w:bookmarkStart w:id="40" w:name="OLE_LINK14"/>
            <w:r>
              <w:rPr>
                <w:rFonts w:hint="eastAsia"/>
                <w:color w:val="auto"/>
                <w:sz w:val="24"/>
                <w:szCs w:val="24"/>
                <w:highlight w:val="none"/>
              </w:rPr>
              <w:t xml:space="preserve">2小时到场</w:t>
            </w:r>
            <w:bookmarkEnd w:id="40"/>
            <w:r>
              <w:rPr>
                <w:rFonts w:hint="eastAsia"/>
                <w:color w:val="auto"/>
                <w:sz w:val="24"/>
                <w:szCs w:val="24"/>
                <w:highlight w:val="none"/>
              </w:rPr>
              <w:t xml:space="preserve">，且具有可行性的得1分；</w:t>
            </w:r>
            <w:r/>
          </w:p>
          <w:p>
            <w:pPr>
              <w:rPr>
                <w:color w:val="auto"/>
                <w:sz w:val="24"/>
                <w:szCs w:val="24"/>
                <w:highlight w:val="none"/>
              </w:rPr>
            </w:pPr>
            <w:r>
              <w:rPr>
                <w:rFonts w:hint="eastAsia"/>
                <w:color w:val="auto"/>
                <w:sz w:val="24"/>
                <w:szCs w:val="24"/>
                <w:highlight w:val="none"/>
              </w:rPr>
              <w:t xml:space="preserve">承诺超过2小时到场或未承诺的不得分。</w:t>
            </w:r>
            <w:r/>
          </w:p>
        </w:tc>
        <w:tc>
          <w:tcPr>
            <w:tcW w:w="960" w:type="dxa"/>
            <w:vAlign w:val="center"/>
            <w:textDirection w:val="lrTb"/>
            <w:noWrap/>
          </w:tcPr>
          <w:p>
            <w:pPr>
              <w:jc w:val="center"/>
              <w:rPr>
                <w:b/>
                <w:bCs/>
                <w:color w:val="auto"/>
                <w:highlight w:val="none"/>
              </w:rPr>
            </w:pPr>
            <w:r>
              <w:rPr>
                <w:rFonts w:hint="eastAsia"/>
                <w:b/>
                <w:bCs/>
                <w:color w:val="auto"/>
                <w:highlight w:val="none"/>
              </w:rPr>
              <w:t xml:space="preserve">5</w:t>
            </w:r>
            <w:r/>
          </w:p>
        </w:tc>
      </w:tr>
    </w:tbl>
    <w:p>
      <w:pPr>
        <w:pStyle w:val="724"/>
        <w:ind w:right="-96" w:firstLine="221"/>
        <w:spacing w:before="36" w:after="0"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724"/>
        <w:ind w:right="-96" w:firstLine="221"/>
        <w:spacing w:before="36" w:after="0"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投标文件</w:t>
      </w:r>
      <w:r>
        <w:rPr>
          <w:rFonts w:hint="eastAsia" w:ascii="仿宋" w:hAnsi="仿宋" w:eastAsia="仿宋" w:cs="仿宋"/>
          <w:b/>
          <w:color w:val="auto"/>
          <w:highlight w:val="none"/>
          <w:lang w:val="en-US"/>
        </w:rPr>
        <w:t xml:space="preserve">根据上述评分细则</w:t>
      </w:r>
      <w:r>
        <w:rPr>
          <w:rFonts w:hint="eastAsia" w:ascii="仿宋" w:hAnsi="仿宋" w:eastAsia="仿宋" w:cs="仿宋"/>
          <w:b/>
          <w:color w:val="auto"/>
          <w:highlight w:val="none"/>
        </w:rPr>
        <w:t xml:space="preserve">综合评分，</w:t>
      </w:r>
      <w:r>
        <w:rPr>
          <w:rFonts w:hint="eastAsia" w:ascii="仿宋" w:hAnsi="仿宋" w:eastAsia="仿宋" w:cs="仿宋"/>
          <w:b/>
          <w:color w:val="auto"/>
          <w:highlight w:val="none"/>
          <w:lang w:val="en-US"/>
        </w:rPr>
        <w:t xml:space="preserve">得分为评分点</w:t>
      </w:r>
      <w:r>
        <w:rPr>
          <w:rFonts w:hint="eastAsia" w:ascii="仿宋" w:hAnsi="仿宋" w:eastAsia="仿宋" w:cs="仿宋"/>
          <w:b/>
          <w:color w:val="auto"/>
          <w:highlight w:val="none"/>
        </w:rPr>
        <w:t xml:space="preserve">总和 </w:t>
      </w:r>
      <w:r/>
    </w:p>
    <w:p>
      <w:pPr>
        <w:pStyle w:val="724"/>
        <w:numPr>
          <w:ilvl w:val="0"/>
          <w:numId w:val="18"/>
        </w:numPr>
        <w:ind w:left="440" w:right="-96"/>
        <w:spacing w:before="36" w:after="0"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对投标人进行排序，推荐中标候选人 </w:t>
      </w:r>
      <w:r/>
    </w:p>
    <w:p>
      <w:pPr>
        <w:pStyle w:val="724"/>
        <w:numPr>
          <w:ilvl w:val="0"/>
          <w:numId w:val="19"/>
        </w:numPr>
        <w:ind w:left="880" w:right="-96"/>
        <w:spacing w:after="0"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评标委员会根据综合评分对进入评分</w:t>
      </w:r>
      <w:r>
        <w:rPr>
          <w:rFonts w:hint="eastAsia" w:ascii="仿宋" w:hAnsi="仿宋" w:eastAsia="仿宋" w:cs="仿宋"/>
          <w:color w:val="auto"/>
          <w:highlight w:val="none"/>
          <w:lang w:val="en-US"/>
        </w:rPr>
        <w:t xml:space="preserve">环节</w:t>
      </w:r>
      <w:r>
        <w:rPr>
          <w:rFonts w:hint="eastAsia" w:ascii="仿宋" w:hAnsi="仿宋" w:eastAsia="仿宋" w:cs="仿宋"/>
          <w:color w:val="auto"/>
          <w:highlight w:val="none"/>
        </w:rPr>
        <w:t xml:space="preserve">的投标文件按最终得分由高到</w:t>
      </w:r>
      <w:r>
        <w:rPr>
          <w:rFonts w:hint="eastAsia" w:ascii="仿宋" w:hAnsi="仿宋" w:eastAsia="仿宋" w:cs="仿宋"/>
          <w:color w:val="auto"/>
          <w:spacing w:val="-7"/>
          <w:highlight w:val="none"/>
        </w:rPr>
        <w:t xml:space="preserve">低进行排序，评分相同时，报价低者优先；评分、报价均相同时，技术得分高优</w:t>
      </w:r>
      <w:r>
        <w:rPr>
          <w:rFonts w:hint="eastAsia" w:ascii="仿宋" w:hAnsi="仿宋" w:eastAsia="仿宋" w:cs="仿宋"/>
          <w:color w:val="auto"/>
          <w:spacing w:val="-17"/>
          <w:highlight w:val="none"/>
        </w:rPr>
        <w:t xml:space="preserve">先；评分、报价、技术得分均相同时，由评标委员会通过抽签</w:t>
      </w:r>
      <w:r>
        <w:rPr>
          <w:rFonts w:hint="eastAsia" w:ascii="仿宋" w:hAnsi="仿宋" w:eastAsia="仿宋" w:cs="仿宋"/>
          <w:color w:val="auto"/>
          <w:highlight w:val="none"/>
        </w:rPr>
        <w:t xml:space="preserve">方式排序。 </w:t>
      </w:r>
      <w:r/>
    </w:p>
    <w:p>
      <w:pPr>
        <w:pStyle w:val="724"/>
        <w:numPr>
          <w:ilvl w:val="0"/>
          <w:numId w:val="19"/>
        </w:numPr>
        <w:ind w:left="880" w:right="-96"/>
        <w:spacing w:after="0"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评标委员会根据投标人须知前附表</w:t>
      </w:r>
      <w:r>
        <w:rPr>
          <w:rFonts w:hint="eastAsia" w:ascii="仿宋" w:hAnsi="仿宋" w:eastAsia="仿宋" w:cs="仿宋"/>
          <w:color w:val="auto"/>
          <w:highlight w:val="none"/>
          <w:lang w:val="en-US"/>
        </w:rPr>
        <w:t xml:space="preserve">第42条</w:t>
      </w:r>
      <w:r>
        <w:rPr>
          <w:rFonts w:hint="eastAsia" w:ascii="仿宋" w:hAnsi="仿宋" w:eastAsia="仿宋" w:cs="仿宋"/>
          <w:color w:val="auto"/>
          <w:highlight w:val="none"/>
        </w:rPr>
        <w:t xml:space="preserve">规定，推荐中标候选人。 </w:t>
      </w:r>
      <w:r/>
    </w:p>
    <w:p>
      <w:pPr>
        <w:pStyle w:val="724"/>
        <w:numPr>
          <w:ilvl w:val="0"/>
          <w:numId w:val="16"/>
        </w:numPr>
        <w:ind w:left="655" w:right="-96" w:hanging="600"/>
        <w:spacing w:before="36" w:after="0" w:line="440" w:lineRule="exact"/>
        <w:rPr>
          <w:rFonts w:ascii="仿宋" w:hAnsi="仿宋" w:eastAsia="仿宋" w:cs="仿宋"/>
          <w:b/>
          <w:color w:val="auto"/>
          <w:spacing w:val="6"/>
          <w:highlight w:val="none"/>
        </w:rPr>
      </w:pPr>
      <w:r>
        <w:rPr>
          <w:rFonts w:hint="eastAsia" w:ascii="仿宋" w:hAnsi="仿宋" w:eastAsia="仿宋" w:cs="仿宋"/>
          <w:b/>
          <w:color w:val="auto"/>
          <w:spacing w:val="6"/>
          <w:highlight w:val="none"/>
        </w:rPr>
        <w:t xml:space="preserve">完成评标报告 </w:t>
      </w:r>
      <w:r/>
    </w:p>
    <w:p>
      <w:pPr>
        <w:pStyle w:val="724"/>
        <w:ind w:right="-50" w:firstLine="442"/>
        <w:jc w:val="both"/>
        <w:spacing w:before="8" w:line="440" w:lineRule="exact"/>
        <w:rPr>
          <w:rFonts w:ascii="仿宋" w:hAnsi="仿宋" w:eastAsia="仿宋" w:cs="仿宋"/>
          <w:color w:val="auto"/>
          <w:highlight w:val="none"/>
        </w:rPr>
      </w:pPr>
      <w:r>
        <w:rPr>
          <w:rFonts w:hint="eastAsia" w:ascii="仿宋" w:hAnsi="仿宋" w:eastAsia="仿宋" w:cs="仿宋"/>
          <w:b/>
          <w:bCs/>
          <w:color w:val="auto"/>
          <w:highlight w:val="none"/>
        </w:rPr>
        <w:t xml:space="preserve">评标委员会应当向采购人提交书面评标报告：</w:t>
      </w:r>
      <w:r>
        <w:rPr>
          <w:rFonts w:hint="eastAsia" w:ascii="仿宋" w:hAnsi="仿宋" w:eastAsia="仿宋" w:cs="仿宋"/>
          <w:color w:val="auto"/>
          <w:highlight w:val="none"/>
        </w:rPr>
        <w:t xml:space="preserve">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clear="all"/>
      </w:r>
      <w:r/>
    </w:p>
    <w:p>
      <w:pPr>
        <w:pStyle w:val="712"/>
        <w:numPr>
          <w:ilvl w:val="0"/>
          <w:numId w:val="1"/>
        </w:numPr>
        <w:jc w:val="center"/>
        <w:spacing w:before="0" w:after="0" w:line="360" w:lineRule="auto"/>
        <w:rPr>
          <w:rFonts w:ascii="仿宋" w:hAnsi="仿宋" w:eastAsia="仿宋" w:cs="仿宋"/>
          <w:color w:val="auto"/>
          <w:highlight w:val="none"/>
        </w:rPr>
      </w:pPr>
      <w:r/>
      <w:bookmarkStart w:id="41" w:name="_Toc1682"/>
      <w:r/>
      <w:bookmarkStart w:id="42" w:name="_Toc4651"/>
      <w:r>
        <w:rPr>
          <w:rFonts w:hint="eastAsia" w:ascii="仿宋" w:hAnsi="仿宋" w:eastAsia="仿宋" w:cs="仿宋"/>
          <w:color w:val="auto"/>
          <w:highlight w:val="none"/>
        </w:rPr>
        <w:t xml:space="preserve">合同条款</w:t>
      </w:r>
      <w:bookmarkEnd w:id="41"/>
      <w:r/>
      <w:bookmarkEnd w:id="42"/>
      <w:r/>
      <w:r/>
    </w:p>
    <w:p>
      <w:pPr>
        <w:jc w:val="center"/>
        <w:spacing w:before="145" w:after="145"/>
        <w:rPr>
          <w:rFonts w:ascii="宋体" w:hAnsi="宋体"/>
          <w:b/>
          <w:color w:val="auto"/>
          <w:sz w:val="30"/>
          <w:highlight w:val="none"/>
        </w:rPr>
        <w:outlineLvl w:val="0"/>
      </w:pPr>
      <w:r/>
      <w:bookmarkStart w:id="43" w:name="_Toc17550"/>
      <w:r>
        <w:rPr>
          <w:rFonts w:hint="eastAsia" w:ascii="宋体" w:hAnsi="宋体"/>
          <w:b/>
          <w:color w:val="auto"/>
          <w:sz w:val="30"/>
          <w:highlight w:val="none"/>
        </w:rPr>
        <w:t xml:space="preserve">江苏省政府采购合同（服务）（合同编号）</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项目名称：</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                   </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项目编号：</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             </w:t>
      </w:r>
      <w:r/>
    </w:p>
    <w:p>
      <w:pPr>
        <w:pStyle w:val="852"/>
        <w:spacing w:before="120" w:after="120"/>
        <w:rPr>
          <w:rFonts w:hAnsi="宋体"/>
          <w:color w:val="auto"/>
          <w:sz w:val="24"/>
          <w:szCs w:val="24"/>
          <w:highlight w:val="none"/>
        </w:rPr>
      </w:pPr>
      <w:r>
        <w:rPr>
          <w:rFonts w:hAnsi="宋体"/>
          <w:color w:val="auto"/>
          <w:sz w:val="24"/>
          <w:szCs w:val="24"/>
          <w:highlight w:val="none"/>
        </w:rPr>
        <w:t xml:space="preserve">甲方：（买方）_________</w:t>
      </w:r>
      <w:r/>
    </w:p>
    <w:p>
      <w:pPr>
        <w:pStyle w:val="852"/>
        <w:spacing w:before="120" w:after="120"/>
        <w:rPr>
          <w:rFonts w:hAnsi="宋体"/>
          <w:color w:val="auto"/>
          <w:sz w:val="24"/>
          <w:szCs w:val="24"/>
          <w:highlight w:val="none"/>
        </w:rPr>
      </w:pPr>
      <w:r>
        <w:rPr>
          <w:rFonts w:hAnsi="宋体"/>
          <w:color w:val="auto"/>
          <w:sz w:val="24"/>
          <w:szCs w:val="24"/>
          <w:highlight w:val="none"/>
        </w:rPr>
        <w:t xml:space="preserve">乙方：（卖方）_________</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p>
    <w:p>
      <w:pPr>
        <w:pStyle w:val="852"/>
        <w:spacing w:before="120" w:after="120"/>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p>
    <w:p>
      <w:pPr>
        <w:pStyle w:val="852"/>
        <w:spacing w:before="120" w:after="120"/>
        <w:rPr>
          <w:rFonts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p>
    <w:p>
      <w:pPr>
        <w:pStyle w:val="852"/>
        <w:spacing w:before="120" w:after="120"/>
        <w:rPr>
          <w:rFonts w:hAnsi="宋体"/>
          <w:color w:val="auto"/>
          <w:sz w:val="24"/>
          <w:szCs w:val="24"/>
          <w:highlight w:val="none"/>
        </w:rPr>
      </w:pPr>
      <w:r>
        <w:rPr>
          <w:rFonts w:hint="eastAsia" w:hAnsi="宋体"/>
          <w:color w:val="auto"/>
          <w:sz w:val="24"/>
          <w:szCs w:val="24"/>
          <w:highlight w:val="none"/>
        </w:rPr>
        <w:t xml:space="preserve">1.3 标的数量（规模）：</w:t>
      </w:r>
      <w:r/>
    </w:p>
    <w:p>
      <w:pPr>
        <w:pStyle w:val="852"/>
        <w:spacing w:before="120" w:after="120"/>
        <w:rPr>
          <w:rFonts w:hAnsi="宋体"/>
          <w:color w:val="auto"/>
          <w:sz w:val="24"/>
          <w:szCs w:val="24"/>
          <w:highlight w:val="none"/>
        </w:rPr>
      </w:pPr>
      <w:r>
        <w:rPr>
          <w:rFonts w:hint="eastAsia" w:hAnsi="宋体"/>
          <w:color w:val="auto"/>
          <w:sz w:val="24"/>
          <w:szCs w:val="24"/>
          <w:highlight w:val="none"/>
        </w:rPr>
        <w:t xml:space="preserve">1.4 履行时间（期限）：</w:t>
      </w:r>
      <w:r/>
    </w:p>
    <w:p>
      <w:pPr>
        <w:pStyle w:val="852"/>
        <w:spacing w:before="120" w:after="120"/>
        <w:rPr>
          <w:rFonts w:hAnsi="宋体"/>
          <w:color w:val="auto"/>
          <w:sz w:val="24"/>
          <w:szCs w:val="24"/>
          <w:highlight w:val="none"/>
        </w:rPr>
      </w:pPr>
      <w:r>
        <w:rPr>
          <w:rFonts w:hint="eastAsia" w:hAnsi="宋体"/>
          <w:color w:val="auto"/>
          <w:sz w:val="24"/>
          <w:szCs w:val="24"/>
          <w:highlight w:val="none"/>
        </w:rPr>
        <w:t xml:space="preserve">1.5 履行地点：</w:t>
      </w:r>
      <w:r/>
    </w:p>
    <w:p>
      <w:pPr>
        <w:pStyle w:val="852"/>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二、合同金额</w:t>
      </w:r>
      <w:r/>
    </w:p>
    <w:p>
      <w:pPr>
        <w:pStyle w:val="852"/>
        <w:ind w:left="410" w:hanging="410"/>
        <w:spacing w:before="120" w:after="120"/>
        <w:rPr>
          <w:rFonts w:hAnsi="宋体"/>
          <w:color w:val="auto"/>
          <w:sz w:val="24"/>
          <w:szCs w:val="24"/>
          <w:highlight w:val="none"/>
        </w:rPr>
      </w:pPr>
      <w:r>
        <w:rPr>
          <w:rFonts w:hAnsi="宋体"/>
          <w:color w:val="auto"/>
          <w:sz w:val="24"/>
          <w:szCs w:val="24"/>
          <w:highlight w:val="none"/>
        </w:rPr>
        <w:t xml:space="preserve">2.1 本合同金额为（大写）：________</w:t>
      </w:r>
      <w:r>
        <w:rPr>
          <w:rFonts w:hint="eastAsia" w:hAnsi="宋体"/>
          <w:color w:val="auto"/>
          <w:sz w:val="24"/>
          <w:szCs w:val="24"/>
          <w:highlight w:val="none"/>
        </w:rPr>
        <w:t xml:space="preserve">圆</w:t>
      </w:r>
      <w:r>
        <w:rPr>
          <w:rFonts w:hAnsi="宋体"/>
          <w:color w:val="auto"/>
          <w:sz w:val="24"/>
          <w:szCs w:val="24"/>
          <w:highlight w:val="none"/>
        </w:rPr>
        <w:t xml:space="preserve">（________元）人民币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三、技术资料</w:t>
      </w:r>
      <w:r/>
    </w:p>
    <w:p>
      <w:pPr>
        <w:pStyle w:val="852"/>
        <w:ind w:left="410" w:hanging="410"/>
        <w:spacing w:before="120" w:after="120"/>
        <w:rPr>
          <w:rFonts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p>
    <w:p>
      <w:pPr>
        <w:pStyle w:val="852"/>
        <w:ind w:left="410" w:hanging="410"/>
        <w:spacing w:before="120" w:after="120"/>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2"/>
        <w:ind w:left="412" w:hanging="412"/>
        <w:spacing w:before="120" w:after="120"/>
        <w:rPr>
          <w:rFonts w:hAnsi="宋体"/>
          <w:b/>
          <w:color w:val="auto"/>
          <w:sz w:val="24"/>
          <w:szCs w:val="24"/>
          <w:highlight w:val="none"/>
        </w:rPr>
      </w:pPr>
      <w:r>
        <w:rPr>
          <w:rFonts w:hAnsi="宋体"/>
          <w:b/>
          <w:color w:val="auto"/>
          <w:sz w:val="24"/>
          <w:szCs w:val="24"/>
          <w:highlight w:val="none"/>
        </w:rPr>
        <w:t xml:space="preserve">四、知识产权</w:t>
      </w:r>
      <w:r/>
    </w:p>
    <w:p>
      <w:pPr>
        <w:pStyle w:val="852"/>
        <w:ind w:left="408" w:hanging="408"/>
        <w:spacing w:before="120" w:after="120"/>
        <w:rPr>
          <w:rFonts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52"/>
        <w:spacing w:before="120" w:after="120"/>
        <w:rPr>
          <w:rFonts w:hAnsi="宋体"/>
          <w:color w:val="auto"/>
          <w:sz w:val="24"/>
          <w:szCs w:val="24"/>
          <w:highlight w:val="none"/>
          <w:u w:val="single"/>
        </w:rPr>
      </w:pPr>
      <w:r>
        <w:rPr>
          <w:rFonts w:hAnsi="宋体"/>
          <w:b/>
          <w:color w:val="auto"/>
          <w:sz w:val="24"/>
          <w:szCs w:val="24"/>
          <w:highlight w:val="none"/>
        </w:rPr>
        <w:t xml:space="preserve">五、产权担保</w:t>
      </w:r>
      <w:r/>
    </w:p>
    <w:p>
      <w:pPr>
        <w:pStyle w:val="852"/>
        <w:ind w:left="408" w:hanging="408"/>
        <w:spacing w:before="120" w:after="120"/>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p>
    <w:p>
      <w:pPr>
        <w:pStyle w:val="852"/>
        <w:ind w:left="410" w:hanging="410"/>
        <w:spacing w:before="120" w:after="120"/>
        <w:rPr>
          <w:rFonts w:hAnsi="宋体"/>
          <w:b/>
          <w:color w:val="auto"/>
          <w:sz w:val="24"/>
          <w:szCs w:val="24"/>
          <w:highlight w:val="none"/>
        </w:rPr>
      </w:pPr>
      <w:r>
        <w:rPr>
          <w:rFonts w:hAnsi="宋体"/>
          <w:b/>
          <w:color w:val="auto"/>
          <w:sz w:val="24"/>
          <w:szCs w:val="24"/>
          <w:highlight w:val="none"/>
        </w:rPr>
        <w:t xml:space="preserve">六、履约保证金</w:t>
      </w:r>
      <w:r/>
    </w:p>
    <w:p>
      <w:pPr>
        <w:pStyle w:val="852"/>
        <w:ind w:left="408" w:hanging="408"/>
        <w:spacing w:before="120" w:after="120"/>
        <w:rPr>
          <w:rFonts w:hAnsi="宋体"/>
          <w:color w:val="auto"/>
          <w:sz w:val="24"/>
          <w:szCs w:val="24"/>
          <w:highlight w:val="none"/>
        </w:rPr>
      </w:pPr>
      <w:r>
        <w:rPr>
          <w:rFonts w:hAnsi="宋体"/>
          <w:color w:val="auto"/>
          <w:sz w:val="24"/>
          <w:szCs w:val="24"/>
          <w:highlight w:val="none"/>
        </w:rPr>
        <w:t xml:space="preserve">6.1 乙方交纳</w:t>
      </w:r>
      <w:r>
        <w:rPr>
          <w:rFonts w:hint="eastAsia" w:ascii="宋体" w:hAnsi="宋体" w:eastAsia="宋体" w:cs="宋体"/>
          <w:color w:val="auto"/>
          <w:sz w:val="24"/>
          <w:szCs w:val="24"/>
          <w:highlight w:val="none"/>
          <w:lang w:val="en-US" w:eastAsia="zh-CN"/>
        </w:rPr>
        <w:t xml:space="preserve">合同金额：本项目中标单位需在本合同签署后，在五个工作日向医院交纳人50000元的履约保证金。合同期满后医院不计利息全额退还供应商保证金。如供应商在合同履行过程中存在违约情形的，医院有权从履约保证金中直接扣除相应的款项。履约保证金被扣除后，供应商应当在医院规定的期限内补足。</w:t>
      </w:r>
      <w:r/>
    </w:p>
    <w:p>
      <w:pPr>
        <w:pStyle w:val="852"/>
        <w:ind w:left="408" w:hanging="408"/>
        <w:spacing w:before="120" w:after="120"/>
        <w:rPr>
          <w:rFonts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p>
    <w:p>
      <w:pPr>
        <w:pStyle w:val="852"/>
        <w:ind w:left="408" w:hanging="408"/>
        <w:spacing w:before="120" w:after="120"/>
        <w:rPr>
          <w:rFonts w:hint="default" w:hAnsi="宋体" w:eastAsia="宋体"/>
          <w:color w:val="auto"/>
          <w:sz w:val="24"/>
          <w:szCs w:val="24"/>
          <w:highlight w:val="none"/>
          <w:lang w:val="en-US" w:eastAsia="zh-CN"/>
        </w:rPr>
      </w:pPr>
      <w:r>
        <w:rPr>
          <w:rFonts w:hint="eastAsia" w:hAnsi="宋体"/>
          <w:color w:val="auto"/>
          <w:sz w:val="24"/>
          <w:szCs w:val="24"/>
          <w:highlight w:val="none"/>
        </w:rPr>
        <w:t xml:space="preserve">6.2.1履约保证金退还方式：保证金将以非现金方式、无息退还至乙方账户；履约保函、担保、保险在合同约定责任完成后自行失效</w:t>
      </w:r>
      <w:r>
        <w:rPr>
          <w:rFonts w:hint="eastAsia" w:hAnsi="宋体"/>
          <w:color w:val="auto"/>
          <w:sz w:val="24"/>
          <w:szCs w:val="24"/>
          <w:highlight w:val="none"/>
          <w:lang w:val="en-US" w:eastAsia="zh-CN"/>
        </w:rPr>
        <w:t xml:space="preserve">。</w:t>
      </w:r>
      <w:r/>
    </w:p>
    <w:p>
      <w:pPr>
        <w:pStyle w:val="852"/>
        <w:ind w:left="408" w:hanging="408"/>
        <w:spacing w:before="120" w:after="120"/>
        <w:rPr>
          <w:rFonts w:hint="default" w:hAnsi="宋体" w:eastAsia="宋体"/>
          <w:color w:val="auto"/>
          <w:sz w:val="24"/>
          <w:szCs w:val="24"/>
          <w:highlight w:val="none"/>
          <w:lang w:val="en-US" w:eastAsia="zh-CN"/>
        </w:rPr>
      </w:pPr>
      <w:r>
        <w:rPr>
          <w:rFonts w:hint="eastAsia" w:hAnsi="宋体"/>
          <w:color w:val="auto"/>
          <w:sz w:val="24"/>
          <w:szCs w:val="24"/>
          <w:highlight w:val="none"/>
        </w:rPr>
        <w:t xml:space="preserve">6.2.2履约保证金退还时间：</w:t>
      </w:r>
      <w:r>
        <w:rPr>
          <w:rFonts w:hint="eastAsia" w:hAnsi="宋体"/>
          <w:color w:val="auto"/>
          <w:sz w:val="24"/>
          <w:szCs w:val="24"/>
          <w:highlight w:val="none"/>
          <w:lang w:val="en-US" w:eastAsia="zh-CN"/>
        </w:rPr>
        <w:t xml:space="preserve">自本合同履行完毕且经甲方验收合格之日起，甲方应在收到乙方履约保证金退还申请和手续后，15个工作日内完成退还手续。</w:t>
      </w:r>
      <w:r/>
    </w:p>
    <w:p>
      <w:pPr>
        <w:pStyle w:val="852"/>
        <w:ind w:left="408" w:hanging="408"/>
        <w:spacing w:before="120" w:after="120"/>
        <w:rPr>
          <w:rFonts w:hint="eastAsia" w:hAnsi="宋体"/>
          <w:color w:val="auto"/>
          <w:sz w:val="24"/>
          <w:szCs w:val="24"/>
          <w:highlight w:val="none"/>
        </w:rPr>
      </w:pPr>
      <w:r>
        <w:rPr>
          <w:rFonts w:hint="eastAsia" w:hAnsi="宋体"/>
          <w:color w:val="auto"/>
          <w:sz w:val="24"/>
          <w:szCs w:val="24"/>
          <w:highlight w:val="none"/>
        </w:rPr>
        <w:t xml:space="preserve">6.2.3履约保证金退还条件：</w:t>
      </w:r>
      <w:r/>
    </w:p>
    <w:p>
      <w:pPr>
        <w:pStyle w:val="852"/>
        <w:numPr>
          <w:ilvl w:val="0"/>
          <w:numId w:val="20"/>
        </w:numPr>
        <w:ind w:left="408" w:hanging="408"/>
        <w:spacing w:before="120" w:after="120"/>
        <w:rPr>
          <w:rFonts w:hint="eastAsia" w:hAnsi="宋体"/>
          <w:color w:val="auto"/>
          <w:sz w:val="24"/>
          <w:szCs w:val="24"/>
          <w:highlight w:val="none"/>
          <w:lang w:val="en-US" w:eastAsia="zh-CN"/>
        </w:rPr>
      </w:pPr>
      <w:r>
        <w:rPr>
          <w:rFonts w:hint="eastAsia" w:hAnsi="宋体"/>
          <w:color w:val="auto"/>
          <w:sz w:val="24"/>
          <w:szCs w:val="24"/>
          <w:highlight w:val="none"/>
          <w:lang w:val="en-US" w:eastAsia="zh-CN"/>
        </w:rPr>
        <w:t xml:space="preserve">全面履行合同约定的服务/供货义务；</w:t>
      </w:r>
      <w:r/>
    </w:p>
    <w:p>
      <w:pPr>
        <w:pStyle w:val="852"/>
        <w:numPr>
          <w:ilvl w:val="0"/>
          <w:numId w:val="20"/>
        </w:numPr>
        <w:ind w:left="408" w:hanging="408"/>
        <w:spacing w:before="120" w:after="120"/>
        <w:rPr>
          <w:rFonts w:hint="default" w:hAnsi="宋体"/>
          <w:color w:val="auto"/>
          <w:sz w:val="24"/>
          <w:szCs w:val="24"/>
          <w:highlight w:val="none"/>
          <w:lang w:val="en-US" w:eastAsia="zh-CN"/>
        </w:rPr>
      </w:pPr>
      <w:r>
        <w:rPr>
          <w:rFonts w:hint="eastAsia" w:hAnsi="宋体"/>
          <w:color w:val="auto"/>
          <w:sz w:val="24"/>
          <w:szCs w:val="24"/>
          <w:highlight w:val="none"/>
          <w:lang w:val="en-US" w:eastAsia="zh-CN"/>
        </w:rPr>
        <w:t xml:space="preserve">无重大质量或违约问题；</w:t>
      </w:r>
      <w:r/>
    </w:p>
    <w:p>
      <w:pPr>
        <w:pStyle w:val="852"/>
        <w:numPr>
          <w:ilvl w:val="0"/>
          <w:numId w:val="20"/>
        </w:numPr>
        <w:ind w:left="408" w:hanging="408"/>
        <w:spacing w:before="120" w:after="120"/>
        <w:rPr>
          <w:rFonts w:hint="default" w:hAnsi="宋体"/>
          <w:color w:val="auto"/>
          <w:sz w:val="24"/>
          <w:szCs w:val="24"/>
          <w:highlight w:val="none"/>
          <w:lang w:val="en-US" w:eastAsia="zh-CN"/>
        </w:rPr>
      </w:pPr>
      <w:r>
        <w:rPr>
          <w:rFonts w:hint="eastAsia" w:hAnsi="宋体"/>
          <w:color w:val="auto"/>
          <w:sz w:val="24"/>
          <w:szCs w:val="24"/>
          <w:highlight w:val="none"/>
          <w:lang w:val="en-US" w:eastAsia="zh-CN"/>
        </w:rPr>
        <w:t xml:space="preserve">经甲方最终验收合格并签署书面确认文件。</w:t>
      </w:r>
      <w:r/>
    </w:p>
    <w:p>
      <w:pPr>
        <w:pStyle w:val="852"/>
        <w:ind w:left="408" w:hanging="408"/>
        <w:spacing w:before="120" w:after="120"/>
        <w:rPr>
          <w:rFonts w:hint="eastAsia" w:hAnsi="宋体"/>
          <w:color w:val="auto"/>
          <w:sz w:val="24"/>
          <w:szCs w:val="24"/>
          <w:highlight w:val="none"/>
        </w:rPr>
      </w:pPr>
      <w:r>
        <w:rPr>
          <w:rFonts w:hint="eastAsia" w:hAnsi="宋体"/>
          <w:color w:val="auto"/>
          <w:sz w:val="24"/>
          <w:szCs w:val="24"/>
          <w:highlight w:val="none"/>
        </w:rPr>
        <w:t xml:space="preserve">6.2.4履约保证金不予退还的情形：</w:t>
      </w:r>
      <w:r/>
    </w:p>
    <w:p>
      <w:pPr>
        <w:pStyle w:val="730"/>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（1）乙方无正当理由未履行合同义务；</w:t>
      </w:r>
      <w:r/>
    </w:p>
    <w:p>
      <w:pPr>
        <w:pStyle w:val="730"/>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（2）因乙方原因导致合同提前终止或解除；</w:t>
      </w:r>
      <w:r/>
    </w:p>
    <w:p>
      <w:pPr>
        <w:pStyle w:val="730"/>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（3）服务质量或货物质量未达到合同约定标准且未整改；</w:t>
      </w:r>
      <w:r/>
    </w:p>
    <w:p>
      <w:pPr>
        <w:pStyle w:val="730"/>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（4）乙方存在欺诈、串通等违法行为；</w:t>
      </w:r>
      <w:r/>
    </w:p>
    <w:p>
      <w:pPr>
        <w:pStyle w:val="730"/>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（5）其他严重违约行为造成甲方重大损失。</w:t>
      </w:r>
      <w:r/>
    </w:p>
    <w:p>
      <w:pPr>
        <w:pStyle w:val="730"/>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6.2.5 逾期退还的违约责任：若甲方未按约定时间退还履约保证金，每逾期一日，应按应退金额的万分之三向乙方支付违约金。</w:t>
      </w:r>
      <w:r/>
    </w:p>
    <w:p>
      <w:pPr>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spacing w:before="145" w:after="145"/>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7.1乙方不得将合同标的转包或分包给他人履行。</w:t>
      </w:r>
      <w:r/>
    </w:p>
    <w:p>
      <w:pPr>
        <w:spacing w:before="145" w:after="145"/>
        <w:rPr>
          <w:rFonts w:ascii="宋体" w:hAnsi="宋体" w:eastAsia="仿宋_GB2312"/>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2乙方如有转包或分包行为，甲方有权解除合同。</w:t>
      </w:r>
      <w:r/>
    </w:p>
    <w:p>
      <w:pPr>
        <w:pStyle w:val="852"/>
        <w:spacing w:before="120" w:after="120"/>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p>
    <w:p>
      <w:pPr>
        <w:pStyle w:val="852"/>
        <w:spacing w:before="120" w:after="120"/>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p>
    <w:p>
      <w:pPr>
        <w:pStyle w:val="852"/>
        <w:spacing w:before="120" w:after="120"/>
        <w:rPr>
          <w:rFonts w:hint="eastAsia" w:hAnsi="宋体"/>
          <w:bCs/>
          <w:color w:val="auto"/>
          <w:sz w:val="24"/>
          <w:szCs w:val="24"/>
          <w:highlight w:val="none"/>
        </w:rPr>
      </w:pPr>
      <w:r>
        <w:rPr>
          <w:rFonts w:hint="eastAsia" w:ascii="宋体" w:hAnsi="宋体" w:eastAsia="宋体" w:cs="宋体"/>
          <w:bCs/>
          <w:color w:val="auto"/>
          <w:sz w:val="24"/>
          <w:szCs w:val="24"/>
          <w:highlight w:val="none"/>
        </w:rPr>
        <w:t xml:space="preserve">合同签订后，甲方自收到发票之日起15日内支付一年期合同总价10%的预付款；服务开始后，甲方每月对乙方服务质量进行考核，每个月结算一次服务费用，乙方按经双方签字确认的月度考核汇总结果开具正式发票，甲方在收到发票后15日内付款。（如月度考核中被扣款，则付款时扣除相应金额）</w:t>
      </w:r>
      <w:r/>
    </w:p>
    <w:p>
      <w:pPr>
        <w:pStyle w:val="852"/>
        <w:spacing w:before="120" w:after="120"/>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spacing w:before="145" w:after="145"/>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p>
    <w:p>
      <w:pPr>
        <w:pStyle w:val="85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10.1 甲方依法组织履约验收工作。</w:t>
      </w:r>
      <w:r/>
    </w:p>
    <w:p>
      <w:pPr>
        <w:pStyle w:val="85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p>
    <w:p>
      <w:pPr>
        <w:pStyle w:val="85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p>
    <w:p>
      <w:pPr>
        <w:pStyle w:val="85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2"/>
        <w:ind w:left="480" w:hanging="480"/>
        <w:spacing w:before="120" w:after="120"/>
        <w:rPr>
          <w:rFonts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p>
    <w:p>
      <w:pPr>
        <w:pStyle w:val="852"/>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p>
    <w:p>
      <w:pPr>
        <w:pStyle w:val="852"/>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p>
    <w:p>
      <w:pPr>
        <w:pStyle w:val="852"/>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p>
    <w:p>
      <w:pPr>
        <w:pStyle w:val="852"/>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p>
    <w:p>
      <w:pPr>
        <w:pStyle w:val="852"/>
        <w:ind w:left="480" w:hanging="48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p>
    <w:p>
      <w:pPr>
        <w:pStyle w:val="852"/>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p>
    <w:p>
      <w:pPr>
        <w:pStyle w:val="852"/>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p>
    <w:p>
      <w:pPr>
        <w:pStyle w:val="852"/>
        <w:spacing w:before="120" w:after="120"/>
        <w:rPr>
          <w:rFonts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p>
    <w:p>
      <w:pPr>
        <w:pStyle w:val="852"/>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p>
    <w:p>
      <w:pPr>
        <w:pStyle w:val="852"/>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p>
    <w:p>
      <w:pPr>
        <w:pStyle w:val="852"/>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中华人民共和国现行法律法规</w:t>
      </w:r>
      <w:r>
        <w:rPr>
          <w:rFonts w:hAnsi="宋体"/>
          <w:color w:val="auto"/>
          <w:sz w:val="24"/>
          <w:szCs w:val="24"/>
          <w:highlight w:val="none"/>
        </w:rPr>
        <w:t xml:space="preserve">有关条文执行。</w:t>
      </w:r>
      <w:r/>
    </w:p>
    <w:p>
      <w:pPr>
        <w:pStyle w:val="852"/>
        <w:ind w:left="480" w:hanging="48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本合同正本一式伍份，具有同等法律效力，甲方执叁份，乙方执贰份。</w:t>
      </w:r>
      <w:r/>
    </w:p>
    <w:p>
      <w:pPr>
        <w:pStyle w:val="852"/>
        <w:ind w:left="480" w:hanging="480"/>
        <w:spacing w:before="120" w:after="120" w:line="0" w:lineRule="atLeast"/>
        <w:rPr>
          <w:rFonts w:hAnsi="宋体"/>
          <w:color w:val="auto"/>
          <w:sz w:val="24"/>
          <w:szCs w:val="24"/>
          <w:highlight w:val="none"/>
        </w:rPr>
      </w:pPr>
      <w:r>
        <w:rPr>
          <w:rFonts w:hAnsi="宋体"/>
          <w:color w:val="auto"/>
          <w:sz w:val="24"/>
          <w:szCs w:val="24"/>
          <w:highlight w:val="none"/>
        </w:rPr>
        <w:t xml:space="preserve">  甲方：                        乙方： </w:t>
      </w:r>
      <w:r/>
    </w:p>
    <w:p>
      <w:pPr>
        <w:pStyle w:val="852"/>
        <w:spacing w:before="120" w:after="120" w:line="0" w:lineRule="atLeas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p>
    <w:p>
      <w:pPr>
        <w:pStyle w:val="852"/>
        <w:spacing w:before="120" w:after="120" w:line="0" w:lineRule="atLeas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852"/>
        <w:ind w:firstLine="240"/>
        <w:spacing w:before="120" w:after="120" w:line="0" w:lineRule="atLeast"/>
        <w:rPr>
          <w:color w:val="auto"/>
          <w:highlight w:val="none"/>
        </w:rPr>
      </w:pPr>
      <w:r>
        <w:rPr>
          <w:rFonts w:hint="eastAsia" w:hAnsi="宋体"/>
          <w:color w:val="auto"/>
          <w:sz w:val="24"/>
          <w:szCs w:val="24"/>
          <w:highlight w:val="none"/>
        </w:rPr>
        <w:t xml:space="preserve">联系电话：                    联系电话：          </w:t>
      </w:r>
      <w:r/>
    </w:p>
    <w:p>
      <w:pPr>
        <w:rPr>
          <w:color w:val="auto"/>
          <w:highlight w:val="none"/>
        </w:rPr>
      </w:pPr>
      <w:r>
        <w:rPr>
          <w:rFonts w:hint="eastAsia"/>
          <w:color w:val="auto"/>
          <w:highlight w:val="none"/>
        </w:rPr>
        <w:t xml:space="preserve">                                          </w:t>
      </w:r>
      <w:r>
        <w:rPr>
          <w:color w:val="auto"/>
          <w:highlight w:val="none"/>
        </w:rPr>
        <w:t xml:space="preserve">签订日期：      年  </w:t>
      </w:r>
      <w:r>
        <w:rPr>
          <w:rFonts w:hint="eastAsia"/>
          <w:color w:val="auto"/>
          <w:highlight w:val="none"/>
        </w:rPr>
        <w:t xml:space="preserve">  </w:t>
      </w:r>
      <w:r>
        <w:rPr>
          <w:color w:val="auto"/>
          <w:highlight w:val="none"/>
        </w:rPr>
        <w:t xml:space="preserve">月  </w:t>
      </w:r>
      <w:r>
        <w:rPr>
          <w:rFonts w:hint="eastAsia"/>
          <w:color w:val="auto"/>
          <w:highlight w:val="none"/>
        </w:rPr>
        <w:t xml:space="preserve"> </w:t>
      </w:r>
      <w:r>
        <w:rPr>
          <w:color w:val="auto"/>
          <w:highlight w:val="none"/>
        </w:rPr>
        <w:t xml:space="preserve">日</w:t>
      </w:r>
      <w:bookmarkStart w:id="44" w:name="_Hlt16619369"/>
      <w:r/>
      <w:bookmarkEnd w:id="44"/>
      <w:r/>
      <w:r/>
    </w:p>
    <w:p>
      <w:pPr>
        <w:rPr>
          <w:rFonts w:ascii="仿宋" w:hAnsi="仿宋" w:eastAsia="仿宋" w:cs="仿宋"/>
          <w:b/>
          <w:bCs/>
          <w:i/>
          <w:iCs/>
          <w:color w:val="auto"/>
          <w:sz w:val="28"/>
          <w:szCs w:val="28"/>
          <w:highlight w:val="none"/>
        </w:rPr>
      </w:pPr>
      <w:r>
        <w:rPr>
          <w:rFonts w:hint="eastAsia" w:ascii="仿宋" w:hAnsi="仿宋" w:eastAsia="仿宋" w:cs="仿宋"/>
          <w:b/>
          <w:bCs/>
          <w:i/>
          <w:iCs/>
          <w:color w:val="auto"/>
          <w:sz w:val="28"/>
          <w:szCs w:val="28"/>
          <w:highlight w:val="none"/>
        </w:rPr>
        <w:t xml:space="preserve">注：格式仅作参考</w:t>
      </w:r>
      <w:r/>
    </w:p>
    <w:p>
      <w:pPr>
        <w:pStyle w:val="730"/>
        <w:spacing w:line="440" w:lineRule="exact"/>
        <w:rPr>
          <w:color w:val="auto"/>
          <w:highlight w:val="none"/>
        </w:rPr>
      </w:pPr>
      <w:r>
        <w:rPr>
          <w:rFonts w:hint="eastAsia" w:ascii="仿宋" w:hAnsi="仿宋" w:eastAsia="仿宋" w:cs="仿宋"/>
          <w:color w:val="auto"/>
          <w:sz w:val="24"/>
          <w:szCs w:val="24"/>
          <w:highlight w:val="none"/>
        </w:rPr>
        <w:br w:type="page" w:clear="all"/>
      </w:r>
      <w:bookmarkEnd w:id="43"/>
      <w:r/>
      <w:r/>
    </w:p>
    <w:p>
      <w:pPr>
        <w:pStyle w:val="712"/>
        <w:numPr>
          <w:ilvl w:val="0"/>
          <w:numId w:val="1"/>
        </w:numPr>
        <w:jc w:val="center"/>
        <w:spacing w:line="240" w:lineRule="auto"/>
        <w:rPr>
          <w:rFonts w:ascii="仿宋" w:hAnsi="仿宋" w:eastAsia="仿宋" w:cs="仿宋"/>
          <w:color w:val="auto"/>
          <w:highlight w:val="none"/>
        </w:rPr>
      </w:pPr>
      <w:r/>
      <w:bookmarkStart w:id="45" w:name="OLE_LINK4"/>
      <w:r>
        <w:rPr>
          <w:rFonts w:hint="eastAsia" w:ascii="仿宋" w:hAnsi="仿宋" w:eastAsia="仿宋" w:cs="仿宋"/>
          <w:color w:val="auto"/>
          <w:highlight w:val="none"/>
          <w:lang w:val="en-US" w:eastAsia="zh-CN"/>
        </w:rPr>
        <w:t xml:space="preserve">采购需求</w:t>
      </w:r>
      <w:r/>
    </w:p>
    <w:p>
      <w:pPr>
        <w:pStyle w:val="751"/>
        <w:ind w:firstLine="482"/>
        <w:jc w:val="left"/>
        <w:keepLines w:val="0"/>
        <w:keepNext w:val="0"/>
        <w:pageBreakBefore w:val="0"/>
        <w:spacing w:beforeAutospacing="0" w:line="360" w:lineRule="auto"/>
        <w:rPr>
          <w:rFonts w:hint="eastAsia"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pStyle w:val="751"/>
        <w:ind w:firstLine="482"/>
        <w:jc w:val="left"/>
        <w:keepLines w:val="0"/>
        <w:keepNext w:val="0"/>
        <w:pageBreakBefore w:val="0"/>
        <w:spacing w:beforeAutospacing="0" w:line="360" w:lineRule="auto"/>
        <w:rPr>
          <w:rFonts w:hint="eastAsia" w:ascii="宋体" w:hAnsi="宋体" w:cs="宋体"/>
          <w:b/>
          <w:bCs/>
          <w:color w:val="auto"/>
          <w:highlight w:val="none"/>
        </w:rPr>
      </w:pPr>
      <w:r>
        <w:rPr>
          <w:rFonts w:hint="eastAsia" w:ascii="宋体" w:hAnsi="宋体" w:cs="宋体"/>
          <w:b/>
          <w:bCs/>
          <w:color w:val="auto"/>
          <w:highlight w:val="none"/>
        </w:rPr>
      </w: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一、基本情况</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1.项目名称：</w:t>
      </w:r>
      <w:r>
        <w:rPr>
          <w:rFonts w:hint="eastAsia" w:ascii="宋体" w:hAnsi="宋体" w:cs="宋体"/>
          <w:color w:val="auto"/>
          <w:szCs w:val="21"/>
          <w:highlight w:val="none"/>
          <w:lang w:val="en-US" w:eastAsia="zh-CN"/>
        </w:rPr>
        <w:t xml:space="preserve">扬州市妇幼保健院</w:t>
      </w:r>
      <w:r>
        <w:rPr>
          <w:rFonts w:hint="eastAsia" w:ascii="宋体" w:hAnsi="宋体" w:cs="宋体"/>
          <w:color w:val="auto"/>
          <w:szCs w:val="21"/>
          <w:highlight w:val="none"/>
        </w:rPr>
        <w:t xml:space="preserve">护理服务项目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2.预算金额：</w:t>
      </w:r>
      <w:r>
        <w:rPr>
          <w:rFonts w:hint="eastAsia" w:ascii="宋体" w:hAnsi="宋体" w:cs="宋体"/>
          <w:color w:val="auto"/>
          <w:szCs w:val="21"/>
          <w:highlight w:val="none"/>
          <w:lang w:val="en-US" w:eastAsia="zh-CN"/>
        </w:rPr>
        <w:t xml:space="preserve">1200</w:t>
      </w:r>
      <w:r>
        <w:rPr>
          <w:rFonts w:hint="eastAsia" w:ascii="宋体" w:hAnsi="宋体" w:cs="宋体"/>
          <w:color w:val="auto"/>
          <w:szCs w:val="21"/>
          <w:highlight w:val="none"/>
        </w:rPr>
        <w:t xml:space="preserve">万元（400万元/年*3年）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3.最高限价：1200万元（400万元/年*3年）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合同款项支付</w:t>
      </w:r>
      <w:r/>
    </w:p>
    <w:p>
      <w:pPr>
        <w:ind w:firstLine="420"/>
        <w:spacing w:line="360" w:lineRule="auto"/>
        <w:tabs>
          <w:tab w:val="left" w:pos="900" w:leader="none"/>
        </w:tabs>
        <w:rPr>
          <w:rFonts w:hint="default" w:ascii="宋体" w:hAnsi="宋体" w:eastAsia="宋体" w:cs="宋体"/>
          <w:i/>
          <w:iCs/>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.1合同签订后，甲方自收到发票之日起15日内支付一年期合同总价10%的预付款；</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服务开始后，甲方每月对乙方服务质量进行考核，每个月结算一次服务费用，乙方按经双方签字确认的月度考核汇总结果开具正式发票，甲方在收到发票后15日内付款。（如月度考核中被扣款，则付款时扣除相应金额）</w:t>
      </w: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二、商务条款</w:t>
      </w:r>
      <w:r/>
    </w:p>
    <w:p>
      <w:pPr>
        <w:ind w:firstLine="48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（一）合同期限（服务期限）</w:t>
      </w:r>
      <w:r/>
    </w:p>
    <w:p>
      <w:pPr>
        <w:ind w:firstLine="7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cs="宋体"/>
          <w:color w:val="auto"/>
          <w:szCs w:val="21"/>
          <w:highlight w:val="none"/>
          <w:lang w:val="en-US" w:eastAsia="zh-CN"/>
        </w:rPr>
        <w:t xml:space="preserve">三</w:t>
      </w:r>
      <w:r>
        <w:rPr>
          <w:rFonts w:hint="eastAsia" w:ascii="宋体" w:hAnsi="宋体" w:cs="宋体"/>
          <w:color w:val="auto"/>
          <w:szCs w:val="21"/>
          <w:highlight w:val="none"/>
        </w:rPr>
        <w:t xml:space="preserve">年，自合同签订之日起计算。合同一年一签，合同期满考核合格后再行续签下一年合同</w:t>
      </w:r>
      <w:r>
        <w:rPr>
          <w:rFonts w:hint="eastAsia" w:ascii="仿宋" w:hAnsi="仿宋" w:eastAsia="仿宋" w:cs="仿宋"/>
          <w:color w:val="auto"/>
          <w:sz w:val="24"/>
          <w:szCs w:val="24"/>
          <w:highlight w:val="none"/>
          <w:lang w:val="en-US" w:bidi="ar-SA"/>
        </w:rPr>
        <w:t xml:space="preserve">。</w:t>
      </w:r>
      <w:r/>
    </w:p>
    <w:p>
      <w:pPr>
        <w:ind w:firstLine="48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（二）付款方式</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母婴康育月子中心、家庭化产房、护理员服务付款方式：</w:t>
      </w:r>
      <w:r/>
    </w:p>
    <w:p>
      <w:pPr>
        <w:ind w:firstLine="482"/>
        <w:spacing w:line="360" w:lineRule="auto"/>
        <w:widowControl/>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1.1本项目为供应商向院方提供符合院方及患者需求的护理服务的费用，该费用包括完成本项目所发生的支付给护理员的工资（不得低于乙方所在地最低工资标准）、餐费、误餐费、节假日加班费用、管理费用、装备费用、成交服务费、税费、国家强制缴纳的各种社会保障资金等所有费用，以及中标服务商认为需要的其他费用等，由院方支付，不另向病人收取。根据每月对供应商的考核情况及中标单价和实际用工数量为准，据实结算，于次月支付。（需提供承诺函并加盖单位公章）</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1.2中标服务商须按月提供母婴康育月子中心、家庭化产房、护理员的规范费用发放清单供院方审核。</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1.3每次甲方付款前，需乙方先提供相应金额的发票。</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1.4如有服务不到位、考核扣分等原因需要罚款、扣款的情况，甲方有权在未支付款项中直接扣除，并且甲方有权进一步追偿。</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2产科普通病房、除产科以外的普通病房陪护收费：</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2.1由需要生活护理服务的病人自行支付，由中标服务商收取。</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陪护服务收费的结算，在患者方与成交服务商协商一致的情况下，可以实行预付费制，根据预期的服务天数预付500-1000元，服务结束后多退少补。中标服务商需开具有效票据，一式五份，分别交病人、护理员、院方/科室、护工管理小组、公司备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中标服务商按</w:t>
      </w:r>
      <w:r>
        <w:rPr>
          <w:rFonts w:hint="eastAsia" w:ascii="宋体" w:hAnsi="宋体" w:eastAsia="宋体" w:cs="宋体"/>
          <w:color w:val="auto"/>
          <w:sz w:val="24"/>
          <w:szCs w:val="24"/>
          <w:highlight w:val="none"/>
          <w:lang w:val="en-US" w:eastAsia="zh-CN"/>
        </w:rPr>
        <w:t xml:space="preserve">10％的比例</w:t>
      </w:r>
      <w:r>
        <w:rPr>
          <w:rFonts w:hint="eastAsia" w:ascii="宋体" w:hAnsi="宋体" w:eastAsia="宋体" w:cs="宋体"/>
          <w:color w:val="auto"/>
          <w:sz w:val="24"/>
          <w:szCs w:val="24"/>
          <w:highlight w:val="none"/>
        </w:rPr>
        <w:t xml:space="preserve">向院方支付管理费用，每月结算一次，中标服务商需如实向管理部门上报每日</w:t>
      </w:r>
      <w:r>
        <w:rPr>
          <w:rFonts w:hint="eastAsia" w:ascii="宋体" w:hAnsi="宋体" w:eastAsia="宋体" w:cs="宋体"/>
          <w:color w:val="auto"/>
          <w:sz w:val="24"/>
          <w:szCs w:val="24"/>
          <w:highlight w:val="none"/>
          <w:lang w:val="en-US" w:eastAsia="zh-CN"/>
        </w:rPr>
        <w:t xml:space="preserve">服务情况</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2.4如有服务不到位、考核扣分等原因需要罚款、扣款的情况，甲方有权在未支付款项中直接扣除，并且甲方有权进一步追偿。</w:t>
      </w:r>
      <w:r/>
    </w:p>
    <w:p>
      <w:pPr>
        <w:ind w:firstLine="482"/>
        <w:spacing w:line="360" w:lineRule="auto"/>
        <w:widowControl/>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3本项目中标单位需在本合同签署后，在五个工作日向医院交纳人50000元的履约保证金。合同期满后医院不计利息全额退还供应商保证金。如供应商在合同履行过程中存在违约情形的，医院有权从履约保证金中直接扣除相应的款项。履约保证金被扣除后，供应商应当在医院规定的期限内补足。（需提供承诺函并加盖单位公章）</w:t>
      </w:r>
      <w:r/>
    </w:p>
    <w:p>
      <w:pPr>
        <w:ind w:firstLine="482"/>
        <w:jc w:val="left"/>
        <w:spacing w:line="360" w:lineRule="auto"/>
        <w:widowControl/>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w:t>
      </w:r>
      <w:r>
        <w:rPr>
          <w:rFonts w:hint="eastAsia" w:ascii="宋体" w:hAnsi="宋体" w:eastAsia="宋体" w:cs="宋体"/>
          <w:b/>
          <w:color w:val="auto"/>
          <w:sz w:val="24"/>
          <w:szCs w:val="24"/>
          <w:highlight w:val="none"/>
          <w:lang w:val="en-US" w:eastAsia="zh-CN" w:bidi="zh-CN"/>
        </w:rPr>
        <w:t xml:space="preserve">三</w:t>
      </w:r>
      <w:r>
        <w:rPr>
          <w:rFonts w:hint="eastAsia" w:ascii="宋体" w:hAnsi="宋体" w:eastAsia="宋体" w:cs="宋体"/>
          <w:b/>
          <w:color w:val="auto"/>
          <w:sz w:val="24"/>
          <w:szCs w:val="24"/>
          <w:highlight w:val="none"/>
          <w:lang w:val="zh-CN" w:bidi="zh-CN"/>
        </w:rPr>
        <w:t xml:space="preserve">）货币</w:t>
      </w:r>
      <w:r/>
    </w:p>
    <w:p>
      <w:pPr>
        <w:ind w:firstLine="480"/>
        <w:spacing w:line="360" w:lineRule="auto"/>
        <w:widowControl/>
        <w:rPr>
          <w:rFonts w:hint="eastAsia" w:ascii="宋体" w:hAnsi="宋体" w:eastAsia="宋体" w:cs="宋体"/>
          <w:b/>
          <w:bCs/>
          <w:i/>
          <w:iCs/>
          <w:color w:val="auto"/>
          <w:sz w:val="24"/>
          <w:szCs w:val="24"/>
          <w:highlight w:val="none"/>
          <w:u w:val="single"/>
        </w:rPr>
      </w:pPr>
      <w:r>
        <w:rPr>
          <w:rFonts w:hint="eastAsia" w:ascii="宋体" w:hAnsi="宋体" w:eastAsia="宋体" w:cs="宋体"/>
          <w:color w:val="auto"/>
          <w:sz w:val="24"/>
          <w:szCs w:val="24"/>
          <w:highlight w:val="none"/>
          <w:lang w:val="zh-CN" w:bidi="zh-CN"/>
        </w:rPr>
        <w:t xml:space="preserve">投标文件中的单价和总价均采用</w:t>
      </w:r>
      <w:r>
        <w:rPr>
          <w:rFonts w:hint="eastAsia" w:ascii="宋体" w:hAnsi="宋体" w:eastAsia="宋体" w:cs="宋体"/>
          <w:b/>
          <w:color w:val="auto"/>
          <w:sz w:val="24"/>
          <w:szCs w:val="24"/>
          <w:highlight w:val="none"/>
          <w:lang w:val="zh-CN" w:bidi="zh-CN"/>
        </w:rPr>
        <w:t xml:space="preserve">人民币</w:t>
      </w:r>
      <w:r>
        <w:rPr>
          <w:rFonts w:hint="eastAsia" w:ascii="宋体" w:hAnsi="宋体" w:eastAsia="宋体" w:cs="宋体"/>
          <w:color w:val="auto"/>
          <w:sz w:val="24"/>
          <w:szCs w:val="24"/>
          <w:highlight w:val="none"/>
          <w:lang w:val="zh-CN" w:bidi="zh-CN"/>
        </w:rPr>
        <w:t xml:space="preserve">报价，以元为单位标注。</w:t>
      </w:r>
      <w:r/>
    </w:p>
    <w:p>
      <w:pPr>
        <w:ind w:firstLine="420"/>
        <w:rPr>
          <w:rFonts w:hint="eastAsia" w:hAnsi="宋体" w:cs="宋体"/>
          <w:color w:val="auto"/>
          <w:sz w:val="21"/>
          <w:highlight w:val="none"/>
        </w:rPr>
      </w:pPr>
      <w:r>
        <w:rPr>
          <w:rFonts w:hint="eastAsia" w:hAnsi="宋体" w:cs="宋体"/>
          <w:color w:val="auto"/>
          <w:sz w:val="21"/>
          <w:highlight w:val="none"/>
        </w:rPr>
      </w:r>
      <w:r/>
    </w:p>
    <w:p>
      <w:pPr>
        <w:numPr>
          <w:ilvl w:val="0"/>
          <w:numId w:val="0"/>
        </w:numPr>
        <w:rPr>
          <w:rFonts w:hint="default"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三、采购需求</w:t>
      </w:r>
      <w:r/>
    </w:p>
    <w:p>
      <w:pPr>
        <w:ind w:right="362" w:firstLine="420"/>
        <w:jc w:val="left"/>
        <w:spacing w:before="69" w:line="240" w:lineRule="auto"/>
        <w:rPr>
          <w:rFonts w:ascii="宋体" w:hAnsi="宋体" w:eastAsia="宋体" w:cs="宋体"/>
          <w:color w:val="auto"/>
          <w:spacing w:val="-2"/>
          <w:sz w:val="21"/>
          <w:szCs w:val="21"/>
          <w:highlight w:val="none"/>
          <w:lang w:val="zh-CN" w:bidi="zh-CN"/>
        </w:rPr>
      </w:pPr>
      <w:r>
        <w:rPr>
          <w:rFonts w:hint="eastAsia" w:ascii="宋体" w:hAnsi="宋体" w:eastAsia="宋体" w:cs="宋体"/>
          <w:color w:val="auto"/>
          <w:sz w:val="21"/>
          <w:szCs w:val="21"/>
          <w:highlight w:val="none"/>
          <w:lang w:val="zh-CN" w:bidi="zh-CN"/>
        </w:rPr>
        <w:t xml:space="preserve">本项目为扬州市妇幼保健院生活护理服务，</w:t>
      </w:r>
      <w:r>
        <w:rPr>
          <w:rFonts w:ascii="宋体" w:hAnsi="宋体" w:eastAsia="宋体" w:cs="宋体"/>
          <w:color w:val="auto"/>
          <w:sz w:val="21"/>
          <w:szCs w:val="21"/>
          <w:highlight w:val="none"/>
          <w:lang w:val="zh-CN" w:bidi="zh-CN"/>
        </w:rPr>
        <w:t xml:space="preserve">包含但不限于新生儿护理</w:t>
      </w:r>
      <w:r>
        <w:rPr>
          <w:rFonts w:hint="eastAsia" w:ascii="宋体" w:hAnsi="宋体" w:eastAsia="宋体" w:cs="宋体"/>
          <w:color w:val="auto"/>
          <w:sz w:val="21"/>
          <w:szCs w:val="21"/>
          <w:highlight w:val="none"/>
          <w:lang w:val="zh-CN" w:bidi="zh-CN"/>
        </w:rPr>
        <w:t xml:space="preserve">、</w:t>
      </w:r>
      <w:r>
        <w:rPr>
          <w:rFonts w:ascii="宋体" w:hAnsi="宋体" w:eastAsia="宋体" w:cs="宋体"/>
          <w:color w:val="auto"/>
          <w:sz w:val="21"/>
          <w:szCs w:val="21"/>
          <w:highlight w:val="none"/>
          <w:lang w:val="zh-CN" w:bidi="zh-CN"/>
        </w:rPr>
        <w:t xml:space="preserve">产妇护理</w:t>
      </w:r>
      <w:r>
        <w:rPr>
          <w:rFonts w:hint="eastAsia" w:ascii="宋体" w:hAnsi="宋体" w:eastAsia="宋体" w:cs="宋体"/>
          <w:color w:val="auto"/>
          <w:sz w:val="21"/>
          <w:szCs w:val="21"/>
          <w:highlight w:val="none"/>
          <w:lang w:val="zh-CN" w:bidi="zh-CN"/>
        </w:rPr>
        <w:t xml:space="preserve">、</w:t>
      </w:r>
      <w:r>
        <w:rPr>
          <w:rFonts w:ascii="宋体" w:hAnsi="宋体" w:eastAsia="宋体" w:cs="宋体"/>
          <w:color w:val="auto"/>
          <w:sz w:val="21"/>
          <w:szCs w:val="21"/>
          <w:highlight w:val="none"/>
          <w:lang w:val="zh-CN" w:bidi="zh-CN"/>
        </w:rPr>
        <w:t xml:space="preserve">房间整理、</w:t>
      </w:r>
      <w:r>
        <w:rPr>
          <w:rFonts w:hint="eastAsia" w:ascii="宋体" w:hAnsi="宋体" w:eastAsia="宋体" w:cs="宋体"/>
          <w:color w:val="auto"/>
          <w:sz w:val="21"/>
          <w:szCs w:val="21"/>
          <w:highlight w:val="none"/>
          <w:lang w:val="zh-CN" w:bidi="zh-CN"/>
        </w:rPr>
        <w:t xml:space="preserve">重点特殊科室护理员辅助</w:t>
      </w:r>
      <w:r>
        <w:rPr>
          <w:rFonts w:ascii="宋体" w:hAnsi="宋体" w:eastAsia="宋体" w:cs="宋体"/>
          <w:color w:val="auto"/>
          <w:sz w:val="21"/>
          <w:szCs w:val="21"/>
          <w:highlight w:val="none"/>
          <w:lang w:val="zh-CN" w:bidi="zh-CN"/>
        </w:rPr>
        <w:t xml:space="preserve">等</w:t>
      </w:r>
      <w:r>
        <w:rPr>
          <w:rFonts w:hint="eastAsia" w:ascii="宋体" w:hAnsi="宋体" w:eastAsia="宋体" w:cs="宋体"/>
          <w:color w:val="auto"/>
          <w:sz w:val="21"/>
          <w:szCs w:val="21"/>
          <w:highlight w:val="none"/>
          <w:lang w:val="zh-CN" w:bidi="zh-CN"/>
        </w:rPr>
        <w:t xml:space="preserve">生活护理</w:t>
      </w:r>
      <w:r>
        <w:rPr>
          <w:rFonts w:hint="eastAsia" w:ascii="宋体" w:hAnsi="宋体" w:eastAsia="宋体" w:cs="宋体"/>
          <w:color w:val="auto"/>
          <w:spacing w:val="-1"/>
          <w:sz w:val="21"/>
          <w:szCs w:val="21"/>
          <w:highlight w:val="none"/>
          <w:lang w:val="zh-CN" w:eastAsia="zh-CN" w:bidi="zh-CN"/>
        </w:rPr>
        <w:t xml:space="preserve">服务</w:t>
      </w:r>
      <w:r>
        <w:rPr>
          <w:rFonts w:ascii="宋体" w:hAnsi="宋体" w:eastAsia="宋体" w:cs="宋体"/>
          <w:color w:val="auto"/>
          <w:spacing w:val="-1"/>
          <w:sz w:val="21"/>
          <w:szCs w:val="21"/>
          <w:highlight w:val="none"/>
          <w:lang w:val="zh-CN" w:bidi="zh-CN"/>
        </w:rPr>
        <w:t xml:space="preserve">。具体内容详见采购需</w:t>
      </w:r>
      <w:r>
        <w:rPr>
          <w:rFonts w:ascii="宋体" w:hAnsi="宋体" w:eastAsia="宋体" w:cs="宋体"/>
          <w:color w:val="auto"/>
          <w:spacing w:val="-2"/>
          <w:sz w:val="21"/>
          <w:szCs w:val="21"/>
          <w:highlight w:val="none"/>
          <w:lang w:val="zh-CN" w:bidi="zh-CN"/>
        </w:rPr>
        <w:t xml:space="preserve">求。</w:t>
      </w:r>
      <w:r/>
    </w:p>
    <w:p>
      <w:pPr>
        <w:numPr>
          <w:ilvl w:val="0"/>
          <w:numId w:val="0"/>
        </w:numPr>
        <w:jc w:val="left"/>
        <w:spacing w:line="240" w:lineRule="auto"/>
        <w:widowControl/>
        <w:tabs>
          <w:tab w:val="left" w:pos="720" w:leader="none"/>
        </w:tabs>
        <w:rPr>
          <w:rFonts w:hint="eastAsia" w:ascii="宋体" w:hAnsi="宋体" w:eastAsia="宋体" w:cs="宋体"/>
          <w:b w:val="0"/>
          <w:bCs w:val="0"/>
          <w:color w:val="auto"/>
          <w:sz w:val="21"/>
          <w:szCs w:val="21"/>
          <w:highlight w:val="none"/>
          <w:lang w:val="en-US" w:eastAsia="zh-CN" w:bidi="zh-CN"/>
        </w:rPr>
        <w:outlineLvl w:val="1"/>
      </w:pPr>
      <w:r>
        <w:rPr>
          <w:rFonts w:hint="eastAsia" w:ascii="宋体" w:hAnsi="宋体" w:eastAsia="宋体" w:cs="宋体"/>
          <w:b w:val="0"/>
          <w:bCs w:val="0"/>
          <w:color w:val="auto"/>
          <w:sz w:val="21"/>
          <w:szCs w:val="21"/>
          <w:highlight w:val="none"/>
          <w:lang w:val="en-US" w:eastAsia="zh-CN" w:bidi="zh-CN"/>
        </w:rPr>
        <w:t xml:space="preserve">岗位需求和职责：</w:t>
      </w:r>
      <w:r/>
    </w:p>
    <w:tbl>
      <w:tblPr>
        <w:tblStyle w:val="718"/>
        <w:tblpPr w:horzAnchor="page" w:tblpXSpec="center" w:vertAnchor="text" w:tblpY="461" w:leftFromText="180" w:topFromText="0" w:rightFromText="180" w:bottomFromText="0"/>
        <w:tblW w:w="10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2"/>
        <w:gridCol w:w="8043"/>
        <w:gridCol w:w="1176"/>
      </w:tblGrid>
      <w:tr>
        <w:trPr>
          <w:jc w:val="center"/>
          <w:trHeight w:val="300"/>
        </w:trPr>
        <w:tc>
          <w:tcPr>
            <w:tcW w:w="1372" w:type="dxa"/>
            <w:vAlign w:val="bottom"/>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服务范围1</w:t>
            </w:r>
            <w:r/>
          </w:p>
        </w:tc>
        <w:tc>
          <w:tcPr>
            <w:tcW w:w="8043"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服务内容</w:t>
            </w:r>
            <w:r/>
          </w:p>
        </w:tc>
        <w:tc>
          <w:tcPr>
            <w:tcW w:w="1176"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服务形式</w:t>
            </w:r>
            <w:r/>
          </w:p>
        </w:tc>
      </w:tr>
      <w:tr>
        <w:trPr>
          <w:jc w:val="center"/>
          <w:trHeight w:val="2400"/>
        </w:trPr>
        <w:tc>
          <w:tcPr>
            <w:tcW w:w="1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母婴康育月子中心</w:t>
            </w:r>
            <w:r/>
          </w:p>
        </w:tc>
        <w:tc>
          <w:tcPr>
            <w:tcW w:w="80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1、服从中心安排，自觉遵守中心各项规定。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2、客户入住中心当日，需提前到岗，做好各项准备工作。客户出中心，需陪送至离开，并与工作人员做好物品交接。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3、按月子中心要求执行母婴生活安全照护，并做好相关内容记录。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保持客房环境整洁，物品摆放整齐，及时更换整理床单元。②产妇护理：协助产妇刷牙、洗脸、梳头、洗头、剪指甲、擦拭身体、更换衣物、如厕、清洗会阴、进餐、上下床活动、乳房护理、母乳亲喂、协助母婴分离及特殊情况产妇挤奶，保持泌乳通畅、心理慰藉、洗涤衣物、产后膳食指导及陪同就诊等生活护理。③新生儿或婴儿护理：床铺清洁、更换纸尿裤、更换清洗衣物、清洗消毒哺乳用具、喂养、拍嗝、晒太阳、皮肤护理、沐浴、抚触、情绪安抚，生理状态观察，常见病护理、育儿知识指导、陪同就诊等生活护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4、完成临时性的工作。</w:t>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r>
      <w:tr>
        <w:trPr>
          <w:jc w:val="center"/>
          <w:trHeight w:val="1194"/>
        </w:trPr>
        <w:tc>
          <w:tcPr>
            <w:tcW w:w="1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家庭化产房</w:t>
            </w:r>
            <w:r>
              <w:rPr>
                <w:rFonts w:hint="eastAsia" w:ascii="宋体" w:hAnsi="宋体" w:eastAsia="宋体" w:cs="宋体"/>
                <w:i w:val="0"/>
                <w:iCs w:val="0"/>
                <w:strike/>
                <w:color w:val="auto"/>
                <w:sz w:val="24"/>
                <w:szCs w:val="24"/>
                <w:highlight w:val="none"/>
                <w:u w:val="none"/>
                <w:lang w:val="en-US" w:eastAsia="zh-CN" w:bidi="ar"/>
              </w:rPr>
              <w:t xml:space="preserve">(3-5天)</w:t>
            </w:r>
            <w:r/>
          </w:p>
        </w:tc>
        <w:tc>
          <w:tcPr>
            <w:tcW w:w="80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1、服从科室安排，自觉遵守病房各项规定。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2、产妇分娩（接产）前，需提前到岗，做好各项准备工作。产妇出院时，需陪送至离开，并与工作人员做好物品交接。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3、按LDRP要求执行母婴生活安全照护，并做好相关内容记录。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①保持病房环境整洁，物品摆放整齐，及时更换整理床单元。如床单元污染或产妇需要时及分娩后等随时更换。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产妇护理：协助产妇刷牙、洗脸、梳头、洗头、剪指甲、擦拭身体、更换衣物、协助产妇进餐、上下床活动、如厕、清洗会阴、乳房护理、母乳亲喂、协助母婴分离及特殊情况产妇挤奶，保持泌乳通畅、心理慰藉、洗涤衣物、产后膳食指导及陪同就诊等生活护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③新生儿护理：保持新生儿床铺清洁、协助母乳喂养、如配方奶喂养，需勺喂、拍嗝、更换纸尿裤、情绪安抚及陪同就诊等生活护理。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4、完成临时性的工作。</w:t>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r>
    </w:tbl>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center"/>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tbl>
      <w:tblPr>
        <w:tblStyle w:val="718"/>
        <w:tblpPr w:horzAnchor="page" w:tblpXSpec="center" w:vertAnchor="text" w:tblpY="504" w:leftFromText="180" w:topFromText="0" w:rightFromText="180" w:bottomFromText="0"/>
        <w:tblW w:w="10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8031"/>
        <w:gridCol w:w="1176"/>
      </w:tblGrid>
      <w:tr>
        <w:trPr>
          <w:jc w:val="center"/>
          <w:trHeight w:val="300"/>
        </w:trPr>
        <w:tc>
          <w:tcPr>
            <w:tcW w:w="1384" w:type="dxa"/>
            <w:vAlign w:val="bottom"/>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服务范围2</w:t>
            </w:r>
            <w:r/>
          </w:p>
        </w:tc>
        <w:tc>
          <w:tcPr>
            <w:tcW w:w="8031"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服务内容</w:t>
            </w:r>
            <w:r/>
          </w:p>
        </w:tc>
        <w:tc>
          <w:tcPr>
            <w:tcW w:w="1176"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服务形式</w:t>
            </w:r>
            <w:r/>
          </w:p>
        </w:tc>
      </w:tr>
      <w:tr>
        <w:trPr>
          <w:jc w:val="center"/>
          <w:trHeight w:val="1302"/>
        </w:trPr>
        <w:tc>
          <w:tcPr>
            <w:tcW w:w="13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产科普通病房</w:t>
            </w:r>
            <w:r/>
          </w:p>
        </w:tc>
        <w:tc>
          <w:tcPr>
            <w:tcW w:w="8031"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1、服从科室安排，自觉遵守病房各项规定。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2、按病房要求执行母婴生活安全照护，并做好相关内容记录。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①保持病房环境整洁，物品摆放整齐，及时更换整理床单元。如床单元污染或产妇需要时及分娩后等随时更换。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产妇护理：协助产妇刷牙、洗脸、梳头、洗头、剪指甲、擦拭身体、更换衣物、协助产妇进餐、上下床活动、如厕、清洗会阴、乳房护理、母乳亲喂、协助母婴分离及特殊情况产妇挤奶，保持泌乳通畅、心理慰藉、洗涤衣物、产后膳食指导及陪同就诊等生活护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③新生儿护理：保持新生儿床铺清洁、协助母乳喂养、如配方奶喂养，需勺喂、拍嗝、更换纸尿裤、情绪安抚及陪同就诊等生活护理。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4、完成临时性的工作。</w:t>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r>
      <w:tr>
        <w:trPr>
          <w:jc w:val="center"/>
          <w:trHeight w:val="1562"/>
        </w:trPr>
        <w:tc>
          <w:tcPr>
            <w:tcW w:w="13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03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r>
      <w:tr>
        <w:trPr>
          <w:jc w:val="center"/>
          <w:trHeight w:val="566"/>
        </w:trPr>
        <w:tc>
          <w:tcPr>
            <w:tcW w:w="13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03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r>
      <w:tr>
        <w:trPr>
          <w:jc w:val="center"/>
          <w:trHeight w:val="1524"/>
        </w:trPr>
        <w:tc>
          <w:tcPr>
            <w:tcW w:w="13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除产科以外的普通病房</w:t>
            </w:r>
            <w:r/>
          </w:p>
        </w:tc>
        <w:tc>
          <w:tcPr>
            <w:tcW w:w="8031" w:type="dxa"/>
            <w:vAlign w:val="center"/>
            <w:vMerge w:val="restart"/>
            <w:textDirection w:val="lrTb"/>
            <w:noWrap w:val="false"/>
          </w:tcPr>
          <w:p>
            <w:pPr>
              <w:numPr>
                <w:ilvl w:val="0"/>
                <w:numId w:val="21"/>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做好床单位整理，保持患者清洁、舒适。每日1次晨间护理和晚间护理，协助维护患者卫生、仪表及仪容（包括洗头、擦澡、沐浴）</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　做好饮食、饮水、生活照护。每日完成/协助/指导患者饮食、饮水。必要时为患者喂食。</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　维护患者安全：如协助翻身、拍背、便后清洁及上下床活动、坐轮椅、室外活动等，保持舒适体位，防止跌倒、坠床、压疮等。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　做好患者的二便日常照护。协助年老体弱、行动不便、卧床患者、术后患者如厕，协助床上大小便或使用便器，保持患者会阴部清洁。做好大小便失禁患者的清洁护理。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　做好患者睡眠照护，防止患者跌床或意外发生,发现异常及时告知护士。</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　患者发生特殊情况或有异常时及时报告医护人员：有精神异常（如自杀倾向等）、身体明显不适等。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　维护病房的整洁，物品放置规范。</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　需要时协助或陪同患者外出检查、治疗等。</w:t>
            </w:r>
            <w:r/>
          </w:p>
          <w:p>
            <w:pPr>
              <w:jc w:val="left"/>
              <w:keepLines w:val="0"/>
              <w:keepNext w:val="0"/>
              <w:widowControl/>
              <w:rPr>
                <w:rFonts w:hint="eastAsia" w:ascii="宋体" w:hAnsi="宋体" w:eastAsia="宋体" w:cs="宋体"/>
                <w:i w:val="0"/>
                <w:iCs w:val="0"/>
                <w:strike/>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　做好患者的心理安抚，陪伴患者并与患者及家属有效沟通。</w:t>
            </w:r>
            <w:r/>
          </w:p>
          <w:p>
            <w:pPr>
              <w:jc w:val="left"/>
              <w:keepLines w:val="0"/>
              <w:keepNext w:val="0"/>
              <w:widowControl/>
              <w:rPr>
                <w:rFonts w:hint="eastAsia" w:ascii="宋体" w:hAnsi="宋体" w:eastAsia="宋体" w:cs="宋体"/>
                <w:i w:val="0"/>
                <w:iCs w:val="0"/>
                <w:strike/>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10、完成临时性的工作。</w:t>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一对一</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护理</w:t>
            </w:r>
            <w:r/>
          </w:p>
        </w:tc>
      </w:tr>
      <w:tr>
        <w:trPr>
          <w:jc w:val="center"/>
          <w:trHeight w:val="2048"/>
        </w:trPr>
        <w:tc>
          <w:tcPr>
            <w:tcW w:w="13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03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r>
      <w:tr>
        <w:trPr>
          <w:jc w:val="center"/>
          <w:trHeight w:val="566"/>
        </w:trPr>
        <w:tc>
          <w:tcPr>
            <w:tcW w:w="13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03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三级护理</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（不超过一对五）</w:t>
            </w:r>
            <w:r/>
          </w:p>
        </w:tc>
      </w:tr>
    </w:tbl>
    <w:p>
      <w:pPr>
        <w:jc w:val="left"/>
        <w:rPr>
          <w:rFonts w:ascii="宋体" w:hAnsi="宋体" w:eastAsia="宋体" w:cs="宋体"/>
          <w:strike/>
          <w:color w:val="auto"/>
          <w:sz w:val="22"/>
          <w:highlight w:val="none"/>
          <w:lang w:val="zh-CN" w:bidi="zh-CN"/>
        </w:rPr>
      </w:pPr>
      <w:r>
        <w:rPr>
          <w:rFonts w:ascii="宋体" w:hAnsi="宋体" w:eastAsia="宋体" w:cs="宋体"/>
          <w:strike/>
          <w:color w:val="auto"/>
          <w:sz w:val="22"/>
          <w:highlight w:val="none"/>
          <w:lang w:val="zh-CN" w:bidi="zh-CN"/>
        </w:rPr>
      </w:r>
      <w:r/>
    </w:p>
    <w:p>
      <w:pPr>
        <w:ind w:firstLine="482"/>
        <w:spacing w:line="360" w:lineRule="auto"/>
        <w:widowControl/>
        <w:rPr>
          <w:rFonts w:hint="eastAsia" w:ascii="宋体" w:hAnsi="宋体" w:eastAsia="宋体" w:cs="宋体"/>
          <w:b/>
          <w:bCs/>
          <w:i/>
          <w:iCs/>
          <w:color w:val="auto"/>
          <w:sz w:val="24"/>
          <w:szCs w:val="24"/>
          <w:highlight w:val="none"/>
          <w:u w:val="single"/>
          <w:lang w:val="zh-CN"/>
        </w:rPr>
      </w:pPr>
      <w:r>
        <w:rPr>
          <w:rFonts w:hint="eastAsia" w:ascii="宋体" w:hAnsi="宋体" w:eastAsia="宋体" w:cs="宋体"/>
          <w:b/>
          <w:bCs/>
          <w:i/>
          <w:iCs/>
          <w:color w:val="auto"/>
          <w:sz w:val="24"/>
          <w:szCs w:val="24"/>
          <w:highlight w:val="none"/>
          <w:u w:val="single"/>
          <w:lang w:val="zh-CN"/>
        </w:rPr>
      </w:r>
      <w:r/>
    </w:p>
    <w:tbl>
      <w:tblPr>
        <w:tblStyle w:val="743"/>
        <w:tblW w:w="10632" w:type="dxa"/>
        <w:tblInd w:w="-1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8040"/>
        <w:gridCol w:w="1224"/>
      </w:tblGrid>
      <w:tr>
        <w:trPr/>
        <w:tc>
          <w:tcPr>
            <w:tcW w:w="1368" w:type="dxa"/>
            <w:vAlign w:val="bottom"/>
            <w:textDirection w:val="lrTb"/>
            <w:noWrap w:val="false"/>
          </w:tcPr>
          <w:p>
            <w:pPr>
              <w:jc w:val="center"/>
              <w:keepLines w:val="0"/>
              <w:keepNext w:val="0"/>
              <w:spacing w:line="360" w:lineRule="auto"/>
              <w:widowControl/>
              <w:rPr>
                <w:rFonts w:hint="default"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服务范围3</w:t>
            </w:r>
            <w:r/>
          </w:p>
        </w:tc>
        <w:tc>
          <w:tcPr>
            <w:tcW w:w="8040" w:type="dxa"/>
            <w:vAlign w:val="bottom"/>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服务内容</w:t>
            </w:r>
            <w:r/>
          </w:p>
        </w:tc>
        <w:tc>
          <w:tcPr>
            <w:tcW w:w="12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服务形式</w:t>
            </w: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新生儿科</w:t>
            </w:r>
            <w:r/>
          </w:p>
        </w:tc>
        <w:tc>
          <w:tcPr>
            <w:tcW w:w="80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1、基础护理：包括为新生儿沐浴、更换尿布、清洁皮肤褶皱等，让新生儿身体保持干净舒适。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协助医护工作：协助护士进行新生儿的喂奶、喂药工作，喂奶时注意姿势正确，防止呛奶。帮助医护人员收集新生儿的大小便标本为检验提供材料。协助新生儿探视，协助护士外出陪检，配合各类辅助检查，接收母乳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3、病房管理：保持新生儿病房整洁和安静，定期对病房内的物品和设施进行清洁和消毒，为新生儿营造良好的恢复环境。</w:t>
            </w:r>
            <w:r/>
          </w:p>
        </w:tc>
        <w:tc>
          <w:tcPr>
            <w:tcW w:w="1224"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8小时班制</w:t>
            </w: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产房</w:t>
            </w:r>
            <w:r/>
          </w:p>
        </w:tc>
        <w:tc>
          <w:tcPr>
            <w:tcW w:w="80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1、产妇护理：协助产妇更换手术衣，在分娩前后帮助产妇上下产床、移动身体等，确保产妇处于舒适安全的体位。协助进餐、放尿袋尿液、出室前协助清洗会阴，更换清洁衣服，早接触时协助体位帮助，特殊情况予配方奶喂养（协助加热奶）。为产妇提供心理支持，通过沟通、安慰等方式缓解产妇紧张、焦虑情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2、新生儿护理：帮助新生儿擦干身体，做好保暖措施，比如用温暖的毛巾包裹新生儿，协助新生儿佩戴帽子，防止体温过低。</w:t>
            </w:r>
            <w:r/>
          </w:p>
        </w:tc>
        <w:tc>
          <w:tcPr>
            <w:tcW w:w="1224" w:type="dxa"/>
            <w:vAlign w:val="top"/>
            <w:vMerge w:val="continue"/>
            <w:textDirection w:val="lrTb"/>
            <w:noWrap w:val="false"/>
          </w:tcPr>
          <w:p>
            <w:pPr>
              <w:jc w:val="left"/>
              <w:spacing w:line="360" w:lineRule="auto"/>
              <w:rPr>
                <w:rFonts w:hint="eastAsia" w:ascii="宋体" w:hAnsi="宋体" w:eastAsia="宋体" w:cs="宋体"/>
                <w:color w:val="auto"/>
                <w:sz w:val="24"/>
                <w:szCs w:val="24"/>
                <w:highlight w:val="none"/>
                <w:vertAlign w:val="baseline"/>
                <w:lang w:val="en-US" w:eastAsia="zh-CN" w:bidi="zh-CN"/>
              </w:rPr>
            </w:pPr>
            <w:r>
              <w:rPr>
                <w:rFonts w:hint="eastAsia" w:ascii="宋体" w:hAnsi="宋体" w:eastAsia="宋体" w:cs="宋体"/>
                <w:color w:val="auto"/>
                <w:sz w:val="24"/>
                <w:szCs w:val="24"/>
                <w:highlight w:val="none"/>
                <w:vertAlign w:val="baseline"/>
                <w:lang w:val="en-US" w:eastAsia="zh-CN" w:bidi="zh-CN"/>
              </w:rPr>
            </w: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手术室</w:t>
            </w:r>
            <w:r/>
          </w:p>
        </w:tc>
        <w:tc>
          <w:tcPr>
            <w:tcW w:w="80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1、术前准备：每日晨协助护士做好整个手术区域的清洁消毒，清洁和整理手术室，包括清洁手术台、器械台、麻醉机等物体表面及地面等，确保手术环境无菌、整洁。协助医护人员将患者安全地转运至手术室；负责等候区患者的陪伴与管理；负责手术区域各个功能间，如吧台、设备间、器械间、无菌库房的清洁消毒擦拭及物品的整理，做好手术室工作人员的入口管理，包括发放内穿衣、进出人员登记及入口行为系统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2、术中协助：协助护士摆放正确的手术体位，注意保护患者的隐私和身体安全。</w:t>
            </w:r>
            <w:r>
              <w:rPr>
                <w:rFonts w:hint="eastAsia" w:ascii="宋体" w:hAnsi="宋体" w:eastAsia="宋体" w:cs="宋体"/>
                <w:i w:val="0"/>
                <w:iCs w:val="0"/>
                <w:strike/>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3、术后清理：手术后协助医护人员将患者安全转移至恢复室或病房。清洁整理手术室，对手术间进行全面的清洁和消毒，包括手术床、无影灯、麻醉机等，协助护士将设备归位设备间，防止交叉感染。</w:t>
            </w:r>
            <w:r/>
          </w:p>
        </w:tc>
        <w:tc>
          <w:tcPr>
            <w:tcW w:w="1224" w:type="dxa"/>
            <w:vAlign w:val="top"/>
            <w:vMerge w:val="continue"/>
            <w:textDirection w:val="lrTb"/>
            <w:noWrap w:val="false"/>
          </w:tcPr>
          <w:p>
            <w:pPr>
              <w:jc w:val="left"/>
              <w:spacing w:line="360" w:lineRule="auto"/>
              <w:rPr>
                <w:rFonts w:hint="eastAsia" w:ascii="宋体" w:hAnsi="宋体" w:eastAsia="宋体" w:cs="宋体"/>
                <w:color w:val="auto"/>
                <w:sz w:val="24"/>
                <w:szCs w:val="24"/>
                <w:highlight w:val="none"/>
                <w:vertAlign w:val="baseline"/>
                <w:lang w:val="en-US" w:eastAsia="zh-CN" w:bidi="zh-CN"/>
              </w:rPr>
            </w:pPr>
            <w:r>
              <w:rPr>
                <w:rFonts w:hint="eastAsia" w:ascii="宋体" w:hAnsi="宋体" w:eastAsia="宋体" w:cs="宋体"/>
                <w:color w:val="auto"/>
                <w:sz w:val="24"/>
                <w:szCs w:val="24"/>
                <w:highlight w:val="none"/>
                <w:vertAlign w:val="baseline"/>
                <w:lang w:val="en-US" w:eastAsia="zh-CN" w:bidi="zh-CN"/>
              </w:rPr>
            </w: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ICU病房</w:t>
            </w:r>
            <w:r/>
          </w:p>
        </w:tc>
        <w:tc>
          <w:tcPr>
            <w:tcW w:w="8040" w:type="dxa"/>
            <w:vAlign w:val="center"/>
            <w:textDirection w:val="lrTb"/>
            <w:noWrap w:val="false"/>
          </w:tcPr>
          <w:p>
            <w:pPr>
              <w:numPr>
                <w:ilvl w:val="0"/>
                <w:numId w:val="22"/>
              </w:num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患者生活护理：为患者擦身、更衣，保持身体清洁和舒适。为患者进行口腔清洁，预防口腔感染。帮助患者翻身、拍背，定时为患者更换体位，预防压疮和肺部感染。进行会阴清洁，降低泌尿系统感染的风险。负责患者的喂食、喂水。及时为患者清理大小便，保持臀部清洁干燥。</w:t>
            </w:r>
            <w:r/>
          </w:p>
          <w:p>
            <w:pPr>
              <w:numPr>
                <w:ilvl w:val="0"/>
                <w:numId w:val="0"/>
              </w:numPr>
              <w:jc w:val="left"/>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2、协助医护工作：帮助医护人员采集患者的检验标本，如尿液、粪便等，确保标本采集的准确性；在护士指导下帮助患者活动关节，进行简单的康复训练。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病房环境维护：保持病房的清洁和安静，定期清理病房内的垃圾，为患者营造良好的康复环境。对病房内的医疗设备进行简单的维护，如检查设备的电源线是否插好等。患者出科后对床单元及医疗设备进行全面的清洁和消毒，防止交叉感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患者心理支持：与患者建立良好的沟通关系，了解患者的心理需求，提供情感支持，帮助患者缓解焦虑和恐惧情绪。</w:t>
            </w:r>
            <w:r/>
          </w:p>
        </w:tc>
        <w:tc>
          <w:tcPr>
            <w:tcW w:w="1224" w:type="dxa"/>
            <w:vAlign w:val="top"/>
            <w:vMerge w:val="continue"/>
            <w:textDirection w:val="lrTb"/>
            <w:noWrap w:val="false"/>
          </w:tcPr>
          <w:p>
            <w:pPr>
              <w:jc w:val="left"/>
              <w:spacing w:line="360" w:lineRule="auto"/>
              <w:rPr>
                <w:rFonts w:hint="eastAsia" w:ascii="宋体" w:hAnsi="宋体" w:eastAsia="宋体" w:cs="宋体"/>
                <w:color w:val="auto"/>
                <w:sz w:val="24"/>
                <w:szCs w:val="24"/>
                <w:highlight w:val="none"/>
                <w:vertAlign w:val="baseline"/>
                <w:lang w:val="en-US" w:eastAsia="zh-CN" w:bidi="zh-CN"/>
              </w:rPr>
            </w:pPr>
            <w:r>
              <w:rPr>
                <w:rFonts w:hint="eastAsia" w:ascii="宋体" w:hAnsi="宋体" w:eastAsia="宋体" w:cs="宋体"/>
                <w:color w:val="auto"/>
                <w:sz w:val="24"/>
                <w:szCs w:val="24"/>
                <w:highlight w:val="none"/>
                <w:vertAlign w:val="baseline"/>
                <w:lang w:val="en-US" w:eastAsia="zh-CN" w:bidi="zh-CN"/>
              </w:rPr>
            </w: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急诊</w:t>
            </w:r>
            <w:r/>
          </w:p>
        </w:tc>
        <w:tc>
          <w:tcPr>
            <w:tcW w:w="80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vertAlign w:val="baseli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1、患者接待：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　协助医护人员快速将患者转运至急诊室，确保患者能及时得到救治。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　对于行动不便的患者，要使用轮椅、担架等工具安全搬运。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③　协助行动不便或无家属陪同患者就诊、检查、检验及办理住院和护送患者入病区。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④　接待及转运时观察患者的基本情况，如意识状态、面色、呼吸等，在医护人员到来之前，对患者的紧急程度做初步判断。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2、急救协助：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在抢救过程中，帮助医护人员固定患者的体位，方便医护人员施救。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　帮助医护人员采集急救中心患者的检验标本，如尿液、粪便等，确保标本采集的准确性。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③　护送急救中心患者外出检查。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3、患者护理：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协助护士给予患者定时翻身，保持患者皮肤、口腔及会阴部清洁，协助患者床上大小便。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4.保持病房的清洁和安静，定期清理急救单元的垃圾，为患者营造良好的康复环境。对急救单元的医疗设备进行简单的维护，如检查设备的电源线是否插好等。</w:t>
            </w:r>
            <w:r/>
          </w:p>
        </w:tc>
        <w:tc>
          <w:tcPr>
            <w:tcW w:w="1224" w:type="dxa"/>
            <w:vAlign w:val="top"/>
            <w:vMerge w:val="continue"/>
            <w:textDirection w:val="lrTb"/>
            <w:noWrap w:val="false"/>
          </w:tcPr>
          <w:p>
            <w:pPr>
              <w:jc w:val="left"/>
              <w:spacing w:line="360" w:lineRule="auto"/>
              <w:rPr>
                <w:rFonts w:hint="eastAsia" w:ascii="宋体" w:hAnsi="宋体" w:eastAsia="宋体" w:cs="宋体"/>
                <w:color w:val="auto"/>
                <w:sz w:val="24"/>
                <w:szCs w:val="24"/>
                <w:highlight w:val="none"/>
                <w:vertAlign w:val="baseline"/>
                <w:lang w:val="en-US" w:eastAsia="zh-CN" w:bidi="zh-CN"/>
              </w:rPr>
            </w:pPr>
            <w:r>
              <w:rPr>
                <w:rFonts w:hint="eastAsia" w:ascii="宋体" w:hAnsi="宋体" w:eastAsia="宋体" w:cs="宋体"/>
                <w:color w:val="auto"/>
                <w:sz w:val="24"/>
                <w:szCs w:val="24"/>
                <w:highlight w:val="none"/>
                <w:vertAlign w:val="baseline"/>
                <w:lang w:val="en-US" w:eastAsia="zh-CN" w:bidi="zh-CN"/>
              </w:rPr>
            </w:r>
            <w:r/>
          </w:p>
        </w:tc>
      </w:tr>
    </w:tbl>
    <w:p>
      <w:pPr>
        <w:jc w:val="left"/>
        <w:spacing w:line="360" w:lineRule="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r>
      <w:r/>
    </w:p>
    <w:p>
      <w:pPr>
        <w:numPr>
          <w:ilvl w:val="0"/>
          <w:numId w:val="0"/>
        </w:numPr>
        <w:jc w:val="left"/>
        <w:spacing w:line="360" w:lineRule="auto"/>
        <w:widowControl/>
        <w:tabs>
          <w:tab w:val="left" w:pos="720" w:leader="none"/>
        </w:tabs>
        <w:rPr>
          <w:rFonts w:ascii="宋体" w:hAnsi="宋体" w:eastAsia="宋体" w:cs="宋体"/>
          <w:color w:val="auto"/>
          <w:sz w:val="22"/>
          <w:highlight w:val="none"/>
          <w:lang w:val="zh-CN" w:bidi="zh-CN"/>
        </w:rPr>
        <w:outlineLvl w:val="1"/>
      </w:pPr>
      <w:r>
        <w:rPr>
          <w:rFonts w:hint="eastAsia" w:ascii="宋体" w:hAnsi="宋体" w:eastAsia="宋体" w:cs="宋体"/>
          <w:b/>
          <w:bCs/>
          <w:color w:val="auto"/>
          <w:sz w:val="24"/>
          <w:szCs w:val="24"/>
          <w:highlight w:val="none"/>
          <w:lang w:val="en-US" w:eastAsia="zh-CN" w:bidi="zh-CN"/>
        </w:rPr>
        <w:t xml:space="preserve">四、需达到国家相关标准、行业标准要求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（一）人员要求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1、经过培训，考核合格，掌握一定的医(药)学和陪护患者的基础知识，具有相应的服务技能；</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2、持有健康证，无精神病史和各类传染病；</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3、尊重患者，富有爱心，善于沟通；</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4、仪容仪表端庄、大方，服饰整洁，不得佩戴耳环、戒指等饰物；</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5、具备基本的服务礼仪和行为规范。</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（二）日常起居照料要求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1、根据患者的身体状况，协助患者起床、洗脸、洗手、刷牙、漱口、梳头、洗头、擦浴、洗浴，面部双手清洁、牙面无异物、头发整齐； </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2、晚上患者入睡前，协助患者洗脸、漱口、洗脚，并协助其上床、盖被；</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3、根据室温变化情况，在患者睡眠期间为其做好保暖工作；</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4、根据患者和医护人员的要求，协助患者排泄大小便；</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5、根据医护人员的要求，协助患者下床活动或散步；</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6、掌握压力性损伤预防知识，为卧床患者擦洗、穿衣，有效预防压力性损伤。</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（三）医疗护理协助要求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1、了解患者护理的常识和内外科患者护理的要点，观察患者情况，发现异常情况及时通知医护人员； </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2、掌握压力性损伤护理的知识，协助医护人员对患者进行护理；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3、按照医护人员的要求，协助患者按时按量服药；</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4、了解药品滴注的基本常识，根据药品滴注的进展情况及时与医护人员取得联系；</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5、掌握收集大小便标本的方法，根据医护人员的要求协助患者正确收集大小便标本；</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6、安全、及时陪同患者做医疗检查；</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7、在医生的指导下，协助患者实施功能康复训练；</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8、了解接摩的一般常识，为患者提供简单的按摩；</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9、了解患者心理的基本特点，与患者进行必要的沟通交流。</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（四）饮食照料要求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1、掌握患者饮食的一般特点，在医护人员的指导下，为其提供合适的进食环境和饮食体位，发生特殊情况如患者进餐期间发生咳嗽、呼吸及面色改变情况，立即停止进食、迅速汇报医护人员；</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2、根据医护人员的要求，协助患者用餐、饮水；</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3、及时清洁患者使用的餐具；</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4、掌握患者营养膳食的基本知识，根据患者的情况，提供合理的营养膳食建议。</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（五）卫生清理要求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1、了解患者用品、衣物的清洁消毒方法，对患者的衣物、便器等用品进行清洁、消毒，并妥善保管； </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2、及时帮助患者修剪指(趾〉甲、洗头、擦澡等。</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（六）其他要求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受患者或其家属的委托，为患者购买生活用品并做好记录，保证账目清晰、账物相符，原始票据保留完整。</w:t>
      </w: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none"/>
          <w:lang w:val="en-US" w:eastAsia="zh-CN" w:bidi="zh-CN"/>
        </w:rPr>
        <w:outlineLvl w:val="1"/>
      </w:pPr>
      <w:r>
        <w:rPr>
          <w:rFonts w:hint="eastAsia" w:ascii="宋体" w:hAnsi="宋体" w:eastAsia="宋体" w:cs="宋体"/>
          <w:b/>
          <w:bCs/>
          <w:color w:val="auto"/>
          <w:sz w:val="24"/>
          <w:szCs w:val="24"/>
          <w:highlight w:val="none"/>
          <w:lang w:val="en-US" w:eastAsia="zh-CN" w:bidi="zh-CN"/>
        </w:rPr>
        <w:t xml:space="preserve">五、需满足的服务标准、期限、效率等要求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（一）职业道德标准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1、遵纪守法，服从管理，时刻为病人着想，千方百计为病人解除病痛。</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2、文明礼貌服务，举止端庄，语言文明，态度和蔼，同情、关心和体贴病人。</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3、尊重病人的人格和权利，对待病人，不分民族、性别、职业、地位、财产状况，都一视同仁。</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4、为病人保守医密，实行保护性护理，不泄露病人隐私与秘密。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5、互学互尊，团结协作，正确处理同行同事间的关系。</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6、工作要做到“四轻”，即：说话轻、走路轻、开关门轻、动作轻；“五个一样”即：领导在与不在一样、白天与夜间一样、对陌生和熟人一样、家属在与不在一样、工作忙与闲一样。</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7、暂时没有工作的护理员，必须在供应商处登记待岗，不得进入病房自己找工作，不得留宿病房，私人物品不得放置在病区。</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8、不准拿要患者及家属任何物品。</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9、不准偷、拿、外卖医院的任何物品。</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（二）床单元质量标准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1、病室整洁、舒适、空气新鲜。</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2、病人床单位整洁、干净、平整、枕下无杂物。</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3、病人身下无杂物、碎屑。</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4、脸盆、便盆不放在地上。</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5、床头柜整洁、干净，无护理员个人用品。</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6、不得随意在病区内晾晒衣物。</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（三）病人质量标准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1、“三短”即：指甲短、胡须短、头发短；</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2、“六洁”即：头发、口腔、皮肤、会阴、肛周、手足。</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头发：整齐、无汗臭</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口腔：按病情需要刷牙或清洁口腔，要求口腔无积痰，无食物残渣，嘴唇口角清洁。</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皮肤：清洁，无污渍血渍，无胶布痕迹，骨隆突处妥善保护。</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会阴：清洁、干燥</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肛周：无尿粪污垢</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手足：清洁无污垢</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3、七防：防坠床、防跌倒、防烫伤、防压力性损伤、防拔管、防窒息、防走失。</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（四）工作要求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1、不得私自给患者解释病情。</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2、不得为患者调节氧气开关，更换或加减湿化瓶用水。</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3、不得私自摘取或连接输液管，调节输液速度及拔除输液管路。</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4、不得私自为患者灌热水袋、冷袋，热敷、冷敷以免烫伤、冻伤患者。</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5、不得擅自替患者更换、拔除各种引流管，擅自倾倒引流液等。</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6、不得擅自改变患者体位，指导患者下床活动，尤其是对术后、骨科及危重患者，需经医生、护士同意。</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7、患者下床活动、上厕所、洗漱等活动时，要注意安全，防止患者发生滑倒、摔伤等意外事件。</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8、凡禁食患者未经医护人员同意，不准给患者喂水、喂食，不准给鼻饲患者灌注食物或药物。</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9、不得擅自为患者吸痰、做雾化吸入等一切治疗活动。</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10、不得擅自为危重患者更换床单，监护仪器、呼吸机出现报警不得擅自处理。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11、不得擅自离开病人,若确需离开时,应征得患者或家属及管床护士同意后方可离开。</w:t>
      </w: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none"/>
          <w:lang w:val="en-US" w:eastAsia="zh-CN" w:bidi="zh-CN"/>
        </w:rPr>
        <w:outlineLvl w:val="1"/>
      </w:pPr>
      <w:r>
        <w:rPr>
          <w:rFonts w:hint="eastAsia" w:ascii="宋体" w:hAnsi="宋体" w:eastAsia="宋体" w:cs="宋体"/>
          <w:b/>
          <w:bCs/>
          <w:color w:val="auto"/>
          <w:sz w:val="24"/>
          <w:szCs w:val="24"/>
          <w:highlight w:val="none"/>
          <w:lang w:val="en-US" w:eastAsia="zh-CN" w:bidi="zh-CN"/>
        </w:rPr>
        <w:t xml:space="preserve">六、管理要求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（一）员工管理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1、供应商应建立员工档案，包括员工登记表、劳动合同、培训记录、员工奖惩记录等。</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2、员工必须持有健康证，必须体检1次/年，</w:t>
      </w:r>
      <w:r>
        <w:rPr>
          <w:rFonts w:hint="eastAsia" w:ascii="宋体" w:hAnsi="宋体" w:eastAsia="宋体" w:cs="宋体"/>
          <w:i/>
          <w:iCs/>
          <w:color w:val="auto"/>
          <w:sz w:val="24"/>
          <w:szCs w:val="24"/>
          <w:highlight w:val="none"/>
          <w:lang w:val="zh-CN" w:bidi="zh-CN"/>
        </w:rPr>
        <w:t xml:space="preserve">（</w:t>
      </w:r>
      <w:r>
        <w:rPr>
          <w:rFonts w:hint="eastAsia" w:ascii="宋体" w:hAnsi="宋体" w:eastAsia="宋体" w:cs="宋体"/>
          <w:i/>
          <w:iCs/>
          <w:color w:val="auto"/>
          <w:sz w:val="24"/>
          <w:szCs w:val="24"/>
          <w:highlight w:val="none"/>
          <w:lang w:val="en-US" w:bidi="zh-CN"/>
        </w:rPr>
        <w:t xml:space="preserve">同时需要提供梅毒、乙肝和HIV检测报告。</w:t>
      </w:r>
      <w:r>
        <w:rPr>
          <w:rFonts w:hint="eastAsia" w:ascii="宋体" w:hAnsi="宋体" w:eastAsia="宋体" w:cs="宋体"/>
          <w:i/>
          <w:iCs/>
          <w:color w:val="auto"/>
          <w:sz w:val="24"/>
          <w:szCs w:val="24"/>
          <w:highlight w:val="none"/>
          <w:lang w:val="zh-CN" w:bidi="zh-CN"/>
        </w:rPr>
        <w:t xml:space="preserve">）</w:t>
      </w:r>
      <w:r>
        <w:rPr>
          <w:rFonts w:hint="eastAsia" w:ascii="宋体" w:hAnsi="宋体" w:eastAsia="宋体" w:cs="宋体"/>
          <w:color w:val="auto"/>
          <w:sz w:val="24"/>
          <w:szCs w:val="24"/>
          <w:highlight w:val="none"/>
          <w:lang w:val="zh-CN" w:bidi="zh-CN"/>
        </w:rPr>
        <w:t xml:space="preserve">每年体检费用由供应商承担。</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3、护理员取得相应的职业资格证书或上岗证，经培训后具备相应的服务知识与技能。其中从事医院陪护服务时间在一年以上的专业护理员比例不低于60%。</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4、供应商负责护理员的培训、管理。建立健全护理员管理制度，建立合适实际工作需要的人事管理、服务质量管理、安全管理等方面的规章制度，明确护理员的岗位职责、工作任务、工作标准和具体要求。</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5、供应商应制定上岗人员职业暴露处理流程，并明确护理员发生职业暴露后的责任。</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6、为维护医院良好形象，供应商必须为护理员配置统一制服，并保证不少于1次/周的洗涤、消毒和熨烫。</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7、护理员管理人员应掌握本公司的规章制度和业务流程，具备一定的管理经验和专业技能，并能够对护理员进行专业化指导。</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（二）培训管理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1、供应商应设有专门的培训管理人员。 </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2、供应商应定期对护理员开展岗前、在岗培训。每年至少进行系统培训4次，每次不得少于4天。对中断工作一年以上者，需重新培训，再次确认上岗资格。</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3、针对不同级别的护理员，供应商应分类建立不同的医院陪护服务培训体系，包括培训计划、培训大纲、培训教材、培训档案等。 </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4、护理员培训内容应依据国卫医发[2019]49号文件中《医疗护理员培训大纲(试行)》的要求，培训内容应包括员工职业道德、行为规范，基本的法律、安全、卫生知识以及医院陪护服务所需的知识和技能等。</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（三）</w:t>
      </w:r>
      <w:r>
        <w:rPr>
          <w:rFonts w:hint="eastAsia" w:ascii="宋体" w:hAnsi="宋体" w:eastAsia="宋体" w:cs="宋体"/>
          <w:color w:val="auto"/>
          <w:sz w:val="24"/>
          <w:szCs w:val="24"/>
          <w:highlight w:val="none"/>
          <w:lang w:val="en-US" w:bidi="zh-CN"/>
        </w:rPr>
        <w:t xml:space="preserve">护理</w:t>
      </w:r>
      <w:r>
        <w:rPr>
          <w:rFonts w:hint="eastAsia" w:ascii="宋体" w:hAnsi="宋体" w:eastAsia="宋体" w:cs="宋体"/>
          <w:color w:val="auto"/>
          <w:sz w:val="24"/>
          <w:szCs w:val="24"/>
          <w:highlight w:val="none"/>
          <w:lang w:val="zh-CN" w:bidi="zh-CN"/>
        </w:rPr>
        <w:t xml:space="preserve">服务质量管理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1、供应商应建立病人档案，包括病人资料、服务合同、服务质量反馈、投诉及其处理文件，并对病人资料负有保密义务。</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供应商应建立陪护服务跟踪回访制度，实行“三回访”制度。服务前、服务中、服务后由专人采取面谈、电话等形式收集病人或家属满意度的信息，了解病人或家属对服务质量的满意程度，及时帮助病人或家属处理服务过程中存在的问题或疑惑，对护理员的服务态度、质量以及着装等方面进行监督，听取护理员及病人属双方的意见和建议，协调病人或家属与护理员之间的关系。</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3、供应商应建立服务质量投诉制度，对病人或家属的投诉应进行登记，并在1天内给予答复，解决病人问题，保证为病人提供满意的服务，直至服务结束。</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（四）合同文本管理</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1、服务合同：医院陪护服务合同必须采用书面形式。</w:t>
      </w:r>
      <w:r/>
    </w:p>
    <w:p>
      <w:pPr>
        <w:ind w:right="362" w:firstLine="480"/>
        <w:jc w:val="left"/>
        <w:spacing w:before="69"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2、劳动合同：供应商应当与护理员签订劳动合同。</w:t>
      </w: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none"/>
          <w:lang w:val="en-US" w:eastAsia="zh-CN" w:bidi="zh-CN"/>
        </w:rPr>
        <w:outlineLvl w:val="1"/>
      </w:pPr>
      <w:r>
        <w:rPr>
          <w:rFonts w:hint="eastAsia" w:ascii="宋体" w:hAnsi="宋体" w:eastAsia="宋体" w:cs="宋体"/>
          <w:b/>
          <w:bCs/>
          <w:color w:val="auto"/>
          <w:sz w:val="24"/>
          <w:szCs w:val="24"/>
          <w:highlight w:val="none"/>
          <w:lang w:val="en-US" w:eastAsia="zh-CN" w:bidi="zh-CN"/>
        </w:rPr>
        <w:t xml:space="preserve">七、 其他技术、服务等要求</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（一）对供应商的要求</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1、供应商应制定各项管理办法、规章制度、实施方案，开展现场管理工作，并随时接受院方主管部门及有关政府部门的监督、指导。</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2、供应商需征求院方同意后，方可采用会议、座谈、宣传栏、宣传册、小标贴等形式，向患者、家属进行公示和宣传(公示和宣传内容及地点应征得院方事先同意)，使之了解服务内容和收费标准。</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供应商应根据院方及病人需要派驻身体健康、经验丰富、能胜任生活护理工作的护理员，做好护理员岗前培训、工作流程、工作技能培训、医院消毒规范要求与培训、消防安全培训等各项专项培训，教育护理员自觉遵守院方各项规章制度，树立一切以病人为中心理念，努力提升服务质量，自觉维护院方及供应商的社会形象。</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供应商应加强监督管理工作，派驻现场管理人员，每天进行现场检查监督，充分采纳院方关于服务质量的建议和意见，积极主动与院方科室病区相关负责人员和病人、家属做好沟通，发现问题及时纠正解决，关爱病人，发现病人病情异常及时迅速向院方通报。</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院方与供应商及其护理员之间不存在生活护理服务关系，也不存在院方委托或聘请供应商或其护理员为院方住院病人提供生活护理服务关系。供应商应与病人签订陪护协议，明确双方的权利和义务，并指派具体的护理员履行陪护协议。如发生纠纷和索赔，由供应商负责处理和赔偿，与院方无关。</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6、各类记录、报表应真实、准确、及时、符合要求。如有弄虚作假，院方有权要求其整改，经限期整改仍无效，院方有权解除供应商的服务资格。</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7、建立与患者、家属及时沟通的信息渠道，设立服务投诉渠道和处理程序，发现问题及时整改。</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（二）意外情况处理：</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以下意外由供应商承担责任：</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1、由于护理员工作不到位而引起的服务对象走失、跌倒、坠床、烫伤、噎食、皮肤压力性损伤、火灾等意外，以及其他由于护理人员工作不到位而引起服务对象伤害及可能引发的不良后果。</w:t>
      </w:r>
      <w:r/>
    </w:p>
    <w:p>
      <w:pPr>
        <w:ind w:firstLine="480"/>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2、若发生其他事故，供应商应按人道主义精神给予应急帮助，事后分清责任，由责任方承担。</w:t>
      </w: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none"/>
          <w:lang w:val="en-US" w:eastAsia="zh-CN" w:bidi="zh-CN"/>
        </w:rPr>
        <w:outlineLvl w:val="1"/>
      </w:pPr>
      <w:r>
        <w:rPr>
          <w:rFonts w:hint="eastAsia" w:ascii="宋体" w:hAnsi="宋体" w:eastAsia="宋体" w:cs="宋体"/>
          <w:b/>
          <w:bCs/>
          <w:color w:val="auto"/>
          <w:sz w:val="24"/>
          <w:szCs w:val="24"/>
          <w:highlight w:val="none"/>
          <w:lang w:val="en-US" w:eastAsia="zh-CN" w:bidi="zh-CN"/>
        </w:rPr>
        <w:t xml:space="preserve">八、其他要求</w:t>
      </w:r>
      <w:r/>
    </w:p>
    <w:p>
      <w:pPr>
        <w:ind w:firstLine="480"/>
        <w:jc w:val="left"/>
        <w:spacing w:line="360" w:lineRule="auto"/>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（一）项目人员情况：</w:t>
      </w:r>
      <w:r/>
    </w:p>
    <w:p>
      <w:pPr>
        <w:ind w:firstLine="480"/>
        <w:jc w:val="left"/>
        <w:spacing w:line="360" w:lineRule="auto"/>
        <w:rPr>
          <w:rFonts w:hint="eastAsia" w:ascii="宋体" w:hAnsi="宋体" w:eastAsia="宋体" w:cs="宋体"/>
          <w:b/>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1、拟派项目负责人的能力、经验等情况：具有相关项目的实施经验，</w:t>
      </w:r>
      <w:r>
        <w:rPr>
          <w:rFonts w:hint="eastAsia" w:ascii="宋体" w:hAnsi="宋体" w:eastAsia="宋体" w:cs="宋体"/>
          <w:b/>
          <w:color w:val="auto"/>
          <w:sz w:val="24"/>
          <w:szCs w:val="24"/>
          <w:highlight w:val="none"/>
          <w:lang w:val="zh-CN" w:bidi="zh-CN"/>
        </w:rPr>
        <w:t xml:space="preserve">提供相关证明材料，并提供距开标时</w:t>
      </w:r>
      <w:r>
        <w:rPr>
          <w:rFonts w:hint="eastAsia" w:ascii="宋体" w:hAnsi="宋体" w:eastAsia="宋体" w:cs="宋体"/>
          <w:b/>
          <w:color w:val="auto"/>
          <w:sz w:val="24"/>
          <w:szCs w:val="24"/>
          <w:highlight w:val="none"/>
          <w:lang w:val="en-US" w:bidi="zh-CN"/>
        </w:rPr>
        <w:t xml:space="preserve">间</w:t>
      </w:r>
      <w:r>
        <w:rPr>
          <w:rFonts w:hint="eastAsia" w:ascii="宋体" w:hAnsi="宋体" w:eastAsia="宋体" w:cs="宋体"/>
          <w:b/>
          <w:i w:val="0"/>
          <w:iCs w:val="0"/>
          <w:color w:val="auto"/>
          <w:sz w:val="24"/>
          <w:szCs w:val="24"/>
          <w:highlight w:val="none"/>
          <w:lang w:val="en-US" w:bidi="zh-CN"/>
        </w:rPr>
        <w:t xml:space="preserve">前</w:t>
      </w:r>
      <w:r>
        <w:rPr>
          <w:rFonts w:hint="eastAsia" w:ascii="宋体" w:hAnsi="宋体" w:eastAsia="宋体" w:cs="宋体"/>
          <w:b/>
          <w:color w:val="auto"/>
          <w:sz w:val="24"/>
          <w:szCs w:val="24"/>
          <w:highlight w:val="none"/>
          <w:lang w:val="en-US" w:eastAsia="zh-CN" w:bidi="zh-CN"/>
        </w:rPr>
        <w:t xml:space="preserve">三</w:t>
      </w:r>
      <w:r>
        <w:rPr>
          <w:rFonts w:hint="eastAsia" w:ascii="宋体" w:hAnsi="宋体" w:eastAsia="宋体" w:cs="宋体"/>
          <w:b/>
          <w:color w:val="auto"/>
          <w:sz w:val="24"/>
          <w:szCs w:val="24"/>
          <w:highlight w:val="none"/>
          <w:lang w:val="zh-CN" w:bidi="zh-CN"/>
        </w:rPr>
        <w:t xml:space="preserve">个月内任意一月份的供应商为其依法缴纳社保保障资金的证明复印件并加盖单位公章。</w:t>
      </w:r>
      <w:r/>
    </w:p>
    <w:p>
      <w:pPr>
        <w:ind w:firstLine="480"/>
        <w:jc w:val="left"/>
        <w:spacing w:line="360" w:lineRule="auto"/>
        <w:rPr>
          <w:rFonts w:hint="eastAsia" w:ascii="宋体" w:hAnsi="宋体" w:eastAsia="宋体" w:cs="宋体"/>
          <w:b/>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2、</w:t>
      </w:r>
      <w:r>
        <w:rPr>
          <w:rFonts w:hint="eastAsia" w:ascii="宋体" w:hAnsi="宋体" w:eastAsia="宋体" w:cs="宋体"/>
          <w:b/>
          <w:color w:val="auto"/>
          <w:sz w:val="24"/>
          <w:szCs w:val="24"/>
          <w:highlight w:val="none"/>
          <w:lang w:val="zh-CN" w:bidi="zh-CN"/>
        </w:rPr>
        <w:t xml:space="preserve">提供护理员的配置情况（人员的储备量、资质、人员到位的及时性，人员录用、考核与奖惩机制等的合理性）。</w:t>
      </w:r>
      <w:r/>
    </w:p>
    <w:p>
      <w:pPr>
        <w:ind w:firstLine="480"/>
        <w:jc w:val="left"/>
        <w:spacing w:line="360" w:lineRule="auto"/>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（二）报价方式：</w:t>
      </w:r>
      <w:r/>
    </w:p>
    <w:p>
      <w:pPr>
        <w:ind w:firstLine="480"/>
        <w:jc w:val="left"/>
        <w:spacing w:line="360" w:lineRule="auto"/>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1、母婴康育月子中心</w:t>
      </w:r>
      <w:r>
        <w:rPr>
          <w:rFonts w:hint="eastAsia" w:ascii="宋体" w:hAnsi="宋体" w:eastAsia="宋体" w:cs="宋体"/>
          <w:bCs/>
          <w:color w:val="auto"/>
          <w:sz w:val="24"/>
          <w:szCs w:val="24"/>
          <w:highlight w:val="none"/>
          <w:lang w:val="zh-CN" w:eastAsia="zh-CN" w:bidi="zh-CN"/>
        </w:rPr>
        <w:t xml:space="preserve">、家庭化产房、</w:t>
      </w:r>
      <w:r>
        <w:rPr>
          <w:rFonts w:hint="eastAsia" w:ascii="宋体" w:hAnsi="宋体" w:eastAsia="宋体" w:cs="宋体"/>
          <w:bCs/>
          <w:color w:val="auto"/>
          <w:sz w:val="24"/>
          <w:szCs w:val="24"/>
          <w:highlight w:val="none"/>
          <w:lang w:val="en-US" w:eastAsia="zh-CN" w:bidi="zh-CN"/>
        </w:rPr>
        <w:t xml:space="preserve">护理员</w:t>
      </w:r>
      <w:r>
        <w:rPr>
          <w:rFonts w:hint="eastAsia" w:ascii="宋体" w:hAnsi="宋体" w:eastAsia="宋体" w:cs="宋体"/>
          <w:bCs/>
          <w:color w:val="auto"/>
          <w:sz w:val="24"/>
          <w:szCs w:val="24"/>
          <w:highlight w:val="none"/>
          <w:lang w:val="zh-CN" w:bidi="zh-CN"/>
        </w:rPr>
        <w:t xml:space="preserve">服务报价：（该费用由医院支付，不再向病人收取）</w:t>
      </w:r>
      <w:r/>
    </w:p>
    <w:p>
      <w:pPr>
        <w:ind w:firstLine="480"/>
        <w:jc w:val="left"/>
        <w:spacing w:line="360" w:lineRule="auto"/>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a）</w:t>
      </w:r>
      <w:bookmarkStart w:id="46" w:name="_Hlk153875938"/>
      <w:r>
        <w:rPr>
          <w:rFonts w:hint="eastAsia" w:ascii="宋体" w:hAnsi="宋体" w:eastAsia="宋体" w:cs="宋体"/>
          <w:bCs/>
          <w:color w:val="auto"/>
          <w:sz w:val="24"/>
          <w:szCs w:val="24"/>
          <w:highlight w:val="none"/>
          <w:lang w:val="zh-CN" w:bidi="zh-CN"/>
        </w:rPr>
        <w:t xml:space="preserve">供应商须充分考虑到投标报价应包括招标文件所确定的招标范围内医院陪护服务项目可能发生的所有费用，包含各种税费、人员费用、支付给员工的工资（不得低于供应商所在地最低工资标准）、节假日加班费用、管理费用、装备费用、保险、劳保、税费、利润、国家强制缴纳的各种社会保障资金等所有费用及投标人认为需要的其他费用等。请投标人认真测算，项目实施过程中所需一切费用应在投标报价时一并考虑。项目实施过程中不再增加任何费用。</w:t>
      </w:r>
      <w:bookmarkEnd w:id="46"/>
      <w:r/>
    </w:p>
    <w:p>
      <w:pPr>
        <w:ind w:firstLine="480"/>
        <w:jc w:val="left"/>
        <w:spacing w:line="360" w:lineRule="auto"/>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b）</w:t>
      </w:r>
      <w:bookmarkStart w:id="47" w:name="_Hlk153875959"/>
      <w:r>
        <w:rPr>
          <w:rFonts w:hint="eastAsia" w:ascii="宋体" w:hAnsi="宋体" w:eastAsia="宋体" w:cs="宋体"/>
          <w:bCs/>
          <w:color w:val="auto"/>
          <w:sz w:val="24"/>
          <w:szCs w:val="24"/>
          <w:highlight w:val="none"/>
          <w:lang w:val="zh-CN" w:bidi="zh-CN"/>
        </w:rPr>
        <w:t xml:space="preserve">报价时，单价金额应以元为单位，核价金额精确至整数。</w:t>
      </w:r>
      <w:bookmarkEnd w:id="47"/>
      <w:r/>
      <w:r/>
    </w:p>
    <w:p>
      <w:pPr>
        <w:ind w:firstLine="482"/>
        <w:jc w:val="left"/>
        <w:spacing w:line="360" w:lineRule="auto"/>
        <w:tabs>
          <w:tab w:val="left" w:pos="540" w:leader="none"/>
        </w:tabs>
        <w:rPr>
          <w:rFonts w:hint="default" w:ascii="宋体" w:hAnsi="宋体" w:eastAsia="宋体" w:cs="宋体"/>
          <w:b/>
          <w:bCs w:val="0"/>
          <w:color w:val="auto"/>
          <w:sz w:val="24"/>
          <w:szCs w:val="24"/>
          <w:highlight w:val="none"/>
          <w:lang w:val="en-US" w:bidi="zh-CN"/>
        </w:rPr>
      </w:pPr>
      <w:r>
        <w:rPr>
          <w:rFonts w:hint="eastAsia" w:ascii="宋体" w:hAnsi="宋体" w:eastAsia="宋体" w:cs="宋体"/>
          <w:b/>
          <w:bCs w:val="0"/>
          <w:color w:val="auto"/>
          <w:sz w:val="24"/>
          <w:szCs w:val="24"/>
          <w:highlight w:val="none"/>
          <w:lang w:val="zh-CN" w:bidi="zh-CN"/>
        </w:rPr>
        <w:t xml:space="preserve">c）</w:t>
      </w:r>
      <w:r>
        <w:rPr>
          <w:rFonts w:hint="eastAsia" w:ascii="宋体" w:hAnsi="宋体" w:eastAsia="宋体" w:cs="宋体"/>
          <w:b/>
          <w:bCs w:val="0"/>
          <w:color w:val="auto"/>
          <w:sz w:val="24"/>
          <w:szCs w:val="24"/>
          <w:highlight w:val="none"/>
          <w:lang w:val="en-US" w:eastAsia="zh-CN" w:bidi="zh-CN"/>
        </w:rPr>
        <w:t xml:space="preserve">后续医院开设无陪护病房需考虑增派人员，报价按护理员服务报价据实结算。</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bCs/>
          <w:color w:val="auto"/>
          <w:sz w:val="24"/>
          <w:szCs w:val="24"/>
          <w:highlight w:val="none"/>
          <w:lang w:val="en-US" w:eastAsia="zh-CN" w:bidi="zh-CN"/>
        </w:rPr>
        <w:t xml:space="preserve">d）</w:t>
      </w:r>
      <w:r>
        <w:rPr>
          <w:rFonts w:hint="eastAsia" w:ascii="宋体" w:hAnsi="宋体" w:eastAsia="宋体" w:cs="宋体"/>
          <w:bCs/>
          <w:color w:val="auto"/>
          <w:sz w:val="24"/>
          <w:szCs w:val="24"/>
          <w:highlight w:val="none"/>
          <w:lang w:val="zh-CN" w:bidi="zh-CN"/>
        </w:rPr>
        <w:t xml:space="preserve">母婴康育月子中心</w:t>
      </w:r>
      <w:r>
        <w:rPr>
          <w:rFonts w:hint="eastAsia" w:ascii="宋体" w:hAnsi="宋体" w:eastAsia="宋体" w:cs="宋体"/>
          <w:bCs/>
          <w:color w:val="auto"/>
          <w:sz w:val="24"/>
          <w:szCs w:val="24"/>
          <w:highlight w:val="none"/>
          <w:lang w:val="zh-CN" w:eastAsia="zh-CN" w:bidi="zh-CN"/>
        </w:rPr>
        <w:t xml:space="preserve">、家庭化产房、</w:t>
      </w:r>
      <w:r>
        <w:rPr>
          <w:rFonts w:hint="eastAsia" w:ascii="宋体" w:hAnsi="宋体" w:eastAsia="宋体" w:cs="宋体"/>
          <w:bCs/>
          <w:color w:val="auto"/>
          <w:sz w:val="24"/>
          <w:szCs w:val="24"/>
          <w:highlight w:val="none"/>
          <w:lang w:val="en-US" w:eastAsia="zh-CN" w:bidi="zh-CN"/>
        </w:rPr>
        <w:t xml:space="preserve">护理员</w:t>
      </w:r>
      <w:r>
        <w:rPr>
          <w:rFonts w:hint="eastAsia" w:ascii="宋体" w:hAnsi="宋体" w:eastAsia="宋体" w:cs="宋体"/>
          <w:bCs/>
          <w:color w:val="auto"/>
          <w:sz w:val="24"/>
          <w:szCs w:val="24"/>
          <w:highlight w:val="none"/>
          <w:lang w:val="zh-CN" w:bidi="zh-CN"/>
        </w:rPr>
        <w:t xml:space="preserve">服务</w:t>
      </w:r>
      <w:r>
        <w:rPr>
          <w:rFonts w:hint="eastAsia" w:ascii="宋体" w:hAnsi="宋体" w:eastAsia="宋体" w:cs="宋体"/>
          <w:color w:val="auto"/>
          <w:sz w:val="24"/>
          <w:szCs w:val="24"/>
          <w:highlight w:val="none"/>
          <w:lang w:val="zh-CN" w:bidi="zh-CN"/>
        </w:rPr>
        <w:t xml:space="preserve">报价</w:t>
      </w:r>
      <w:r/>
    </w:p>
    <w:tbl>
      <w:tblPr>
        <w:tblStyle w:val="718"/>
        <w:tblW w:w="479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072"/>
        <w:gridCol w:w="2019"/>
        <w:gridCol w:w="1886"/>
      </w:tblGrid>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序号</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项目名称</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一对一单价（元/</w:t>
            </w:r>
            <w:r>
              <w:rPr>
                <w:rFonts w:hint="eastAsia" w:ascii="宋体" w:hAnsi="宋体" w:eastAsia="宋体" w:cs="宋体"/>
                <w:color w:val="auto"/>
                <w:sz w:val="24"/>
                <w:szCs w:val="24"/>
                <w:highlight w:val="none"/>
                <w:lang w:val="en-US" w:eastAsia="zh-CN" w:bidi="zh-CN"/>
              </w:rPr>
              <w:t xml:space="preserve">天</w:t>
            </w:r>
            <w:r>
              <w:rPr>
                <w:rFonts w:hint="eastAsia" w:ascii="宋体" w:hAnsi="宋体" w:eastAsia="宋体" w:cs="宋体"/>
                <w:color w:val="auto"/>
                <w:sz w:val="24"/>
                <w:szCs w:val="24"/>
                <w:highlight w:val="none"/>
                <w:lang w:val="zh-CN" w:bidi="zh-CN"/>
              </w:rPr>
              <w:t xml:space="preserve">）</w:t>
            </w: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bidi="zh-CN"/>
              </w:rPr>
              <w:t xml:space="preserve">预估护理员人</w:t>
            </w:r>
            <w:r>
              <w:rPr>
                <w:rFonts w:hint="eastAsia" w:cs="宋体"/>
                <w:color w:val="auto"/>
                <w:sz w:val="24"/>
                <w:szCs w:val="24"/>
                <w:highlight w:val="none"/>
                <w:lang w:val="en-US" w:eastAsia="zh-CN" w:bidi="zh-CN"/>
              </w:rPr>
              <w:t xml:space="preserve">数</w:t>
            </w: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母婴康育月子中心</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22</w:t>
            </w: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bCs/>
                <w:color w:val="auto"/>
                <w:sz w:val="24"/>
                <w:szCs w:val="24"/>
                <w:highlight w:val="none"/>
                <w:lang w:val="zh-CN" w:eastAsia="zh-CN" w:bidi="zh-CN"/>
              </w:rPr>
              <w:t xml:space="preserve">家庭化产房</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none"/>
                <w:lang w:val="en-US" w:bidi="zh-CN"/>
              </w:rPr>
            </w:pPr>
            <w:r/>
            <w:bookmarkStart w:id="56" w:name="_GoBack"/>
            <w:r>
              <w:rPr>
                <w:rFonts w:hint="eastAsia" w:ascii="宋体" w:hAnsi="宋体" w:eastAsia="宋体" w:cs="宋体"/>
                <w:color w:val="auto"/>
                <w:sz w:val="24"/>
                <w:szCs w:val="24"/>
                <w:highlight w:val="none"/>
                <w:lang w:val="en-US" w:bidi="zh-CN"/>
              </w:rPr>
              <w:t xml:space="preserve">38</w:t>
            </w:r>
            <w:bookmarkEnd w:id="56"/>
            <w:r/>
            <w:r/>
          </w:p>
        </w:tc>
      </w:tr>
    </w:tbl>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tbl>
      <w:tblPr>
        <w:tblStyle w:val="718"/>
        <w:tblW w:w="479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072"/>
        <w:gridCol w:w="2019"/>
        <w:gridCol w:w="1886"/>
      </w:tblGrid>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bidi="zh-CN"/>
              </w:rPr>
              <w:t xml:space="preserve">序号</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bidi="zh-CN"/>
              </w:rPr>
              <w:t xml:space="preserve">项目名称</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bidi="zh-CN"/>
              </w:rPr>
              <w:t xml:space="preserve">单价（元/月）</w:t>
            </w: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bidi="zh-CN"/>
              </w:rPr>
              <w:t xml:space="preserve">预估护理员人数</w:t>
            </w: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bCs/>
                <w:color w:val="auto"/>
                <w:sz w:val="24"/>
                <w:szCs w:val="24"/>
                <w:highlight w:val="none"/>
                <w:lang w:val="en-US" w:eastAsia="zh-CN" w:bidi="zh-CN"/>
              </w:rPr>
              <w:t xml:space="preserve">护理员</w:t>
            </w:r>
            <w:r>
              <w:rPr>
                <w:rFonts w:hint="eastAsia" w:ascii="宋体" w:hAnsi="宋体" w:eastAsia="宋体" w:cs="宋体"/>
                <w:bCs/>
                <w:color w:val="auto"/>
                <w:sz w:val="24"/>
                <w:szCs w:val="24"/>
                <w:highlight w:val="none"/>
                <w:lang w:val="zh-CN" w:bidi="zh-CN"/>
              </w:rPr>
              <w:t xml:space="preserve">服务</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none"/>
                <w:lang w:val="en-US" w:bidi="zh-CN"/>
              </w:rPr>
            </w:pPr>
            <w:r>
              <w:rPr>
                <w:rFonts w:hint="eastAsia" w:cs="宋体"/>
                <w:color w:val="auto"/>
                <w:sz w:val="24"/>
                <w:szCs w:val="24"/>
                <w:highlight w:val="none"/>
                <w:lang w:val="en-US" w:bidi="zh-CN"/>
              </w:rPr>
              <w:t xml:space="preserve">1</w:t>
            </w:r>
            <w:r>
              <w:rPr>
                <w:rFonts w:hint="eastAsia" w:ascii="宋体" w:hAnsi="宋体" w:eastAsia="宋体" w:cs="宋体"/>
                <w:color w:val="auto"/>
                <w:sz w:val="24"/>
                <w:szCs w:val="24"/>
                <w:highlight w:val="none"/>
                <w:lang w:val="en-US" w:bidi="zh-CN"/>
              </w:rPr>
              <w:t xml:space="preserve">4</w:t>
            </w:r>
            <w:r/>
          </w:p>
        </w:tc>
      </w:tr>
    </w:tbl>
    <w:p>
      <w:pPr>
        <w:ind w:firstLine="480"/>
        <w:jc w:val="left"/>
        <w:spacing w:line="360" w:lineRule="auto"/>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2、产科普通病房</w:t>
      </w:r>
      <w:r>
        <w:rPr>
          <w:rFonts w:hint="eastAsia" w:ascii="宋体" w:hAnsi="宋体" w:eastAsia="宋体" w:cs="宋体"/>
          <w:bCs/>
          <w:color w:val="auto"/>
          <w:sz w:val="24"/>
          <w:szCs w:val="24"/>
          <w:highlight w:val="none"/>
          <w:lang w:val="zh-CN" w:eastAsia="zh-CN" w:bidi="zh-CN"/>
        </w:rPr>
        <w:t xml:space="preserve">、除产科以外的普通病房</w:t>
      </w:r>
      <w:r>
        <w:rPr>
          <w:rFonts w:hint="eastAsia" w:ascii="宋体" w:hAnsi="宋体" w:eastAsia="宋体" w:cs="宋体"/>
          <w:bCs/>
          <w:color w:val="auto"/>
          <w:sz w:val="24"/>
          <w:szCs w:val="24"/>
          <w:highlight w:val="none"/>
          <w:lang w:val="en-US" w:eastAsia="zh-CN" w:bidi="zh-CN"/>
        </w:rPr>
        <w:t xml:space="preserve">陪护</w:t>
      </w:r>
      <w:r>
        <w:rPr>
          <w:rFonts w:hint="eastAsia" w:ascii="宋体" w:hAnsi="宋体" w:eastAsia="宋体" w:cs="宋体"/>
          <w:bCs/>
          <w:color w:val="auto"/>
          <w:sz w:val="24"/>
          <w:szCs w:val="24"/>
          <w:highlight w:val="none"/>
          <w:lang w:val="zh-CN" w:bidi="zh-CN"/>
        </w:rPr>
        <w:t xml:space="preserve">报价（此报价为向患者收取的服务费用，</w:t>
      </w:r>
      <w:r>
        <w:rPr>
          <w:rFonts w:hint="eastAsia" w:ascii="宋体" w:hAnsi="宋体" w:eastAsia="宋体" w:cs="宋体"/>
          <w:b/>
          <w:bCs w:val="0"/>
          <w:color w:val="auto"/>
          <w:sz w:val="24"/>
          <w:szCs w:val="24"/>
          <w:highlight w:val="none"/>
          <w:lang w:val="zh-CN" w:bidi="zh-CN"/>
        </w:rPr>
        <w:t xml:space="preserve">不计入投标总价</w:t>
      </w:r>
      <w:r>
        <w:rPr>
          <w:rFonts w:hint="eastAsia" w:ascii="宋体" w:hAnsi="宋体" w:eastAsia="宋体" w:cs="宋体"/>
          <w:bCs/>
          <w:color w:val="auto"/>
          <w:sz w:val="24"/>
          <w:szCs w:val="24"/>
          <w:highlight w:val="none"/>
          <w:lang w:val="zh-CN" w:bidi="zh-CN"/>
        </w:rPr>
        <w:t xml:space="preserve">）：</w:t>
      </w:r>
      <w:r/>
    </w:p>
    <w:p>
      <w:pPr>
        <w:ind w:firstLine="480"/>
        <w:jc w:val="left"/>
        <w:spacing w:line="360" w:lineRule="auto"/>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a）供应商须充分考虑到投标报价应包括招标文件所确定的招标范围内医院陪护服务项目可能发生的所有费用，包含各种税费、人员费用、支付给员工的工资（不得低于供应商所在地最低工资标准）、餐费、误餐费、节假日加班费用、管理费用、装备费用、保险、劳保、税费、利润、国家强制缴纳的各种社会保障资金等所有费用及投标人认为需要的其他费用等。请投标人认真测算，项目实施过程中所需一切费用应在投标报价时一并考虑。项目实施过程中不再增加任何费用。</w:t>
      </w:r>
      <w:r/>
    </w:p>
    <w:p>
      <w:pPr>
        <w:ind w:firstLine="480"/>
        <w:jc w:val="left"/>
        <w:spacing w:line="360" w:lineRule="auto"/>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b）报价时，单价金额应以元为单位，核价金额精确至整数。</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服务费报价（单独报价，不计入投标总价）：</w:t>
      </w:r>
      <w:r/>
    </w:p>
    <w:tbl>
      <w:tblPr>
        <w:tblStyle w:val="718"/>
        <w:tblW w:w="517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178"/>
        <w:gridCol w:w="2354"/>
        <w:gridCol w:w="2447"/>
        <w:gridCol w:w="2004"/>
      </w:tblGrid>
      <w:tr>
        <w:trPr>
          <w:trHeight w:val="454"/>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序号</w:t>
            </w:r>
            <w:r/>
          </w:p>
        </w:tc>
        <w:tc>
          <w:tcPr>
            <w:gridSpan w:val="2"/>
            <w:tcBorders>
              <w:top w:val="single" w:color="auto" w:sz="4" w:space="0"/>
              <w:left w:val="single" w:color="auto" w:sz="4" w:space="0"/>
              <w:bottom w:val="single" w:color="auto" w:sz="4" w:space="0"/>
              <w:right w:val="single" w:color="auto" w:sz="4" w:space="0"/>
            </w:tcBorders>
            <w:tcW w:w="200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项目名称</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单价（元/天）</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bidi="zh-CN"/>
              </w:rPr>
              <w:t xml:space="preserve">床位数（张）</w:t>
            </w:r>
            <w:r/>
          </w:p>
        </w:tc>
      </w:tr>
      <w:tr>
        <w:trPr>
          <w:trHeight w:val="454"/>
        </w:trPr>
        <w:tc>
          <w:tcPr>
            <w:tcBorders>
              <w:top w:val="single" w:color="auto" w:sz="4" w:space="0"/>
              <w:left w:val="single" w:color="auto" w:sz="4" w:space="0"/>
              <w:right w:val="single" w:color="auto" w:sz="4" w:space="0"/>
            </w:tcBorders>
            <w:tcW w:w="477"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right w:val="single" w:color="auto" w:sz="4" w:space="0"/>
            </w:tcBorders>
            <w:tcW w:w="667" w:type="pct"/>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产科普通病房</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right w:val="single" w:color="auto" w:sz="4" w:space="0"/>
            </w:tcBorders>
            <w:tcW w:w="1135" w:type="pct"/>
            <w:vAlign w:val="center"/>
            <w:vMerge w:val="restart"/>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none"/>
                <w:lang w:val="en-US" w:bidi="zh-CN"/>
              </w:rPr>
            </w:pPr>
            <w:r>
              <w:rPr>
                <w:rFonts w:hint="eastAsia" w:cs="宋体"/>
                <w:color w:val="auto"/>
                <w:sz w:val="24"/>
                <w:szCs w:val="24"/>
                <w:highlight w:val="none"/>
                <w:lang w:val="en-US" w:bidi="zh-CN"/>
              </w:rPr>
              <w:t xml:space="preserve">43</w:t>
            </w:r>
            <w:r/>
          </w:p>
        </w:tc>
      </w:tr>
      <w:tr>
        <w:trPr>
          <w:trHeight w:val="454"/>
        </w:trPr>
        <w:tc>
          <w:tcPr>
            <w:tcBorders>
              <w:left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w:t>
            </w:r>
            <w:r/>
          </w:p>
        </w:tc>
        <w:tc>
          <w:tcPr>
            <w:tcBorders>
              <w:left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left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left w:val="single" w:color="auto" w:sz="4" w:space="0"/>
              <w:bottom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w:t>
            </w:r>
            <w:r/>
          </w:p>
        </w:tc>
        <w:tc>
          <w:tcPr>
            <w:tcBorders>
              <w:left w:val="single" w:color="auto" w:sz="4" w:space="0"/>
              <w:bottom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left w:val="single" w:color="auto" w:sz="4" w:space="0"/>
              <w:bottom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top w:val="single" w:color="auto" w:sz="4" w:space="0"/>
              <w:left w:val="single" w:color="auto" w:sz="4" w:space="0"/>
              <w:right w:val="single" w:color="auto" w:sz="4" w:space="0"/>
            </w:tcBorders>
            <w:tcW w:w="477"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right w:val="single" w:color="auto" w:sz="4" w:space="0"/>
            </w:tcBorders>
            <w:tcW w:w="6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除产科以外的普通病房</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一对一</w:t>
            </w:r>
            <w:r/>
          </w:p>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right w:val="single" w:color="auto" w:sz="4" w:space="0"/>
            </w:tcBorders>
            <w:tcW w:w="1135" w:type="pct"/>
            <w:vAlign w:val="center"/>
            <w:vMerge w:val="restart"/>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none"/>
                <w:lang w:val="en-US" w:bidi="zh-CN"/>
              </w:rPr>
            </w:pPr>
            <w:r>
              <w:rPr>
                <w:rFonts w:hint="eastAsia" w:cs="宋体"/>
                <w:color w:val="auto"/>
                <w:sz w:val="24"/>
                <w:szCs w:val="24"/>
                <w:highlight w:val="none"/>
                <w:lang w:val="en-US" w:bidi="zh-CN"/>
              </w:rPr>
              <w:t xml:space="preserve">271</w:t>
            </w:r>
            <w:r/>
          </w:p>
        </w:tc>
      </w:tr>
      <w:tr>
        <w:trPr>
          <w:trHeight w:val="454"/>
        </w:trPr>
        <w:tc>
          <w:tcPr>
            <w:tcBorders>
              <w:left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5</w:t>
            </w:r>
            <w:r/>
          </w:p>
        </w:tc>
        <w:tc>
          <w:tcPr>
            <w:tcBorders>
              <w:left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left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left w:val="single" w:color="auto" w:sz="4" w:space="0"/>
              <w:bottom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6</w:t>
            </w:r>
            <w:r/>
          </w:p>
        </w:tc>
        <w:tc>
          <w:tcPr>
            <w:tcBorders>
              <w:left w:val="single" w:color="auto" w:sz="4" w:space="0"/>
              <w:bottom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三级护理</w:t>
            </w:r>
            <w:r/>
          </w:p>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（不超过一对五）</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left w:val="single" w:color="auto" w:sz="4" w:space="0"/>
              <w:bottom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bl>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扬州市妇幼保健院</w:t>
      </w:r>
      <w:r>
        <w:rPr>
          <w:rFonts w:hint="eastAsia" w:ascii="宋体" w:hAnsi="宋体" w:eastAsia="宋体" w:cs="宋体"/>
          <w:color w:val="auto"/>
          <w:sz w:val="24"/>
          <w:szCs w:val="24"/>
          <w:highlight w:val="none"/>
          <w:lang w:val="zh-CN" w:bidi="zh-CN"/>
        </w:rPr>
        <w:t xml:space="preserve">院方对需提供生活护理服务的病人人数以及服务费用支付不向中标服务商作任何保证。陪护服务费由患者方直接支付给中标服务商。</w:t>
      </w:r>
      <w:r/>
    </w:p>
    <w:p>
      <w:pPr>
        <w:ind w:firstLine="482"/>
        <w:jc w:val="left"/>
        <w:spacing w:line="360" w:lineRule="auto"/>
        <w:rPr>
          <w:rFonts w:hint="eastAsia" w:ascii="宋体" w:hAnsi="宋体" w:eastAsia="宋体" w:cs="宋体"/>
          <w:b/>
          <w:bCs w:val="0"/>
          <w:i/>
          <w:iCs/>
          <w:color w:val="auto"/>
          <w:sz w:val="24"/>
          <w:szCs w:val="24"/>
          <w:highlight w:val="none"/>
          <w:u w:val="single"/>
          <w:lang w:val="en-US" w:eastAsia="zh-CN" w:bidi="zh-CN"/>
        </w:rPr>
      </w:pPr>
      <w:r>
        <w:rPr>
          <w:rFonts w:hint="eastAsia" w:ascii="宋体" w:hAnsi="宋体" w:eastAsia="宋体" w:cs="宋体"/>
          <w:b/>
          <w:bCs w:val="0"/>
          <w:i/>
          <w:iCs/>
          <w:color w:val="auto"/>
          <w:sz w:val="24"/>
          <w:szCs w:val="24"/>
          <w:highlight w:val="none"/>
          <w:u w:val="single"/>
          <w:lang w:val="en-US" w:eastAsia="zh-CN" w:bidi="zh-CN"/>
        </w:rPr>
        <w:t xml:space="preserve">（三）承诺书：（供应商须提供以下承诺书，并加盖公章）</w:t>
      </w:r>
      <w:r/>
    </w:p>
    <w:p>
      <w:pPr>
        <w:ind w:firstLine="482"/>
        <w:jc w:val="left"/>
        <w:spacing w:line="360" w:lineRule="auto"/>
        <w:rPr>
          <w:rFonts w:hint="eastAsia" w:ascii="宋体" w:hAnsi="宋体" w:eastAsia="宋体" w:cs="宋体"/>
          <w:b/>
          <w:bCs w:val="0"/>
          <w:i/>
          <w:iCs/>
          <w:color w:val="auto"/>
          <w:sz w:val="24"/>
          <w:szCs w:val="24"/>
          <w:highlight w:val="none"/>
          <w:u w:val="single"/>
          <w:lang w:val="en-US" w:eastAsia="zh-CN" w:bidi="zh-CN"/>
        </w:rPr>
      </w:pPr>
      <w:r>
        <w:rPr>
          <w:rFonts w:hint="eastAsia" w:ascii="宋体" w:hAnsi="宋体" w:eastAsia="宋体" w:cs="宋体"/>
          <w:b/>
          <w:bCs w:val="0"/>
          <w:i/>
          <w:iCs/>
          <w:color w:val="auto"/>
          <w:sz w:val="24"/>
          <w:szCs w:val="24"/>
          <w:highlight w:val="none"/>
          <w:u w:val="single"/>
          <w:lang w:val="en-US" w:eastAsia="zh-CN" w:bidi="zh-CN"/>
        </w:rPr>
        <w:t xml:space="preserve">1、供应商拟派的管理人员及护理员，用工均应符合国家劳动人事政策。必须承诺进驻院方员工年龄女性不得超过55周岁、男性不超过60周岁，</w:t>
      </w:r>
      <w:r>
        <w:rPr>
          <w:rFonts w:hint="eastAsia" w:cs="宋体"/>
          <w:b/>
          <w:bCs w:val="0"/>
          <w:i/>
          <w:iCs/>
          <w:color w:val="auto"/>
          <w:sz w:val="24"/>
          <w:szCs w:val="24"/>
          <w:highlight w:val="none"/>
          <w:u w:val="single"/>
          <w:lang w:val="en-US" w:eastAsia="zh-CN" w:bidi="zh-CN"/>
        </w:rPr>
        <w:t xml:space="preserve">其中护工</w:t>
      </w:r>
      <w:r>
        <w:rPr>
          <w:rFonts w:hint="eastAsia" w:ascii="宋体" w:hAnsi="宋体" w:eastAsia="宋体" w:cs="宋体"/>
          <w:b/>
          <w:i/>
          <w:iCs/>
          <w:color w:val="auto"/>
          <w:sz w:val="24"/>
          <w:szCs w:val="24"/>
          <w:highlight w:val="none"/>
          <w:u w:val="single"/>
          <w:lang w:val="en-US" w:bidi="zh-CN"/>
        </w:rPr>
        <w:t xml:space="preserve">年龄50周岁（含）以下人员比例要求达到80%</w:t>
      </w:r>
      <w:r>
        <w:rPr>
          <w:rFonts w:hint="eastAsia" w:cs="宋体"/>
          <w:b/>
          <w:bCs w:val="0"/>
          <w:i/>
          <w:iCs/>
          <w:color w:val="auto"/>
          <w:sz w:val="24"/>
          <w:szCs w:val="24"/>
          <w:highlight w:val="none"/>
          <w:u w:val="single"/>
          <w:lang w:val="en-US" w:eastAsia="zh-CN" w:bidi="zh-CN"/>
        </w:rPr>
        <w:t xml:space="preserve">。</w:t>
      </w:r>
      <w:r/>
    </w:p>
    <w:p>
      <w:pPr>
        <w:ind w:firstLine="482"/>
        <w:jc w:val="left"/>
        <w:spacing w:line="360" w:lineRule="auto"/>
        <w:rPr>
          <w:rFonts w:hint="eastAsia" w:ascii="宋体" w:hAnsi="宋体" w:eastAsia="宋体" w:cs="宋体"/>
          <w:b/>
          <w:bCs w:val="0"/>
          <w:i/>
          <w:iCs/>
          <w:color w:val="auto"/>
          <w:sz w:val="24"/>
          <w:szCs w:val="24"/>
          <w:highlight w:val="none"/>
          <w:u w:val="single"/>
          <w:lang w:val="en-US" w:eastAsia="zh-CN" w:bidi="zh-CN"/>
        </w:rPr>
      </w:pPr>
      <w:r>
        <w:rPr>
          <w:rFonts w:hint="eastAsia" w:ascii="宋体" w:hAnsi="宋体" w:eastAsia="宋体" w:cs="宋体"/>
          <w:b/>
          <w:bCs w:val="0"/>
          <w:i/>
          <w:iCs/>
          <w:color w:val="auto"/>
          <w:sz w:val="24"/>
          <w:szCs w:val="24"/>
          <w:highlight w:val="none"/>
          <w:u w:val="single"/>
          <w:lang w:val="en-US" w:eastAsia="zh-CN" w:bidi="zh-CN"/>
        </w:rPr>
        <w:t xml:space="preserve">2、供应商必须在合同签订前提供所有上岗人员的有效职称证、上岗证等原件供院方审核，如果中标服务商不能提供，则院方有权废除中标服务商的中标资格。成交后重要岗位人员如需更换，应及时告知院方，经同意认可后方可更换，并建立工作人员花名册、档案。</w:t>
      </w:r>
      <w:r/>
    </w:p>
    <w:p>
      <w:pPr>
        <w:ind w:firstLine="482"/>
        <w:jc w:val="left"/>
        <w:spacing w:line="360" w:lineRule="auto"/>
        <w:rPr>
          <w:rFonts w:ascii="宋体" w:hAnsi="宋体" w:eastAsia="宋体" w:cs="宋体"/>
          <w:color w:val="auto"/>
          <w:sz w:val="22"/>
          <w:highlight w:val="none"/>
          <w:lang w:val="zh-CN" w:bidi="zh-CN"/>
        </w:rPr>
      </w:pPr>
      <w:r>
        <w:rPr>
          <w:rFonts w:hint="eastAsia" w:ascii="宋体" w:hAnsi="宋体" w:eastAsia="宋体" w:cs="宋体"/>
          <w:b/>
          <w:bCs w:val="0"/>
          <w:i/>
          <w:iCs/>
          <w:color w:val="auto"/>
          <w:sz w:val="24"/>
          <w:szCs w:val="24"/>
          <w:highlight w:val="none"/>
          <w:u w:val="single"/>
          <w:lang w:val="en-US" w:eastAsia="zh-CN" w:bidi="zh-CN"/>
        </w:rPr>
        <w:t xml:space="preserve">3、自收到中标通知书一周内到岗人员不低于60人。</w:t>
      </w: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none"/>
          <w:lang w:val="en-US" w:eastAsia="zh-CN" w:bidi="zh-CN"/>
        </w:rPr>
        <w:outlineLvl w:val="1"/>
      </w:pPr>
      <w:r>
        <w:rPr>
          <w:rFonts w:hint="eastAsia" w:ascii="宋体" w:hAnsi="宋体" w:eastAsia="宋体" w:cs="宋体"/>
          <w:b/>
          <w:bCs/>
          <w:color w:val="auto"/>
          <w:sz w:val="24"/>
          <w:szCs w:val="24"/>
          <w:highlight w:val="none"/>
          <w:lang w:val="en-US" w:eastAsia="zh-CN" w:bidi="zh-CN"/>
        </w:rPr>
        <w:t xml:space="preserve">九、</w:t>
      </w:r>
      <w:r>
        <w:rPr>
          <w:rFonts w:hint="eastAsia" w:cs="宋体"/>
          <w:b/>
          <w:bCs/>
          <w:color w:val="auto"/>
          <w:sz w:val="24"/>
          <w:szCs w:val="24"/>
          <w:highlight w:val="none"/>
          <w:lang w:val="en-US" w:eastAsia="zh-CN" w:bidi="zh-CN"/>
        </w:rPr>
        <w:t xml:space="preserve">考核</w:t>
      </w:r>
      <w:r/>
    </w:p>
    <w:p>
      <w:pPr>
        <w:ind w:firstLine="482"/>
        <w:jc w:val="left"/>
        <w:spacing w:line="360" w:lineRule="auto"/>
        <w:widowControl/>
        <w:rPr>
          <w:rFonts w:hint="eastAsia" w:ascii="宋体" w:hAnsi="宋体" w:eastAsia="宋体" w:cs="宋体"/>
          <w:b/>
          <w:color w:val="auto"/>
          <w:sz w:val="24"/>
          <w:szCs w:val="24"/>
          <w:highlight w:val="none"/>
          <w:lang w:val="zh-CN" w:bidi="zh-CN"/>
        </w:rPr>
      </w:pPr>
      <w:r>
        <w:rPr>
          <w:rFonts w:hint="eastAsia" w:cs="宋体"/>
          <w:b/>
          <w:color w:val="auto"/>
          <w:sz w:val="24"/>
          <w:szCs w:val="24"/>
          <w:highlight w:val="none"/>
          <w:lang w:val="en-US" w:bidi="zh-CN"/>
        </w:rPr>
        <w:t xml:space="preserve">9.1</w:t>
      </w:r>
      <w:r>
        <w:rPr>
          <w:rFonts w:hint="eastAsia" w:ascii="宋体" w:hAnsi="宋体" w:eastAsia="宋体" w:cs="宋体"/>
          <w:b/>
          <w:color w:val="auto"/>
          <w:sz w:val="24"/>
          <w:szCs w:val="24"/>
          <w:highlight w:val="none"/>
          <w:lang w:val="zh-CN" w:bidi="zh-CN"/>
        </w:rPr>
        <w:t xml:space="preserve">服务考核方案</w:t>
      </w:r>
      <w:r/>
    </w:p>
    <w:p>
      <w:pPr>
        <w:ind w:firstLine="482"/>
        <w:jc w:val="left"/>
        <w:spacing w:line="360" w:lineRule="auto"/>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en-US" w:eastAsia="zh-CN" w:bidi="zh-CN"/>
        </w:rPr>
        <w:t xml:space="preserve">本项目</w:t>
      </w:r>
      <w:r>
        <w:rPr>
          <w:rFonts w:hint="eastAsia" w:ascii="宋体" w:hAnsi="宋体" w:eastAsia="宋体" w:cs="宋体"/>
          <w:b/>
          <w:bCs/>
          <w:color w:val="auto"/>
          <w:sz w:val="24"/>
          <w:szCs w:val="24"/>
          <w:highlight w:val="none"/>
          <w:lang w:val="zh-CN" w:bidi="zh-CN"/>
        </w:rPr>
        <w:t xml:space="preserve">实行多部门联合考核制度，考核部门包括但不限于上述考核表中的牵头考核部门，各考核部门以此基础考核表为参考，可细化与本部门职能相关的考核内容。各考核部门考核结果统一汇总至管理部门，管理部门根据考核结果按照合同约定支付相关费用。</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zh-CN" w:bidi="zh-CN"/>
        </w:rPr>
        <w:t xml:space="preserve">考核周期与组织</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zh-CN" w:bidi="zh-CN"/>
        </w:rPr>
        <w:t xml:space="preserve">1.</w:t>
      </w:r>
      <w:r>
        <w:rPr>
          <w:rFonts w:hint="eastAsia" w:ascii="宋体" w:hAnsi="宋体" w:eastAsia="宋体" w:cs="宋体"/>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zh-CN" w:bidi="zh-CN"/>
        </w:rPr>
        <w:t xml:space="preserve">考核周期：月度考核、月度</w:t>
      </w:r>
      <w:r>
        <w:rPr>
          <w:rFonts w:hint="eastAsia" w:ascii="宋体" w:hAnsi="宋体" w:eastAsia="宋体" w:cs="宋体"/>
          <w:color w:val="auto"/>
          <w:sz w:val="24"/>
          <w:szCs w:val="24"/>
          <w:highlight w:val="none"/>
          <w:lang w:val="en-US" w:eastAsia="zh-CN" w:bidi="zh-CN"/>
        </w:rPr>
        <w:t xml:space="preserve">考核</w:t>
      </w:r>
      <w:r>
        <w:rPr>
          <w:rFonts w:hint="eastAsia" w:ascii="宋体" w:hAnsi="宋体" w:eastAsia="宋体" w:cs="宋体"/>
          <w:color w:val="auto"/>
          <w:sz w:val="24"/>
          <w:szCs w:val="24"/>
          <w:highlight w:val="none"/>
          <w:lang w:val="zh-CN" w:bidi="zh-CN"/>
        </w:rPr>
        <w:t xml:space="preserve">结果用于当月服务费结算。</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zh-CN" w:bidi="zh-CN"/>
        </w:rPr>
        <w:t xml:space="preserve">2.考核部门：甲方护理部牵头，各临床科室护士长参与日常考评，护理部统一复核、汇总、存档。</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zh-CN" w:bidi="zh-CN"/>
        </w:rPr>
        <w:t xml:space="preserve">3.考核形式：日常督查、病区抽查、不良事件统计、投诉统计、院感检查、人员资质核查、满意度调查相结合。</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zh-CN" w:bidi="zh-CN"/>
        </w:rPr>
        <w:t xml:space="preserve">1.4 考核分值与等级：总分100分。优秀：90分及以上，合格：75–89分，基本合格：60–74分，不合格：60分以下。考核优秀（≥90分）：当月服务费100%足额结算，可作为年度优先续约依据；考核合格（75–89分）：当月服务费100%结算，乙方需对扣分问题提交书面整改报告；考核基本合格（60–74分）：扣除当月总服务费5%–10%，限期7日内完成全员整改与专项培训；考核不合格（＜60分）：扣除当月总服务费15%–20%，甲方有权约谈乙方负责人、要求全员停岗整顿。</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1.5</w:t>
      </w:r>
      <w:r>
        <w:rPr>
          <w:rFonts w:hint="eastAsia" w:ascii="宋体" w:hAnsi="宋体" w:eastAsia="宋体" w:cs="宋体"/>
          <w:color w:val="auto"/>
          <w:sz w:val="24"/>
          <w:szCs w:val="24"/>
          <w:highlight w:val="none"/>
          <w:lang w:val="zh-CN" w:bidi="zh-CN"/>
        </w:rPr>
        <w:t xml:space="preserve">一票否决条款（甲方有权单方追责、暂停服务、解除合同）</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当月出现下列任一情况，直接判定月度考核不合格，甲方有权扣除当月部分或全部履约保证金、暂停合作、限期整改、直至单方解除合同且不承担任何违约责任：</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1.5.1</w:t>
      </w:r>
      <w:r>
        <w:rPr>
          <w:rFonts w:hint="eastAsia" w:ascii="宋体" w:hAnsi="宋体" w:eastAsia="宋体" w:cs="宋体"/>
          <w:color w:val="auto"/>
          <w:sz w:val="24"/>
          <w:szCs w:val="24"/>
          <w:highlight w:val="none"/>
          <w:lang w:val="zh-CN" w:bidi="zh-CN"/>
        </w:rPr>
        <w:t xml:space="preserve">乙方派驻人员发生责任性严重护理不良事件，造成患者损伤、纠纷、赔偿；</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1.5.2</w:t>
      </w:r>
      <w:r>
        <w:rPr>
          <w:rFonts w:hint="eastAsia" w:ascii="宋体" w:hAnsi="宋体" w:eastAsia="宋体" w:cs="宋体"/>
          <w:color w:val="auto"/>
          <w:sz w:val="24"/>
          <w:szCs w:val="24"/>
          <w:highlight w:val="none"/>
          <w:lang w:val="zh-CN" w:bidi="zh-CN"/>
        </w:rPr>
        <w:t xml:space="preserve">乙方存在人员资质造假、无证上岗、批量人员证件过期拒不整改；</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1.5.3</w:t>
      </w:r>
      <w:r>
        <w:rPr>
          <w:rFonts w:hint="eastAsia" w:ascii="宋体" w:hAnsi="宋体" w:eastAsia="宋体" w:cs="宋体"/>
          <w:color w:val="auto"/>
          <w:sz w:val="24"/>
          <w:szCs w:val="24"/>
          <w:highlight w:val="none"/>
          <w:lang w:val="zh-CN" w:bidi="zh-CN"/>
        </w:rPr>
        <w:t xml:space="preserve">乙方护理员超范围执业，引发医疗风险及安全隐患；</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1.5.4</w:t>
      </w:r>
      <w:r>
        <w:rPr>
          <w:rFonts w:hint="eastAsia" w:ascii="宋体" w:hAnsi="宋体" w:eastAsia="宋体" w:cs="宋体"/>
          <w:color w:val="auto"/>
          <w:sz w:val="24"/>
          <w:szCs w:val="24"/>
          <w:highlight w:val="none"/>
          <w:lang w:val="zh-CN" w:bidi="zh-CN"/>
        </w:rPr>
        <w:t xml:space="preserve">发生重大有效投诉、院内舆情、造成医院声誉严重受损；</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1.5.5</w:t>
      </w:r>
      <w:r>
        <w:rPr>
          <w:rFonts w:hint="eastAsia" w:ascii="宋体" w:hAnsi="宋体" w:eastAsia="宋体" w:cs="宋体"/>
          <w:color w:val="auto"/>
          <w:sz w:val="24"/>
          <w:szCs w:val="24"/>
          <w:highlight w:val="none"/>
          <w:lang w:val="zh-CN" w:bidi="zh-CN"/>
        </w:rPr>
        <w:t xml:space="preserve">乙方管理混乱、人员长期缺岗、多次整改无效、严重影响病区正常工作；</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1.5.</w:t>
      </w:r>
      <w:r>
        <w:rPr>
          <w:rFonts w:hint="eastAsia" w:ascii="宋体" w:hAnsi="宋体" w:eastAsia="宋体" w:cs="宋体"/>
          <w:color w:val="auto"/>
          <w:sz w:val="24"/>
          <w:szCs w:val="24"/>
          <w:highlight w:val="none"/>
          <w:lang w:val="zh-CN" w:bidi="zh-CN"/>
        </w:rPr>
        <w:t xml:space="preserve">6 乙方纵容员工收受患者红包、私自收费、私接外单、违规牟利。</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1.6月考</w:t>
      </w:r>
      <w:r>
        <w:rPr>
          <w:rFonts w:hint="eastAsia" w:ascii="宋体" w:hAnsi="宋体" w:eastAsia="宋体" w:cs="宋体"/>
          <w:color w:val="auto"/>
          <w:sz w:val="24"/>
          <w:szCs w:val="24"/>
          <w:highlight w:val="none"/>
          <w:lang w:val="zh-CN" w:bidi="zh-CN"/>
        </w:rPr>
        <w:t xml:space="preserve">度、年度考核履约管理</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zh-CN" w:bidi="zh-CN"/>
        </w:rPr>
        <w:t xml:space="preserve">1. </w:t>
      </w:r>
      <w:r>
        <w:rPr>
          <w:rFonts w:hint="eastAsia" w:ascii="宋体" w:hAnsi="宋体" w:eastAsia="宋体" w:cs="宋体"/>
          <w:color w:val="auto"/>
          <w:sz w:val="24"/>
          <w:szCs w:val="24"/>
          <w:highlight w:val="none"/>
          <w:lang w:val="en-US" w:eastAsia="zh-CN" w:bidi="zh-CN"/>
        </w:rPr>
        <w:t xml:space="preserve">6.1</w:t>
      </w:r>
      <w:r>
        <w:rPr>
          <w:rFonts w:hint="eastAsia" w:ascii="宋体" w:hAnsi="宋体" w:eastAsia="宋体" w:cs="宋体"/>
          <w:color w:val="auto"/>
          <w:sz w:val="24"/>
          <w:szCs w:val="24"/>
          <w:highlight w:val="none"/>
          <w:lang w:val="zh-CN" w:bidi="zh-CN"/>
        </w:rPr>
        <w:t xml:space="preserve">季度内累计2次基本合格或1次不合格：甲方有权向乙方出具履约警示函，纳入年度失信记录。</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1.6.2</w:t>
      </w:r>
      <w:r>
        <w:rPr>
          <w:rFonts w:hint="eastAsia" w:ascii="宋体" w:hAnsi="宋体" w:eastAsia="宋体" w:cs="宋体"/>
          <w:color w:val="auto"/>
          <w:sz w:val="24"/>
          <w:szCs w:val="24"/>
          <w:highlight w:val="none"/>
          <w:lang w:val="zh-CN" w:bidi="zh-CN"/>
        </w:rPr>
        <w:t xml:space="preserve">年度内累计2次及以上月度不合格：视为乙方严重违约，甲方有权无条件终止合作合同、不予续标、列入黑名单，乙方承担全部违约责任。</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1.6.3</w:t>
      </w:r>
      <w:r>
        <w:rPr>
          <w:rFonts w:hint="eastAsia" w:ascii="宋体" w:hAnsi="宋体" w:eastAsia="宋体" w:cs="宋体"/>
          <w:color w:val="auto"/>
          <w:sz w:val="24"/>
          <w:szCs w:val="24"/>
          <w:highlight w:val="none"/>
          <w:lang w:val="zh-CN" w:bidi="zh-CN"/>
        </w:rPr>
        <w:t xml:space="preserve">年度综合考核优秀的乙方，在同等条件下享有优先续约权。</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eastAsia="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1.7</w:t>
      </w:r>
      <w:r>
        <w:rPr>
          <w:rFonts w:hint="eastAsia" w:ascii="宋体" w:hAnsi="宋体" w:eastAsia="宋体" w:cs="宋体"/>
          <w:color w:val="auto"/>
          <w:sz w:val="24"/>
          <w:szCs w:val="24"/>
          <w:highlight w:val="none"/>
          <w:lang w:val="zh-CN" w:eastAsia="zh-CN" w:bidi="zh-CN"/>
        </w:rPr>
        <w:t xml:space="preserve"> 整改、督查与追责机制</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eastAsia="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1.7.</w:t>
      </w:r>
      <w:r>
        <w:rPr>
          <w:rFonts w:hint="eastAsia" w:ascii="宋体" w:hAnsi="宋体" w:eastAsia="宋体" w:cs="宋体"/>
          <w:color w:val="auto"/>
          <w:sz w:val="24"/>
          <w:szCs w:val="24"/>
          <w:highlight w:val="none"/>
          <w:lang w:val="zh-CN" w:eastAsia="zh-CN" w:bidi="zh-CN"/>
        </w:rPr>
        <w:t xml:space="preserve">1. 甲方每月将考核结果书面告知乙方，乙方须在3个工作日内确认、提交整改方案。</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eastAsia="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1.7.</w:t>
      </w:r>
      <w:r>
        <w:rPr>
          <w:rFonts w:hint="eastAsia" w:ascii="宋体" w:hAnsi="宋体" w:eastAsia="宋体" w:cs="宋体"/>
          <w:color w:val="auto"/>
          <w:sz w:val="24"/>
          <w:szCs w:val="24"/>
          <w:highlight w:val="none"/>
          <w:lang w:val="zh-CN" w:eastAsia="zh-CN" w:bidi="zh-CN"/>
        </w:rPr>
        <w:t xml:space="preserve">2. 对反复出现的同类问题，甲方有权要求乙方开展全员专项培训、更换现场管理人员、淘汰不合格护理员。</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en-US" w:eastAsia="zh-CN" w:bidi="zh-CN"/>
        </w:rPr>
        <w:t xml:space="preserve">1.7.</w:t>
      </w:r>
      <w:r>
        <w:rPr>
          <w:rFonts w:hint="eastAsia" w:ascii="宋体" w:hAnsi="宋体" w:eastAsia="宋体" w:cs="宋体"/>
          <w:color w:val="auto"/>
          <w:sz w:val="24"/>
          <w:szCs w:val="24"/>
          <w:highlight w:val="none"/>
          <w:lang w:val="zh-CN" w:eastAsia="zh-CN" w:bidi="zh-CN"/>
        </w:rPr>
        <w:t xml:space="preserve">3.因乙方服务问题引发患者赔偿、纠纷处理费用、院感处罚、质控处罚的，所有经济损失及责任由乙方全额承担。</w:t>
      </w:r>
      <w:r/>
    </w:p>
    <w:p>
      <w:pPr>
        <w:ind w:firstLine="480"/>
        <w:jc w:val="left"/>
        <w:spacing w:line="360" w:lineRule="auto"/>
        <w:rPr>
          <w:rFonts w:hint="eastAsia" w:ascii="宋体" w:hAnsi="宋体" w:eastAsia="宋体" w:cs="宋体"/>
          <w:color w:val="auto"/>
          <w:sz w:val="24"/>
          <w:szCs w:val="24"/>
          <w:highlight w:val="none"/>
          <w:lang w:val="zh-CN" w:bidi="zh-CN"/>
        </w:rPr>
      </w:pPr>
      <w:r/>
      <w:bookmarkStart w:id="48" w:name="_Hlk71035546"/>
      <w:r>
        <w:rPr>
          <w:rFonts w:hint="eastAsia"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.2 中标服务商的管理人员及护理员，用工均应符合国家劳动人事政策。中标服务商必须承诺进驻院方员工年龄女性不得超过55周岁、男性不超过60周岁，</w:t>
      </w:r>
      <w:r>
        <w:rPr>
          <w:rFonts w:hint="eastAsia" w:cs="宋体"/>
          <w:color w:val="auto"/>
          <w:sz w:val="24"/>
          <w:szCs w:val="24"/>
          <w:highlight w:val="none"/>
          <w:lang w:val="en-US" w:bidi="zh-CN"/>
        </w:rPr>
        <w:t xml:space="preserve">其中护工</w:t>
      </w:r>
      <w:r>
        <w:rPr>
          <w:rFonts w:hint="eastAsia" w:ascii="宋体" w:hAnsi="宋体" w:eastAsia="宋体" w:cs="宋体"/>
          <w:color w:val="auto"/>
          <w:sz w:val="24"/>
          <w:szCs w:val="24"/>
          <w:highlight w:val="none"/>
          <w:lang w:val="zh-CN" w:bidi="zh-CN"/>
        </w:rPr>
        <w:t xml:space="preserve">年龄50周岁（含）以下人员比例要求达到80%。如有违反，院方有权要求其整改，经限期整改仍无效，院方有权单方面解除该项目合同，且成交服务商需赔偿院方一切相关损失，并免费服务至新的服务商前来接替为止（最长三个月）。</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.3 中标服务商必须在合同签订前提供所有上岗人员的有效职称证、上岗证等原件供院方审核，如果中标服务商不能提供，则院方有权废除中标服务商的中标资格。成交后重要岗位人员如需更换，应及时告知院方，经同意认可后方可更换，并建立工作人员花名册、档案。</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.4 中标服务商应制订具体的质量保证措施和相关的服务承诺。中标服务商所有的工作应按服务流程实施，自觉接受院方或第三方（职能部门）的随时检查。如出现服务质量未达标情况，院方有权要求其整改，经限期整改仍无效院方有权单方面解除该项目合同，且成交服务商需赔偿院方一切相关损失，并免费服务至新的服务商前来接替为止（最长三个月）。</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.5 中标服务商应严格按照合同约定的收费标准向病人收取服务费用，并如实上报每日在岗人数，服务过程中不得擅自提高收费标准，不得变相收费，不得以任何方式损害院方和病人的合法权益。所有收费应向病人开具票据。如因擅自提高收费标准或变相收费、虚报在岗人数等行为被甲方一经查实，给予1000-5000元处罚，并有权解除合同。</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.6 中标服务商不能在医院内从事任何经营性活动。一旦发现，院方有权要求其整改，经限期整改仍无效院方有权单方面解除该项目合同，且成交服务商需赔偿院方一切相关损失，并免费服务至新的服务商前来接替为止（最长三个月）。</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.7 中标服务商负责与员工签订劳动合同或劳务协议，负责劳动关系管理。中标服务商自行支付护理员的工资、福利待遇及国家要求的社会保险。中标服务商员工在服务过程中出现的工伤、疾病、意外伤（亡）害等情况由中标服务商负责处理，与院方无关。</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.8 与本合同ICU陪护、普通陪护、</w:t>
      </w:r>
      <w:r>
        <w:rPr>
          <w:rFonts w:hint="eastAsia" w:ascii="宋体" w:hAnsi="宋体" w:eastAsia="宋体" w:cs="宋体"/>
          <w:strike w:val="0"/>
          <w:color w:val="auto"/>
          <w:sz w:val="24"/>
          <w:szCs w:val="24"/>
          <w:highlight w:val="none"/>
          <w:lang w:val="en-US" w:bidi="zh-CN"/>
        </w:rPr>
        <w:t xml:space="preserve">陪</w:t>
      </w:r>
      <w:r>
        <w:rPr>
          <w:rFonts w:hint="eastAsia" w:ascii="宋体" w:hAnsi="宋体" w:eastAsia="宋体" w:cs="宋体"/>
          <w:color w:val="auto"/>
          <w:sz w:val="24"/>
          <w:szCs w:val="24"/>
          <w:highlight w:val="none"/>
          <w:lang w:val="zh-CN" w:bidi="zh-CN"/>
        </w:rPr>
        <w:t xml:space="preserve">检、陪诊相关的服务，护患纠纷、劳动纠纷等矛盾，中标服务商负全责并积极妥善处理，如因处理矛盾纠纷不力，给医院带来任何负面影响，院方有权单方面解除该项目合同，且中标服务商需赔偿院方一切相关损失，并免费服务至新的服务商前来接替为止（最长三个月）。</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.9 针对护理员服务质量的有效投诉，</w:t>
      </w:r>
      <w:r>
        <w:rPr>
          <w:rFonts w:hint="eastAsia" w:ascii="宋体" w:hAnsi="宋体" w:eastAsia="宋体" w:cs="宋体"/>
          <w:color w:val="auto"/>
          <w:spacing w:val="0"/>
          <w:sz w:val="24"/>
          <w:szCs w:val="24"/>
          <w:highlight w:val="none"/>
          <w:lang w:val="zh-CN" w:eastAsia="zh-CN"/>
        </w:rPr>
        <w:t xml:space="preserve">普通有效投诉每起扣3分；重大投诉、群体性投诉、舆情风险事件每起扣8–10分，</w:t>
      </w:r>
      <w:r>
        <w:rPr>
          <w:rFonts w:hint="eastAsia" w:ascii="宋体" w:hAnsi="宋体" w:eastAsia="宋体" w:cs="宋体"/>
          <w:color w:val="auto"/>
          <w:sz w:val="24"/>
          <w:szCs w:val="24"/>
          <w:highlight w:val="none"/>
          <w:lang w:val="zh-CN" w:bidi="zh-CN"/>
        </w:rPr>
        <w:t xml:space="preserve">具体情节处罚规则由中标服务商制定；中标服务商严重违反服务承诺，经限期整改后仍无效；</w:t>
      </w:r>
      <w:r>
        <w:rPr>
          <w:rFonts w:hint="eastAsia" w:ascii="宋体" w:hAnsi="宋体" w:eastAsia="宋体" w:cs="宋体"/>
          <w:b/>
          <w:bCs/>
          <w:i/>
          <w:iCs/>
          <w:color w:val="auto"/>
          <w:sz w:val="24"/>
          <w:szCs w:val="24"/>
          <w:highlight w:val="none"/>
          <w:u w:val="single"/>
          <w:lang w:val="zh-CN" w:bidi="zh-CN"/>
        </w:rPr>
        <w:t xml:space="preserve">在陪护陪诊配检过程中,使病人发生意外或与病人家属发生纠纷时，均由中标服务商负责解决，连续3个月发生护患纠纷超过3例/月，院方有权单方面解除该项目合同，且成交服务商需赔偿院方一切相关损失，并免费服务至新的服务商前来接替为止（最长三个月）</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b/>
          <w:bCs/>
          <w:i/>
          <w:iCs/>
          <w:color w:val="auto"/>
          <w:sz w:val="24"/>
          <w:szCs w:val="24"/>
          <w:highlight w:val="none"/>
          <w:u w:val="single"/>
          <w:lang w:val="zh-CN" w:bidi="zh-CN"/>
        </w:rPr>
        <w:t xml:space="preserve">（需提供承诺函并加盖</w:t>
      </w:r>
      <w:r>
        <w:rPr>
          <w:rFonts w:hint="eastAsia" w:cs="宋体"/>
          <w:b/>
          <w:bCs/>
          <w:i/>
          <w:iCs/>
          <w:color w:val="auto"/>
          <w:sz w:val="24"/>
          <w:szCs w:val="24"/>
          <w:highlight w:val="none"/>
          <w:u w:val="single"/>
          <w:lang w:val="en-US" w:bidi="zh-CN"/>
        </w:rPr>
        <w:t xml:space="preserve">供应商</w:t>
      </w:r>
      <w:r>
        <w:rPr>
          <w:rFonts w:hint="eastAsia" w:ascii="宋体" w:hAnsi="宋体" w:eastAsia="宋体" w:cs="宋体"/>
          <w:b/>
          <w:bCs/>
          <w:i/>
          <w:iCs/>
          <w:color w:val="auto"/>
          <w:sz w:val="24"/>
          <w:szCs w:val="24"/>
          <w:highlight w:val="none"/>
          <w:u w:val="single"/>
          <w:lang w:val="zh-CN" w:bidi="zh-CN"/>
        </w:rPr>
        <w:t xml:space="preserve">公章）</w:t>
      </w:r>
      <w:r/>
    </w:p>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6.10 如因中标服务商原因导致院方人员、设备及其他直接损失时，中标服务商应按实际价格进行赔偿。如因第三方原因导致中标服务商损失的，中标服务商向第三方索赔的，院方予以协助。</w:t>
      </w:r>
      <w:r/>
    </w:p>
    <w:p>
      <w:pPr>
        <w:ind w:firstLine="482"/>
        <w:jc w:val="left"/>
        <w:spacing w:line="360" w:lineRule="auto"/>
        <w:tabs>
          <w:tab w:val="left" w:pos="540" w:leader="none"/>
        </w:tabs>
        <w:rPr>
          <w:rFonts w:ascii="宋体" w:hAnsi="宋体" w:eastAsia="宋体" w:cs="宋体"/>
          <w:b/>
          <w:bCs/>
          <w:color w:val="auto"/>
          <w:sz w:val="22"/>
          <w:highlight w:val="none"/>
          <w:lang w:val="zh-CN" w:bidi="zh-CN"/>
        </w:rPr>
      </w:pPr>
      <w:r>
        <w:rPr>
          <w:rFonts w:hint="eastAsia" w:ascii="宋体" w:hAnsi="宋体" w:eastAsia="宋体" w:cs="宋体"/>
          <w:b/>
          <w:bCs/>
          <w:color w:val="auto"/>
          <w:sz w:val="24"/>
          <w:szCs w:val="24"/>
          <w:highlight w:val="none"/>
          <w:lang w:val="zh-CN" w:bidi="zh-CN"/>
        </w:rPr>
        <w:t xml:space="preserve">6.11 中标服务商需提供护工服务管理系统，便于医院管理及考核。</w:t>
      </w:r>
      <w:bookmarkEnd w:id="48"/>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keepLines w:val="0"/>
        <w:keepNext w:val="0"/>
        <w:pageBreakBefore w:val="0"/>
        <w:spacing w:line="200" w:lineRule="exact"/>
        <w:rPr>
          <w:rFonts w:hint="eastAsia" w:eastAsia="楷体_GB2312"/>
          <w:color w:val="auto"/>
          <w:spacing w:val="-1"/>
          <w:position w:val="-1"/>
          <w:sz w:val="20"/>
          <w:szCs w:val="20"/>
          <w:highlight w:val="none"/>
          <w:lang w:val="en-US" w:eastAsia="zh-CN"/>
        </w:rPr>
      </w:pPr>
      <w:r>
        <w:rPr>
          <w:color w:val="auto"/>
          <w:spacing w:val="8"/>
          <w:sz w:val="20"/>
          <w:szCs w:val="20"/>
          <w:highlight w:val="none"/>
        </w:rPr>
        <w:t xml:space="preserve">             </w:t>
      </w:r>
      <w:r>
        <w:rPr>
          <w:rFonts w:hint="eastAsia"/>
          <w:color w:val="auto"/>
          <w:spacing w:val="8"/>
          <w:sz w:val="20"/>
          <w:szCs w:val="20"/>
          <w:highlight w:val="none"/>
          <w:lang w:val="en-US" w:eastAsia="zh-CN"/>
        </w:rPr>
        <w:t xml:space="preserve"> </w:t>
      </w:r>
      <w:r/>
    </w:p>
    <w:p>
      <w:pPr>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r>
      <w:r/>
    </w:p>
    <w:p>
      <w:pPr>
        <w:jc w:val="left"/>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br w:type="page" w:clear="all"/>
      </w:r>
      <w:r/>
    </w:p>
    <w:p>
      <w:pPr>
        <w:jc w:val="center"/>
        <w:rPr>
          <w:rFonts w:hint="default" w:ascii="方正小标宋_GBK" w:hAnsi="方正小标宋_GBK" w:eastAsia="方正小标宋_GBK" w:cs="方正小标宋_GBK"/>
          <w:color w:val="auto"/>
          <w:sz w:val="36"/>
          <w:szCs w:val="36"/>
          <w:highlight w:val="none"/>
          <w:lang w:val="en-US"/>
        </w:rPr>
      </w:pPr>
      <w:r>
        <w:rPr>
          <w:rFonts w:hint="eastAsia" w:ascii="方正小标宋_GBK" w:hAnsi="方正小标宋_GBK" w:eastAsia="方正小标宋_GBK" w:cs="方正小标宋_GBK"/>
          <w:color w:val="auto"/>
          <w:sz w:val="36"/>
          <w:szCs w:val="36"/>
          <w:highlight w:val="none"/>
        </w:rPr>
        <w:t xml:space="preserve">扬州市妇幼保健院</w:t>
      </w:r>
      <w:r>
        <w:rPr>
          <w:rFonts w:hint="eastAsia" w:ascii="方正小标宋_GBK" w:hAnsi="方正小标宋_GBK" w:eastAsia="方正小标宋_GBK" w:cs="方正小标宋_GBK"/>
          <w:color w:val="auto"/>
          <w:sz w:val="36"/>
          <w:szCs w:val="36"/>
          <w:highlight w:val="none"/>
          <w:lang w:val="en-US" w:eastAsia="zh-CN"/>
        </w:rPr>
        <w:t xml:space="preserve">医疗</w:t>
      </w:r>
      <w:r>
        <w:rPr>
          <w:rFonts w:hint="eastAsia" w:ascii="方正小标宋_GBK" w:hAnsi="方正小标宋_GBK" w:eastAsia="方正小标宋_GBK" w:cs="方正小标宋_GBK"/>
          <w:color w:val="auto"/>
          <w:sz w:val="36"/>
          <w:szCs w:val="36"/>
          <w:highlight w:val="none"/>
          <w:lang w:eastAsia="zh-CN"/>
        </w:rPr>
        <w:t xml:space="preserve">护理</w:t>
      </w:r>
      <w:r>
        <w:rPr>
          <w:rFonts w:hint="eastAsia" w:ascii="方正小标宋_GBK" w:hAnsi="方正小标宋_GBK" w:eastAsia="方正小标宋_GBK" w:cs="方正小标宋_GBK"/>
          <w:color w:val="auto"/>
          <w:sz w:val="36"/>
          <w:szCs w:val="36"/>
          <w:highlight w:val="none"/>
          <w:lang w:val="en-US" w:eastAsia="zh-CN"/>
        </w:rPr>
        <w:t xml:space="preserve">员服务考核标准</w:t>
      </w:r>
      <w:r/>
    </w:p>
    <w:p>
      <w:pPr>
        <w:spacing w:line="40" w:lineRule="exact"/>
        <w:rPr>
          <w:color w:val="auto"/>
          <w:highlight w:val="none"/>
        </w:rPr>
      </w:pPr>
      <w:r>
        <w:rPr>
          <w:color w:val="auto"/>
          <w:highlight w:val="none"/>
        </w:rPr>
      </w:r>
      <w:r/>
    </w:p>
    <w:tbl>
      <w:tblPr>
        <w:tblStyle w:val="857"/>
        <w:tblW w:w="12225" w:type="dxa"/>
        <w:tblInd w:w="-8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96"/>
        <w:gridCol w:w="3539"/>
        <w:gridCol w:w="2000"/>
        <w:gridCol w:w="5"/>
        <w:gridCol w:w="3085"/>
        <w:gridCol w:w="2100"/>
      </w:tblGrid>
      <w:tr>
        <w:trPr>
          <w:gridAfter w:val="1"/>
          <w:trHeight w:val="320"/>
        </w:trPr>
        <w:tc>
          <w:tcPr>
            <w:tcBorders>
              <w:right w:val="single" w:color="auto" w:sz="4" w:space="0"/>
            </w:tcBorders>
            <w:tcW w:w="1496" w:type="dxa"/>
            <w:vAlign w:val="center"/>
            <w:textDirection w:val="lrTb"/>
            <w:noWrap w:val="false"/>
          </w:tcPr>
          <w:p>
            <w:pPr>
              <w:pStyle w:val="856"/>
              <w:jc w:val="center"/>
              <w:keepLines w:val="0"/>
              <w:keepNext w:val="0"/>
              <w:pageBreakBefore w:val="0"/>
              <w:spacing w:before="56" w:line="200" w:lineRule="exact"/>
              <w:widowControl w:val="off"/>
              <w:rPr>
                <w:rFonts w:hint="eastAsia" w:ascii="宋体" w:hAnsi="宋体" w:eastAsia="宋体" w:cs="宋体"/>
                <w:b/>
                <w:bCs/>
                <w:color w:val="auto"/>
                <w:spacing w:val="2"/>
                <w:sz w:val="20"/>
                <w:szCs w:val="20"/>
                <w:highlight w:val="none"/>
              </w:rPr>
            </w:pPr>
            <w:r>
              <w:rPr>
                <w:rFonts w:hint="eastAsia" w:ascii="楷体_GB2312" w:hAnsi="Arial" w:eastAsia="楷体_GB2312" w:cs="Times New Roman"/>
                <w:color w:val="auto"/>
                <w:spacing w:val="-1"/>
                <w:position w:val="-1"/>
                <w:sz w:val="20"/>
                <w:szCs w:val="20"/>
                <w:highlight w:val="none"/>
                <w:lang w:val="en-US" w:eastAsia="zh-CN" w:bidi="ar-SA"/>
              </w:rPr>
              <w:t xml:space="preserve">考核月份</w:t>
            </w:r>
            <w:r/>
          </w:p>
        </w:tc>
        <w:tc>
          <w:tcPr>
            <w:tcBorders>
              <w:left w:val="single" w:color="auto" w:sz="4" w:space="0"/>
            </w:tcBorders>
            <w:tcW w:w="3539" w:type="dxa"/>
            <w:vAlign w:val="center"/>
            <w:textDirection w:val="lrTb"/>
            <w:noWrap w:val="false"/>
          </w:tcPr>
          <w:p>
            <w:pPr>
              <w:pStyle w:val="856"/>
              <w:jc w:val="left"/>
              <w:keepLines w:val="0"/>
              <w:keepNext w:val="0"/>
              <w:pageBreakBefore w:val="0"/>
              <w:spacing w:before="56" w:line="200" w:lineRule="exact"/>
              <w:widowControl w:val="off"/>
              <w:rPr>
                <w:rFonts w:hint="eastAsia" w:ascii="宋体" w:hAnsi="宋体" w:eastAsia="宋体" w:cs="宋体"/>
                <w:b/>
                <w:bCs/>
                <w:color w:val="auto"/>
                <w:spacing w:val="3"/>
                <w:sz w:val="20"/>
                <w:szCs w:val="20"/>
                <w:highlight w:val="none"/>
                <w:lang w:val="en-US" w:eastAsia="zh-CN"/>
              </w:rPr>
            </w:pPr>
            <w:r>
              <w:rPr>
                <w:rFonts w:hint="eastAsia" w:ascii="宋体" w:hAnsi="宋体" w:eastAsia="宋体" w:cs="宋体"/>
                <w:b/>
                <w:bCs/>
                <w:color w:val="auto"/>
                <w:spacing w:val="3"/>
                <w:sz w:val="20"/>
                <w:szCs w:val="20"/>
                <w:highlight w:val="none"/>
                <w:lang w:val="en-US" w:eastAsia="zh-CN"/>
              </w:rPr>
            </w:r>
            <w:r/>
          </w:p>
        </w:tc>
        <w:tc>
          <w:tcPr>
            <w:gridSpan w:val="2"/>
            <w:tcBorders>
              <w:right w:val="single" w:color="auto" w:sz="4" w:space="0"/>
            </w:tcBorders>
            <w:tcW w:w="2005" w:type="dxa"/>
            <w:vAlign w:val="center"/>
            <w:textDirection w:val="lrTb"/>
            <w:noWrap w:val="false"/>
          </w:tcPr>
          <w:p>
            <w:pPr>
              <w:pStyle w:val="724"/>
              <w:jc w:val="center"/>
              <w:keepLines w:val="0"/>
              <w:keepNext w:val="0"/>
              <w:pageBreakBefore w:val="0"/>
              <w:spacing w:before="88" w:line="200" w:lineRule="exact"/>
              <w:rPr>
                <w:rFonts w:hint="eastAsia" w:ascii="宋体" w:hAnsi="宋体" w:eastAsia="宋体" w:cs="宋体"/>
                <w:b/>
                <w:bCs/>
                <w:color w:val="auto"/>
                <w:sz w:val="20"/>
                <w:szCs w:val="20"/>
                <w:highlight w:val="none"/>
                <w:lang w:val="en-US" w:eastAsia="zh-CN"/>
              </w:rPr>
            </w:pPr>
            <w:r>
              <w:rPr>
                <w:color w:val="auto"/>
                <w:spacing w:val="-1"/>
                <w:position w:val="-1"/>
                <w:sz w:val="20"/>
                <w:szCs w:val="20"/>
                <w:highlight w:val="none"/>
              </w:rPr>
              <w:t xml:space="preserve">考核人</w:t>
            </w:r>
            <w:r/>
          </w:p>
        </w:tc>
        <w:tc>
          <w:tcPr>
            <w:tcBorders>
              <w:left w:val="single" w:color="auto" w:sz="4" w:space="0"/>
            </w:tcBorders>
            <w:tcW w:w="3085" w:type="dxa"/>
            <w:vAlign w:val="center"/>
            <w:textDirection w:val="lrTb"/>
            <w:noWrap w:val="false"/>
          </w:tcPr>
          <w:p>
            <w:pPr>
              <w:pStyle w:val="724"/>
              <w:keepLines w:val="0"/>
              <w:keepNext w:val="0"/>
              <w:pageBreakBefore w:val="0"/>
              <w:spacing w:before="88" w:line="200" w:lineRule="exact"/>
              <w:rPr>
                <w:rFonts w:hint="eastAsia" w:eastAsia="楷体_GB2312"/>
                <w:color w:val="auto"/>
                <w:spacing w:val="8"/>
                <w:sz w:val="20"/>
                <w:szCs w:val="20"/>
                <w:highlight w:val="none"/>
                <w:lang w:val="en-US" w:eastAsia="zh-CN"/>
              </w:rPr>
            </w:pPr>
            <w:r>
              <w:rPr>
                <w:rFonts w:hint="eastAsia"/>
                <w:color w:val="auto"/>
                <w:spacing w:val="8"/>
                <w:sz w:val="20"/>
                <w:szCs w:val="20"/>
                <w:highlight w:val="none"/>
                <w:lang w:val="en-US" w:eastAsia="zh-CN"/>
              </w:rPr>
              <w:t xml:space="preserve"> </w:t>
            </w:r>
            <w:r/>
          </w:p>
        </w:tc>
      </w:tr>
      <w:tr>
        <w:trPr>
          <w:gridAfter w:val="1"/>
          <w:trHeight w:val="510"/>
        </w:trPr>
        <w:tc>
          <w:tcPr>
            <w:tcW w:w="1496" w:type="dxa"/>
            <w:vAlign w:val="center"/>
            <w:textDirection w:val="lrTb"/>
            <w:noWrap w:val="false"/>
          </w:tcPr>
          <w:p>
            <w:pPr>
              <w:pStyle w:val="856"/>
              <w:ind w:left="344"/>
              <w:jc w:val="both"/>
              <w:keepLines w:val="0"/>
              <w:keepNext w:val="0"/>
              <w:pageBreakBefore w:val="0"/>
              <w:spacing w:before="54" w:line="200" w:lineRule="exact"/>
              <w:widowControl w:val="off"/>
              <w:rPr>
                <w:rFonts w:hint="eastAsia" w:ascii="宋体" w:hAnsi="宋体" w:eastAsia="宋体" w:cs="宋体"/>
                <w:b/>
                <w:bCs/>
                <w:color w:val="auto"/>
                <w:sz w:val="20"/>
                <w:szCs w:val="20"/>
                <w:highlight w:val="none"/>
                <w:lang w:val="en-US" w:eastAsia="en-US" w:bidi="ar-SA"/>
              </w:rPr>
            </w:pPr>
            <w:r>
              <w:rPr>
                <w:rFonts w:hint="eastAsia" w:ascii="宋体" w:hAnsi="宋体" w:eastAsia="宋体" w:cs="宋体"/>
                <w:b/>
                <w:bCs/>
                <w:color w:val="auto"/>
                <w:spacing w:val="3"/>
                <w:sz w:val="20"/>
                <w:szCs w:val="20"/>
                <w:highlight w:val="none"/>
              </w:rPr>
              <w:t xml:space="preserve">考核内容</w:t>
            </w:r>
            <w:r/>
          </w:p>
        </w:tc>
        <w:tc>
          <w:tcPr>
            <w:gridSpan w:val="2"/>
            <w:tcBorders>
              <w:right w:val="single" w:color="auto" w:sz="4" w:space="0"/>
            </w:tcBorders>
            <w:tcW w:w="5539" w:type="dxa"/>
            <w:vAlign w:val="center"/>
            <w:textDirection w:val="lrTb"/>
            <w:noWrap w:val="false"/>
          </w:tcPr>
          <w:p>
            <w:pPr>
              <w:pStyle w:val="856"/>
              <w:jc w:val="center"/>
              <w:keepLines w:val="0"/>
              <w:keepNext w:val="0"/>
              <w:pageBreakBefore w:val="0"/>
              <w:spacing w:before="56" w:line="200" w:lineRule="exact"/>
              <w:widowControl w:val="off"/>
              <w:rPr>
                <w:rFonts w:hint="eastAsia" w:ascii="宋体" w:hAnsi="宋体" w:eastAsia="宋体" w:cs="宋体"/>
                <w:b/>
                <w:bCs/>
                <w:color w:val="auto"/>
                <w:sz w:val="20"/>
                <w:szCs w:val="20"/>
                <w:highlight w:val="none"/>
                <w:lang w:val="en-US" w:eastAsia="en-US" w:bidi="ar-SA"/>
              </w:rPr>
            </w:pPr>
            <w:r>
              <w:rPr>
                <w:rFonts w:hint="eastAsia" w:ascii="宋体" w:hAnsi="宋体" w:eastAsia="宋体" w:cs="宋体"/>
                <w:b/>
                <w:bCs/>
                <w:color w:val="auto"/>
                <w:spacing w:val="2"/>
                <w:sz w:val="20"/>
                <w:szCs w:val="20"/>
                <w:highlight w:val="none"/>
              </w:rPr>
              <w:t xml:space="preserve">评分标准</w:t>
            </w:r>
            <w:r/>
          </w:p>
        </w:tc>
        <w:tc>
          <w:tcPr>
            <w:gridSpan w:val="2"/>
            <w:tcBorders>
              <w:left w:val="single" w:color="auto" w:sz="4" w:space="0"/>
            </w:tcBorders>
            <w:tcW w:w="3090" w:type="dxa"/>
            <w:vAlign w:val="center"/>
            <w:textDirection w:val="lrTb"/>
            <w:noWrap w:val="false"/>
          </w:tcPr>
          <w:p>
            <w:pPr>
              <w:pStyle w:val="856"/>
              <w:ind w:left="341" w:right="112" w:hanging="230"/>
              <w:jc w:val="center"/>
              <w:keepLines w:val="0"/>
              <w:keepNext w:val="0"/>
              <w:pageBreakBefore w:val="0"/>
              <w:spacing w:before="49" w:line="2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扣分细则</w:t>
            </w:r>
            <w:r/>
          </w:p>
        </w:tc>
      </w:tr>
      <w:tr>
        <w:trPr>
          <w:gridAfter w:val="1"/>
          <w:trHeight w:val="90"/>
        </w:trPr>
        <w:tc>
          <w:tcPr>
            <w:tcW w:w="1496" w:type="dxa"/>
            <w:vAlign w:val="center"/>
            <w:vMerge w:val="restart"/>
            <w:textDirection w:val="lrTb"/>
            <w:noWrap w:val="false"/>
          </w:tcPr>
          <w:p>
            <w:pPr>
              <w:pStyle w:val="856"/>
              <w:ind w:left="0"/>
              <w:jc w:val="center"/>
              <w:keepLines w:val="0"/>
              <w:keepNext w:val="0"/>
              <w:pageBreakBefore w:val="0"/>
              <w:spacing w:line="2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2"/>
                <w:sz w:val="20"/>
                <w:szCs w:val="20"/>
                <w:highlight w:val="none"/>
              </w:rPr>
              <w:t xml:space="preserve">人员要求</w:t>
            </w:r>
            <w:r/>
          </w:p>
          <w:p>
            <w:pPr>
              <w:pStyle w:val="856"/>
              <w:ind w:left="0"/>
              <w:jc w:val="center"/>
              <w:keepLines w:val="0"/>
              <w:keepNext w:val="0"/>
              <w:pageBreakBefore w:val="0"/>
              <w:spacing w:line="200" w:lineRule="exact"/>
              <w:widowControl w:val="off"/>
              <w:rPr>
                <w:rFonts w:hint="eastAsia" w:ascii="宋体" w:hAnsi="宋体" w:eastAsia="宋体" w:cs="宋体"/>
                <w:color w:val="auto"/>
                <w:sz w:val="20"/>
                <w:szCs w:val="20"/>
                <w:highlight w:val="none"/>
                <w:lang w:val="en-US" w:eastAsia="en-US" w:bidi="ar-SA"/>
              </w:rPr>
            </w:pPr>
            <w:r>
              <w:rPr>
                <w:rFonts w:hint="eastAsia" w:ascii="宋体" w:hAnsi="宋体" w:eastAsia="宋体" w:cs="宋体"/>
                <w:color w:val="auto"/>
                <w:spacing w:val="10"/>
                <w:sz w:val="20"/>
                <w:szCs w:val="20"/>
                <w:highlight w:val="none"/>
              </w:rPr>
              <w:t xml:space="preserve">(20分)</w:t>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eastAsia="zh-CN"/>
              </w:rPr>
            </w:pPr>
            <w:r>
              <w:rPr>
                <w:rFonts w:hint="eastAsia" w:ascii="宋体" w:hAnsi="宋体" w:eastAsia="宋体" w:cs="宋体"/>
                <w:color w:val="auto"/>
                <w:spacing w:val="-3"/>
                <w:sz w:val="20"/>
                <w:szCs w:val="20"/>
                <w:highlight w:val="none"/>
                <w:lang w:val="zh-CN" w:eastAsia="zh-CN"/>
              </w:rPr>
              <w:t xml:space="preserve">所有派驻人员资质齐全、证件有效（</w:t>
            </w:r>
            <w:r>
              <w:rPr>
                <w:rFonts w:hint="eastAsia" w:ascii="宋体" w:hAnsi="宋体" w:eastAsia="宋体" w:cs="宋体"/>
                <w:color w:val="auto"/>
                <w:spacing w:val="-3"/>
                <w:sz w:val="20"/>
                <w:szCs w:val="20"/>
                <w:highlight w:val="none"/>
                <w:lang w:val="en-US" w:eastAsia="zh-CN"/>
              </w:rPr>
              <w:t xml:space="preserve">医疗护理员证</w:t>
            </w:r>
            <w:r>
              <w:rPr>
                <w:rFonts w:hint="eastAsia" w:ascii="宋体" w:hAnsi="宋体" w:eastAsia="宋体" w:cs="宋体"/>
                <w:color w:val="auto"/>
                <w:spacing w:val="-3"/>
                <w:sz w:val="20"/>
                <w:szCs w:val="20"/>
                <w:highlight w:val="none"/>
                <w:lang w:val="zh-CN" w:eastAsia="zh-CN"/>
              </w:rPr>
              <w:t xml:space="preserve">）、体检合格</w:t>
            </w:r>
            <w:r>
              <w:rPr>
                <w:rFonts w:hint="eastAsia" w:ascii="宋体" w:hAnsi="宋体" w:eastAsia="宋体" w:cs="宋体"/>
                <w:color w:val="auto"/>
                <w:spacing w:val="-3"/>
                <w:sz w:val="20"/>
                <w:szCs w:val="20"/>
                <w:highlight w:val="none"/>
                <w:lang w:val="en-US" w:eastAsia="zh-CN"/>
              </w:rPr>
              <w:t xml:space="preserve">（健康证</w:t>
            </w:r>
            <w:r>
              <w:rPr>
                <w:rFonts w:hint="eastAsia" w:ascii="宋体" w:hAnsi="宋体" w:eastAsia="宋体" w:cs="宋体"/>
                <w:i w:val="0"/>
                <w:iCs w:val="0"/>
                <w:color w:val="auto"/>
                <w:spacing w:val="-3"/>
                <w:sz w:val="20"/>
                <w:szCs w:val="20"/>
                <w:highlight w:val="none"/>
                <w:lang w:val="en-US" w:eastAsia="zh-CN"/>
              </w:rPr>
              <w:t xml:space="preserve">+传染病检查证明</w:t>
            </w:r>
            <w:r>
              <w:rPr>
                <w:rFonts w:hint="eastAsia" w:ascii="宋体" w:hAnsi="宋体" w:eastAsia="宋体" w:cs="宋体"/>
                <w:color w:val="auto"/>
                <w:spacing w:val="-3"/>
                <w:sz w:val="20"/>
                <w:szCs w:val="20"/>
                <w:highlight w:val="none"/>
                <w:lang w:val="en-US" w:eastAsia="zh-CN"/>
              </w:rPr>
              <w:t xml:space="preserve">）</w:t>
            </w:r>
            <w:r>
              <w:rPr>
                <w:rFonts w:hint="eastAsia" w:ascii="宋体" w:hAnsi="宋体" w:eastAsia="宋体" w:cs="宋体"/>
                <w:color w:val="auto"/>
                <w:spacing w:val="-3"/>
                <w:sz w:val="20"/>
                <w:szCs w:val="20"/>
                <w:highlight w:val="none"/>
                <w:lang w:val="zh-CN" w:eastAsia="zh-CN"/>
              </w:rPr>
              <w:t xml:space="preserve">、无不良从业记录</w:t>
            </w:r>
            <w:r/>
          </w:p>
        </w:tc>
        <w:tc>
          <w:tcPr>
            <w:gridSpan w:val="2"/>
            <w:tcW w:w="3090"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zh-CN" w:eastAsia="zh-CN"/>
              </w:rPr>
              <w:t xml:space="preserve">无证上岗、证件过期、证件造假，每人次本项直接扣10分。</w:t>
            </w:r>
            <w:r/>
          </w:p>
        </w:tc>
      </w:tr>
      <w:tr>
        <w:trPr>
          <w:gridAfter w:val="1"/>
          <w:trHeight w:val="283"/>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入职岗前培训、院感培训、安全培训到位。</w:t>
            </w:r>
            <w:r/>
          </w:p>
        </w:tc>
        <w:tc>
          <w:tcPr>
            <w:gridSpan w:val="2"/>
            <w:tcW w:w="3090"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zh-CN" w:eastAsia="zh-CN"/>
              </w:rPr>
              <w:t xml:space="preserve">未完成岗前培训即上岗，每人次扣2分。</w:t>
            </w:r>
            <w:r/>
          </w:p>
        </w:tc>
      </w:tr>
      <w:tr>
        <w:trPr>
          <w:trHeight w:val="4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en-US"/>
              </w:rPr>
            </w:pPr>
            <w:r>
              <w:rPr>
                <w:rFonts w:hint="eastAsia" w:ascii="宋体" w:hAnsi="宋体" w:eastAsia="宋体" w:cs="宋体"/>
                <w:color w:val="auto"/>
                <w:spacing w:val="-3"/>
                <w:sz w:val="20"/>
                <w:szCs w:val="20"/>
                <w:highlight w:val="none"/>
                <w:lang w:val="zh-CN" w:eastAsia="zh-CN"/>
              </w:rPr>
              <w:t xml:space="preserve">配备现场管理人员，负责日常人员调度、纪律管理、问题整改、对接甲方工作。</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乙方管理人长期脱管、对接不畅、拒不配合管理，每次扣3–5分。</w:t>
            </w:r>
            <w:r/>
          </w:p>
        </w:tc>
        <w:tc>
          <w:tcPr>
            <w:tcW w:w="2100" w:type="dxa"/>
            <w:vAlign w:val="center"/>
            <w:textDirection w:val="lrTb"/>
            <w:noWrap w:val="false"/>
          </w:tcPr>
          <w:p>
            <w:pPr>
              <w:pStyle w:val="856"/>
              <w:ind w:left="341" w:right="112" w:hanging="230"/>
              <w:jc w:val="both"/>
              <w:keepLines w:val="0"/>
              <w:keepNext w:val="0"/>
              <w:pageBreakBefore w:val="0"/>
              <w:spacing w:before="49" w:line="200" w:lineRule="exact"/>
              <w:widowControl w:val="off"/>
              <w:rPr>
                <w:rFonts w:hint="eastAsia" w:ascii="宋体" w:hAnsi="宋体" w:eastAsia="宋体" w:cs="宋体"/>
                <w:color w:val="auto"/>
                <w:sz w:val="25"/>
                <w:szCs w:val="25"/>
                <w:highlight w:val="none"/>
                <w:lang w:val="zh-CN" w:eastAsia="en-US" w:bidi="ar-SA"/>
              </w:rPr>
            </w:pPr>
            <w:r>
              <w:rPr>
                <w:rFonts w:hint="eastAsia" w:ascii="宋体" w:hAnsi="宋体" w:eastAsia="宋体" w:cs="宋体"/>
                <w:color w:val="auto"/>
                <w:sz w:val="25"/>
                <w:szCs w:val="25"/>
                <w:highlight w:val="none"/>
                <w:lang w:val="zh-CN" w:eastAsia="en-US" w:bidi="ar-SA"/>
              </w:rPr>
            </w:r>
            <w:r/>
          </w:p>
        </w:tc>
      </w:tr>
      <w:tr>
        <w:trPr>
          <w:gridAfter w:val="1"/>
          <w:trHeight w:val="68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zh-CN" w:eastAsia="zh-CN"/>
              </w:rPr>
              <w:t xml:space="preserve">按病区需求足额配齐护理人员，保证在岗率、班次配比符合科室要求，</w:t>
            </w:r>
            <w:r>
              <w:rPr>
                <w:rFonts w:hint="eastAsia" w:ascii="宋体" w:hAnsi="宋体" w:eastAsia="宋体" w:cs="宋体"/>
                <w:color w:val="auto"/>
                <w:spacing w:val="-3"/>
                <w:sz w:val="20"/>
                <w:szCs w:val="20"/>
                <w:highlight w:val="none"/>
                <w:lang w:val="en-US" w:eastAsia="zh-CN"/>
              </w:rPr>
              <w:t xml:space="preserve">人员相对固定，</w:t>
            </w:r>
            <w:r>
              <w:rPr>
                <w:rFonts w:hint="eastAsia" w:ascii="宋体" w:hAnsi="宋体" w:eastAsia="宋体" w:cs="宋体"/>
                <w:color w:val="auto"/>
                <w:spacing w:val="-3"/>
                <w:sz w:val="20"/>
                <w:szCs w:val="20"/>
                <w:highlight w:val="none"/>
                <w:lang w:val="zh-CN" w:eastAsia="zh-CN"/>
              </w:rPr>
              <w:t xml:space="preserve">无空岗、缺岗、擅自调岗情况。</w:t>
            </w:r>
            <w:r/>
          </w:p>
        </w:tc>
        <w:tc>
          <w:tcPr>
            <w:gridSpan w:val="2"/>
            <w:tcW w:w="3090"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zh-CN" w:eastAsia="zh-CN"/>
              </w:rPr>
              <w:t xml:space="preserve">出现人员缺岗、班次空缺，每班次扣3分；未经甲方同意擅自调换派驻人员，每人次扣2分。</w:t>
            </w:r>
            <w:r/>
          </w:p>
        </w:tc>
      </w:tr>
      <w:tr>
        <w:trPr>
          <w:gridAfter w:val="1"/>
          <w:trHeight w:val="5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bidi="ar-SA"/>
              </w:rPr>
            </w:pPr>
            <w:r>
              <w:rPr>
                <w:rFonts w:hint="eastAsia" w:ascii="宋体" w:hAnsi="宋体" w:eastAsia="宋体" w:cs="宋体"/>
                <w:color w:val="auto"/>
                <w:spacing w:val="-3"/>
                <w:sz w:val="20"/>
                <w:szCs w:val="20"/>
                <w:highlight w:val="none"/>
                <w:lang w:eastAsia="zh-CN"/>
              </w:rPr>
              <w:t xml:space="preserve">护理员年龄</w:t>
            </w:r>
            <w:r>
              <w:rPr>
                <w:rFonts w:hint="eastAsia" w:ascii="宋体" w:hAnsi="宋体" w:eastAsia="宋体" w:cs="宋体"/>
                <w:color w:val="auto"/>
                <w:spacing w:val="-3"/>
                <w:sz w:val="20"/>
                <w:szCs w:val="20"/>
                <w:highlight w:val="none"/>
                <w:lang w:val="en-US" w:eastAsia="zh-CN"/>
              </w:rPr>
              <w:t xml:space="preserve">不得超过</w:t>
            </w:r>
            <w:r>
              <w:rPr>
                <w:rFonts w:hint="eastAsia" w:ascii="宋体" w:hAnsi="宋体" w:eastAsia="宋体" w:cs="宋体"/>
                <w:color w:val="auto"/>
                <w:spacing w:val="-3"/>
                <w:sz w:val="20"/>
                <w:szCs w:val="20"/>
                <w:highlight w:val="none"/>
                <w:lang w:eastAsia="zh-CN"/>
              </w:rPr>
              <w:t xml:space="preserve">超过55周岁(如果条件优秀，经</w:t>
            </w:r>
            <w:r>
              <w:rPr>
                <w:rFonts w:hint="eastAsia" w:ascii="宋体" w:hAnsi="宋体" w:eastAsia="宋体" w:cs="宋体"/>
                <w:color w:val="auto"/>
                <w:spacing w:val="-3"/>
                <w:sz w:val="20"/>
                <w:szCs w:val="20"/>
                <w:highlight w:val="none"/>
                <w:lang w:val="en-US" w:eastAsia="zh-CN"/>
              </w:rPr>
              <w:t xml:space="preserve">后勤保障处</w:t>
            </w:r>
            <w:r>
              <w:rPr>
                <w:rFonts w:hint="eastAsia" w:ascii="宋体" w:hAnsi="宋体" w:eastAsia="宋体" w:cs="宋体"/>
                <w:color w:val="auto"/>
                <w:spacing w:val="-3"/>
                <w:sz w:val="20"/>
                <w:szCs w:val="20"/>
                <w:highlight w:val="none"/>
                <w:lang w:eastAsia="zh-CN"/>
              </w:rPr>
              <w:t xml:space="preserve">同意可以适当放宽)。</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bidi="ar-SA"/>
              </w:rPr>
            </w:pPr>
            <w:r>
              <w:rPr>
                <w:rFonts w:hint="eastAsia" w:ascii="宋体" w:hAnsi="宋体" w:eastAsia="宋体" w:cs="宋体"/>
                <w:color w:val="auto"/>
                <w:spacing w:val="-3"/>
                <w:sz w:val="20"/>
                <w:szCs w:val="20"/>
                <w:highlight w:val="none"/>
                <w:lang w:val="en-US" w:eastAsia="zh-CN"/>
              </w:rPr>
              <w:t xml:space="preserve">不符合</w:t>
            </w:r>
            <w:r>
              <w:rPr>
                <w:rFonts w:hint="eastAsia" w:ascii="宋体" w:hAnsi="宋体" w:eastAsia="宋体" w:cs="宋体"/>
                <w:color w:val="auto"/>
                <w:spacing w:val="-3"/>
                <w:sz w:val="20"/>
                <w:szCs w:val="20"/>
                <w:highlight w:val="none"/>
                <w:lang w:eastAsia="zh-CN"/>
              </w:rPr>
              <w:t xml:space="preserve">每项扣</w:t>
            </w:r>
            <w:r>
              <w:rPr>
                <w:rFonts w:hint="eastAsia" w:ascii="宋体" w:hAnsi="宋体" w:eastAsia="宋体" w:cs="宋体"/>
                <w:color w:val="auto"/>
                <w:spacing w:val="-3"/>
                <w:sz w:val="20"/>
                <w:szCs w:val="20"/>
                <w:highlight w:val="none"/>
                <w:lang w:val="en-US" w:eastAsia="zh-CN"/>
              </w:rPr>
              <w:t xml:space="preserve">2</w:t>
            </w:r>
            <w:r>
              <w:rPr>
                <w:rFonts w:hint="eastAsia" w:ascii="宋体" w:hAnsi="宋体" w:eastAsia="宋体" w:cs="宋体"/>
                <w:color w:val="auto"/>
                <w:spacing w:val="-3"/>
                <w:sz w:val="20"/>
                <w:szCs w:val="20"/>
                <w:highlight w:val="none"/>
                <w:lang w:eastAsia="zh-CN"/>
              </w:rPr>
              <w:t xml:space="preserve">分</w:t>
            </w:r>
            <w:r>
              <w:rPr>
                <w:rFonts w:hint="eastAsia" w:ascii="宋体" w:hAnsi="宋体" w:eastAsia="宋体" w:cs="宋体"/>
                <w:color w:val="auto"/>
                <w:spacing w:val="-3"/>
                <w:sz w:val="20"/>
                <w:szCs w:val="20"/>
                <w:highlight w:val="none"/>
                <w:lang w:val="en-US" w:eastAsia="zh-CN"/>
              </w:rPr>
              <w:t xml:space="preserve">/</w:t>
            </w:r>
            <w:r>
              <w:rPr>
                <w:rFonts w:hint="eastAsia" w:ascii="宋体" w:hAnsi="宋体" w:eastAsia="宋体" w:cs="宋体"/>
                <w:color w:val="auto"/>
                <w:spacing w:val="-3"/>
                <w:sz w:val="20"/>
                <w:szCs w:val="20"/>
                <w:highlight w:val="none"/>
                <w:lang w:eastAsia="zh-CN"/>
              </w:rPr>
              <w:t xml:space="preserve">人。</w:t>
            </w:r>
            <w:r/>
          </w:p>
        </w:tc>
      </w:tr>
      <w:tr>
        <w:trPr>
          <w:gridAfter w:val="1"/>
          <w:trHeight w:val="624"/>
        </w:trPr>
        <w:tc>
          <w:tcPr>
            <w:tcW w:w="1496" w:type="dxa"/>
            <w:vAlign w:val="center"/>
            <w:vMerge w:val="restart"/>
            <w:textDirection w:val="lrTb"/>
            <w:noWrap w:val="false"/>
          </w:tcPr>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护理安全</w:t>
            </w:r>
            <w:r/>
          </w:p>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与</w:t>
            </w:r>
            <w:r/>
          </w:p>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不良事件管理</w:t>
            </w:r>
            <w:r/>
          </w:p>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w:t>
            </w:r>
            <w:r>
              <w:rPr>
                <w:rFonts w:hint="eastAsia" w:ascii="宋体" w:hAnsi="宋体" w:eastAsia="宋体" w:cs="宋体"/>
                <w:color w:val="auto"/>
                <w:spacing w:val="-3"/>
                <w:sz w:val="20"/>
                <w:szCs w:val="20"/>
                <w:highlight w:val="none"/>
                <w:lang w:val="en-US" w:eastAsia="zh-CN"/>
              </w:rPr>
              <w:t xml:space="preserve">20分</w:t>
            </w:r>
            <w:r>
              <w:rPr>
                <w:rFonts w:hint="eastAsia" w:ascii="宋体" w:hAnsi="宋体" w:eastAsia="宋体" w:cs="宋体"/>
                <w:color w:val="auto"/>
                <w:spacing w:val="-3"/>
                <w:sz w:val="20"/>
                <w:szCs w:val="20"/>
                <w:highlight w:val="none"/>
                <w:lang w:val="zh-CN" w:eastAsia="zh-CN"/>
              </w:rPr>
              <w:t xml:space="preserve">）</w:t>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1. 因护理员履职不到位、照护不当、脱岗失职导致：跌倒、坠床、压疮、误吸、烫伤、导管滑脱、患者走失等责任不良事件。</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zh-CN" w:eastAsia="zh-CN"/>
              </w:rPr>
              <w:t xml:space="preserve">发生安全隐患、未遂事件未及时上报、隐瞒不报，每起扣5分；一般不良事件（轻微后果、无纠纷）每起扣10分；严重不良事件、引发医患纠纷、造成患者损害，本项直接清零。</w:t>
            </w:r>
            <w:r/>
          </w:p>
        </w:tc>
      </w:tr>
      <w:tr>
        <w:trPr>
          <w:gridAfter w:val="1"/>
          <w:trHeight w:val="510"/>
        </w:trPr>
        <w:tc>
          <w:tcPr>
            <w:tcW w:w="1496" w:type="dxa"/>
            <w:vAlign w:val="center"/>
            <w:vMerge w:val="continue"/>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 按要求落实卧床患者翻身、皮肤护理、防跌倒、防误吸等基础安全照护规范</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抽查发现问题每例扣2分。</w:t>
            </w:r>
            <w:r/>
          </w:p>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en-US" w:eastAsia="zh-CN"/>
              </w:rPr>
            </w:r>
            <w:r/>
          </w:p>
        </w:tc>
      </w:tr>
      <w:tr>
        <w:trPr>
          <w:gridAfter w:val="1"/>
          <w:trHeight w:val="510"/>
        </w:trPr>
        <w:tc>
          <w:tcPr>
            <w:tcW w:w="1496" w:type="dxa"/>
            <w:vAlign w:val="center"/>
            <w:vMerge w:val="continue"/>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严禁超范围执业（打针、输液、换药、调整医嘱、诊疗判断等）</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zh-CN" w:eastAsia="zh-CN"/>
              </w:rPr>
              <w:t xml:space="preserve">一经发现，每例扣10分，造成后果全额追责。</w:t>
            </w:r>
            <w:r/>
          </w:p>
        </w:tc>
      </w:tr>
      <w:tr>
        <w:trPr>
          <w:gridAfter w:val="1"/>
          <w:trHeight w:val="454"/>
        </w:trPr>
        <w:tc>
          <w:tcPr>
            <w:tcW w:w="1496" w:type="dxa"/>
            <w:vAlign w:val="center"/>
            <w:vMerge w:val="restart"/>
            <w:textDirection w:val="lrTb"/>
            <w:noWrap w:val="false"/>
          </w:tcPr>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病区规范</w:t>
            </w:r>
            <w:r/>
          </w:p>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与院感管理</w:t>
            </w:r>
            <w:r/>
          </w:p>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3"/>
                <w:sz w:val="20"/>
                <w:szCs w:val="20"/>
                <w:highlight w:val="none"/>
                <w:lang w:val="zh-CN" w:eastAsia="zh-CN"/>
              </w:rPr>
              <w:t xml:space="preserve">（1</w:t>
            </w:r>
            <w:r>
              <w:rPr>
                <w:rFonts w:hint="eastAsia" w:ascii="宋体" w:hAnsi="宋体" w:eastAsia="宋体" w:cs="宋体"/>
                <w:color w:val="auto"/>
                <w:spacing w:val="-3"/>
                <w:sz w:val="20"/>
                <w:szCs w:val="20"/>
                <w:highlight w:val="none"/>
                <w:lang w:val="en-US" w:eastAsia="zh-CN"/>
              </w:rPr>
              <w:t xml:space="preserve">20</w:t>
            </w:r>
            <w:r>
              <w:rPr>
                <w:rFonts w:hint="eastAsia" w:ascii="宋体" w:hAnsi="宋体" w:eastAsia="宋体" w:cs="宋体"/>
                <w:color w:val="auto"/>
                <w:spacing w:val="-3"/>
                <w:sz w:val="20"/>
                <w:szCs w:val="20"/>
                <w:highlight w:val="none"/>
                <w:lang w:val="zh-CN" w:eastAsia="zh-CN"/>
              </w:rPr>
              <w:t xml:space="preserve">分）</w:t>
            </w:r>
            <w:r/>
          </w:p>
        </w:tc>
        <w:tc>
          <w:tcPr>
            <w:gridSpan w:val="2"/>
            <w:tcW w:w="5539" w:type="dxa"/>
            <w:vAlign w:val="center"/>
            <w:textDirection w:val="lrTb"/>
            <w:noWrap w:val="false"/>
          </w:tcPr>
          <w:p>
            <w:pPr>
              <w:pStyle w:val="856"/>
              <w:ind w:left="52"/>
              <w:jc w:val="both"/>
              <w:keepLines w:val="0"/>
              <w:keepNext w:val="0"/>
              <w:pageBreakBefore w:val="0"/>
              <w:spacing w:before="63" w:line="200" w:lineRule="exact"/>
              <w:widowControl w:val="off"/>
              <w:rPr>
                <w:rFonts w:hint="eastAsia" w:ascii="宋体" w:hAnsi="宋体" w:eastAsia="宋体" w:cs="宋体"/>
                <w:color w:val="auto"/>
                <w:spacing w:val="-7"/>
                <w:sz w:val="20"/>
                <w:szCs w:val="20"/>
                <w:highlight w:val="none"/>
                <w:lang w:val="zh-CN" w:eastAsia="zh-CN" w:bidi="ar-SA"/>
              </w:rPr>
            </w:pPr>
            <w:r>
              <w:rPr>
                <w:rFonts w:hint="eastAsia" w:ascii="宋体" w:hAnsi="宋体" w:eastAsia="宋体" w:cs="宋体"/>
                <w:color w:val="auto"/>
                <w:sz w:val="20"/>
                <w:szCs w:val="20"/>
                <w:highlight w:val="none"/>
              </w:rPr>
              <w:t xml:space="preserve">服从本科室护士长及护理人员的管理</w:t>
            </w:r>
            <w:r>
              <w:rPr>
                <w:rFonts w:hint="eastAsia" w:ascii="宋体" w:hAnsi="宋体" w:eastAsia="宋体" w:cs="宋体"/>
                <w:color w:val="auto"/>
                <w:sz w:val="20"/>
                <w:szCs w:val="20"/>
                <w:highlight w:val="none"/>
                <w:lang w:eastAsia="zh-CN"/>
              </w:rPr>
              <w:t xml:space="preserve">。</w:t>
            </w:r>
            <w:r/>
          </w:p>
        </w:tc>
        <w:tc>
          <w:tcPr>
            <w:gridSpan w:val="2"/>
            <w:tcW w:w="3090" w:type="dxa"/>
            <w:vAlign w:val="center"/>
            <w:textDirection w:val="lrTb"/>
            <w:noWrap w:val="false"/>
          </w:tcPr>
          <w:p>
            <w:pPr>
              <w:pStyle w:val="856"/>
              <w:ind w:left="52"/>
              <w:jc w:val="both"/>
              <w:keepLines w:val="0"/>
              <w:keepNext w:val="0"/>
              <w:pageBreakBefore w:val="0"/>
              <w:spacing w:before="63" w:line="200" w:lineRule="exact"/>
              <w:widowControl w:val="off"/>
              <w:rPr>
                <w:rFonts w:hint="eastAsia" w:ascii="宋体" w:hAnsi="宋体" w:eastAsia="宋体" w:cs="宋体"/>
                <w:color w:val="auto"/>
                <w:spacing w:val="13"/>
                <w:sz w:val="20"/>
                <w:szCs w:val="20"/>
                <w:highlight w:val="none"/>
                <w:lang w:val="zh-CN" w:eastAsia="zh-CN" w:bidi="ar-SA"/>
              </w:rPr>
            </w:pPr>
            <w:r>
              <w:rPr>
                <w:rFonts w:hint="eastAsia" w:ascii="宋体" w:hAnsi="宋体" w:eastAsia="宋体" w:cs="宋体"/>
                <w:color w:val="auto"/>
                <w:spacing w:val="15"/>
                <w:sz w:val="20"/>
                <w:szCs w:val="20"/>
                <w:highlight w:val="none"/>
                <w:lang w:val="en-US" w:eastAsia="zh-CN"/>
              </w:rPr>
              <w:t xml:space="preserve">不符合</w:t>
            </w:r>
            <w:r>
              <w:rPr>
                <w:rFonts w:hint="eastAsia" w:ascii="宋体" w:hAnsi="宋体" w:eastAsia="宋体" w:cs="宋体"/>
                <w:color w:val="auto"/>
                <w:spacing w:val="15"/>
                <w:sz w:val="20"/>
                <w:szCs w:val="20"/>
                <w:highlight w:val="none"/>
              </w:rPr>
              <w:t xml:space="preserve">扣</w:t>
            </w:r>
            <w:r>
              <w:rPr>
                <w:rFonts w:hint="eastAsia" w:ascii="宋体" w:hAnsi="宋体" w:eastAsia="宋体" w:cs="宋体"/>
                <w:color w:val="auto"/>
                <w:spacing w:val="15"/>
                <w:sz w:val="20"/>
                <w:szCs w:val="20"/>
                <w:highlight w:val="none"/>
                <w:lang w:val="en-US" w:eastAsia="zh-CN"/>
              </w:rPr>
              <w:t xml:space="preserve">5</w:t>
            </w:r>
            <w:r>
              <w:rPr>
                <w:rFonts w:hint="eastAsia" w:ascii="宋体" w:hAnsi="宋体" w:eastAsia="宋体" w:cs="宋体"/>
                <w:color w:val="auto"/>
                <w:spacing w:val="15"/>
                <w:sz w:val="20"/>
                <w:szCs w:val="20"/>
                <w:highlight w:val="none"/>
              </w:rPr>
              <w:t xml:space="preserve">分</w:t>
            </w:r>
            <w:r>
              <w:rPr>
                <w:rFonts w:hint="eastAsia" w:ascii="宋体" w:hAnsi="宋体" w:eastAsia="宋体" w:cs="宋体"/>
                <w:color w:val="auto"/>
                <w:spacing w:val="7"/>
                <w:sz w:val="20"/>
                <w:szCs w:val="20"/>
                <w:highlight w:val="none"/>
                <w:lang w:val="en-US" w:eastAsia="zh-CN"/>
              </w:rPr>
              <w:t xml:space="preserve">/</w:t>
            </w:r>
            <w:r>
              <w:rPr>
                <w:rFonts w:hint="eastAsia" w:ascii="宋体" w:hAnsi="宋体" w:eastAsia="宋体" w:cs="宋体"/>
                <w:color w:val="auto"/>
                <w:spacing w:val="15"/>
                <w:sz w:val="20"/>
                <w:szCs w:val="20"/>
                <w:highlight w:val="none"/>
              </w:rPr>
              <w:t xml:space="preserve">次</w:t>
            </w:r>
            <w:r>
              <w:rPr>
                <w:rFonts w:hint="eastAsia" w:ascii="宋体" w:hAnsi="宋体" w:eastAsia="宋体" w:cs="宋体"/>
                <w:color w:val="auto"/>
                <w:spacing w:val="15"/>
                <w:sz w:val="20"/>
                <w:szCs w:val="20"/>
                <w:highlight w:val="none"/>
                <w:lang w:eastAsia="zh-CN"/>
              </w:rPr>
              <w:t xml:space="preserve">。</w:t>
            </w:r>
            <w:r/>
          </w:p>
        </w:tc>
      </w:tr>
      <w:tr>
        <w:trPr>
          <w:gridAfter w:val="1"/>
          <w:trHeight w:val="510"/>
        </w:trPr>
        <w:tc>
          <w:tcPr>
            <w:tcW w:w="1496" w:type="dxa"/>
            <w:vAlign w:val="center"/>
            <w:vMerge w:val="continue"/>
            <w:textDirection w:val="lrTb"/>
            <w:noWrap w:val="false"/>
          </w:tcPr>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严格遵守医院院感制度，落实手卫生、消毒、垃圾分类、隔离规范、个人防护要求。</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zh-CN" w:eastAsia="zh-CN"/>
              </w:rPr>
              <w:t xml:space="preserve">院感督查不合格、操作不规范，每次扣2分。</w:t>
            </w:r>
            <w:r/>
          </w:p>
        </w:tc>
      </w:tr>
      <w:tr>
        <w:trPr>
          <w:gridAfter w:val="1"/>
          <w:trHeight w:val="5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着装统一、整洁规范，不穿私服、不佩戴夸张饰品，言行举止符合病区管理规定。</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违反每例扣2分，屡教不改加倍扣分。</w:t>
            </w:r>
            <w:r/>
          </w:p>
        </w:tc>
      </w:tr>
      <w:tr>
        <w:trPr>
          <w:gridAfter w:val="1"/>
          <w:trHeight w:val="5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严禁病区吸烟、酗酒、喧哗、私拉私用电器、私拿公物、占用病区物资。</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违反每例扣2分，屡教不改加倍扣分。</w:t>
            </w:r>
            <w:r/>
          </w:p>
        </w:tc>
      </w:tr>
      <w:tr>
        <w:trPr>
          <w:gridAfter w:val="1"/>
          <w:trHeight w:val="510"/>
        </w:trPr>
        <w:tc>
          <w:tcPr>
            <w:tcW w:w="1496" w:type="dxa"/>
            <w:vAlign w:val="center"/>
            <w:vMerge w:val="restart"/>
            <w:textDirection w:val="lrTb"/>
            <w:noWrap w:val="false"/>
          </w:tcPr>
          <w:p>
            <w:pPr>
              <w:pStyle w:val="856"/>
              <w:ind w:left="0"/>
              <w:jc w:val="center"/>
              <w:keepLines w:val="0"/>
              <w:keepNext w:val="0"/>
              <w:pageBreakBefore w:val="0"/>
              <w:spacing w:line="200" w:lineRule="exact"/>
              <w:widowControl w:val="off"/>
              <w:rPr>
                <w:rFonts w:hint="eastAsia" w:ascii="宋体" w:hAnsi="宋体" w:eastAsia="宋体" w:cs="宋体"/>
                <w:color w:val="auto"/>
                <w:spacing w:val="-3"/>
                <w:sz w:val="20"/>
                <w:szCs w:val="20"/>
                <w:highlight w:val="none"/>
                <w:lang w:val="zh-CN" w:eastAsia="zh-CN"/>
              </w:rPr>
            </w:pPr>
            <w:r>
              <w:rPr>
                <w:rFonts w:hint="eastAsia"/>
                <w:color w:val="auto"/>
                <w:highlight w:val="none"/>
                <w:lang w:val="zh-CN"/>
              </w:rPr>
              <w:t xml:space="preserve"> </w:t>
            </w:r>
            <w:r>
              <w:rPr>
                <w:rFonts w:hint="eastAsia" w:ascii="宋体" w:hAnsi="宋体" w:eastAsia="宋体" w:cs="宋体"/>
                <w:color w:val="auto"/>
                <w:spacing w:val="-3"/>
                <w:sz w:val="20"/>
                <w:szCs w:val="20"/>
                <w:highlight w:val="none"/>
                <w:lang w:val="zh-CN" w:eastAsia="zh-CN"/>
              </w:rPr>
              <w:t xml:space="preserve">服务质量</w:t>
            </w:r>
            <w:r/>
          </w:p>
          <w:p>
            <w:pPr>
              <w:pStyle w:val="856"/>
              <w:ind w:left="0"/>
              <w:jc w:val="center"/>
              <w:keepLines w:val="0"/>
              <w:keepNext w:val="0"/>
              <w:pageBreakBefore w:val="0"/>
              <w:spacing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与</w:t>
            </w:r>
            <w:r/>
          </w:p>
          <w:p>
            <w:pPr>
              <w:pStyle w:val="856"/>
              <w:ind w:left="0"/>
              <w:jc w:val="center"/>
              <w:keepLines w:val="0"/>
              <w:keepNext w:val="0"/>
              <w:pageBreakBefore w:val="0"/>
              <w:spacing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患者满意度</w:t>
            </w:r>
            <w:r/>
          </w:p>
          <w:p>
            <w:pPr>
              <w:pStyle w:val="856"/>
              <w:ind w:left="0"/>
              <w:jc w:val="center"/>
              <w:keepLines w:val="0"/>
              <w:keepNext w:val="0"/>
              <w:pageBreakBefore w:val="0"/>
              <w:spacing w:line="200" w:lineRule="exact"/>
              <w:widowControl w:val="off"/>
              <w:rPr>
                <w:rFonts w:hint="eastAsia"/>
                <w:color w:val="auto"/>
                <w:highlight w:val="none"/>
                <w:lang w:val="zh-CN"/>
              </w:rPr>
            </w:pPr>
            <w:r>
              <w:rPr>
                <w:rFonts w:hint="eastAsia" w:ascii="宋体" w:hAnsi="宋体" w:eastAsia="宋体" w:cs="宋体"/>
                <w:color w:val="auto"/>
                <w:spacing w:val="-3"/>
                <w:sz w:val="20"/>
                <w:szCs w:val="20"/>
                <w:highlight w:val="none"/>
                <w:lang w:val="zh-CN" w:eastAsia="zh-CN"/>
              </w:rPr>
              <w:t xml:space="preserve">（20分）</w:t>
            </w:r>
            <w:r/>
          </w:p>
        </w:tc>
        <w:tc>
          <w:tcPr>
            <w:gridSpan w:val="2"/>
            <w:tcW w:w="5539"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en-US" w:eastAsia="zh-CN" w:bidi="ar-SA"/>
              </w:rPr>
            </w:pPr>
            <w:r>
              <w:rPr>
                <w:rFonts w:hint="eastAsia" w:ascii="宋体" w:hAnsi="宋体" w:eastAsia="宋体" w:cs="宋体"/>
                <w:color w:val="auto"/>
                <w:spacing w:val="-3"/>
                <w:sz w:val="20"/>
                <w:szCs w:val="20"/>
                <w:highlight w:val="none"/>
                <w:lang w:val="zh-CN" w:eastAsia="zh-CN"/>
              </w:rPr>
              <w:t xml:space="preserve">严格落实患者基础生活护理：洗漱、进食、如厕、翻身、床单位整理、衣物清洁等，服务细致到位。</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bidi="ar-SA"/>
              </w:rPr>
            </w:pPr>
            <w:r>
              <w:rPr>
                <w:rFonts w:hint="eastAsia" w:ascii="宋体" w:hAnsi="宋体" w:eastAsia="宋体" w:cs="宋体"/>
                <w:color w:val="auto"/>
                <w:spacing w:val="-3"/>
                <w:sz w:val="20"/>
                <w:szCs w:val="20"/>
                <w:highlight w:val="none"/>
                <w:lang w:val="zh-CN" w:eastAsia="zh-CN"/>
              </w:rPr>
              <w:t xml:space="preserve">抽查护理不到位、敷衍应付、患者卫生差、床单位脏乱，每例扣2分。</w:t>
            </w:r>
            <w:r/>
          </w:p>
        </w:tc>
      </w:tr>
      <w:tr>
        <w:trPr>
          <w:gridAfter w:val="1"/>
          <w:trHeight w:val="5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r>
            <w:r/>
          </w:p>
        </w:tc>
        <w:tc>
          <w:tcPr>
            <w:gridSpan w:val="2"/>
            <w:tcW w:w="5539"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en-US" w:eastAsia="zh-CN"/>
              </w:rPr>
              <w:t xml:space="preserve">服</w:t>
            </w:r>
            <w:r>
              <w:rPr>
                <w:rFonts w:hint="eastAsia" w:ascii="宋体" w:hAnsi="宋体" w:eastAsia="宋体" w:cs="宋体"/>
                <w:color w:val="auto"/>
                <w:spacing w:val="-3"/>
                <w:sz w:val="20"/>
                <w:szCs w:val="20"/>
                <w:highlight w:val="none"/>
                <w:lang w:val="zh-CN" w:eastAsia="zh-CN"/>
              </w:rPr>
              <w:t xml:space="preserve">务态度文明规范，无生硬服务、无顶撞患者及家属、无争执冲突。</w:t>
            </w:r>
            <w:r/>
          </w:p>
        </w:tc>
        <w:tc>
          <w:tcPr>
            <w:gridSpan w:val="2"/>
            <w:tcW w:w="3090" w:type="dxa"/>
            <w:vAlign w:val="center"/>
            <w:textDirection w:val="lrTb"/>
            <w:noWrap w:val="false"/>
          </w:tcPr>
          <w:p>
            <w:pPr>
              <w:pStyle w:val="856"/>
              <w:jc w:val="left"/>
              <w:keepLines w:val="0"/>
              <w:keepNext w:val="0"/>
              <w:pageBreakBefore w:val="0"/>
              <w:spacing w:before="72" w:line="200" w:lineRule="exact"/>
              <w:widowControl w:val="off"/>
              <w:rPr>
                <w:rFonts w:hint="default" w:ascii="宋体" w:hAnsi="宋体" w:eastAsia="宋体" w:cs="宋体"/>
                <w:color w:val="auto"/>
                <w:spacing w:val="-3"/>
                <w:sz w:val="20"/>
                <w:szCs w:val="20"/>
                <w:highlight w:val="none"/>
                <w:lang w:val="en-US" w:eastAsia="zh-CN"/>
              </w:rPr>
            </w:pPr>
            <w:r>
              <w:rPr>
                <w:rFonts w:hint="eastAsia" w:ascii="宋体" w:hAnsi="宋体" w:eastAsia="宋体" w:cs="宋体"/>
                <w:color w:val="auto"/>
                <w:spacing w:val="-3"/>
                <w:sz w:val="20"/>
                <w:szCs w:val="20"/>
                <w:highlight w:val="none"/>
                <w:lang w:val="zh-CN" w:eastAsia="zh-CN"/>
              </w:rPr>
              <w:t xml:space="preserve">违反每例扣2分，</w:t>
            </w:r>
            <w:r>
              <w:rPr>
                <w:rFonts w:hint="eastAsia" w:ascii="宋体" w:hAnsi="宋体" w:eastAsia="宋体" w:cs="宋体"/>
                <w:color w:val="auto"/>
                <w:spacing w:val="-3"/>
                <w:sz w:val="20"/>
                <w:szCs w:val="20"/>
                <w:highlight w:val="none"/>
                <w:lang w:val="en-US" w:eastAsia="zh-CN"/>
              </w:rPr>
              <w:t xml:space="preserve">发生冲突</w:t>
            </w:r>
            <w:r>
              <w:rPr>
                <w:rFonts w:hint="eastAsia" w:ascii="宋体" w:hAnsi="宋体" w:eastAsia="宋体" w:cs="宋体"/>
                <w:color w:val="auto"/>
                <w:spacing w:val="-3"/>
                <w:sz w:val="20"/>
                <w:szCs w:val="20"/>
                <w:highlight w:val="none"/>
                <w:lang w:val="zh-CN" w:eastAsia="zh-CN"/>
              </w:rPr>
              <w:t xml:space="preserve">每例扣</w:t>
            </w:r>
            <w:r>
              <w:rPr>
                <w:rFonts w:hint="eastAsia" w:ascii="宋体" w:hAnsi="宋体" w:eastAsia="宋体" w:cs="宋体"/>
                <w:color w:val="auto"/>
                <w:spacing w:val="-3"/>
                <w:sz w:val="20"/>
                <w:szCs w:val="20"/>
                <w:highlight w:val="none"/>
                <w:lang w:val="en-US" w:eastAsia="zh-CN"/>
              </w:rPr>
              <w:t xml:space="preserve">5</w:t>
            </w:r>
            <w:r>
              <w:rPr>
                <w:rFonts w:hint="eastAsia" w:ascii="宋体" w:hAnsi="宋体" w:eastAsia="宋体" w:cs="宋体"/>
                <w:color w:val="auto"/>
                <w:spacing w:val="-3"/>
                <w:sz w:val="20"/>
                <w:szCs w:val="20"/>
                <w:highlight w:val="none"/>
                <w:lang w:val="zh-CN" w:eastAsia="zh-CN"/>
              </w:rPr>
              <w:t xml:space="preserve">分</w:t>
            </w:r>
            <w:r/>
          </w:p>
        </w:tc>
      </w:tr>
      <w:tr>
        <w:trPr>
          <w:gridAfter w:val="1"/>
          <w:trHeight w:val="5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7"/>
                <w:sz w:val="20"/>
                <w:szCs w:val="20"/>
                <w:highlight w:val="none"/>
                <w:lang w:val="en-US" w:eastAsia="zh-CN" w:bidi="ar-SA"/>
              </w:rPr>
              <w:t xml:space="preserve">服务期间不接听电话，不玩手机、不在</w:t>
            </w:r>
            <w:r>
              <w:rPr>
                <w:rFonts w:hint="eastAsia" w:ascii="宋体" w:hAnsi="宋体" w:eastAsia="宋体" w:cs="宋体"/>
                <w:color w:val="auto"/>
                <w:spacing w:val="-7"/>
                <w:sz w:val="20"/>
                <w:szCs w:val="20"/>
                <w:highlight w:val="none"/>
                <w:lang w:val="en-US" w:eastAsia="en-US" w:bidi="ar-SA"/>
              </w:rPr>
              <w:t xml:space="preserve">科室内洗头、洗澡、洗衣服(工作服</w:t>
            </w:r>
            <w:r>
              <w:rPr>
                <w:rFonts w:hint="eastAsia" w:ascii="宋体" w:hAnsi="宋体" w:eastAsia="宋体" w:cs="宋体"/>
                <w:color w:val="auto"/>
                <w:spacing w:val="-7"/>
                <w:sz w:val="20"/>
                <w:szCs w:val="20"/>
                <w:highlight w:val="none"/>
                <w:lang w:val="en-US" w:eastAsia="zh-CN" w:bidi="ar-SA"/>
              </w:rPr>
              <w:t xml:space="preserve">及24小时连续服务</w:t>
            </w:r>
            <w:r>
              <w:rPr>
                <w:rFonts w:hint="eastAsia" w:ascii="宋体" w:hAnsi="宋体" w:eastAsia="宋体" w:cs="宋体"/>
                <w:color w:val="auto"/>
                <w:spacing w:val="-7"/>
                <w:sz w:val="20"/>
                <w:szCs w:val="20"/>
                <w:highlight w:val="none"/>
                <w:lang w:val="en-US" w:eastAsia="en-US" w:bidi="ar-SA"/>
              </w:rPr>
              <w:t xml:space="preserve">除外)</w:t>
            </w:r>
            <w:r>
              <w:rPr>
                <w:rFonts w:hint="eastAsia" w:ascii="宋体" w:hAnsi="宋体" w:eastAsia="宋体" w:cs="宋体"/>
                <w:color w:val="auto"/>
                <w:spacing w:val="-7"/>
                <w:sz w:val="20"/>
                <w:szCs w:val="20"/>
                <w:highlight w:val="none"/>
                <w:lang w:val="en-US" w:eastAsia="zh-CN" w:bidi="ar-SA"/>
              </w:rPr>
              <w:t xml:space="preserve">。</w:t>
            </w:r>
            <w:r/>
          </w:p>
        </w:tc>
        <w:tc>
          <w:tcPr>
            <w:gridSpan w:val="2"/>
            <w:tcW w:w="3090"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违反每例扣2分。</w:t>
            </w:r>
            <w:r/>
          </w:p>
        </w:tc>
      </w:tr>
      <w:tr>
        <w:trPr>
          <w:gridAfter w:val="1"/>
          <w:trHeight w:val="5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7"/>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不</w:t>
            </w:r>
            <w:r>
              <w:rPr>
                <w:rFonts w:hint="eastAsia" w:ascii="宋体" w:hAnsi="宋体" w:eastAsia="宋体" w:cs="宋体"/>
                <w:color w:val="auto"/>
                <w:sz w:val="20"/>
                <w:szCs w:val="20"/>
                <w:highlight w:val="none"/>
              </w:rPr>
              <w:t xml:space="preserve">干预产妇及其家属进行购物</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不</w:t>
            </w:r>
            <w:r>
              <w:rPr>
                <w:rFonts w:hint="eastAsia" w:ascii="宋体" w:hAnsi="宋体" w:eastAsia="宋体" w:cs="宋体"/>
                <w:color w:val="auto"/>
                <w:sz w:val="20"/>
                <w:szCs w:val="20"/>
                <w:highlight w:val="none"/>
              </w:rPr>
              <w:t xml:space="preserve">参与广告宣</w:t>
            </w:r>
            <w:r>
              <w:rPr>
                <w:rFonts w:hint="eastAsia" w:ascii="宋体" w:hAnsi="宋体" w:eastAsia="宋体" w:cs="宋体"/>
                <w:color w:val="auto"/>
                <w:spacing w:val="-1"/>
                <w:sz w:val="20"/>
                <w:szCs w:val="20"/>
                <w:highlight w:val="none"/>
              </w:rPr>
              <w:t xml:space="preserve">传及散发传单</w:t>
            </w:r>
            <w:r>
              <w:rPr>
                <w:rFonts w:hint="eastAsia" w:ascii="宋体" w:hAnsi="宋体" w:eastAsia="宋体" w:cs="宋体"/>
                <w:color w:val="auto"/>
                <w:spacing w:val="-1"/>
                <w:sz w:val="20"/>
                <w:szCs w:val="20"/>
                <w:highlight w:val="none"/>
                <w:lang w:eastAsia="zh-CN"/>
              </w:rPr>
              <w:t xml:space="preserve">；</w:t>
            </w:r>
            <w:r>
              <w:rPr>
                <w:rFonts w:hint="eastAsia" w:ascii="宋体" w:hAnsi="宋体" w:eastAsia="宋体" w:cs="宋体"/>
                <w:color w:val="auto"/>
                <w:spacing w:val="-1"/>
                <w:sz w:val="20"/>
                <w:szCs w:val="20"/>
                <w:highlight w:val="none"/>
                <w:lang w:val="en-US" w:eastAsia="zh-CN"/>
              </w:rPr>
              <w:t xml:space="preserve">不</w:t>
            </w:r>
            <w:r>
              <w:rPr>
                <w:rFonts w:hint="eastAsia" w:ascii="宋体" w:hAnsi="宋体" w:eastAsia="宋体" w:cs="宋体"/>
                <w:color w:val="auto"/>
                <w:spacing w:val="-1"/>
                <w:sz w:val="20"/>
                <w:szCs w:val="20"/>
                <w:highlight w:val="none"/>
              </w:rPr>
              <w:t xml:space="preserve">在服务中向客户介绍其他</w:t>
            </w:r>
            <w:r>
              <w:rPr>
                <w:rFonts w:hint="eastAsia" w:ascii="宋体" w:hAnsi="宋体" w:eastAsia="宋体" w:cs="宋体"/>
                <w:color w:val="auto"/>
                <w:spacing w:val="3"/>
                <w:sz w:val="20"/>
                <w:szCs w:val="20"/>
                <w:highlight w:val="none"/>
              </w:rPr>
              <w:t xml:space="preserve">服务项目，如开奶、催奶等</w:t>
            </w:r>
            <w:r/>
          </w:p>
        </w:tc>
        <w:tc>
          <w:tcPr>
            <w:gridSpan w:val="2"/>
            <w:tcW w:w="3090"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违反每例扣</w:t>
            </w:r>
            <w:r>
              <w:rPr>
                <w:rFonts w:hint="eastAsia" w:ascii="宋体" w:hAnsi="宋体" w:eastAsia="宋体" w:cs="宋体"/>
                <w:color w:val="auto"/>
                <w:spacing w:val="-3"/>
                <w:sz w:val="20"/>
                <w:szCs w:val="20"/>
                <w:highlight w:val="none"/>
                <w:lang w:val="en-US" w:eastAsia="zh-CN"/>
              </w:rPr>
              <w:t xml:space="preserve">5</w:t>
            </w:r>
            <w:r>
              <w:rPr>
                <w:rFonts w:hint="eastAsia" w:ascii="宋体" w:hAnsi="宋体" w:eastAsia="宋体" w:cs="宋体"/>
                <w:color w:val="auto"/>
                <w:spacing w:val="-3"/>
                <w:sz w:val="20"/>
                <w:szCs w:val="20"/>
                <w:highlight w:val="none"/>
                <w:lang w:val="zh-CN" w:eastAsia="zh-CN"/>
              </w:rPr>
              <w:t xml:space="preserve">分。</w:t>
            </w:r>
            <w:r/>
          </w:p>
        </w:tc>
      </w:tr>
      <w:tr>
        <w:trPr>
          <w:gridAfter w:val="1"/>
          <w:trHeight w:val="5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7"/>
                <w:sz w:val="20"/>
                <w:szCs w:val="20"/>
                <w:highlight w:val="none"/>
                <w:lang w:val="en-US" w:eastAsia="zh-CN" w:bidi="ar-SA"/>
              </w:rPr>
            </w:pPr>
            <w:r>
              <w:rPr>
                <w:rFonts w:hint="eastAsia" w:ascii="宋体" w:hAnsi="宋体" w:eastAsia="宋体" w:cs="宋体"/>
                <w:color w:val="auto"/>
                <w:spacing w:val="-7"/>
                <w:sz w:val="20"/>
                <w:szCs w:val="20"/>
                <w:highlight w:val="none"/>
                <w:lang w:val="en-US" w:eastAsia="zh-CN" w:bidi="ar-SA"/>
              </w:rPr>
              <w:t xml:space="preserve">不谈论服务对象隐私。</w:t>
            </w:r>
            <w:r/>
          </w:p>
        </w:tc>
        <w:tc>
          <w:tcPr>
            <w:gridSpan w:val="2"/>
            <w:tcW w:w="3090"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违反每例扣</w:t>
            </w:r>
            <w:r>
              <w:rPr>
                <w:rFonts w:hint="eastAsia" w:ascii="宋体" w:hAnsi="宋体" w:eastAsia="宋体" w:cs="宋体"/>
                <w:color w:val="auto"/>
                <w:spacing w:val="-3"/>
                <w:sz w:val="20"/>
                <w:szCs w:val="20"/>
                <w:highlight w:val="none"/>
                <w:lang w:val="en-US" w:eastAsia="zh-CN"/>
              </w:rPr>
              <w:t xml:space="preserve">5</w:t>
            </w:r>
            <w:r>
              <w:rPr>
                <w:rFonts w:hint="eastAsia" w:ascii="宋体" w:hAnsi="宋体" w:eastAsia="宋体" w:cs="宋体"/>
                <w:color w:val="auto"/>
                <w:spacing w:val="-3"/>
                <w:sz w:val="20"/>
                <w:szCs w:val="20"/>
                <w:highlight w:val="none"/>
                <w:lang w:val="zh-CN" w:eastAsia="zh-CN"/>
              </w:rPr>
              <w:t xml:space="preserve">分，</w:t>
            </w:r>
            <w:r>
              <w:rPr>
                <w:rFonts w:hint="eastAsia" w:ascii="宋体" w:hAnsi="宋体" w:eastAsia="宋体" w:cs="宋体"/>
                <w:color w:val="auto"/>
                <w:spacing w:val="1"/>
                <w:sz w:val="20"/>
                <w:szCs w:val="20"/>
                <w:highlight w:val="none"/>
              </w:rPr>
              <w:t xml:space="preserve">造成</w:t>
            </w:r>
            <w:r>
              <w:rPr>
                <w:rFonts w:hint="eastAsia" w:ascii="宋体" w:hAnsi="宋体" w:eastAsia="宋体" w:cs="宋体"/>
                <w:color w:val="auto"/>
                <w:spacing w:val="1"/>
                <w:sz w:val="20"/>
                <w:szCs w:val="20"/>
                <w:highlight w:val="none"/>
                <w:lang w:val="en-US" w:eastAsia="zh-CN"/>
              </w:rPr>
              <w:t xml:space="preserve">服务对象</w:t>
            </w:r>
            <w:r>
              <w:rPr>
                <w:rFonts w:hint="eastAsia" w:ascii="宋体" w:hAnsi="宋体" w:eastAsia="宋体" w:cs="宋体"/>
                <w:color w:val="auto"/>
                <w:spacing w:val="1"/>
                <w:sz w:val="20"/>
                <w:szCs w:val="20"/>
                <w:highlight w:val="none"/>
              </w:rPr>
              <w:t xml:space="preserve">信</w:t>
            </w:r>
            <w:r>
              <w:rPr>
                <w:rFonts w:hint="eastAsia" w:ascii="宋体" w:hAnsi="宋体" w:eastAsia="宋体" w:cs="宋体"/>
                <w:color w:val="auto"/>
                <w:spacing w:val="10"/>
                <w:sz w:val="20"/>
                <w:szCs w:val="20"/>
                <w:highlight w:val="none"/>
              </w:rPr>
              <w:t xml:space="preserve">息泄露</w:t>
            </w:r>
            <w:r>
              <w:rPr>
                <w:rFonts w:hint="eastAsia" w:ascii="宋体" w:hAnsi="宋体" w:eastAsia="宋体" w:cs="宋体"/>
                <w:color w:val="auto"/>
                <w:spacing w:val="-3"/>
                <w:sz w:val="20"/>
                <w:szCs w:val="20"/>
                <w:highlight w:val="none"/>
                <w:lang w:val="zh-CN" w:eastAsia="zh-CN"/>
              </w:rPr>
              <w:t xml:space="preserve">每例扣</w:t>
            </w:r>
            <w:r>
              <w:rPr>
                <w:rFonts w:hint="eastAsia" w:ascii="宋体" w:hAnsi="宋体" w:eastAsia="宋体" w:cs="宋体"/>
                <w:color w:val="auto"/>
                <w:spacing w:val="-3"/>
                <w:sz w:val="20"/>
                <w:szCs w:val="20"/>
                <w:highlight w:val="none"/>
                <w:lang w:val="en-US" w:eastAsia="zh-CN"/>
              </w:rPr>
              <w:t xml:space="preserve">10</w:t>
            </w:r>
            <w:r>
              <w:rPr>
                <w:rFonts w:hint="eastAsia" w:ascii="宋体" w:hAnsi="宋体" w:eastAsia="宋体" w:cs="宋体"/>
                <w:color w:val="auto"/>
                <w:spacing w:val="-3"/>
                <w:sz w:val="20"/>
                <w:szCs w:val="20"/>
                <w:highlight w:val="none"/>
                <w:lang w:val="zh-CN" w:eastAsia="zh-CN"/>
              </w:rPr>
              <w:t xml:space="preserve">分</w:t>
            </w:r>
            <w:r>
              <w:rPr>
                <w:rFonts w:hint="eastAsia" w:ascii="宋体" w:hAnsi="宋体" w:eastAsia="宋体" w:cs="宋体"/>
                <w:color w:val="auto"/>
                <w:spacing w:val="10"/>
                <w:sz w:val="20"/>
                <w:szCs w:val="20"/>
                <w:highlight w:val="none"/>
                <w:lang w:eastAsia="zh-CN"/>
              </w:rPr>
              <w:t xml:space="preserve">。</w:t>
            </w:r>
            <w:r/>
          </w:p>
        </w:tc>
      </w:tr>
      <w:tr>
        <w:trPr>
          <w:gridAfter w:val="1"/>
          <w:trHeight w:val="397"/>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患者及家属满意度达标（</w:t>
            </w:r>
            <w:r>
              <w:rPr>
                <w:rFonts w:hint="eastAsia" w:ascii="宋体" w:hAnsi="宋体" w:eastAsia="宋体" w:cs="宋体"/>
                <w:color w:val="auto"/>
                <w:spacing w:val="-3"/>
                <w:sz w:val="20"/>
                <w:szCs w:val="20"/>
                <w:highlight w:val="none"/>
                <w:lang w:val="en-US" w:eastAsia="zh-CN"/>
              </w:rPr>
              <w:t xml:space="preserve">98%</w:t>
            </w:r>
            <w:r>
              <w:rPr>
                <w:rFonts w:hint="eastAsia" w:ascii="宋体" w:hAnsi="宋体" w:eastAsia="宋体" w:cs="宋体"/>
                <w:color w:val="auto"/>
                <w:spacing w:val="-3"/>
                <w:sz w:val="20"/>
                <w:szCs w:val="20"/>
                <w:highlight w:val="none"/>
                <w:lang w:val="zh-CN" w:eastAsia="zh-CN"/>
              </w:rPr>
              <w:t xml:space="preserve">）</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低于标准值，酌情扣3–8分。</w:t>
            </w:r>
            <w:r/>
          </w:p>
        </w:tc>
      </w:tr>
      <w:tr>
        <w:trPr>
          <w:gridAfter w:val="1"/>
          <w:trHeight w:val="624"/>
        </w:trPr>
        <w:tc>
          <w:tcPr>
            <w:tcW w:w="1496" w:type="dxa"/>
            <w:vAlign w:val="center"/>
            <w:vMerge w:val="restart"/>
            <w:textDirection w:val="lrTb"/>
            <w:noWrap w:val="false"/>
          </w:tcPr>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投诉管理</w:t>
            </w:r>
            <w:r/>
          </w:p>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与</w:t>
            </w:r>
            <w:r/>
          </w:p>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问题整改</w:t>
            </w:r>
            <w:r/>
          </w:p>
          <w:p>
            <w:pPr>
              <w:pStyle w:val="856"/>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（10分）</w:t>
            </w:r>
            <w:r/>
          </w:p>
        </w:tc>
        <w:tc>
          <w:tcPr>
            <w:gridSpan w:val="2"/>
            <w:tcW w:w="5539"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有效投诉界定：经甲方核实，因乙方人员服务差、责任心不强、操作不规范、态度问题引发的真实投诉。</w:t>
            </w:r>
            <w:r/>
          </w:p>
        </w:tc>
        <w:tc>
          <w:tcPr>
            <w:gridSpan w:val="2"/>
            <w:tcW w:w="3090"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普通有效投诉每起扣3分；重大投诉、群体性投诉、舆情风险事件每起扣8–10分。</w:t>
            </w:r>
            <w:r/>
          </w:p>
        </w:tc>
      </w:tr>
      <w:tr>
        <w:trPr>
          <w:gridAfter w:val="1"/>
          <w:trHeight w:val="510"/>
        </w:trPr>
        <w:tc>
          <w:tcPr>
            <w:tcW w:w="1496" w:type="dxa"/>
            <w:vAlign w:val="center"/>
            <w:vMerge w:val="continue"/>
            <w:textDirection w:val="lrTb"/>
            <w:noWrap w:val="false"/>
          </w:tcPr>
          <w:p>
            <w:pPr>
              <w:pStyle w:val="856"/>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856"/>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甲方检查发现问题后，</w:t>
            </w:r>
            <w:r>
              <w:rPr>
                <w:rFonts w:hint="eastAsia" w:ascii="宋体" w:hAnsi="宋体" w:eastAsia="宋体" w:cs="宋体"/>
                <w:color w:val="auto"/>
                <w:spacing w:val="-3"/>
                <w:sz w:val="20"/>
                <w:szCs w:val="20"/>
                <w:highlight w:val="none"/>
                <w:lang w:val="en-US" w:eastAsia="zh-CN"/>
              </w:rPr>
              <w:t xml:space="preserve">及时整改到位。</w:t>
            </w:r>
            <w:r/>
          </w:p>
        </w:tc>
        <w:tc>
          <w:tcPr>
            <w:gridSpan w:val="2"/>
            <w:tcW w:w="3090" w:type="dxa"/>
            <w:vAlign w:val="center"/>
            <w:textDirection w:val="lrTb"/>
            <w:noWrap w:val="false"/>
          </w:tcPr>
          <w:p>
            <w:pPr>
              <w:pStyle w:val="856"/>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t xml:space="preserve">未按期整改、整改不到位、反复反弹，每次扣3分。</w:t>
            </w:r>
            <w:r/>
          </w:p>
        </w:tc>
      </w:tr>
      <w:tr>
        <w:trPr>
          <w:gridAfter w:val="1"/>
          <w:trHeight w:val="283"/>
        </w:trPr>
        <w:tc>
          <w:tcPr>
            <w:tcW w:w="1496" w:type="dxa"/>
            <w:vAlign w:val="center"/>
            <w:vMerge w:val="restart"/>
            <w:textDirection w:val="lrTb"/>
            <w:noWrap w:val="false"/>
          </w:tcPr>
          <w:p>
            <w:pPr>
              <w:pStyle w:val="856"/>
              <w:ind w:left="0" w:firstLine="0"/>
              <w:jc w:val="center"/>
              <w:keepLines w:val="0"/>
              <w:keepNext w:val="0"/>
              <w:pageBreakBefore w:val="0"/>
              <w:spacing w:line="2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2"/>
                <w:sz w:val="20"/>
                <w:szCs w:val="20"/>
                <w:highlight w:val="none"/>
              </w:rPr>
              <w:t xml:space="preserve">收费要求</w:t>
            </w:r>
            <w:r/>
          </w:p>
          <w:p>
            <w:pPr>
              <w:pStyle w:val="856"/>
              <w:ind w:left="0" w:firstLine="0"/>
              <w:jc w:val="center"/>
              <w:keepLines w:val="0"/>
              <w:keepNext w:val="0"/>
              <w:pageBreakBefore w:val="0"/>
              <w:spacing w:line="2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0"/>
                <w:sz w:val="20"/>
                <w:szCs w:val="20"/>
                <w:highlight w:val="none"/>
              </w:rPr>
              <w:t xml:space="preserve">(10分)</w:t>
            </w:r>
            <w:r/>
          </w:p>
        </w:tc>
        <w:tc>
          <w:tcPr>
            <w:gridSpan w:val="2"/>
            <w:tcW w:w="5539" w:type="dxa"/>
            <w:vAlign w:val="center"/>
            <w:textDirection w:val="lrTb"/>
            <w:noWrap w:val="false"/>
          </w:tcPr>
          <w:p>
            <w:pPr>
              <w:pStyle w:val="856"/>
              <w:ind w:left="341" w:right="112" w:hanging="230"/>
              <w:jc w:val="both"/>
              <w:keepLines w:val="0"/>
              <w:keepNext w:val="0"/>
              <w:pageBreakBefore w:val="0"/>
              <w:spacing w:before="49" w:line="200" w:lineRule="exact"/>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服务对象</w:t>
            </w:r>
            <w:r>
              <w:rPr>
                <w:rFonts w:hint="eastAsia" w:ascii="宋体" w:hAnsi="宋体" w:eastAsia="宋体" w:cs="宋体"/>
                <w:color w:val="auto"/>
                <w:sz w:val="20"/>
                <w:szCs w:val="20"/>
                <w:highlight w:val="none"/>
              </w:rPr>
              <w:t xml:space="preserve">提前终止服务，</w:t>
            </w:r>
            <w:r>
              <w:rPr>
                <w:rFonts w:hint="eastAsia" w:ascii="宋体" w:hAnsi="宋体" w:eastAsia="宋体" w:cs="宋体"/>
                <w:color w:val="auto"/>
                <w:sz w:val="20"/>
                <w:szCs w:val="20"/>
                <w:highlight w:val="none"/>
                <w:lang w:val="en-US" w:eastAsia="zh-CN"/>
              </w:rPr>
              <w:t xml:space="preserve">需</w:t>
            </w:r>
            <w:r>
              <w:rPr>
                <w:rFonts w:hint="eastAsia" w:ascii="宋体" w:hAnsi="宋体" w:eastAsia="宋体" w:cs="宋体"/>
                <w:color w:val="auto"/>
                <w:sz w:val="20"/>
                <w:szCs w:val="20"/>
                <w:highlight w:val="none"/>
              </w:rPr>
              <w:t xml:space="preserve">立即</w:t>
            </w:r>
            <w:r>
              <w:rPr>
                <w:rFonts w:hint="eastAsia" w:ascii="宋体" w:hAnsi="宋体" w:eastAsia="宋体" w:cs="宋体"/>
                <w:color w:val="auto"/>
                <w:spacing w:val="-1"/>
                <w:sz w:val="20"/>
                <w:szCs w:val="20"/>
                <w:highlight w:val="none"/>
              </w:rPr>
              <w:t xml:space="preserve">按标准</w:t>
            </w:r>
            <w:r>
              <w:rPr>
                <w:rFonts w:hint="eastAsia" w:ascii="宋体" w:hAnsi="宋体" w:eastAsia="宋体" w:cs="宋体"/>
                <w:color w:val="auto"/>
                <w:spacing w:val="-1"/>
                <w:sz w:val="20"/>
                <w:szCs w:val="20"/>
                <w:highlight w:val="none"/>
                <w:lang w:val="en-US" w:eastAsia="zh-CN"/>
              </w:rPr>
              <w:t xml:space="preserve">退</w:t>
            </w:r>
            <w:r>
              <w:rPr>
                <w:rFonts w:hint="eastAsia" w:ascii="宋体" w:hAnsi="宋体" w:eastAsia="宋体" w:cs="宋体"/>
                <w:color w:val="auto"/>
                <w:spacing w:val="-1"/>
                <w:sz w:val="20"/>
                <w:szCs w:val="20"/>
                <w:highlight w:val="none"/>
              </w:rPr>
              <w:t xml:space="preserve">收费</w:t>
            </w:r>
            <w:r/>
          </w:p>
        </w:tc>
        <w:tc>
          <w:tcPr>
            <w:gridSpan w:val="2"/>
            <w:tcW w:w="3090" w:type="dxa"/>
            <w:vAlign w:val="center"/>
            <w:textDirection w:val="lrTb"/>
            <w:noWrap w:val="false"/>
          </w:tcPr>
          <w:p>
            <w:pPr>
              <w:pStyle w:val="856"/>
              <w:ind w:right="112"/>
              <w:jc w:val="both"/>
              <w:keepLines w:val="0"/>
              <w:keepNext w:val="0"/>
              <w:pageBreakBefore w:val="0"/>
              <w:spacing w:before="49" w:line="200" w:lineRule="exact"/>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不符合</w:t>
            </w:r>
            <w:r>
              <w:rPr>
                <w:rFonts w:hint="eastAsia" w:ascii="宋体" w:hAnsi="宋体" w:eastAsia="宋体" w:cs="宋体"/>
                <w:color w:val="auto"/>
                <w:sz w:val="20"/>
                <w:szCs w:val="20"/>
                <w:highlight w:val="none"/>
              </w:rPr>
              <w:t xml:space="preserve">扣</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分</w:t>
            </w:r>
            <w:r>
              <w:rPr>
                <w:rFonts w:hint="eastAsia" w:ascii="宋体" w:hAnsi="宋体" w:eastAsia="宋体" w:cs="宋体"/>
                <w:color w:val="auto"/>
                <w:spacing w:val="14"/>
                <w:sz w:val="20"/>
                <w:szCs w:val="20"/>
                <w:highlight w:val="none"/>
                <w:lang w:val="en-US" w:eastAsia="zh-CN"/>
              </w:rPr>
              <w:t xml:space="preserve">/</w:t>
            </w:r>
            <w:r>
              <w:rPr>
                <w:rFonts w:hint="eastAsia" w:ascii="宋体" w:hAnsi="宋体" w:eastAsia="宋体" w:cs="宋体"/>
                <w:color w:val="auto"/>
                <w:spacing w:val="-1"/>
                <w:sz w:val="20"/>
                <w:szCs w:val="20"/>
                <w:highlight w:val="none"/>
              </w:rPr>
              <w:t xml:space="preserve">次</w:t>
            </w:r>
            <w:r>
              <w:rPr>
                <w:rFonts w:hint="eastAsia" w:ascii="宋体" w:hAnsi="宋体" w:eastAsia="宋体" w:cs="宋体"/>
                <w:color w:val="auto"/>
                <w:spacing w:val="-1"/>
                <w:sz w:val="20"/>
                <w:szCs w:val="20"/>
                <w:highlight w:val="none"/>
                <w:lang w:eastAsia="zh-CN"/>
              </w:rPr>
              <w:t xml:space="preserve">。</w:t>
            </w:r>
            <w:r/>
          </w:p>
        </w:tc>
      </w:tr>
      <w:tr>
        <w:trPr>
          <w:gridAfter w:val="1"/>
          <w:trHeight w:val="283"/>
        </w:trPr>
        <w:tc>
          <w:tcPr>
            <w:tcW w:w="1496" w:type="dxa"/>
            <w:vAlign w:val="top"/>
            <w:vMerge w:val="continue"/>
            <w:textDirection w:val="lrTb"/>
            <w:noWrap w:val="false"/>
          </w:tcPr>
          <w:p>
            <w:pPr>
              <w:pStyle w:val="856"/>
              <w:ind w:left="0" w:firstLine="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856"/>
              <w:ind w:left="101" w:right="37" w:hanging="49"/>
              <w:jc w:val="left"/>
              <w:keepLines w:val="0"/>
              <w:keepNext w:val="0"/>
              <w:pageBreakBefore w:val="0"/>
              <w:spacing w:before="59" w:line="200" w:lineRule="exact"/>
              <w:widowControl w:val="off"/>
              <w:rPr>
                <w:rFonts w:hint="eastAsia" w:ascii="宋体" w:hAnsi="宋体" w:eastAsia="宋体" w:cs="宋体"/>
                <w:color w:val="auto"/>
                <w:spacing w:val="1"/>
                <w:sz w:val="20"/>
                <w:szCs w:val="20"/>
                <w:highlight w:val="none"/>
                <w:lang w:val="en-US" w:eastAsia="zh-CN" w:bidi="ar-SA"/>
              </w:rPr>
            </w:pPr>
            <w:r>
              <w:rPr>
                <w:rFonts w:hint="eastAsia" w:ascii="宋体" w:hAnsi="宋体" w:eastAsia="宋体" w:cs="宋体"/>
                <w:color w:val="auto"/>
                <w:spacing w:val="1"/>
                <w:sz w:val="20"/>
                <w:szCs w:val="20"/>
                <w:highlight w:val="none"/>
                <w:lang w:val="en-US" w:eastAsia="zh-CN"/>
              </w:rPr>
              <w:t xml:space="preserve">按时缴纳医院管理费。</w:t>
            </w:r>
            <w:r/>
          </w:p>
        </w:tc>
        <w:tc>
          <w:tcPr>
            <w:gridSpan w:val="2"/>
            <w:tcW w:w="3090" w:type="dxa"/>
            <w:vAlign w:val="center"/>
            <w:textDirection w:val="lrTb"/>
            <w:noWrap w:val="false"/>
          </w:tcPr>
          <w:p>
            <w:pPr>
              <w:pStyle w:val="856"/>
              <w:ind w:left="101" w:right="37" w:hanging="49"/>
              <w:jc w:val="left"/>
              <w:keepLines w:val="0"/>
              <w:keepNext w:val="0"/>
              <w:pageBreakBefore w:val="0"/>
              <w:spacing w:before="59" w:line="200" w:lineRule="exact"/>
              <w:widowControl w:val="off"/>
              <w:rPr>
                <w:rFonts w:hint="eastAsia" w:ascii="宋体" w:hAnsi="宋体" w:eastAsia="宋体" w:cs="宋体"/>
                <w:color w:val="auto"/>
                <w:spacing w:val="1"/>
                <w:sz w:val="20"/>
                <w:szCs w:val="20"/>
                <w:highlight w:val="none"/>
                <w:lang w:val="en-US" w:eastAsia="zh-CN" w:bidi="ar-SA"/>
              </w:rPr>
            </w:pPr>
            <w:r>
              <w:rPr>
                <w:rFonts w:hint="eastAsia" w:ascii="宋体" w:hAnsi="宋体" w:eastAsia="宋体" w:cs="宋体"/>
                <w:color w:val="auto"/>
                <w:spacing w:val="-1"/>
                <w:sz w:val="20"/>
                <w:szCs w:val="20"/>
                <w:highlight w:val="none"/>
                <w:lang w:val="en-US" w:eastAsia="zh-CN"/>
              </w:rPr>
              <w:t xml:space="preserve">不符合</w:t>
            </w:r>
            <w:r>
              <w:rPr>
                <w:rFonts w:hint="eastAsia" w:ascii="宋体" w:hAnsi="宋体" w:eastAsia="宋体" w:cs="宋体"/>
                <w:color w:val="auto"/>
                <w:spacing w:val="-1"/>
                <w:sz w:val="20"/>
                <w:szCs w:val="20"/>
                <w:highlight w:val="none"/>
              </w:rPr>
              <w:t xml:space="preserve">扣</w:t>
            </w:r>
            <w:r>
              <w:rPr>
                <w:rFonts w:hint="eastAsia" w:ascii="宋体" w:hAnsi="宋体" w:eastAsia="宋体" w:cs="宋体"/>
                <w:color w:val="auto"/>
                <w:spacing w:val="-1"/>
                <w:sz w:val="20"/>
                <w:szCs w:val="20"/>
                <w:highlight w:val="none"/>
                <w:lang w:val="en-US" w:eastAsia="zh-CN"/>
              </w:rPr>
              <w:t xml:space="preserve">5</w:t>
            </w:r>
            <w:r>
              <w:rPr>
                <w:rFonts w:hint="eastAsia" w:ascii="宋体" w:hAnsi="宋体" w:eastAsia="宋体" w:cs="宋体"/>
                <w:color w:val="auto"/>
                <w:spacing w:val="-1"/>
                <w:sz w:val="20"/>
                <w:szCs w:val="20"/>
                <w:highlight w:val="none"/>
              </w:rPr>
              <w:t xml:space="preserve">分</w:t>
            </w:r>
            <w:r>
              <w:rPr>
                <w:rFonts w:hint="eastAsia" w:ascii="宋体" w:hAnsi="宋体" w:eastAsia="宋体" w:cs="宋体"/>
                <w:color w:val="auto"/>
                <w:spacing w:val="14"/>
                <w:sz w:val="20"/>
                <w:szCs w:val="20"/>
                <w:highlight w:val="none"/>
                <w:lang w:val="en-US" w:eastAsia="zh-CN"/>
              </w:rPr>
              <w:t xml:space="preserve">/</w:t>
            </w:r>
            <w:r>
              <w:rPr>
                <w:rFonts w:hint="eastAsia" w:ascii="宋体" w:hAnsi="宋体" w:eastAsia="宋体" w:cs="宋体"/>
                <w:color w:val="auto"/>
                <w:spacing w:val="-1"/>
                <w:sz w:val="20"/>
                <w:szCs w:val="20"/>
                <w:highlight w:val="none"/>
              </w:rPr>
              <w:t xml:space="preserve">次</w:t>
            </w:r>
            <w:r>
              <w:rPr>
                <w:rFonts w:hint="eastAsia" w:ascii="宋体" w:hAnsi="宋体" w:eastAsia="宋体" w:cs="宋体"/>
                <w:color w:val="auto"/>
                <w:spacing w:val="-1"/>
                <w:sz w:val="20"/>
                <w:szCs w:val="20"/>
                <w:highlight w:val="none"/>
                <w:lang w:eastAsia="zh-CN"/>
              </w:rPr>
              <w:t xml:space="preserve">。</w:t>
            </w:r>
            <w:r/>
          </w:p>
        </w:tc>
      </w:tr>
      <w:tr>
        <w:trPr>
          <w:gridAfter w:val="1"/>
          <w:trHeight w:val="283"/>
        </w:trPr>
        <w:tc>
          <w:tcPr>
            <w:tcBorders>
              <w:top w:val="single" w:color="auto" w:sz="4" w:space="0"/>
              <w:bottom w:val="single" w:color="auto" w:sz="4" w:space="0"/>
            </w:tcBorders>
            <w:tcW w:w="1496" w:type="dxa"/>
            <w:vAlign w:val="center"/>
            <w:textDirection w:val="lrTb"/>
            <w:noWrap w:val="false"/>
          </w:tcPr>
          <w:p>
            <w:pPr>
              <w:jc w:val="center"/>
              <w:keepLines w:val="0"/>
              <w:keepNext w:val="0"/>
              <w:pageBreakBefore w:val="0"/>
              <w:spacing w:line="2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pacing w:val="-2"/>
                <w:sz w:val="20"/>
                <w:szCs w:val="20"/>
                <w:highlight w:val="none"/>
                <w:lang w:val="en-US" w:eastAsia="zh-CN" w:bidi="ar-SA"/>
              </w:rPr>
              <w:t xml:space="preserve">得分</w:t>
            </w:r>
            <w:r/>
          </w:p>
        </w:tc>
        <w:tc>
          <w:tcPr>
            <w:gridSpan w:val="4"/>
            <w:tcW w:w="8629" w:type="dxa"/>
            <w:vAlign w:val="center"/>
            <w:textDirection w:val="lrTb"/>
            <w:noWrap w:val="false"/>
          </w:tcPr>
          <w:p>
            <w:pPr>
              <w:pStyle w:val="856"/>
              <w:ind w:left="52"/>
              <w:jc w:val="left"/>
              <w:keepLines w:val="0"/>
              <w:keepNext w:val="0"/>
              <w:pageBreakBefore w:val="0"/>
              <w:spacing w:before="50" w:line="200" w:lineRule="exact"/>
              <w:widowControl w:val="off"/>
              <w:rPr>
                <w:rFonts w:hint="eastAsia" w:ascii="宋体" w:hAnsi="宋体" w:eastAsia="宋体" w:cs="宋体"/>
                <w:color w:val="auto"/>
                <w:spacing w:val="-8"/>
                <w:sz w:val="20"/>
                <w:szCs w:val="20"/>
                <w:highlight w:val="none"/>
                <w:lang w:val="en-US" w:eastAsia="zh-CN"/>
              </w:rPr>
            </w:pPr>
            <w:r>
              <w:rPr>
                <w:rFonts w:hint="eastAsia" w:ascii="宋体" w:hAnsi="宋体" w:eastAsia="宋体" w:cs="宋体"/>
                <w:color w:val="auto"/>
                <w:spacing w:val="-8"/>
                <w:sz w:val="20"/>
                <w:szCs w:val="20"/>
                <w:highlight w:val="none"/>
                <w:lang w:val="en-US" w:eastAsia="zh-CN"/>
              </w:rPr>
            </w:r>
            <w:r/>
          </w:p>
        </w:tc>
      </w:tr>
    </w:tbl>
    <w:tbl>
      <w:tblPr>
        <w:tblStyle w:val="743"/>
        <w:tblpPr w:horzAnchor="text" w:tblpX="10223" w:vertAnchor="text" w:tblpY="-677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tblGrid>
      <w:tr>
        <w:trPr>
          <w:trHeight w:val="30"/>
        </w:trPr>
        <w:tc>
          <w:tcPr>
            <w:tcW w:w="945"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 xml:space="preserve"> </w:t>
            </w:r>
            <w:r/>
          </w:p>
        </w:tc>
      </w:tr>
    </w:tbl>
    <w:tbl>
      <w:tblPr>
        <w:tblStyle w:val="743"/>
        <w:tblpPr w:horzAnchor="text" w:tblpX="10223" w:vertAnchor="text" w:tblpY="-8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tblGrid>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r>
            <w:r/>
          </w:p>
        </w:tc>
      </w:tr>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r>
            <w:r/>
          </w:p>
        </w:tc>
      </w:tr>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r>
            <w:r/>
          </w:p>
        </w:tc>
      </w:tr>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r>
            <w:r/>
          </w:p>
        </w:tc>
      </w:tr>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 xml:space="preserve"> </w:t>
            </w:r>
            <w:r/>
          </w:p>
        </w:tc>
      </w:tr>
    </w:tbl>
    <w:p>
      <w:pPr>
        <w:keepLines w:val="0"/>
        <w:keepNext w:val="0"/>
        <w:pageBreakBefore w:val="0"/>
        <w:spacing w:line="200" w:lineRule="exact"/>
        <w:widowControl w:val="off"/>
        <w:rPr>
          <w:rFonts w:hint="eastAsia" w:ascii="Arial"/>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w:t>
      </w:r>
      <w:r/>
    </w:p>
    <w:p>
      <w:pPr>
        <w:ind w:firstLine="200"/>
        <w:keepLines w:val="0"/>
        <w:keepNext w:val="0"/>
        <w:pageBreakBefore w:val="0"/>
        <w:spacing w:line="200" w:lineRule="exact"/>
        <w:rPr>
          <w:rFonts w:hint="default" w:ascii="Arial" w:eastAsia="宋体"/>
          <w:color w:val="auto"/>
          <w:sz w:val="20"/>
          <w:szCs w:val="20"/>
          <w:highlight w:val="none"/>
          <w:lang w:val="en-US" w:eastAsia="zh-CN"/>
        </w:rPr>
      </w:pPr>
      <w:r>
        <w:rPr>
          <w:rFonts w:hint="eastAsia" w:ascii="Arial"/>
          <w:color w:val="auto"/>
          <w:sz w:val="20"/>
          <w:szCs w:val="20"/>
          <w:highlight w:val="none"/>
          <w:lang w:val="en-US" w:eastAsia="zh-CN"/>
        </w:rPr>
        <w:t xml:space="preserve"> </w:t>
      </w:r>
      <w:r>
        <w:rPr>
          <w:rFonts w:hint="eastAsia"/>
          <w:color w:val="auto"/>
          <w:spacing w:val="-8"/>
          <w:sz w:val="20"/>
          <w:szCs w:val="20"/>
          <w:highlight w:val="none"/>
          <w:lang w:val="en-US" w:eastAsia="zh-CN"/>
        </w:rPr>
        <w:t xml:space="preserve">备注：以上考核标准不是护士长一人考核，含主管部门和使用部门。</w:t>
      </w:r>
      <w:bookmarkEnd w:id="45"/>
      <w:r/>
    </w:p>
    <w:p>
      <w:pPr>
        <w:pStyle w:val="712"/>
        <w:numPr>
          <w:ilvl w:val="0"/>
          <w:numId w:val="1"/>
        </w:numPr>
        <w:jc w:val="center"/>
        <w:rPr>
          <w:rFonts w:ascii="仿宋" w:hAnsi="仿宋" w:eastAsia="仿宋" w:cs="仿宋"/>
          <w:color w:val="auto"/>
          <w:sz w:val="40"/>
          <w:szCs w:val="40"/>
          <w:highlight w:val="none"/>
        </w:rPr>
      </w:pPr>
      <w:r/>
      <w:bookmarkStart w:id="49" w:name="_Toc18592"/>
      <w:r>
        <w:rPr>
          <w:rFonts w:hint="eastAsia" w:ascii="仿宋" w:hAnsi="仿宋" w:eastAsia="仿宋" w:cs="仿宋"/>
          <w:color w:val="auto"/>
          <w:sz w:val="40"/>
          <w:szCs w:val="40"/>
          <w:highlight w:val="none"/>
        </w:rPr>
        <w:t xml:space="preserve">投标文件格式</w:t>
      </w:r>
      <w:bookmarkEnd w:id="49"/>
      <w:r/>
      <w:r/>
    </w:p>
    <w:p>
      <w:pPr>
        <w:jc w:val="center"/>
        <w:rPr>
          <w:rFonts w:ascii="仿宋" w:hAnsi="仿宋" w:eastAsia="仿宋" w:cs="仿宋"/>
          <w:b/>
          <w:bCs/>
          <w:color w:val="auto"/>
          <w:sz w:val="28"/>
          <w:szCs w:val="28"/>
          <w:highlight w:val="none"/>
        </w:rPr>
      </w:pPr>
      <w:r/>
      <w:bookmarkStart w:id="50" w:name="_Toc8317"/>
      <w:r>
        <w:rPr>
          <w:rFonts w:hint="eastAsia" w:ascii="仿宋" w:hAnsi="仿宋" w:eastAsia="仿宋" w:cs="仿宋"/>
          <w:b/>
          <w:bCs/>
          <w:color w:val="auto"/>
          <w:sz w:val="28"/>
          <w:szCs w:val="28"/>
          <w:highlight w:val="none"/>
        </w:rPr>
        <w:t xml:space="preserve">目录（</w:t>
      </w:r>
      <w:r>
        <w:rPr>
          <w:rFonts w:hint="eastAsia" w:ascii="仿宋" w:hAnsi="仿宋" w:eastAsia="仿宋" w:cs="仿宋"/>
          <w:b/>
          <w:bCs/>
          <w:color w:val="auto"/>
          <w:sz w:val="28"/>
          <w:szCs w:val="28"/>
          <w:highlight w:val="none"/>
          <w:lang w:val="en-US"/>
        </w:rPr>
        <w:t xml:space="preserve">需编制页码</w:t>
      </w:r>
      <w:r>
        <w:rPr>
          <w:rFonts w:hint="eastAsia" w:ascii="仿宋" w:hAnsi="仿宋" w:eastAsia="仿宋" w:cs="仿宋"/>
          <w:b/>
          <w:bCs/>
          <w:color w:val="auto"/>
          <w:sz w:val="28"/>
          <w:szCs w:val="28"/>
          <w:highlight w:val="none"/>
        </w:rPr>
        <w:t xml:space="preserve">）</w:t>
      </w:r>
      <w:bookmarkEnd w:id="50"/>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评分</w:t>
      </w:r>
      <w:r>
        <w:rPr>
          <w:rFonts w:hint="eastAsia" w:ascii="仿宋" w:hAnsi="仿宋" w:eastAsia="仿宋" w:cs="仿宋"/>
          <w:color w:val="auto"/>
          <w:sz w:val="28"/>
          <w:szCs w:val="28"/>
          <w:highlight w:val="none"/>
          <w:lang w:val="en-US"/>
        </w:rPr>
        <w:t xml:space="preserve">索引表</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格式一：投标书</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格式二：开标一览表</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格式三：报价明细表</w:t>
      </w:r>
      <w:r/>
    </w:p>
    <w:p>
      <w:pPr>
        <w:pStyle w:val="724"/>
        <w:ind w:left="1133"/>
        <w:spacing w:before="2" w:line="440" w:lineRule="exact"/>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lang w:val="en-US"/>
        </w:rPr>
        <w:t xml:space="preserve">四</w:t>
      </w:r>
      <w:r>
        <w:rPr>
          <w:rFonts w:hint="eastAsia" w:ascii="仿宋" w:hAnsi="仿宋" w:eastAsia="仿宋" w:cs="仿宋"/>
          <w:color w:val="auto"/>
          <w:sz w:val="28"/>
          <w:szCs w:val="28"/>
          <w:highlight w:val="none"/>
        </w:rPr>
        <w:t xml:space="preserve">：中小企业声明函</w:t>
      </w:r>
      <w:r>
        <w:rPr>
          <w:rFonts w:hint="eastAsia" w:ascii="仿宋" w:hAnsi="仿宋" w:eastAsia="仿宋" w:cs="仿宋"/>
          <w:color w:val="auto"/>
          <w:sz w:val="28"/>
          <w:szCs w:val="28"/>
          <w:highlight w:val="none"/>
          <w:lang w:val="en-US"/>
        </w:rPr>
        <w:t xml:space="preserve">及</w:t>
      </w:r>
      <w:r>
        <w:rPr>
          <w:rFonts w:hint="eastAsia" w:ascii="仿宋" w:hAnsi="仿宋" w:eastAsia="仿宋" w:cs="仿宋"/>
          <w:color w:val="auto"/>
          <w:sz w:val="28"/>
          <w:szCs w:val="28"/>
          <w:highlight w:val="none"/>
        </w:rPr>
        <w:t xml:space="preserve">残疾人福利性单位声明函</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格式五：供应商信用承诺书</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格式六：资格证明</w:t>
      </w:r>
      <w:r>
        <w:rPr>
          <w:rFonts w:hint="eastAsia" w:ascii="仿宋" w:hAnsi="仿宋" w:eastAsia="仿宋" w:cs="仿宋"/>
          <w:color w:val="auto"/>
          <w:sz w:val="28"/>
          <w:szCs w:val="28"/>
          <w:highlight w:val="none"/>
          <w:lang w:val="en-US"/>
        </w:rPr>
        <w:t xml:space="preserve">文件</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格式七：法定代表人身份证明书</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格式八：授权委托书</w:t>
      </w:r>
      <w:r/>
    </w:p>
    <w:p>
      <w:pPr>
        <w:pStyle w:val="724"/>
        <w:ind w:left="1133"/>
        <w:spacing w:before="2" w:line="440" w:lineRule="exact"/>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：类似业绩情况一览表</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格式十：技术条款响应表</w:t>
      </w:r>
      <w:r/>
    </w:p>
    <w:p>
      <w:pPr>
        <w:pStyle w:val="724"/>
        <w:ind w:left="1133"/>
        <w:spacing w:before="2"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格式十</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：商务条款响应表</w:t>
      </w:r>
      <w:r/>
    </w:p>
    <w:p>
      <w:pPr>
        <w:pStyle w:val="724"/>
        <w:ind w:left="1133"/>
        <w:spacing w:before="2"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格式十</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rPr>
        <w:t xml:space="preserve">拟派上岗人员一览表</w:t>
      </w:r>
      <w:r/>
    </w:p>
    <w:p>
      <w:pPr>
        <w:pStyle w:val="724"/>
        <w:ind w:left="1133"/>
        <w:spacing w:before="2"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格式十</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：项目组织实施方案</w:t>
      </w:r>
      <w:r/>
    </w:p>
    <w:p>
      <w:pPr>
        <w:pStyle w:val="724"/>
        <w:ind w:left="1133"/>
        <w:spacing w:before="2" w:line="440" w:lineRule="exact"/>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格式十</w:t>
      </w: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lang w:val="en-US"/>
        </w:rPr>
        <w:t xml:space="preserve">：投标人认为应该提交的其他资料</w:t>
      </w:r>
      <w:r/>
    </w:p>
    <w:p>
      <w:pPr>
        <w:jc w:val="center"/>
        <w:rPr>
          <w:rFonts w:ascii="仿宋" w:hAnsi="仿宋" w:eastAsia="仿宋" w:cs="仿宋"/>
          <w:b/>
          <w:bCs/>
          <w:color w:val="auto"/>
          <w:sz w:val="28"/>
          <w:szCs w:val="28"/>
          <w:highlight w:val="none"/>
        </w:rPr>
      </w:pPr>
      <w:r/>
      <w:bookmarkStart w:id="51" w:name="_Toc28916"/>
      <w:r/>
      <w:r/>
    </w:p>
    <w:p>
      <w:pPr>
        <w:jc w:val="cente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评分索引表</w:t>
      </w:r>
      <w:bookmarkEnd w:id="51"/>
      <w:r/>
      <w:r/>
    </w:p>
    <w:tbl>
      <w:tblPr>
        <w:tblStyle w:val="718"/>
        <w:tblpPr w:horzAnchor="page" w:tblpX="1037" w:vertAnchor="text" w:tblpY="382" w:leftFromText="180" w:topFromText="0" w:rightFromText="180" w:bottomFromText="0"/>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0"/>
        <w:gridCol w:w="4645"/>
      </w:tblGrid>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资格审查项</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在投标文件中的页码位置</w:t>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center"/>
              <w:spacing w:line="440" w:lineRule="exact"/>
              <w:rPr>
                <w:rFonts w:ascii="仿宋" w:hAnsi="仿宋" w:eastAsia="仿宋" w:cs="仿宋"/>
                <w:color w:val="auto"/>
                <w:sz w:val="28"/>
                <w:szCs w:val="28"/>
                <w:highlight w:val="none"/>
                <w:lang w:val="en-US"/>
              </w:rPr>
              <w:outlineLvl w:val="1"/>
            </w:pPr>
            <w:r>
              <w:rPr>
                <w:rFonts w:hint="eastAsia" w:ascii="仿宋" w:hAnsi="仿宋" w:eastAsia="仿宋" w:cs="仿宋"/>
                <w:color w:val="auto"/>
                <w:sz w:val="28"/>
                <w:szCs w:val="28"/>
                <w:highlight w:val="none"/>
                <w:lang w:val="en-US"/>
              </w:rPr>
              <w:t xml:space="preserve">......</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center"/>
              <w:spacing w:line="440" w:lineRule="exact"/>
              <w:rPr>
                <w:rFonts w:ascii="仿宋" w:hAnsi="仿宋" w:eastAsia="仿宋" w:cs="仿宋"/>
                <w:color w:val="auto"/>
                <w:sz w:val="28"/>
                <w:szCs w:val="28"/>
                <w:highlight w:val="none"/>
                <w:lang w:val="en-US"/>
              </w:rPr>
              <w:outlineLvl w:val="1"/>
            </w:pPr>
            <w:r>
              <w:rPr>
                <w:rFonts w:hint="eastAsia" w:ascii="仿宋" w:hAnsi="仿宋" w:eastAsia="仿宋" w:cs="仿宋"/>
                <w:b/>
                <w:color w:val="auto"/>
                <w:sz w:val="28"/>
                <w:szCs w:val="28"/>
                <w:highlight w:val="none"/>
                <w:lang w:val="en-US" w:bidi="ar-SA"/>
              </w:rPr>
              <w:t xml:space="preserve">符合性审查项</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在投标文件中的页码位置</w:t>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评分项目</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在投标文件中的页码位置</w:t>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784"/>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784"/>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pStyle w:val="730"/>
        <w:spacing w:line="44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730"/>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格式一：投   标   书</w:t>
      </w:r>
      <w:r/>
    </w:p>
    <w:p>
      <w:pPr>
        <w:pStyle w:val="730"/>
        <w:spacing w:line="440" w:lineRule="exact"/>
        <w:rPr>
          <w:rFonts w:ascii="仿宋" w:hAnsi="仿宋" w:eastAsia="仿宋" w:cs="仿宋"/>
          <w:color w:val="auto"/>
          <w:sz w:val="24"/>
          <w:szCs w:val="24"/>
          <w:highlight w:val="none"/>
        </w:rPr>
      </w:pPr>
      <w:r>
        <w:rPr>
          <w:rFonts w:hint="eastAsia" w:ascii="仿宋" w:hAnsi="仿宋" w:eastAsia="仿宋" w:cs="仿宋"/>
          <w:i/>
          <w:iCs/>
          <w:color w:val="auto"/>
          <w:sz w:val="24"/>
          <w:szCs w:val="24"/>
          <w:highlight w:val="none"/>
          <w:u w:val="single"/>
        </w:rPr>
        <w:t xml:space="preserve">（采购人）</w:t>
      </w:r>
      <w:r>
        <w:rPr>
          <w:rFonts w:hint="eastAsia" w:ascii="仿宋" w:hAnsi="仿宋" w:eastAsia="仿宋" w:cs="仿宋"/>
          <w:color w:val="auto"/>
          <w:sz w:val="24"/>
          <w:szCs w:val="24"/>
          <w:highlight w:val="none"/>
        </w:rPr>
        <w:t xml:space="preserve">：</w:t>
      </w:r>
      <w:r/>
    </w:p>
    <w:p>
      <w:pPr>
        <w:pStyle w:val="730"/>
        <w:ind w:firstLine="555"/>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根据贵方为</w:t>
      </w:r>
      <w:r>
        <w:rPr>
          <w:rFonts w:hint="eastAsia" w:ascii="仿宋" w:hAnsi="仿宋" w:eastAsia="仿宋" w:cs="仿宋"/>
          <w:i/>
          <w:iCs/>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项目招标采购货物及服务的（</w:t>
      </w:r>
      <w:r>
        <w:rPr>
          <w:rFonts w:hint="eastAsia" w:ascii="仿宋" w:hAnsi="仿宋" w:eastAsia="仿宋" w:cs="仿宋"/>
          <w:i/>
          <w:iCs/>
          <w:color w:val="auto"/>
          <w:sz w:val="24"/>
          <w:szCs w:val="24"/>
          <w:highlight w:val="none"/>
          <w:u w:val="single"/>
        </w:rPr>
        <w:t xml:space="preserve">招标编号</w:t>
      </w:r>
      <w:r>
        <w:rPr>
          <w:rFonts w:hint="eastAsia" w:ascii="仿宋" w:hAnsi="仿宋" w:eastAsia="仿宋" w:cs="仿宋"/>
          <w:color w:val="auto"/>
          <w:sz w:val="24"/>
          <w:szCs w:val="24"/>
          <w:highlight w:val="none"/>
        </w:rPr>
        <w:t xml:space="preserve">），签字代表</w:t>
      </w:r>
      <w:r>
        <w:rPr>
          <w:rFonts w:hint="eastAsia" w:ascii="仿宋" w:hAnsi="仿宋" w:eastAsia="仿宋" w:cs="仿宋"/>
          <w:i/>
          <w:iCs/>
          <w:color w:val="auto"/>
          <w:sz w:val="24"/>
          <w:szCs w:val="24"/>
          <w:highlight w:val="none"/>
          <w:u w:val="single"/>
        </w:rPr>
        <w:t xml:space="preserve">（姓名、职务）</w:t>
      </w:r>
      <w:r>
        <w:rPr>
          <w:rFonts w:hint="eastAsia" w:ascii="仿宋" w:hAnsi="仿宋" w:eastAsia="仿宋" w:cs="仿宋"/>
          <w:color w:val="auto"/>
          <w:sz w:val="24"/>
          <w:szCs w:val="24"/>
          <w:highlight w:val="none"/>
        </w:rPr>
        <w:t xml:space="preserve">经正式授权并代表投标人</w:t>
      </w:r>
      <w:r>
        <w:rPr>
          <w:rFonts w:hint="eastAsia" w:ascii="仿宋" w:hAnsi="仿宋" w:eastAsia="仿宋" w:cs="仿宋"/>
          <w:i/>
          <w:iCs/>
          <w:color w:val="auto"/>
          <w:sz w:val="24"/>
          <w:szCs w:val="24"/>
          <w:highlight w:val="none"/>
          <w:u w:val="single"/>
        </w:rPr>
        <w:t xml:space="preserve">（投标人名称、地址）</w:t>
      </w:r>
      <w:r>
        <w:rPr>
          <w:rFonts w:hint="eastAsia" w:ascii="仿宋" w:hAnsi="仿宋" w:eastAsia="仿宋" w:cs="仿宋"/>
          <w:color w:val="auto"/>
          <w:sz w:val="24"/>
          <w:szCs w:val="24"/>
          <w:highlight w:val="none"/>
        </w:rPr>
        <w:t xml:space="preserve">提交投标文件正本一份及副本</w:t>
      </w:r>
      <w:r>
        <w:rPr>
          <w:rFonts w:hint="eastAsia" w:ascii="仿宋" w:hAnsi="仿宋" w:eastAsia="仿宋" w:cs="仿宋"/>
          <w:color w:val="auto"/>
          <w:sz w:val="24"/>
          <w:szCs w:val="24"/>
          <w:highlight w:val="none"/>
          <w:u w:val="single"/>
          <w:lang w:val="en-US"/>
        </w:rPr>
        <w:t xml:space="preserve">肆</w:t>
      </w:r>
      <w:r>
        <w:rPr>
          <w:rFonts w:hint="eastAsia" w:ascii="仿宋" w:hAnsi="仿宋" w:eastAsia="仿宋" w:cs="仿宋"/>
          <w:color w:val="auto"/>
          <w:sz w:val="24"/>
          <w:szCs w:val="24"/>
          <w:highlight w:val="none"/>
        </w:rPr>
        <w:t xml:space="preserve">份（包括招标文件要求提供的全部资料）；</w:t>
      </w:r>
      <w:r/>
    </w:p>
    <w:p>
      <w:pPr>
        <w:pStyle w:val="730"/>
        <w:ind w:firstLine="555"/>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据此函，签字代表宣布同意如下：</w:t>
      </w:r>
      <w:r/>
    </w:p>
    <w:p>
      <w:pPr>
        <w:pStyle w:val="730"/>
        <w:ind w:firstLine="48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1．所附投标价格表中规定的应提交和交付的货物投标总价为</w:t>
      </w:r>
      <w:r>
        <w:rPr>
          <w:rFonts w:hint="eastAsia" w:ascii="仿宋" w:hAnsi="仿宋" w:eastAsia="仿宋" w:cs="仿宋"/>
          <w:color w:val="auto"/>
          <w:sz w:val="24"/>
          <w:szCs w:val="24"/>
          <w:highlight w:val="none"/>
          <w:u w:val="single"/>
        </w:rPr>
        <w:t xml:space="preserve">（</w:t>
      </w:r>
      <w:r>
        <w:rPr>
          <w:rFonts w:hint="eastAsia" w:ascii="仿宋" w:hAnsi="仿宋" w:eastAsia="仿宋" w:cs="仿宋"/>
          <w:i/>
          <w:iCs/>
          <w:color w:val="auto"/>
          <w:sz w:val="24"/>
          <w:szCs w:val="24"/>
          <w:highlight w:val="none"/>
          <w:u w:val="single"/>
        </w:rPr>
        <w:t xml:space="preserve">注明币种，并用文字和数字表示的投标总价</w:t>
      </w:r>
      <w:r>
        <w:rPr>
          <w:rFonts w:hint="eastAsia" w:ascii="仿宋" w:hAnsi="仿宋" w:eastAsia="仿宋" w:cs="仿宋"/>
          <w:color w:val="auto"/>
          <w:sz w:val="24"/>
          <w:szCs w:val="24"/>
          <w:highlight w:val="none"/>
          <w:u w:val="single"/>
        </w:rPr>
        <w:t xml:space="preserve">）。</w:t>
      </w:r>
      <w:r/>
    </w:p>
    <w:p>
      <w:pPr>
        <w:pStyle w:val="730"/>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2．我方已详细审查全部招标文件，包括有关澄清和补充说明（如果有的话）。我们完全理解并同意放弃对这方面有不明及误解的权力。 </w:t>
      </w:r>
      <w:r/>
    </w:p>
    <w:p>
      <w:pPr>
        <w:pStyle w:val="730"/>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3．本投标文件有效期为自开标日起个日历日。在这期间，本投标文件将始终对我方具有约束力，并可随时被接受。本次招标文件和本投标文件（含承诺书）将作为买卖合同的附件。 </w:t>
      </w:r>
      <w:r/>
    </w:p>
    <w:p>
      <w:pPr>
        <w:pStyle w:val="730"/>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4．如果在规定的开标时间后，我方在投标有效期内撤回投标，其投标保证金将被贵方没收。</w:t>
      </w:r>
      <w:r/>
    </w:p>
    <w:p>
      <w:pPr>
        <w:pStyle w:val="730"/>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5．我方愿意向采购人提供任何与本次招标相关的其他资料。</w:t>
      </w:r>
      <w:r/>
    </w:p>
    <w:p>
      <w:pPr>
        <w:pStyle w:val="730"/>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6．我方将严格履行本投标文件中的全部承诺和责任，并遵守招标文件中对投标人的所有规定。</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如果我方中标，将派出 </w:t>
      </w:r>
      <w:r>
        <w:rPr>
          <w:rFonts w:hint="eastAsia" w:ascii="仿宋" w:hAnsi="仿宋" w:eastAsia="仿宋" w:cs="仿宋"/>
          <w:color w:val="auto"/>
          <w:sz w:val="24"/>
          <w:szCs w:val="24"/>
          <w:highlight w:val="none"/>
          <w:u w:val="single"/>
        </w:rPr>
        <w:t xml:space="preserve">（姓名）</w:t>
      </w:r>
      <w:r>
        <w:rPr>
          <w:rFonts w:hint="eastAsia" w:ascii="仿宋" w:hAnsi="仿宋" w:eastAsia="仿宋" w:cs="仿宋"/>
          <w:color w:val="auto"/>
          <w:sz w:val="24"/>
          <w:szCs w:val="24"/>
          <w:highlight w:val="none"/>
        </w:rPr>
        <w:t xml:space="preserve">作为本</w:t>
      </w:r>
      <w:r>
        <w:rPr>
          <w:rFonts w:hint="eastAsia" w:ascii="仿宋" w:hAnsi="仿宋" w:eastAsia="仿宋" w:cs="仿宋"/>
          <w:color w:val="auto"/>
          <w:sz w:val="24"/>
          <w:szCs w:val="24"/>
          <w:highlight w:val="none"/>
          <w:lang w:val="en-US"/>
        </w:rPr>
        <w:t xml:space="preserve">项目的</w:t>
      </w:r>
      <w:r>
        <w:rPr>
          <w:rFonts w:hint="eastAsia" w:ascii="仿宋" w:hAnsi="仿宋" w:eastAsia="仿宋" w:cs="仿宋"/>
          <w:color w:val="auto"/>
          <w:sz w:val="24"/>
          <w:szCs w:val="24"/>
          <w:highlight w:val="none"/>
        </w:rPr>
        <w:t xml:space="preserve">项目经理，</w:t>
      </w:r>
      <w:r>
        <w:rPr>
          <w:rFonts w:hint="eastAsia" w:ascii="仿宋" w:hAnsi="仿宋" w:eastAsia="仿宋" w:cs="仿宋"/>
          <w:color w:val="auto"/>
          <w:sz w:val="24"/>
          <w:szCs w:val="24"/>
          <w:highlight w:val="none"/>
          <w:lang w:val="en-US"/>
        </w:rPr>
        <w:t xml:space="preserve">项目经理资格证书及等级为</w:t>
      </w:r>
      <w:r>
        <w:rPr>
          <w:rFonts w:hint="eastAsia" w:ascii="仿宋" w:hAnsi="仿宋" w:eastAsia="仿宋" w:cs="仿宋"/>
          <w:color w:val="auto"/>
          <w:sz w:val="24"/>
          <w:szCs w:val="24"/>
          <w:highlight w:val="none"/>
          <w:u w:val="single"/>
          <w:lang w:val="en-US"/>
        </w:rPr>
        <w:t xml:space="preserve">   （没有可以空置）      </w:t>
      </w:r>
      <w:r>
        <w:rPr>
          <w:rFonts w:hint="eastAsia" w:ascii="仿宋" w:hAnsi="仿宋" w:eastAsia="仿宋" w:cs="仿宋"/>
          <w:color w:val="auto"/>
          <w:sz w:val="24"/>
          <w:szCs w:val="24"/>
          <w:highlight w:val="none"/>
        </w:rPr>
        <w:t xml:space="preserve">。</w:t>
      </w:r>
      <w:r/>
    </w:p>
    <w:p>
      <w:pPr>
        <w:pStyle w:val="730"/>
        <w:ind w:firstLine="480"/>
        <w:spacing w:line="44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8．如果我方中标，我们将在签订合同之后的天内交付使用。并将按招标文件的规定履行合同责任和义务。</w:t>
      </w:r>
      <w:r/>
    </w:p>
    <w:p>
      <w:pPr>
        <w:pStyle w:val="730"/>
        <w:ind w:firstLine="480"/>
        <w:spacing w:line="44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9．如果我方中标，为执行合同，我们将按照招标文件的规定提交履约</w:t>
      </w:r>
      <w:r>
        <w:rPr>
          <w:rFonts w:hint="eastAsia" w:ascii="仿宋" w:hAnsi="仿宋" w:eastAsia="仿宋" w:cs="仿宋"/>
          <w:color w:val="auto"/>
          <w:sz w:val="24"/>
          <w:szCs w:val="24"/>
          <w:highlight w:val="none"/>
          <w:lang w:val="en-US"/>
        </w:rPr>
        <w:t xml:space="preserve">保证金</w:t>
      </w:r>
      <w:r>
        <w:rPr>
          <w:rFonts w:hint="eastAsia" w:ascii="仿宋" w:hAnsi="仿宋" w:eastAsia="仿宋" w:cs="仿宋"/>
          <w:color w:val="auto"/>
          <w:sz w:val="24"/>
          <w:szCs w:val="24"/>
          <w:highlight w:val="none"/>
        </w:rPr>
        <w:t xml:space="preserve">。</w:t>
      </w:r>
      <w:r/>
    </w:p>
    <w:p>
      <w:pPr>
        <w:pStyle w:val="730"/>
        <w:ind w:firstLine="480"/>
        <w:spacing w:line="44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10．我司承诺若获得中标资格，我司保证在领取中标通知书前按照招标文件约定的标准，向采购代理机构一次性缴纳中标服务费。</w:t>
      </w:r>
      <w:r/>
    </w:p>
    <w:p>
      <w:pPr>
        <w:pStyle w:val="730"/>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11.与本次投标有关的一切往来信函请寄：</w:t>
      </w:r>
      <w:r/>
    </w:p>
    <w:p>
      <w:pPr>
        <w:pStyle w:val="730"/>
        <w:ind w:firstLine="66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   邮编：</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联系人：   电话：</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b/>
          <w:color w:val="auto"/>
          <w:sz w:val="28"/>
          <w:szCs w:val="28"/>
          <w:highlight w:val="none"/>
          <w:u w:val="single"/>
        </w:rPr>
      </w:pPr>
      <w:r>
        <w:rPr>
          <w:rFonts w:hint="eastAsia" w:ascii="仿宋" w:hAnsi="仿宋" w:eastAsia="仿宋" w:cs="仿宋"/>
          <w:color w:val="auto"/>
          <w:sz w:val="24"/>
          <w:szCs w:val="24"/>
          <w:highlight w:val="none"/>
        </w:rPr>
        <w:t xml:space="preserve">日期：</w:t>
      </w:r>
      <w:r/>
    </w:p>
    <w:p>
      <w:pPr>
        <w:pStyle w:val="730"/>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格式二：开标一览表</w:t>
      </w:r>
      <w:r/>
    </w:p>
    <w:p>
      <w:pPr>
        <w:ind w:firstLine="480"/>
        <w:rPr>
          <w:color w:val="auto"/>
          <w:sz w:val="24"/>
          <w:szCs w:val="24"/>
          <w:highlight w:val="none"/>
        </w:rPr>
      </w:pPr>
      <w:r>
        <w:rPr>
          <w:rFonts w:hint="eastAsia"/>
          <w:color w:val="auto"/>
          <w:sz w:val="24"/>
          <w:szCs w:val="24"/>
          <w:highlight w:val="none"/>
        </w:rPr>
        <w:t xml:space="preserve">投标人全称（加盖CA电子签章）：</w:t>
      </w:r>
      <w:r/>
    </w:p>
    <w:p>
      <w:pPr>
        <w:ind w:firstLine="480"/>
        <w:rPr>
          <w:color w:val="auto"/>
          <w:sz w:val="24"/>
          <w:szCs w:val="24"/>
          <w:highlight w:val="none"/>
        </w:rPr>
      </w:pPr>
      <w:r>
        <w:rPr>
          <w:rFonts w:hint="eastAsia"/>
          <w:color w:val="auto"/>
          <w:sz w:val="24"/>
          <w:szCs w:val="24"/>
          <w:highlight w:val="none"/>
        </w:rPr>
        <w:t xml:space="preserve">项目名称：</w:t>
      </w:r>
      <w:r/>
    </w:p>
    <w:p>
      <w:pPr>
        <w:ind w:firstLine="480"/>
        <w:rPr>
          <w:color w:val="auto"/>
          <w:sz w:val="24"/>
          <w:szCs w:val="24"/>
          <w:highlight w:val="none"/>
        </w:rPr>
      </w:pPr>
      <w:r>
        <w:rPr>
          <w:rFonts w:hint="eastAsia"/>
          <w:color w:val="auto"/>
          <w:sz w:val="24"/>
          <w:szCs w:val="24"/>
          <w:highlight w:val="none"/>
        </w:rPr>
        <w:t xml:space="preserve">项目编号：                                   分包号：</w:t>
      </w:r>
      <w:r/>
    </w:p>
    <w:tbl>
      <w:tblPr>
        <w:tblStyle w:val="718"/>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color w:val="auto"/>
                <w:sz w:val="24"/>
                <w:szCs w:val="24"/>
                <w:highlight w:val="none"/>
              </w:rPr>
            </w:pPr>
            <w:r>
              <w:rPr>
                <w:rFonts w:hint="eastAsia"/>
                <w:color w:val="auto"/>
                <w:sz w:val="24"/>
                <w:szCs w:val="24"/>
                <w:highlight w:val="none"/>
              </w:rPr>
              <w:t xml:space="preserve">投标总报价</w:t>
            </w:r>
            <w:r/>
          </w:p>
        </w:tc>
      </w:tr>
      <w:tr>
        <w:trPr>
          <w:trHeight w:val="612"/>
        </w:trPr>
        <w:tc>
          <w:tcPr>
            <w:tcW w:w="8206" w:type="dxa"/>
            <w:vAlign w:val="center"/>
            <w:vMerge w:val="restart"/>
            <w:textDirection w:val="lrTb"/>
            <w:noWrap w:val="false"/>
          </w:tcPr>
          <w:p>
            <w:pPr>
              <w:pStyle w:val="855"/>
              <w:ind w:firstLine="0"/>
              <w:spacing w:before="0" w:after="0" w:line="500" w:lineRule="exact"/>
              <w:rPr>
                <w:rFonts w:ascii="宋体" w:hAnsi="宋体"/>
                <w:color w:val="auto"/>
                <w:highlight w:val="none"/>
              </w:rPr>
            </w:pPr>
            <w:r>
              <w:rPr>
                <w:rFonts w:hint="eastAsia" w:ascii="宋体" w:hAnsi="宋体"/>
                <w:color w:val="auto"/>
                <w:highlight w:val="none"/>
              </w:rPr>
              <w:t xml:space="preserve">大写：                              （人民币：元）</w:t>
            </w:r>
            <w:r/>
          </w:p>
        </w:tc>
      </w:tr>
      <w:tr>
        <w:trPr>
          <w:cantSplit/>
          <w:trHeight w:val="612"/>
        </w:trPr>
        <w:tc>
          <w:tcPr>
            <w:tcW w:w="8206" w:type="dxa"/>
            <w:vAlign w:val="center"/>
            <w:textDirection w:val="lrTb"/>
            <w:noWrap w:val="false"/>
          </w:tcPr>
          <w:p>
            <w:pPr>
              <w:pStyle w:val="855"/>
              <w:ind w:firstLine="0"/>
              <w:spacing w:before="0" w:after="0" w:line="500" w:lineRule="exact"/>
              <w:rPr>
                <w:rFonts w:ascii="宋体" w:hAnsi="宋体"/>
                <w:color w:val="auto"/>
                <w:szCs w:val="21"/>
                <w:highlight w:val="none"/>
              </w:rPr>
            </w:pPr>
            <w:r>
              <w:rPr>
                <w:rFonts w:hint="eastAsia" w:ascii="宋体" w:hAnsi="宋体"/>
                <w:color w:val="auto"/>
                <w:highlight w:val="none"/>
              </w:rPr>
              <w:t xml:space="preserve">小写：                             （人民币：元）</w:t>
            </w:r>
            <w:r/>
          </w:p>
        </w:tc>
      </w:tr>
    </w:tbl>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日期：  年月日</w:t>
      </w:r>
      <w:r/>
    </w:p>
    <w:p>
      <w:pPr>
        <w:rPr>
          <w:color w:val="auto"/>
          <w:highlight w:val="none"/>
        </w:rPr>
      </w:pPr>
      <w:r>
        <w:rPr>
          <w:color w:val="auto"/>
          <w:highlight w:val="none"/>
        </w:rPr>
      </w:r>
      <w:r/>
    </w:p>
    <w:p>
      <w:pPr>
        <w:rPr>
          <w:rFonts w:ascii="仿宋" w:hAnsi="仿宋" w:eastAsia="仿宋" w:cs="仿宋"/>
          <w:b/>
          <w:bCs/>
          <w:color w:val="auto"/>
          <w:sz w:val="28"/>
          <w:szCs w:val="28"/>
          <w:highlight w:val="none"/>
        </w:rPr>
      </w:pPr>
      <w:r>
        <w:rPr>
          <w:rFonts w:hint="eastAsia"/>
          <w:b/>
          <w:bCs/>
          <w:color w:val="auto"/>
          <w:highlight w:val="none"/>
          <w:lang w:val="en-US" w:eastAsia="zh-CN"/>
        </w:rPr>
        <w:t xml:space="preserve">注：</w:t>
      </w:r>
      <w:r>
        <w:rPr>
          <w:rFonts w:hint="eastAsia"/>
          <w:b/>
          <w:bCs/>
          <w:color w:val="auto"/>
          <w:sz w:val="24"/>
          <w:szCs w:val="24"/>
          <w:highlight w:val="none"/>
        </w:rPr>
        <w:t xml:space="preserve">投标总报价</w:t>
      </w:r>
      <w:r>
        <w:rPr>
          <w:rFonts w:hint="eastAsia"/>
          <w:b/>
          <w:bCs/>
          <w:color w:val="auto"/>
          <w:sz w:val="24"/>
          <w:szCs w:val="24"/>
          <w:highlight w:val="none"/>
          <w:lang w:val="en-US" w:eastAsia="zh-CN"/>
        </w:rPr>
        <w:t xml:space="preserve">按照三年总金额填报。</w:t>
      </w:r>
      <w:r>
        <w:rPr>
          <w:color w:val="auto"/>
          <w:highlight w:val="none"/>
        </w:rPr>
        <w:br w:type="page" w:clear="all"/>
      </w:r>
      <w:r>
        <w:rPr>
          <w:rFonts w:hint="eastAsia" w:ascii="仿宋" w:hAnsi="仿宋" w:eastAsia="仿宋" w:cs="仿宋"/>
          <w:b/>
          <w:bCs/>
          <w:color w:val="auto"/>
          <w:sz w:val="28"/>
          <w:szCs w:val="28"/>
          <w:highlight w:val="none"/>
        </w:rPr>
        <w:t xml:space="preserve">格式三：明细报价表</w:t>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项目名称：招标编号：             包号：</w:t>
      </w:r>
      <w:r/>
    </w:p>
    <w:p>
      <w:pPr>
        <w:jc w:val="right"/>
        <w:spacing w:line="440" w:lineRule="exact"/>
        <w:rPr>
          <w:rFonts w:hint="eastAsia" w:ascii="宋体" w:hAnsi="宋体" w:eastAsia="宋体" w:cs="宋体"/>
          <w:bCs/>
          <w:color w:val="auto"/>
          <w:sz w:val="24"/>
          <w:szCs w:val="24"/>
          <w:highlight w:val="none"/>
        </w:rPr>
      </w:pPr>
      <w:r>
        <w:rPr>
          <w:rFonts w:hint="eastAsia" w:ascii="仿宋" w:hAnsi="仿宋" w:eastAsia="仿宋" w:cs="仿宋"/>
          <w:color w:val="auto"/>
          <w:sz w:val="24"/>
          <w:szCs w:val="24"/>
          <w:highlight w:val="none"/>
        </w:rPr>
        <w:t xml:space="preserve">报价单位：人民币元</w:t>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母婴康育月子中心</w:t>
      </w:r>
      <w:r>
        <w:rPr>
          <w:rFonts w:hint="eastAsia" w:ascii="宋体" w:hAnsi="宋体" w:eastAsia="宋体" w:cs="宋体"/>
          <w:bCs/>
          <w:color w:val="auto"/>
          <w:sz w:val="24"/>
          <w:szCs w:val="24"/>
          <w:highlight w:val="none"/>
          <w:lang w:eastAsia="zh-CN"/>
        </w:rPr>
        <w:t xml:space="preserve">、家庭化产房、</w:t>
      </w:r>
      <w:r>
        <w:rPr>
          <w:rFonts w:hint="eastAsia" w:ascii="宋体" w:hAnsi="宋体" w:eastAsia="宋体" w:cs="宋体"/>
          <w:bCs/>
          <w:color w:val="auto"/>
          <w:sz w:val="24"/>
          <w:szCs w:val="24"/>
          <w:highlight w:val="none"/>
          <w:lang w:val="en-US" w:eastAsia="zh-CN"/>
        </w:rPr>
        <w:t xml:space="preserve">护理员</w:t>
      </w:r>
      <w:r>
        <w:rPr>
          <w:rFonts w:hint="eastAsia" w:ascii="宋体" w:hAnsi="宋体" w:eastAsia="宋体" w:cs="宋体"/>
          <w:bCs/>
          <w:color w:val="auto"/>
          <w:sz w:val="24"/>
          <w:szCs w:val="24"/>
          <w:highlight w:val="none"/>
        </w:rPr>
        <w:t xml:space="preserve">服务报价（该费用由医院支付，不再向病人收取）</w:t>
      </w:r>
      <w:r/>
    </w:p>
    <w:tbl>
      <w:tblPr>
        <w:tblStyle w:val="718"/>
        <w:tblW w:w="479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070"/>
        <w:gridCol w:w="2019"/>
        <w:gridCol w:w="1888"/>
      </w:tblGrid>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一对一单价（元/</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886" w:type="dxa"/>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bidi="zh-CN"/>
              </w:rPr>
              <w:t xml:space="preserve">预估护理员人</w:t>
            </w:r>
            <w:r>
              <w:rPr>
                <w:rFonts w:hint="eastAsia" w:ascii="宋体" w:hAnsi="宋体" w:eastAsia="宋体" w:cs="宋体"/>
                <w:color w:val="auto"/>
                <w:sz w:val="24"/>
                <w:szCs w:val="24"/>
                <w:highlight w:val="none"/>
                <w:lang w:val="en-US" w:eastAsia="zh-CN" w:bidi="zh-CN"/>
              </w:rPr>
              <w:t xml:space="preserve">数</w:t>
            </w: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母婴康育月子中心</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6" w:type="dxa"/>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zh-CN"/>
              </w:rPr>
              <w:t xml:space="preserve">22</w:t>
            </w: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家庭化产房</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6" w:type="dxa"/>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zh-CN"/>
              </w:rPr>
              <w:t xml:space="preserve">38</w:t>
            </w:r>
            <w:r/>
          </w:p>
        </w:tc>
      </w:tr>
    </w:tbl>
    <w:p>
      <w:pPr>
        <w:rPr>
          <w:color w:val="auto"/>
          <w:highlight w:val="none"/>
        </w:rPr>
      </w:pPr>
      <w:r>
        <w:rPr>
          <w:color w:val="auto"/>
          <w:highlight w:val="none"/>
        </w:rPr>
      </w:r>
      <w:r/>
    </w:p>
    <w:tbl>
      <w:tblPr>
        <w:tblStyle w:val="718"/>
        <w:tblW w:w="479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070"/>
        <w:gridCol w:w="2019"/>
        <w:gridCol w:w="1888"/>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 xml:space="preserve">单价（元/月）</w:t>
            </w:r>
            <w:r/>
          </w:p>
        </w:tc>
        <w:tc>
          <w:tcPr>
            <w:shd w:val="clear" w:color="auto" w:fill="auto"/>
            <w:tcBorders>
              <w:top w:val="single" w:color="auto" w:sz="4" w:space="0"/>
              <w:left w:val="single" w:color="auto" w:sz="4" w:space="0"/>
              <w:bottom w:val="single" w:color="auto" w:sz="4" w:space="0"/>
              <w:right w:val="single" w:color="auto" w:sz="4" w:space="0"/>
            </w:tcBorders>
            <w:tcW w:w="1886" w:type="dxa"/>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bidi="zh-CN"/>
              </w:rPr>
              <w:t xml:space="preserve">预估护理员人数</w:t>
            </w: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护理员</w:t>
            </w:r>
            <w:r>
              <w:rPr>
                <w:rFonts w:hint="eastAsia" w:ascii="宋体" w:hAnsi="宋体" w:eastAsia="宋体" w:cs="宋体"/>
                <w:bCs/>
                <w:color w:val="auto"/>
                <w:sz w:val="24"/>
                <w:szCs w:val="24"/>
                <w:highlight w:val="none"/>
              </w:rPr>
              <w:t xml:space="preserve">服务</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6" w:type="dxa"/>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rPr>
            </w:pPr>
            <w:r>
              <w:rPr>
                <w:rFonts w:hint="eastAsia" w:cs="宋体"/>
                <w:color w:val="auto"/>
                <w:sz w:val="24"/>
                <w:szCs w:val="24"/>
                <w:highlight w:val="none"/>
                <w:lang w:val="en-US" w:bidi="zh-CN"/>
              </w:rPr>
              <w:t xml:space="preserve">1</w:t>
            </w:r>
            <w:r>
              <w:rPr>
                <w:rFonts w:hint="eastAsia" w:ascii="宋体" w:hAnsi="宋体" w:eastAsia="宋体" w:cs="宋体"/>
                <w:color w:val="auto"/>
                <w:sz w:val="24"/>
                <w:szCs w:val="24"/>
                <w:highlight w:val="none"/>
                <w:lang w:val="en-US" w:bidi="zh-CN"/>
              </w:rPr>
              <w:t xml:space="preserve">4</w:t>
            </w:r>
            <w:r/>
          </w:p>
        </w:tc>
      </w:tr>
    </w:tbl>
    <w:p>
      <w:pPr>
        <w:ind w:firstLine="480"/>
        <w:spacing w:line="360" w:lineRule="auto"/>
        <w:tabs>
          <w:tab w:val="left" w:pos="5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产科普通病房</w:t>
      </w:r>
      <w:r>
        <w:rPr>
          <w:rFonts w:hint="eastAsia" w:ascii="宋体" w:hAnsi="宋体" w:eastAsia="宋体" w:cs="宋体"/>
          <w:bCs/>
          <w:color w:val="auto"/>
          <w:sz w:val="24"/>
          <w:szCs w:val="24"/>
          <w:highlight w:val="none"/>
          <w:lang w:eastAsia="zh-CN"/>
        </w:rPr>
        <w:t xml:space="preserve">、除产科以外的普通病房</w:t>
      </w:r>
      <w:r>
        <w:rPr>
          <w:rFonts w:hint="eastAsia" w:ascii="宋体" w:hAnsi="宋体" w:eastAsia="宋体" w:cs="宋体"/>
          <w:bCs/>
          <w:color w:val="auto"/>
          <w:sz w:val="24"/>
          <w:szCs w:val="24"/>
          <w:highlight w:val="none"/>
          <w:lang w:val="en-US" w:eastAsia="zh-CN"/>
        </w:rPr>
        <w:t xml:space="preserve">陪护</w:t>
      </w:r>
      <w:r>
        <w:rPr>
          <w:rFonts w:hint="eastAsia" w:ascii="宋体" w:hAnsi="宋体" w:eastAsia="宋体" w:cs="宋体"/>
          <w:color w:val="auto"/>
          <w:sz w:val="24"/>
          <w:szCs w:val="24"/>
          <w:highlight w:val="none"/>
        </w:rPr>
        <w:t xml:space="preserve">服务费报价（单独报价，不计入投标总价）</w:t>
      </w:r>
      <w:r/>
    </w:p>
    <w:tbl>
      <w:tblPr>
        <w:tblStyle w:val="718"/>
        <w:tblW w:w="517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178"/>
        <w:gridCol w:w="2354"/>
        <w:gridCol w:w="2447"/>
        <w:gridCol w:w="2004"/>
      </w:tblGrid>
      <w:tr>
        <w:trPr>
          <w:trHeight w:val="454"/>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序号</w:t>
            </w:r>
            <w:r/>
          </w:p>
        </w:tc>
        <w:tc>
          <w:tcPr>
            <w:gridSpan w:val="2"/>
            <w:tcBorders>
              <w:top w:val="single" w:color="auto" w:sz="4" w:space="0"/>
              <w:left w:val="single" w:color="auto" w:sz="4" w:space="0"/>
              <w:bottom w:val="single" w:color="auto" w:sz="4" w:space="0"/>
              <w:right w:val="single" w:color="auto" w:sz="4" w:space="0"/>
            </w:tcBorders>
            <w:tcW w:w="200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项目名称</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单价（元/天）</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bidi="zh-CN"/>
              </w:rPr>
              <w:t xml:space="preserve">床位数（张）</w:t>
            </w:r>
            <w:r/>
          </w:p>
        </w:tc>
      </w:tr>
      <w:tr>
        <w:trPr>
          <w:trHeight w:val="454"/>
        </w:trPr>
        <w:tc>
          <w:tcPr>
            <w:tcBorders>
              <w:top w:val="single" w:color="auto" w:sz="4" w:space="0"/>
              <w:left w:val="single" w:color="auto" w:sz="4" w:space="0"/>
              <w:right w:val="single" w:color="auto" w:sz="4" w:space="0"/>
            </w:tcBorders>
            <w:tcW w:w="477"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right w:val="single" w:color="auto" w:sz="4" w:space="0"/>
            </w:tcBorders>
            <w:tcW w:w="667" w:type="pct"/>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产科普通病房</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right w:val="single" w:color="auto" w:sz="4" w:space="0"/>
            </w:tcBorders>
            <w:tcW w:w="1135" w:type="pct"/>
            <w:vAlign w:val="center"/>
            <w:vMerge w:val="restart"/>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43</w:t>
            </w:r>
            <w:r/>
          </w:p>
        </w:tc>
      </w:tr>
      <w:tr>
        <w:trPr>
          <w:trHeight w:val="454"/>
        </w:trPr>
        <w:tc>
          <w:tcPr>
            <w:tcBorders>
              <w:left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w:t>
            </w:r>
            <w:r/>
          </w:p>
        </w:tc>
        <w:tc>
          <w:tcPr>
            <w:tcBorders>
              <w:left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left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left w:val="single" w:color="auto" w:sz="4" w:space="0"/>
              <w:bottom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w:t>
            </w:r>
            <w:r/>
          </w:p>
        </w:tc>
        <w:tc>
          <w:tcPr>
            <w:tcBorders>
              <w:left w:val="single" w:color="auto" w:sz="4" w:space="0"/>
              <w:bottom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left w:val="single" w:color="auto" w:sz="4" w:space="0"/>
              <w:bottom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top w:val="single" w:color="auto" w:sz="4" w:space="0"/>
              <w:left w:val="single" w:color="auto" w:sz="4" w:space="0"/>
              <w:right w:val="single" w:color="auto" w:sz="4" w:space="0"/>
            </w:tcBorders>
            <w:tcW w:w="477"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right w:val="single" w:color="auto" w:sz="4" w:space="0"/>
            </w:tcBorders>
            <w:tcW w:w="6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除产科以外的普通病房</w:t>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一对一</w:t>
            </w:r>
            <w:r/>
          </w:p>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right w:val="single" w:color="auto" w:sz="4" w:space="0"/>
            </w:tcBorders>
            <w:tcW w:w="1135" w:type="pct"/>
            <w:vAlign w:val="center"/>
            <w:vMerge w:val="restart"/>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271</w:t>
            </w:r>
            <w:r/>
          </w:p>
        </w:tc>
      </w:tr>
      <w:tr>
        <w:trPr>
          <w:trHeight w:val="454"/>
        </w:trPr>
        <w:tc>
          <w:tcPr>
            <w:tcBorders>
              <w:left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5</w:t>
            </w:r>
            <w:r/>
          </w:p>
        </w:tc>
        <w:tc>
          <w:tcPr>
            <w:tcBorders>
              <w:left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护理</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left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left w:val="single" w:color="auto" w:sz="4" w:space="0"/>
              <w:bottom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6</w:t>
            </w:r>
            <w:r/>
          </w:p>
        </w:tc>
        <w:tc>
          <w:tcPr>
            <w:tcBorders>
              <w:left w:val="single" w:color="auto" w:sz="4" w:space="0"/>
              <w:bottom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三级护理</w:t>
            </w:r>
            <w:r/>
          </w:p>
          <w:p>
            <w:pPr>
              <w:jc w:val="center"/>
              <w:keepLines w:val="0"/>
              <w:keepNext w:val="0"/>
              <w:widowControl/>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（不超过一对五）</w:t>
            </w: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left w:val="single" w:color="auto" w:sz="4" w:space="0"/>
              <w:bottom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bl>
    <w:p>
      <w:pPr>
        <w:jc w:val="right"/>
        <w:spacing w:line="44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pStyle w:val="725"/>
        <w:jc w:val="left"/>
        <w:rPr>
          <w:color w:val="auto"/>
          <w:highlight w:val="none"/>
          <w:lang w:val="en-US"/>
        </w:rPr>
      </w:pPr>
      <w:r>
        <w:rPr>
          <w:rFonts w:hint="eastAsia" w:ascii="仿宋_GB2312" w:eastAsia="仿宋_GB2312"/>
          <w:color w:val="auto"/>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四</w:t>
      </w:r>
      <w:r>
        <w:rPr>
          <w:rFonts w:hint="eastAsia" w:ascii="仿宋" w:hAnsi="仿宋" w:eastAsia="仿宋" w:cs="仿宋"/>
          <w:b/>
          <w:bCs/>
          <w:color w:val="auto"/>
          <w:sz w:val="28"/>
          <w:szCs w:val="28"/>
          <w:highlight w:val="none"/>
        </w:rPr>
        <w:t xml:space="preserve">：中小企业声明函及残疾人福利性单位声明函</w:t>
      </w:r>
      <w:r/>
    </w:p>
    <w:p>
      <w:pPr>
        <w:jc w:val="center"/>
        <w:rPr>
          <w:color w:val="auto"/>
          <w:highlight w:val="none"/>
        </w:rPr>
      </w:pPr>
      <w:r>
        <w:rPr>
          <w:rStyle w:val="744"/>
          <w:rFonts w:hint="eastAsia" w:ascii="楷体" w:hAnsi="楷体" w:eastAsia="楷体" w:cs="楷体"/>
          <w:color w:val="auto"/>
          <w:sz w:val="32"/>
          <w:szCs w:val="32"/>
          <w:highlight w:val="none"/>
        </w:rPr>
        <w:t xml:space="preserve">中小企业声明函（服务）</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20" w:lineRule="exact"/>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  </w:t>
      </w:r>
      <w:r>
        <w:rPr>
          <w:rFonts w:hint="eastAsia" w:ascii="宋体" w:hAnsi="宋体" w:cs="宋体"/>
          <w:b/>
          <w:color w:val="auto"/>
          <w:highlight w:val="none"/>
          <w:u w:val="single"/>
        </w:rPr>
        <w:t xml:space="preserve">                  </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"file:///C:\\Users\\Microsoft\\Windows\\Microsoft\\Windows\\INetCache\\Down\\undefined.doc" \l "br1" </w:instrText>
      </w:r>
      <w:r>
        <w:rPr>
          <w:color w:val="auto"/>
          <w:highlight w:val="none"/>
        </w:rPr>
        <w:fldChar w:fldCharType="separate"/>
      </w:r>
      <w:r>
        <w:rPr>
          <w:rStyle w:val="747"/>
          <w:rFonts w:hint="eastAsia" w:ascii="宋体" w:hAnsi="宋体" w:cs="宋体"/>
          <w:color w:val="auto"/>
          <w:spacing w:val="-1"/>
          <w:highlight w:val="none"/>
          <w:vertAlign w:val="superscript"/>
        </w:rPr>
        <w:t xml:space="preserve">1</w:t>
      </w:r>
      <w:r>
        <w:rPr>
          <w:rStyle w:val="747"/>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420" w:lineRule="exact"/>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 </w:t>
      </w:r>
      <w:r>
        <w:rPr>
          <w:rFonts w:hint="eastAsia" w:ascii="宋体" w:hAnsi="宋体" w:cs="宋体"/>
          <w:b/>
          <w:color w:val="auto"/>
          <w:highlight w:val="none"/>
          <w:u w:val="single"/>
        </w:rPr>
        <w:t xml:space="preserve">                  </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spacing w:line="420" w:lineRule="exact"/>
        <w:rPr>
          <w:rFonts w:ascii="宋体" w:hAnsi="宋体" w:cs="宋体"/>
          <w:color w:val="auto"/>
          <w:highlight w:val="none"/>
        </w:rPr>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2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5、声明函应涵盖本项目（分包）所有货物，否则价格不作扣除。</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6、中小企业不得属于大企业的分支机构，不得存在控股股东为大企业的情形，不得存在与大企业的负责人为同一人的情形。</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7、</w:t>
      </w:r>
      <w:r>
        <w:rPr>
          <w:rFonts w:hint="eastAsia" w:ascii="宋体" w:hAnsi="宋体" w:cs="宋体"/>
          <w:bCs/>
          <w:color w:val="auto"/>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pStyle w:val="788"/>
        <w:ind w:firstLine="607"/>
        <w:jc w:val="center"/>
        <w:spacing w:before="151" w:after="151" w:line="6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残疾人福利性单位声明函</w:t>
      </w:r>
      <w:r/>
    </w:p>
    <w:p>
      <w:pPr>
        <w:pStyle w:val="789"/>
        <w:spacing w:line="588" w:lineRule="exact"/>
        <w:rPr>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788"/>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788"/>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pStyle w:val="789"/>
        <w:ind w:firstLine="504"/>
        <w:spacing w:line="440" w:lineRule="exact"/>
        <w:rPr>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789"/>
        <w:ind w:firstLine="504"/>
        <w:spacing w:line="440" w:lineRule="exact"/>
        <w:rPr>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786"/>
        <w:ind w:firstLine="629"/>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单位名称：（盖章）</w:t>
      </w:r>
      <w:r/>
    </w:p>
    <w:p>
      <w:pPr>
        <w:pStyle w:val="786"/>
        <w:ind w:firstLine="629"/>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pStyle w:val="790"/>
        <w:ind w:firstLine="720"/>
        <w:spacing w:line="44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pStyle w:val="790"/>
        <w:ind w:firstLine="432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年月日</w:t>
      </w:r>
      <w:r/>
    </w:p>
    <w:p>
      <w:pPr>
        <w:pStyle w:val="791"/>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8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注：1、残疾人福利性单位应完整填写此函；</w:t>
      </w:r>
      <w:r/>
    </w:p>
    <w:p>
      <w:pPr>
        <w:spacing w:line="440" w:lineRule="exact"/>
        <w:rPr>
          <w:rFonts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 xml:space="preserve">2、非残疾人福利性单位不需提供此声明函</w:t>
      </w:r>
      <w:r>
        <w:rPr>
          <w:rFonts w:hint="eastAsia" w:ascii="仿宋" w:hAnsi="仿宋" w:eastAsia="仿宋" w:cs="仿宋"/>
          <w:b/>
          <w:bCs/>
          <w:color w:val="auto"/>
          <w:sz w:val="24"/>
          <w:szCs w:val="24"/>
          <w:highlight w:val="none"/>
        </w:rPr>
        <w:br w:type="page" w:clear="all"/>
      </w:r>
      <w:r>
        <w:rPr>
          <w:rFonts w:hint="eastAsia" w:ascii="仿宋" w:hAnsi="仿宋" w:eastAsia="仿宋" w:cs="仿宋"/>
          <w:b/>
          <w:bCs/>
          <w:color w:val="auto"/>
          <w:sz w:val="28"/>
          <w:szCs w:val="28"/>
          <w:highlight w:val="none"/>
        </w:rPr>
        <w:t xml:space="preserve">格式五：供应商信用承诺书</w:t>
      </w:r>
      <w:r/>
    </w:p>
    <w:p>
      <w:pPr>
        <w:jc w:val="center"/>
        <w:spacing w:line="440" w:lineRule="exact"/>
        <w:rPr>
          <w:rFonts w:ascii="仿宋_GB2312" w:eastAsia="仿宋_GB2312"/>
          <w:color w:val="auto"/>
          <w:sz w:val="32"/>
          <w:szCs w:val="32"/>
          <w:highlight w:val="none"/>
        </w:rPr>
      </w:pPr>
      <w:r>
        <w:rPr>
          <w:rFonts w:hint="eastAsia" w:ascii="仿宋" w:hAnsi="仿宋" w:eastAsia="仿宋" w:cs="仿宋"/>
          <w:b/>
          <w:bCs/>
          <w:color w:val="auto"/>
          <w:sz w:val="32"/>
          <w:szCs w:val="32"/>
          <w:highlight w:val="none"/>
        </w:rPr>
        <w:t xml:space="preserve">供应商信用承诺书</w:t>
      </w:r>
      <w:r/>
    </w:p>
    <w:p>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承诺主体名称：</w:t>
      </w:r>
      <w:r/>
    </w:p>
    <w:p>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统一社会信用代码：</w:t>
      </w:r>
      <w:r/>
    </w:p>
    <w:p>
      <w:pPr>
        <w:ind w:firstLine="480"/>
        <w:spacing w:line="440" w:lineRule="exact"/>
        <w:rPr>
          <w:rFonts w:ascii="仿宋_GB2312" w:eastAsia="仿宋_GB2312"/>
          <w:bCs/>
          <w:color w:val="auto"/>
          <w:sz w:val="24"/>
          <w:szCs w:val="24"/>
          <w:highlight w:val="none"/>
          <w:u w:val="single"/>
        </w:rPr>
      </w:pPr>
      <w:r>
        <w:rPr>
          <w:rFonts w:hint="eastAsia" w:ascii="仿宋_GB2312" w:eastAsia="仿宋_GB2312"/>
          <w:color w:val="auto"/>
          <w:sz w:val="24"/>
          <w:szCs w:val="24"/>
          <w:highlight w:val="none"/>
        </w:rPr>
        <w:t xml:space="preserve">为维护公平竞争、规范有序的市场秩序，营造诚实守信的信用环境，共同推进社会信用体系建设完善，树立企业诚信守法形象，本企业对项目政府采购活动郑重承诺如下:</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一、对提供给注册登记部门、行业管理部门、司法部门、行业组织以及在政府采购活动中提交的所有资料的合法性、真实性、准确性和有效性负责；</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四、自觉接受行政管理部门、行业组织、社会公众、新闻舆论的监督；</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六、提出政府采购质疑和投诉坚持依法依规、诚实信用原则，在全国范围12个月内没有三次以上查无实据的政府采购投诉；</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七、严格遵守信用信息公示相关规定，向社会公示信用信息；</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八、在“信用中国”和“中国政府采购网”网站中无违法违规、较重或严重失信记录；</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十、本承诺书自签订之日起生效。</w:t>
      </w:r>
      <w:r/>
    </w:p>
    <w:p>
      <w:pPr>
        <w:ind w:firstLine="480"/>
        <w:spacing w:line="440" w:lineRule="exact"/>
        <w:rPr>
          <w:rFonts w:ascii="仿宋_GB2312" w:eastAsia="仿宋_GB2312"/>
          <w:color w:val="auto"/>
          <w:sz w:val="24"/>
          <w:szCs w:val="24"/>
          <w:highlight w:val="none"/>
        </w:rPr>
      </w:pPr>
      <w:r>
        <w:rPr>
          <w:rFonts w:hint="eastAsia" w:eastAsia="仿宋_GB2312"/>
          <w:color w:val="auto"/>
          <w:sz w:val="24"/>
          <w:szCs w:val="24"/>
          <w:highlight w:val="none"/>
        </w:rPr>
        <w:t xml:space="preserve"> </w:t>
      </w:r>
      <w:r>
        <w:rPr>
          <w:rFonts w:hint="eastAsia" w:ascii="仿宋_GB2312" w:eastAsia="仿宋_GB2312"/>
          <w:color w:val="auto"/>
          <w:sz w:val="24"/>
          <w:szCs w:val="24"/>
          <w:highlight w:val="none"/>
        </w:rPr>
        <w:t xml:space="preserve">（注：法定代表人或负责人、主体名称发生变更的应当重新做出承诺。）</w:t>
      </w:r>
      <w:r/>
    </w:p>
    <w:p>
      <w:pPr>
        <w:jc w:val="cente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w:t>
      </w:r>
      <w:r>
        <w:rPr>
          <w:rFonts w:hint="eastAsia" w:ascii="仿宋_GB2312" w:eastAsia="仿宋_GB2312"/>
          <w:color w:val="auto"/>
          <w:sz w:val="24"/>
          <w:szCs w:val="24"/>
          <w:highlight w:val="none"/>
          <w:lang w:val="en-US" w:eastAsia="zh-CN"/>
        </w:rPr>
        <w:t xml:space="preserve">      </w:t>
      </w:r>
      <w:r>
        <w:rPr>
          <w:rFonts w:hint="eastAsia" w:ascii="仿宋_GB2312" w:eastAsia="仿宋_GB2312"/>
          <w:color w:val="auto"/>
          <w:sz w:val="24"/>
          <w:szCs w:val="24"/>
          <w:highlight w:val="none"/>
        </w:rPr>
        <w:t xml:space="preserve">承诺单位（签章）：</w:t>
      </w:r>
      <w:r>
        <w:rPr>
          <w:rFonts w:hint="eastAsia" w:eastAsia="仿宋_GB2312"/>
          <w:color w:val="auto"/>
          <w:sz w:val="24"/>
          <w:szCs w:val="24"/>
          <w:highlight w:val="none"/>
        </w:rPr>
        <w:t xml:space="preserve">          </w:t>
      </w:r>
      <w:r/>
    </w:p>
    <w:p>
      <w:pPr>
        <w:jc w:val="cente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法定代表人（负责人）：</w:t>
      </w:r>
      <w:r/>
    </w:p>
    <w:p>
      <w:pPr>
        <w:jc w:val="cente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年</w:t>
      </w:r>
      <w:r>
        <w:rPr>
          <w:rFonts w:hint="eastAsia" w:eastAsia="仿宋_GB2312"/>
          <w:color w:val="auto"/>
          <w:sz w:val="24"/>
          <w:szCs w:val="24"/>
          <w:highlight w:val="none"/>
        </w:rPr>
        <w:t xml:space="preserve">   </w:t>
      </w:r>
      <w:r>
        <w:rPr>
          <w:rFonts w:hint="eastAsia" w:ascii="仿宋_GB2312" w:eastAsia="仿宋_GB2312"/>
          <w:color w:val="auto"/>
          <w:sz w:val="24"/>
          <w:szCs w:val="24"/>
          <w:highlight w:val="none"/>
        </w:rPr>
        <w:t xml:space="preserve"> 月</w:t>
      </w:r>
      <w:r>
        <w:rPr>
          <w:rFonts w:hint="eastAsia" w:eastAsia="仿宋_GB2312"/>
          <w:color w:val="auto"/>
          <w:sz w:val="24"/>
          <w:szCs w:val="24"/>
          <w:highlight w:val="none"/>
        </w:rPr>
        <w:t xml:space="preserve">   </w:t>
      </w:r>
      <w:r>
        <w:rPr>
          <w:rFonts w:hint="eastAsia" w:ascii="仿宋_GB2312" w:eastAsia="仿宋_GB2312"/>
          <w:color w:val="auto"/>
          <w:sz w:val="24"/>
          <w:szCs w:val="24"/>
          <w:highlight w:val="none"/>
        </w:rPr>
        <w:t xml:space="preserve"> 日</w:t>
      </w:r>
      <w:r/>
    </w:p>
    <w:p>
      <w:pPr>
        <w:ind w:right="-5"/>
        <w:spacing w:line="440" w:lineRule="exact"/>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格式六：</w:t>
      </w:r>
      <w:r>
        <w:rPr>
          <w:rFonts w:hint="eastAsia" w:ascii="仿宋" w:hAnsi="仿宋" w:eastAsia="仿宋" w:cs="仿宋"/>
          <w:b/>
          <w:bCs/>
          <w:color w:val="auto"/>
          <w:sz w:val="28"/>
          <w:szCs w:val="28"/>
          <w:highlight w:val="none"/>
        </w:rPr>
        <w:t xml:space="preserve">资格证明</w:t>
      </w:r>
      <w:r>
        <w:rPr>
          <w:rFonts w:hint="eastAsia" w:ascii="仿宋" w:hAnsi="仿宋" w:eastAsia="仿宋" w:cs="仿宋"/>
          <w:b/>
          <w:bCs/>
          <w:color w:val="auto"/>
          <w:sz w:val="28"/>
          <w:szCs w:val="28"/>
          <w:highlight w:val="none"/>
          <w:lang w:val="en-US"/>
        </w:rPr>
        <w:t xml:space="preserve">文件（按照以下顺序逐一提供）</w:t>
      </w:r>
      <w:r/>
    </w:p>
    <w:p>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1）具有独立承担民事责任的能力</w:t>
      </w:r>
      <w:r>
        <w:rPr>
          <w:rFonts w:hint="eastAsia" w:ascii="仿宋" w:hAnsi="仿宋" w:eastAsia="仿宋" w:cs="仿宋"/>
          <w:b/>
          <w:bCs/>
          <w:color w:val="auto"/>
          <w:sz w:val="24"/>
          <w:szCs w:val="24"/>
          <w:highlight w:val="none"/>
          <w:lang w:val="en-US" w:bidi="ar-SA"/>
        </w:rPr>
        <w:t xml:space="preserve">（提供法人或者其他组织的营业执照；供应商为自然人的，提供其身份证）；</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2）具有良好的商业信誉和健全的财务会计制度</w:t>
      </w:r>
      <w:r>
        <w:rPr>
          <w:rFonts w:hint="eastAsia" w:ascii="仿宋" w:hAnsi="仿宋" w:eastAsia="仿宋" w:cs="仿宋"/>
          <w:b/>
          <w:bCs/>
          <w:color w:val="auto"/>
          <w:sz w:val="24"/>
          <w:szCs w:val="24"/>
          <w:highlight w:val="none"/>
          <w:lang w:val="en-US" w:bidi="ar-SA"/>
        </w:rPr>
        <w:t xml:space="preserve">（提供202</w:t>
      </w:r>
      <w:r>
        <w:rPr>
          <w:rFonts w:hint="eastAsia" w:ascii="仿宋" w:hAnsi="仿宋" w:eastAsia="仿宋" w:cs="仿宋"/>
          <w:b/>
          <w:bCs/>
          <w:color w:val="auto"/>
          <w:sz w:val="24"/>
          <w:szCs w:val="24"/>
          <w:highlight w:val="none"/>
          <w:lang w:val="en-US" w:eastAsia="zh-CN" w:bidi="ar-SA"/>
        </w:rPr>
        <w:t xml:space="preserve">4</w:t>
      </w:r>
      <w:r>
        <w:rPr>
          <w:rFonts w:hint="eastAsia" w:ascii="仿宋" w:hAnsi="仿宋" w:eastAsia="仿宋" w:cs="仿宋"/>
          <w:b/>
          <w:bCs/>
          <w:color w:val="auto"/>
          <w:sz w:val="24"/>
          <w:szCs w:val="24"/>
          <w:highlight w:val="none"/>
          <w:lang w:val="en-US" w:bidi="ar-SA"/>
        </w:rPr>
        <w:t xml:space="preserve">年度</w:t>
      </w:r>
      <w:r>
        <w:rPr>
          <w:rFonts w:hint="eastAsia" w:ascii="仿宋" w:hAnsi="仿宋" w:eastAsia="仿宋" w:cs="仿宋"/>
          <w:b/>
          <w:bCs/>
          <w:color w:val="auto"/>
          <w:sz w:val="24"/>
          <w:szCs w:val="24"/>
          <w:highlight w:val="none"/>
          <w:lang w:val="en-US" w:eastAsia="zh-CN" w:bidi="ar-SA"/>
        </w:rPr>
        <w:t xml:space="preserve">或2025年度</w:t>
      </w:r>
      <w:r>
        <w:rPr>
          <w:rFonts w:hint="eastAsia" w:ascii="仿宋" w:hAnsi="仿宋" w:eastAsia="仿宋" w:cs="仿宋"/>
          <w:b/>
          <w:bCs/>
          <w:color w:val="auto"/>
          <w:sz w:val="24"/>
          <w:szCs w:val="24"/>
          <w:highlight w:val="none"/>
          <w:lang w:val="en-US" w:bidi="ar-SA"/>
        </w:rPr>
        <w:t xml:space="preserve">财务报告，至少包含资产负债表、利润表，或投标截止时间前六个月内银行出具的资信证明，或财政部门认可的政府采购专业担保机构出具的投标担保函；成立不满一年的无需提供）；</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3）具有履行合同所必需的设备和专业技术能力</w:t>
      </w:r>
      <w:r>
        <w:rPr>
          <w:rFonts w:hint="eastAsia" w:ascii="仿宋" w:hAnsi="仿宋" w:eastAsia="仿宋" w:cs="仿宋"/>
          <w:b/>
          <w:bCs/>
          <w:color w:val="auto"/>
          <w:sz w:val="24"/>
          <w:szCs w:val="24"/>
          <w:highlight w:val="none"/>
          <w:lang w:val="en-US" w:bidi="ar-SA"/>
        </w:rPr>
        <w:t xml:space="preserve">（供应商根据履行采购项目合同需要，提供履行合同所必需的设备和专业技术能力的声明函或证明材料）；</w:t>
      </w:r>
      <w:r/>
    </w:p>
    <w:p>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4）有依法缴纳税收和社会保障资金的良好记录</w:t>
      </w:r>
      <w:r>
        <w:rPr>
          <w:rFonts w:hint="eastAsia" w:ascii="仿宋" w:hAnsi="仿宋" w:eastAsia="仿宋" w:cs="仿宋"/>
          <w:b/>
          <w:bCs/>
          <w:color w:val="auto"/>
          <w:sz w:val="24"/>
          <w:szCs w:val="24"/>
          <w:highlight w:val="none"/>
          <w:lang w:val="en-US" w:bidi="ar-SA"/>
        </w:rPr>
        <w:t xml:space="preserve">（提供202</w:t>
      </w:r>
      <w:r>
        <w:rPr>
          <w:rFonts w:hint="eastAsia" w:ascii="仿宋" w:hAnsi="仿宋" w:eastAsia="仿宋" w:cs="仿宋"/>
          <w:b/>
          <w:bCs/>
          <w:color w:val="auto"/>
          <w:sz w:val="24"/>
          <w:szCs w:val="24"/>
          <w:highlight w:val="none"/>
          <w:lang w:val="en-US" w:eastAsia="zh-CN" w:bidi="ar-SA"/>
        </w:rPr>
        <w:t xml:space="preserve">5</w:t>
      </w:r>
      <w:r>
        <w:rPr>
          <w:rFonts w:hint="eastAsia" w:ascii="仿宋" w:hAnsi="仿宋" w:eastAsia="仿宋" w:cs="仿宋"/>
          <w:b/>
          <w:bCs/>
          <w:color w:val="auto"/>
          <w:sz w:val="24"/>
          <w:szCs w:val="24"/>
          <w:highlight w:val="none"/>
          <w:lang w:val="en-US" w:bidi="ar-SA"/>
        </w:rPr>
        <w:t xml:space="preserve">年</w:t>
      </w:r>
      <w:r>
        <w:rPr>
          <w:rFonts w:hint="eastAsia" w:ascii="仿宋" w:hAnsi="仿宋" w:eastAsia="仿宋" w:cs="仿宋"/>
          <w:b/>
          <w:bCs/>
          <w:color w:val="auto"/>
          <w:sz w:val="24"/>
          <w:szCs w:val="24"/>
          <w:highlight w:val="none"/>
          <w:lang w:val="en-US" w:eastAsia="zh-CN" w:bidi="ar-SA"/>
        </w:rPr>
        <w:t xml:space="preserve">11</w:t>
      </w:r>
      <w:r>
        <w:rPr>
          <w:rFonts w:hint="eastAsia" w:ascii="仿宋" w:hAnsi="仿宋" w:eastAsia="仿宋" w:cs="仿宋"/>
          <w:b/>
          <w:bCs/>
          <w:color w:val="auto"/>
          <w:sz w:val="24"/>
          <w:szCs w:val="24"/>
          <w:highlight w:val="none"/>
          <w:lang w:val="en-US" w:bidi="ar-SA"/>
        </w:rPr>
        <w:t xml:space="preserve">月至今）中任一月份的依法缴纳税收和社会保险费的相关材料（提供相关主管部门证明或银行代扣证明的复印件，根据国家相关政策免缴或迟缴的需提供相关证明材料）；</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5）参加政府采购活动前三年内，在经营活动中没有重大违法记录</w:t>
      </w:r>
      <w:r>
        <w:rPr>
          <w:rFonts w:hint="eastAsia" w:ascii="仿宋" w:hAnsi="仿宋" w:eastAsia="仿宋" w:cs="仿宋"/>
          <w:b/>
          <w:bCs/>
          <w:color w:val="auto"/>
          <w:sz w:val="24"/>
          <w:szCs w:val="24"/>
          <w:highlight w:val="none"/>
          <w:lang w:val="en-US" w:bidi="ar-SA"/>
        </w:rPr>
        <w:t xml:space="preserve">（提供承诺书）</w:t>
      </w:r>
      <w:r>
        <w:rPr>
          <w:rFonts w:hint="eastAsia" w:ascii="仿宋" w:hAnsi="仿宋" w:eastAsia="仿宋" w:cs="仿宋"/>
          <w:color w:val="auto"/>
          <w:sz w:val="24"/>
          <w:szCs w:val="24"/>
          <w:highlight w:val="none"/>
          <w:lang w:val="en-US" w:bidi="ar-SA"/>
        </w:rPr>
        <w:t xml:space="preserve">；</w:t>
      </w:r>
      <w:r/>
    </w:p>
    <w:p>
      <w:pPr>
        <w:pStyle w:val="724"/>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法律、行政法规规定的其他条件：无</w:t>
      </w:r>
      <w:r/>
    </w:p>
    <w:p>
      <w:pPr>
        <w:pStyle w:val="724"/>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en-US" w:bidi="ar-SA"/>
        </w:rPr>
        <w:t xml:space="preserve">拒绝被“信用中国”（www.creditchina.gov.cn）、“中国政府采购网”(www.ccgp.gov.cn）、“信用江苏（http://credit.jiangsu.gov.cn/）列入失信被执行人、重大税收违法案件当事人、政府采购严重失信行为的投标人参加投标。</w:t>
      </w:r>
      <w:r/>
    </w:p>
    <w:p>
      <w:pPr>
        <w:pStyle w:val="779"/>
        <w:ind w:firstLine="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en-US" w:bidi="ar-SA"/>
        </w:rPr>
        <w:t xml:space="preserve">）投标人认为需要提供的其他材料。</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七</w:t>
      </w:r>
      <w:r>
        <w:rPr>
          <w:rFonts w:hint="eastAsia" w:ascii="仿宋" w:hAnsi="仿宋" w:eastAsia="仿宋" w:cs="仿宋"/>
          <w:b/>
          <w:bCs/>
          <w:color w:val="auto"/>
          <w:sz w:val="28"/>
          <w:szCs w:val="28"/>
          <w:highlight w:val="none"/>
        </w:rPr>
        <w:t xml:space="preserve">：</w:t>
      </w:r>
      <w:bookmarkStart w:id="52" w:name="_Toc342573643"/>
      <w:r>
        <w:rPr>
          <w:rFonts w:hint="eastAsia" w:ascii="仿宋" w:hAnsi="仿宋" w:eastAsia="仿宋" w:cs="仿宋"/>
          <w:b/>
          <w:bCs/>
          <w:color w:val="auto"/>
          <w:sz w:val="28"/>
          <w:szCs w:val="28"/>
          <w:highlight w:val="none"/>
        </w:rPr>
        <w:t xml:space="preserve">法定代表人身份证明书</w:t>
      </w:r>
      <w:bookmarkEnd w:id="52"/>
      <w:r/>
      <w:r/>
    </w:p>
    <w:p>
      <w:pPr>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单位性质：</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成立时间：年月日</w:t>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经营期限：</w:t>
      </w:r>
      <w:r/>
    </w:p>
    <w:p>
      <w:pPr>
        <w:ind w:left="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名：身份证号：系</w:t>
      </w:r>
      <w:r>
        <w:rPr>
          <w:rFonts w:hint="eastAsia" w:ascii="仿宋" w:hAnsi="仿宋" w:eastAsia="仿宋" w:cs="仿宋"/>
          <w:iCs/>
          <w:color w:val="auto"/>
          <w:sz w:val="24"/>
          <w:szCs w:val="24"/>
          <w:highlight w:val="none"/>
          <w:u w:val="single"/>
        </w:rPr>
        <w:t xml:space="preserve">（投标人名称）</w:t>
      </w:r>
      <w:r>
        <w:rPr>
          <w:rFonts w:hint="eastAsia" w:ascii="仿宋" w:hAnsi="仿宋" w:eastAsia="仿宋" w:cs="仿宋"/>
          <w:color w:val="auto"/>
          <w:sz w:val="24"/>
          <w:szCs w:val="24"/>
          <w:highlight w:val="none"/>
        </w:rPr>
        <w:t xml:space="preserve">的法定代表人。</w:t>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特此证明。</w:t>
      </w:r>
      <w:r/>
    </w:p>
    <w:p>
      <w:pPr>
        <w:ind w:firstLine="3840"/>
        <w:spacing w:line="440" w:lineRule="exact"/>
        <w:tabs>
          <w:tab w:val="left" w:pos="720" w:leader="none"/>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3840"/>
        <w:spacing w:line="440" w:lineRule="exact"/>
        <w:tabs>
          <w:tab w:val="left" w:pos="720" w:leader="none"/>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3840"/>
        <w:spacing w:line="440" w:lineRule="exact"/>
        <w:tabs>
          <w:tab w:val="left" w:pos="720" w:leader="none"/>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spacing w:line="440" w:lineRule="exact"/>
        <w:tabs>
          <w:tab w:val="left" w:pos="720" w:leader="none"/>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40" w:lineRule="exact"/>
        <w:tabs>
          <w:tab w:val="left" w:pos="720" w:leader="none"/>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注：后附法定代表人身份证复印件</w:t>
      </w:r>
      <w:r/>
    </w:p>
    <w:p>
      <w:pPr>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28"/>
          <w:szCs w:val="28"/>
          <w:highlight w:val="none"/>
        </w:rPr>
        <w:t xml:space="preserve">格式</w:t>
      </w:r>
      <w:r>
        <w:rPr>
          <w:rFonts w:hint="eastAsia" w:ascii="仿宋" w:hAnsi="仿宋" w:eastAsia="仿宋" w:cs="仿宋"/>
          <w:b/>
          <w:color w:val="auto"/>
          <w:sz w:val="28"/>
          <w:szCs w:val="28"/>
          <w:highlight w:val="none"/>
          <w:lang w:val="en-US"/>
        </w:rPr>
        <w:t xml:space="preserve">八</w:t>
      </w:r>
      <w:r>
        <w:rPr>
          <w:rFonts w:hint="eastAsia" w:ascii="仿宋" w:hAnsi="仿宋" w:eastAsia="仿宋" w:cs="仿宋"/>
          <w:b/>
          <w:color w:val="auto"/>
          <w:sz w:val="28"/>
          <w:szCs w:val="28"/>
          <w:highlight w:val="none"/>
        </w:rPr>
        <w:t xml:space="preserve">：授权委托书</w:t>
      </w:r>
      <w:r/>
    </w:p>
    <w:p>
      <w:pPr>
        <w:pStyle w:val="730"/>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30"/>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07"/>
        <w:ind w:firstLine="480"/>
        <w:tabs>
          <w:tab w:val="left" w:pos="360" w:leader="none"/>
        </w:tabs>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本授权书声明：____________（投标人名称）授权________________（被授权人的姓名）为我方就（项目编号）（项目名称）采购活动的合法代理人，以本单位名义全权处理一切与该项目采购有关的事务。</w:t>
      </w:r>
      <w:r/>
    </w:p>
    <w:p>
      <w:pPr>
        <w:pStyle w:val="807"/>
        <w:ind w:firstLine="480"/>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807"/>
        <w:ind w:firstLine="0"/>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807"/>
        <w:ind w:firstLine="0"/>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807"/>
        <w:ind w:firstLine="1200"/>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807"/>
        <w:ind w:firstLine="480"/>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807"/>
        <w:ind w:firstLine="480"/>
        <w:tabs>
          <w:tab w:val="left" w:pos="360" w:leader="none"/>
        </w:tabs>
        <w:rPr>
          <w:color w:val="auto"/>
          <w:sz w:val="24"/>
          <w:szCs w:val="24"/>
          <w:highlight w:val="none"/>
        </w:rPr>
      </w:pPr>
      <w:r>
        <w:rPr>
          <w:rFonts w:hint="eastAsia"/>
          <w:color w:val="auto"/>
          <w:sz w:val="24"/>
          <w:szCs w:val="24"/>
          <w:highlight w:val="none"/>
        </w:rPr>
        <w:t xml:space="preserve">      日期：</w:t>
      </w:r>
      <w:bookmarkStart w:id="53" w:name="_格式3__银行出具的资信证明"/>
      <w:r/>
      <w:bookmarkEnd w:id="53"/>
      <w:r/>
      <w:bookmarkStart w:id="54" w:name="_Hlt26955070"/>
      <w:r/>
      <w:bookmarkEnd w:id="54"/>
      <w:r/>
      <w:bookmarkStart w:id="55" w:name="_Hlt26671380"/>
      <w:r/>
      <w:bookmarkEnd w:id="55"/>
      <w:r>
        <w:rPr>
          <w:rFonts w:hint="eastAsia"/>
          <w:color w:val="auto"/>
          <w:sz w:val="24"/>
          <w:szCs w:val="24"/>
          <w:highlight w:val="none"/>
          <w:u w:val="single"/>
        </w:rPr>
        <w:t xml:space="preserve">                                         </w:t>
      </w:r>
      <w:r/>
    </w:p>
    <w:p>
      <w:pPr>
        <w:pStyle w:val="730"/>
        <w:spacing w:line="44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pStyle w:val="730"/>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注：后附被授权人身份证复印件。若是法定代表人参与项目，无需提供此附件。</w:t>
      </w:r>
      <w:r/>
    </w:p>
    <w:p>
      <w:pPr>
        <w:pStyle w:val="730"/>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730"/>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lang w:val="en-US"/>
        </w:rPr>
        <w:t xml:space="preserve">格式</w:t>
      </w: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lang w:val="en-US"/>
        </w:rPr>
        <w:t xml:space="preserve">：</w:t>
      </w:r>
      <w:r>
        <w:rPr>
          <w:rFonts w:hint="eastAsia" w:ascii="仿宋" w:hAnsi="仿宋" w:eastAsia="仿宋" w:cs="仿宋"/>
          <w:b/>
          <w:color w:val="auto"/>
          <w:sz w:val="28"/>
          <w:szCs w:val="28"/>
          <w:highlight w:val="none"/>
        </w:rPr>
        <w:t xml:space="preserve">类似业绩情况一览表</w:t>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项目名称：招标编号：             包号：</w:t>
      </w:r>
      <w:r/>
    </w:p>
    <w:p>
      <w:pPr>
        <w:ind w:left="10" w:hanging="72"/>
        <w:spacing w:line="44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tbl>
      <w:tblPr>
        <w:tblStyle w:val="718"/>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2186"/>
        <w:gridCol w:w="1674"/>
        <w:gridCol w:w="1437"/>
        <w:gridCol w:w="1400"/>
        <w:gridCol w:w="1189"/>
      </w:tblGrid>
      <w:tr>
        <w:trPr>
          <w:jc w:val="center"/>
          <w:trHeight w:val="621"/>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项目名称及地点</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合同价格</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项目完成时间</w:t>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330"/>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w:t>
      </w:r>
      <w:r/>
    </w:p>
    <w:p>
      <w:pPr>
        <w:pStyle w:val="724"/>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1.表中表格行数可自行添加;</w:t>
      </w:r>
      <w:r/>
    </w:p>
    <w:p>
      <w:pPr>
        <w:ind w:right="-273"/>
        <w:spacing w:line="44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2.项目按照时间顺序排列，排列时请将内容与本次投标吻合度最高、时间最近、金额最大的排在前；</w:t>
      </w:r>
      <w:r/>
    </w:p>
    <w:p>
      <w:pPr>
        <w:ind w:right="-273"/>
        <w:spacing w:line="44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3.列出符合本次招标评分标准的相关业绩，并按招标文件</w:t>
      </w:r>
      <w:r>
        <w:rPr>
          <w:rFonts w:hint="eastAsia" w:ascii="仿宋" w:hAnsi="仿宋" w:eastAsia="仿宋" w:cs="仿宋"/>
          <w:bCs/>
          <w:color w:val="auto"/>
          <w:sz w:val="24"/>
          <w:szCs w:val="24"/>
          <w:highlight w:val="none"/>
          <w:lang w:val="en-US"/>
        </w:rPr>
        <w:t xml:space="preserve">要求</w:t>
      </w:r>
      <w:r>
        <w:rPr>
          <w:rFonts w:hint="eastAsia" w:ascii="仿宋" w:hAnsi="仿宋" w:eastAsia="仿宋" w:cs="仿宋"/>
          <w:bCs/>
          <w:color w:val="auto"/>
          <w:sz w:val="24"/>
          <w:szCs w:val="24"/>
          <w:highlight w:val="none"/>
        </w:rPr>
        <w:t xml:space="preserve">提供</w:t>
      </w:r>
      <w:r>
        <w:rPr>
          <w:rFonts w:hint="eastAsia" w:ascii="仿宋" w:hAnsi="仿宋" w:eastAsia="仿宋" w:cs="仿宋"/>
          <w:bCs/>
          <w:color w:val="auto"/>
          <w:sz w:val="24"/>
          <w:szCs w:val="24"/>
          <w:highlight w:val="none"/>
          <w:lang w:val="en-US"/>
        </w:rPr>
        <w:t xml:space="preserve">相关证明材料</w:t>
      </w:r>
      <w:r>
        <w:rPr>
          <w:rFonts w:hint="eastAsia" w:ascii="仿宋" w:hAnsi="仿宋" w:eastAsia="仿宋" w:cs="仿宋"/>
          <w:bCs/>
          <w:color w:val="auto"/>
          <w:sz w:val="24"/>
          <w:szCs w:val="24"/>
          <w:highlight w:val="none"/>
        </w:rPr>
        <w:t xml:space="preserve">，并</w:t>
      </w:r>
      <w:r>
        <w:rPr>
          <w:rFonts w:hint="eastAsia" w:ascii="仿宋" w:hAnsi="仿宋" w:eastAsia="仿宋" w:cs="仿宋"/>
          <w:bCs/>
          <w:color w:val="auto"/>
          <w:sz w:val="24"/>
          <w:szCs w:val="24"/>
          <w:highlight w:val="none"/>
          <w:lang w:val="en-US"/>
        </w:rPr>
        <w:t xml:space="preserve">准备</w:t>
      </w:r>
      <w:r>
        <w:rPr>
          <w:rFonts w:hint="eastAsia" w:ascii="仿宋" w:hAnsi="仿宋" w:eastAsia="仿宋" w:cs="仿宋"/>
          <w:bCs/>
          <w:color w:val="auto"/>
          <w:sz w:val="24"/>
          <w:szCs w:val="24"/>
          <w:highlight w:val="none"/>
        </w:rPr>
        <w:t xml:space="preserve">原件核查，无关项目不必罗列。</w:t>
      </w:r>
      <w:r/>
    </w:p>
    <w:p>
      <w:pPr>
        <w:ind w:firstLine="16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30"/>
        <w:spacing w:line="440" w:lineRule="exact"/>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b/>
          <w:bCs/>
          <w:color w:val="auto"/>
          <w:sz w:val="28"/>
          <w:szCs w:val="28"/>
          <w:highlight w:val="none"/>
        </w:rPr>
        <w:t xml:space="preserve">格式十</w:t>
      </w:r>
      <w:r>
        <w:rPr>
          <w:rFonts w:hint="eastAsia" w:ascii="仿宋" w:hAnsi="仿宋" w:eastAsia="仿宋" w:cs="仿宋"/>
          <w:b/>
          <w:bCs/>
          <w:color w:val="auto"/>
          <w:sz w:val="28"/>
          <w:szCs w:val="28"/>
          <w:highlight w:val="none"/>
          <w:lang w:val="en-US"/>
        </w:rPr>
        <w:t xml:space="preserve">：</w:t>
      </w:r>
      <w:r>
        <w:rPr>
          <w:rFonts w:hint="eastAsia" w:ascii="仿宋" w:hAnsi="仿宋" w:eastAsia="仿宋" w:cs="仿宋"/>
          <w:b/>
          <w:bCs/>
          <w:color w:val="auto"/>
          <w:sz w:val="28"/>
          <w:szCs w:val="28"/>
          <w:highlight w:val="none"/>
        </w:rPr>
        <w:t xml:space="preserve">技术</w:t>
      </w:r>
      <w:r>
        <w:rPr>
          <w:rFonts w:hint="eastAsia" w:ascii="仿宋" w:hAnsi="仿宋" w:eastAsia="仿宋" w:cs="仿宋"/>
          <w:b/>
          <w:bCs/>
          <w:color w:val="auto"/>
          <w:sz w:val="28"/>
          <w:szCs w:val="28"/>
          <w:highlight w:val="none"/>
          <w:lang w:val="en-US"/>
        </w:rPr>
        <w:t xml:space="preserve">条款</w:t>
      </w:r>
      <w:r>
        <w:rPr>
          <w:rFonts w:hint="eastAsia" w:ascii="仿宋" w:hAnsi="仿宋" w:eastAsia="仿宋" w:cs="仿宋"/>
          <w:b/>
          <w:bCs/>
          <w:color w:val="auto"/>
          <w:sz w:val="28"/>
          <w:szCs w:val="28"/>
          <w:highlight w:val="none"/>
        </w:rPr>
        <w:t xml:space="preserve">响应表</w:t>
      </w:r>
      <w:r/>
    </w:p>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bl>
      <w:tblPr>
        <w:tblStyle w:val="718"/>
        <w:tblpPr w:horzAnchor="margin" w:tblpXSpec="center" w:vertAnchor="text" w:tblpY="489" w:leftFromText="180" w:topFromText="0" w:rightFromText="180" w:bottomFromText="0"/>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2645"/>
        <w:gridCol w:w="2779"/>
        <w:gridCol w:w="1643"/>
        <w:gridCol w:w="1581"/>
      </w:tblGrid>
      <w:tr>
        <w:trPr>
          <w:trHeight w:val="63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w:t>
            </w:r>
            <w:r>
              <w:rPr>
                <w:rFonts w:hint="eastAsia" w:ascii="仿宋" w:hAnsi="仿宋" w:eastAsia="仿宋" w:cs="仿宋"/>
                <w:color w:val="auto"/>
                <w:sz w:val="28"/>
                <w:szCs w:val="28"/>
                <w:highlight w:val="none"/>
                <w:lang w:val="en-US"/>
              </w:rPr>
              <w:t xml:space="preserve">文件</w:t>
            </w:r>
            <w:r>
              <w:rPr>
                <w:rFonts w:hint="eastAsia" w:ascii="仿宋" w:hAnsi="仿宋" w:eastAsia="仿宋" w:cs="仿宋"/>
                <w:color w:val="auto"/>
                <w:sz w:val="28"/>
                <w:szCs w:val="28"/>
                <w:highlight w:val="none"/>
              </w:rPr>
              <w:t xml:space="preserve">要求</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jc w:val="center"/>
              <w:spacing w:line="44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文件内容</w:t>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正偏离/</w:t>
            </w:r>
            <w:r/>
          </w:p>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负偏离</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w:t>
            </w:r>
            <w:r/>
          </w:p>
        </w:tc>
      </w:tr>
      <w:tr>
        <w:trPr>
          <w:trHeight w:val="888"/>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lang w:val="en-US"/>
              </w:rPr>
            </w:pPr>
            <w:r>
              <w:rPr>
                <w:rFonts w:ascii="仿宋" w:hAnsi="仿宋" w:eastAsia="仿宋" w:cs="仿宋"/>
                <w:color w:val="auto"/>
                <w:sz w:val="28"/>
                <w:szCs w:val="28"/>
                <w:highlight w:val="none"/>
                <w:lang w:val="en-US"/>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899"/>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88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88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908"/>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lang w:val="en-US"/>
              </w:rPr>
            </w:pPr>
            <w:r>
              <w:rPr>
                <w:rFonts w:ascii="仿宋" w:hAnsi="仿宋" w:eastAsia="仿宋" w:cs="仿宋"/>
                <w:color w:val="auto"/>
                <w:sz w:val="28"/>
                <w:szCs w:val="28"/>
                <w:highlight w:val="none"/>
                <w:lang w:val="en-US"/>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项目名称：招标编号：                  包号：</w:t>
      </w:r>
      <w:r/>
    </w:p>
    <w:p>
      <w:pPr>
        <w:jc w:val="both"/>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注：</w:t>
      </w:r>
      <w:r/>
    </w:p>
    <w:p>
      <w:pPr>
        <w:jc w:val="both"/>
        <w:spacing w:line="440" w:lineRule="exact"/>
        <w:rPr>
          <w:rFonts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rPr>
        <w:t xml:space="preserve">1.表中表格行数可自行添加;</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2.本表需要对招标文件</w:t>
      </w:r>
      <w:r>
        <w:rPr>
          <w:rFonts w:hint="eastAsia" w:ascii="仿宋" w:hAnsi="仿宋" w:eastAsia="仿宋" w:cs="仿宋"/>
          <w:color w:val="auto"/>
          <w:sz w:val="24"/>
          <w:szCs w:val="24"/>
          <w:highlight w:val="none"/>
          <w:lang w:eastAsia="zh-CN"/>
        </w:rPr>
        <w:t xml:space="preserve">采购需求</w:t>
      </w:r>
      <w:r>
        <w:rPr>
          <w:rFonts w:hint="eastAsia" w:ascii="仿宋" w:hAnsi="仿宋" w:eastAsia="仿宋" w:cs="仿宋"/>
          <w:color w:val="auto"/>
          <w:sz w:val="24"/>
          <w:szCs w:val="24"/>
          <w:highlight w:val="none"/>
        </w:rPr>
        <w:t xml:space="preserve">逐项响应，</w:t>
      </w:r>
      <w:r>
        <w:rPr>
          <w:rFonts w:hint="eastAsia" w:ascii="仿宋" w:hAnsi="仿宋" w:eastAsia="仿宋" w:cs="仿宋"/>
          <w:color w:val="auto"/>
          <w:sz w:val="24"/>
          <w:szCs w:val="24"/>
          <w:highlight w:val="none"/>
          <w:lang w:val="en-US"/>
        </w:rPr>
        <w:t xml:space="preserve">按照投标情况填写正偏离、负偏离或无偏离</w:t>
      </w:r>
      <w:r>
        <w:rPr>
          <w:rFonts w:hint="eastAsia" w:ascii="仿宋" w:hAnsi="仿宋" w:eastAsia="仿宋" w:cs="仿宋"/>
          <w:color w:val="auto"/>
          <w:sz w:val="24"/>
          <w:szCs w:val="24"/>
          <w:highlight w:val="none"/>
        </w:rPr>
        <w:t xml:space="preserve">；</w:t>
      </w:r>
      <w:r/>
    </w:p>
    <w:p>
      <w:pPr>
        <w:pStyle w:val="724"/>
        <w:jc w:val="both"/>
        <w:rPr>
          <w:rFonts w:ascii="仿宋" w:hAnsi="仿宋" w:eastAsia="仿宋" w:cs="仿宋"/>
          <w:color w:val="auto"/>
          <w:highlight w:val="none"/>
        </w:rPr>
      </w:pPr>
      <w:r>
        <w:rPr>
          <w:rFonts w:hint="eastAsia" w:ascii="仿宋" w:hAnsi="仿宋" w:eastAsia="仿宋" w:cs="仿宋"/>
          <w:color w:val="auto"/>
          <w:highlight w:val="none"/>
          <w:lang w:val="en-US"/>
        </w:rPr>
        <w:t xml:space="preserve">3.技术标准和要求如有较长表格，可以不复制表格，可填写表头并注明无偏离即可，如有偏离请根据投标情况填写。</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十</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lang w:val="en-US"/>
        </w:rPr>
        <w:t xml:space="preserve">：</w:t>
      </w:r>
      <w:r>
        <w:rPr>
          <w:rFonts w:hint="eastAsia" w:ascii="仿宋" w:hAnsi="仿宋" w:eastAsia="仿宋" w:cs="仿宋"/>
          <w:b/>
          <w:bCs/>
          <w:color w:val="auto"/>
          <w:sz w:val="28"/>
          <w:szCs w:val="28"/>
          <w:highlight w:val="none"/>
        </w:rPr>
        <w:t xml:space="preserve">商务条款响应表</w:t>
      </w:r>
      <w:r/>
    </w:p>
    <w:tbl>
      <w:tblPr>
        <w:tblStyle w:val="718"/>
        <w:tblpPr w:horzAnchor="page" w:tblpX="1628" w:vertAnchor="text" w:tblpY="1129" w:leftFromText="180" w:topFromText="0" w:rightFromText="180" w:bottomFromText="0"/>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414"/>
        <w:gridCol w:w="1618"/>
        <w:gridCol w:w="1628"/>
        <w:gridCol w:w="1659"/>
        <w:gridCol w:w="1191"/>
      </w:tblGrid>
      <w:tr>
        <w:trPr>
          <w:trHeight w:val="207"/>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440" w:lineRule="exact"/>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w:t>
            </w:r>
            <w:r/>
          </w:p>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条目号</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招标</w:t>
            </w:r>
            <w:r>
              <w:rPr>
                <w:rFonts w:hint="eastAsia" w:ascii="仿宋" w:hAnsi="仿宋" w:eastAsia="仿宋" w:cs="仿宋"/>
                <w:color w:val="auto"/>
                <w:sz w:val="24"/>
                <w:szCs w:val="24"/>
                <w:highlight w:val="none"/>
                <w:lang w:val="en-US" w:eastAsia="zh-CN"/>
              </w:rPr>
              <w:t xml:space="preserve">文件要求</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en-US" w:eastAsia="zh-CN"/>
              </w:rPr>
              <w:t xml:space="preserve">文件内容</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正偏离/负偏离</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偏离内容</w:t>
            </w:r>
            <w:r/>
          </w:p>
        </w:tc>
      </w:tr>
      <w:tr>
        <w:trPr>
          <w:trHeight w:val="829"/>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56"/>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67"/>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62"/>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58"/>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54"/>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67"/>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项目名称：招标编号：             包号：</w:t>
      </w:r>
      <w:r/>
    </w:p>
    <w:p>
      <w:pPr>
        <w:spacing w:line="440" w:lineRule="exact"/>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注：</w:t>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本表需要对招标文件中</w:t>
      </w:r>
      <w:r>
        <w:rPr>
          <w:rFonts w:hint="eastAsia" w:ascii="仿宋" w:hAnsi="仿宋" w:eastAsia="仿宋" w:cs="仿宋"/>
          <w:color w:val="auto"/>
          <w:sz w:val="24"/>
          <w:szCs w:val="24"/>
          <w:highlight w:val="none"/>
          <w:lang w:val="en-US"/>
        </w:rPr>
        <w:t xml:space="preserve">投标人须知前附表</w:t>
      </w:r>
      <w:r>
        <w:rPr>
          <w:rFonts w:hint="eastAsia" w:ascii="仿宋" w:hAnsi="仿宋" w:eastAsia="仿宋" w:cs="仿宋"/>
          <w:color w:val="auto"/>
          <w:sz w:val="24"/>
          <w:szCs w:val="24"/>
          <w:highlight w:val="none"/>
        </w:rPr>
        <w:t xml:space="preserve">逐项响应，</w:t>
      </w:r>
      <w:r>
        <w:rPr>
          <w:rFonts w:hint="eastAsia" w:ascii="仿宋" w:hAnsi="仿宋" w:eastAsia="仿宋" w:cs="仿宋"/>
          <w:color w:val="auto"/>
          <w:sz w:val="24"/>
          <w:szCs w:val="24"/>
          <w:highlight w:val="none"/>
          <w:lang w:val="en-US"/>
        </w:rPr>
        <w:t xml:space="preserve">并写明响应招标文件第四章合同条款的全部内容</w:t>
      </w:r>
      <w:r>
        <w:rPr>
          <w:rFonts w:hint="eastAsia" w:ascii="仿宋" w:hAnsi="仿宋" w:eastAsia="仿宋" w:cs="仿宋"/>
          <w:color w:val="auto"/>
          <w:sz w:val="24"/>
          <w:szCs w:val="24"/>
          <w:highlight w:val="none"/>
        </w:rPr>
        <w:t xml:space="preserve">。</w:t>
      </w:r>
      <w:r/>
    </w:p>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54"/>
        <w:rPr>
          <w:color w:val="auto"/>
          <w:highlight w:val="none"/>
        </w:rPr>
        <w:outlineLvl w:val="1"/>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lang w:val="en-US"/>
        </w:rPr>
        <w:t xml:space="preserve">格式十</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val="en-US"/>
        </w:rPr>
        <w:t xml:space="preserve">：拟派上岗人员一览表</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2190"/>
        <w:gridCol w:w="1017"/>
        <w:gridCol w:w="1486"/>
        <w:gridCol w:w="1134"/>
        <w:gridCol w:w="1017"/>
        <w:gridCol w:w="1017"/>
      </w:tblGrid>
      <w:tr>
        <w:trPr>
          <w:trHeight w:val="475"/>
        </w:trPr>
        <w:tc>
          <w:tcPr>
            <w:tcW w:w="704" w:type="dxa"/>
            <w:vAlign w:val="top"/>
            <w:textDirection w:val="lrTb"/>
            <w:noWrap w:val="false"/>
          </w:tcPr>
          <w:p>
            <w:pPr>
              <w:pStyle w:val="854"/>
              <w:jc w:val="center"/>
              <w:rPr>
                <w:rFonts w:ascii="仿宋" w:hAnsi="仿宋" w:eastAsia="仿宋" w:cs="宋体"/>
                <w:b w:val="0"/>
                <w:bCs/>
                <w:color w:val="auto"/>
                <w:sz w:val="24"/>
                <w:highlight w:val="none"/>
                <w:lang w:bidi="ar"/>
              </w:rPr>
              <w:outlineLvl w:val="1"/>
            </w:pPr>
            <w:r>
              <w:rPr>
                <w:rFonts w:hint="eastAsia" w:ascii="仿宋" w:hAnsi="仿宋" w:eastAsia="仿宋" w:cs="宋体"/>
                <w:b w:val="0"/>
                <w:bCs/>
                <w:color w:val="auto"/>
                <w:sz w:val="24"/>
                <w:highlight w:val="none"/>
                <w:lang w:bidi="ar"/>
              </w:rPr>
              <w:t xml:space="preserve">序号</w:t>
            </w:r>
            <w:r/>
          </w:p>
        </w:tc>
        <w:tc>
          <w:tcPr>
            <w:tcW w:w="2552" w:type="dxa"/>
            <w:vAlign w:val="top"/>
            <w:textDirection w:val="lrTb"/>
            <w:noWrap w:val="false"/>
          </w:tcPr>
          <w:p>
            <w:pPr>
              <w:pStyle w:val="854"/>
              <w:jc w:val="center"/>
              <w:rPr>
                <w:rFonts w:ascii="仿宋" w:hAnsi="仿宋" w:eastAsia="仿宋" w:cs="宋体"/>
                <w:b w:val="0"/>
                <w:bCs/>
                <w:color w:val="auto"/>
                <w:sz w:val="24"/>
                <w:highlight w:val="none"/>
                <w:lang w:bidi="ar"/>
              </w:rPr>
              <w:outlineLvl w:val="1"/>
            </w:pPr>
            <w:r>
              <w:rPr>
                <w:rFonts w:hint="eastAsia" w:ascii="仿宋" w:hAnsi="仿宋" w:eastAsia="仿宋" w:cs="宋体"/>
                <w:b w:val="0"/>
                <w:bCs/>
                <w:color w:val="auto"/>
                <w:sz w:val="24"/>
                <w:highlight w:val="none"/>
                <w:lang w:bidi="ar"/>
              </w:rPr>
              <w:t xml:space="preserve">岗位</w:t>
            </w:r>
            <w:r/>
          </w:p>
        </w:tc>
        <w:tc>
          <w:tcPr>
            <w:tcW w:w="1134" w:type="dxa"/>
            <w:vAlign w:val="top"/>
            <w:textDirection w:val="lrTb"/>
            <w:noWrap w:val="false"/>
          </w:tcPr>
          <w:p>
            <w:pPr>
              <w:pStyle w:val="854"/>
              <w:jc w:val="center"/>
              <w:rPr>
                <w:rFonts w:ascii="仿宋" w:hAnsi="仿宋" w:eastAsia="仿宋" w:cs="宋体"/>
                <w:b w:val="0"/>
                <w:bCs/>
                <w:color w:val="auto"/>
                <w:sz w:val="24"/>
                <w:highlight w:val="none"/>
                <w:lang w:bidi="ar"/>
              </w:rPr>
              <w:outlineLvl w:val="1"/>
            </w:pPr>
            <w:r>
              <w:rPr>
                <w:rFonts w:hint="eastAsia" w:ascii="仿宋" w:hAnsi="仿宋" w:eastAsia="仿宋" w:cs="宋体"/>
                <w:b w:val="0"/>
                <w:bCs/>
                <w:color w:val="auto"/>
                <w:sz w:val="24"/>
                <w:highlight w:val="none"/>
                <w:lang w:bidi="ar"/>
              </w:rPr>
              <w:t xml:space="preserve">学历</w:t>
            </w:r>
            <w:r/>
          </w:p>
        </w:tc>
        <w:tc>
          <w:tcPr>
            <w:tcW w:w="1701" w:type="dxa"/>
            <w:vAlign w:val="top"/>
            <w:textDirection w:val="lrTb"/>
            <w:noWrap w:val="false"/>
          </w:tcPr>
          <w:p>
            <w:pPr>
              <w:pStyle w:val="854"/>
              <w:jc w:val="center"/>
              <w:rPr>
                <w:rFonts w:ascii="仿宋" w:hAnsi="仿宋" w:eastAsia="仿宋" w:cs="宋体"/>
                <w:b w:val="0"/>
                <w:bCs/>
                <w:color w:val="auto"/>
                <w:sz w:val="24"/>
                <w:highlight w:val="none"/>
                <w:lang w:bidi="ar"/>
              </w:rPr>
              <w:outlineLvl w:val="1"/>
            </w:pPr>
            <w:r>
              <w:rPr>
                <w:rFonts w:hint="eastAsia" w:ascii="仿宋" w:hAnsi="仿宋" w:eastAsia="仿宋" w:cs="宋体"/>
                <w:b w:val="0"/>
                <w:bCs/>
                <w:color w:val="auto"/>
                <w:sz w:val="24"/>
                <w:highlight w:val="none"/>
                <w:lang w:bidi="ar"/>
              </w:rPr>
              <w:t xml:space="preserve">从事专业年限</w:t>
            </w:r>
            <w:r/>
          </w:p>
        </w:tc>
        <w:tc>
          <w:tcPr>
            <w:tcW w:w="1275" w:type="dxa"/>
            <w:vAlign w:val="top"/>
            <w:textDirection w:val="lrTb"/>
            <w:noWrap w:val="false"/>
          </w:tcPr>
          <w:p>
            <w:pPr>
              <w:pStyle w:val="854"/>
              <w:jc w:val="center"/>
              <w:rPr>
                <w:rFonts w:ascii="仿宋" w:hAnsi="仿宋" w:eastAsia="仿宋" w:cs="宋体"/>
                <w:b w:val="0"/>
                <w:bCs/>
                <w:color w:val="auto"/>
                <w:sz w:val="24"/>
                <w:highlight w:val="none"/>
                <w:lang w:bidi="ar"/>
              </w:rPr>
              <w:outlineLvl w:val="1"/>
            </w:pPr>
            <w:r>
              <w:rPr>
                <w:rFonts w:hint="eastAsia" w:ascii="仿宋" w:hAnsi="仿宋" w:eastAsia="仿宋" w:cs="宋体"/>
                <w:b w:val="0"/>
                <w:bCs/>
                <w:color w:val="auto"/>
                <w:sz w:val="24"/>
                <w:highlight w:val="none"/>
                <w:lang w:bidi="ar"/>
              </w:rPr>
              <w:t xml:space="preserve">职务</w:t>
            </w:r>
            <w:r/>
          </w:p>
        </w:tc>
        <w:tc>
          <w:tcPr>
            <w:tcW w:w="1134" w:type="dxa"/>
            <w:vAlign w:val="top"/>
            <w:textDirection w:val="lrTb"/>
            <w:noWrap w:val="false"/>
          </w:tcPr>
          <w:p>
            <w:pPr>
              <w:pStyle w:val="854"/>
              <w:jc w:val="center"/>
              <w:rPr>
                <w:rFonts w:ascii="仿宋" w:hAnsi="仿宋" w:eastAsia="仿宋" w:cs="宋体"/>
                <w:b w:val="0"/>
                <w:bCs/>
                <w:color w:val="auto"/>
                <w:sz w:val="24"/>
                <w:highlight w:val="none"/>
                <w:lang w:bidi="ar"/>
              </w:rPr>
              <w:outlineLvl w:val="1"/>
            </w:pPr>
            <w:r>
              <w:rPr>
                <w:rFonts w:hint="eastAsia" w:ascii="仿宋" w:hAnsi="仿宋" w:eastAsia="仿宋" w:cs="宋体"/>
                <w:b w:val="0"/>
                <w:bCs/>
                <w:color w:val="auto"/>
                <w:sz w:val="24"/>
                <w:highlight w:val="none"/>
                <w:lang w:bidi="ar"/>
              </w:rPr>
              <w:t xml:space="preserve">年纪</w:t>
            </w:r>
            <w:r/>
          </w:p>
        </w:tc>
        <w:tc>
          <w:tcPr>
            <w:tcW w:w="1134" w:type="dxa"/>
            <w:vAlign w:val="top"/>
            <w:textDirection w:val="lrTb"/>
            <w:noWrap w:val="false"/>
          </w:tcPr>
          <w:p>
            <w:pPr>
              <w:pStyle w:val="854"/>
              <w:jc w:val="center"/>
              <w:rPr>
                <w:rFonts w:ascii="仿宋" w:hAnsi="仿宋" w:eastAsia="仿宋" w:cs="宋体"/>
                <w:b w:val="0"/>
                <w:bCs/>
                <w:color w:val="auto"/>
                <w:sz w:val="24"/>
                <w:highlight w:val="none"/>
                <w:lang w:bidi="ar"/>
              </w:rPr>
              <w:outlineLvl w:val="1"/>
            </w:pPr>
            <w:r>
              <w:rPr>
                <w:rFonts w:hint="eastAsia" w:ascii="仿宋" w:hAnsi="仿宋" w:eastAsia="仿宋" w:cs="宋体"/>
                <w:b w:val="0"/>
                <w:bCs/>
                <w:color w:val="auto"/>
                <w:sz w:val="24"/>
                <w:highlight w:val="none"/>
                <w:lang w:bidi="ar"/>
              </w:rPr>
              <w:t xml:space="preserve">备注</w:t>
            </w:r>
            <w:r/>
          </w:p>
        </w:tc>
      </w:tr>
      <w:tr>
        <w:trPr/>
        <w:tc>
          <w:tcPr>
            <w:tcW w:w="704" w:type="dxa"/>
            <w:vAlign w:val="top"/>
            <w:textDirection w:val="lrTb"/>
            <w:noWrap w:val="false"/>
          </w:tcPr>
          <w:p>
            <w:pPr>
              <w:pStyle w:val="854"/>
              <w:rPr>
                <w:color w:val="auto"/>
                <w:highlight w:val="none"/>
              </w:rPr>
              <w:outlineLvl w:val="1"/>
            </w:pPr>
            <w:r>
              <w:rPr>
                <w:color w:val="auto"/>
                <w:highlight w:val="none"/>
              </w:rPr>
            </w:r>
            <w:r/>
          </w:p>
        </w:tc>
        <w:tc>
          <w:tcPr>
            <w:tcW w:w="2552"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701" w:type="dxa"/>
            <w:vAlign w:val="top"/>
            <w:textDirection w:val="lrTb"/>
            <w:noWrap w:val="false"/>
          </w:tcPr>
          <w:p>
            <w:pPr>
              <w:pStyle w:val="854"/>
              <w:rPr>
                <w:color w:val="auto"/>
                <w:highlight w:val="none"/>
              </w:rPr>
              <w:outlineLvl w:val="1"/>
            </w:pPr>
            <w:r>
              <w:rPr>
                <w:color w:val="auto"/>
                <w:highlight w:val="none"/>
              </w:rPr>
            </w:r>
            <w:r/>
          </w:p>
        </w:tc>
        <w:tc>
          <w:tcPr>
            <w:tcW w:w="1275"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r>
      <w:tr>
        <w:trPr/>
        <w:tc>
          <w:tcPr>
            <w:tcW w:w="704" w:type="dxa"/>
            <w:vAlign w:val="top"/>
            <w:textDirection w:val="lrTb"/>
            <w:noWrap w:val="false"/>
          </w:tcPr>
          <w:p>
            <w:pPr>
              <w:pStyle w:val="854"/>
              <w:rPr>
                <w:color w:val="auto"/>
                <w:highlight w:val="none"/>
              </w:rPr>
              <w:outlineLvl w:val="1"/>
            </w:pPr>
            <w:r>
              <w:rPr>
                <w:color w:val="auto"/>
                <w:highlight w:val="none"/>
              </w:rPr>
            </w:r>
            <w:r/>
          </w:p>
        </w:tc>
        <w:tc>
          <w:tcPr>
            <w:tcW w:w="2552"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701" w:type="dxa"/>
            <w:vAlign w:val="top"/>
            <w:textDirection w:val="lrTb"/>
            <w:noWrap w:val="false"/>
          </w:tcPr>
          <w:p>
            <w:pPr>
              <w:pStyle w:val="854"/>
              <w:rPr>
                <w:color w:val="auto"/>
                <w:highlight w:val="none"/>
              </w:rPr>
              <w:outlineLvl w:val="1"/>
            </w:pPr>
            <w:r>
              <w:rPr>
                <w:color w:val="auto"/>
                <w:highlight w:val="none"/>
              </w:rPr>
            </w:r>
            <w:r/>
          </w:p>
        </w:tc>
        <w:tc>
          <w:tcPr>
            <w:tcW w:w="1275"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r>
      <w:tr>
        <w:trPr/>
        <w:tc>
          <w:tcPr>
            <w:tcW w:w="704" w:type="dxa"/>
            <w:vAlign w:val="top"/>
            <w:textDirection w:val="lrTb"/>
            <w:noWrap w:val="false"/>
          </w:tcPr>
          <w:p>
            <w:pPr>
              <w:pStyle w:val="854"/>
              <w:rPr>
                <w:color w:val="auto"/>
                <w:highlight w:val="none"/>
              </w:rPr>
              <w:outlineLvl w:val="1"/>
            </w:pPr>
            <w:r>
              <w:rPr>
                <w:color w:val="auto"/>
                <w:highlight w:val="none"/>
              </w:rPr>
            </w:r>
            <w:r/>
          </w:p>
        </w:tc>
        <w:tc>
          <w:tcPr>
            <w:tcW w:w="2552"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701" w:type="dxa"/>
            <w:vAlign w:val="top"/>
            <w:textDirection w:val="lrTb"/>
            <w:noWrap w:val="false"/>
          </w:tcPr>
          <w:p>
            <w:pPr>
              <w:pStyle w:val="854"/>
              <w:rPr>
                <w:color w:val="auto"/>
                <w:highlight w:val="none"/>
              </w:rPr>
              <w:outlineLvl w:val="1"/>
            </w:pPr>
            <w:r>
              <w:rPr>
                <w:color w:val="auto"/>
                <w:highlight w:val="none"/>
              </w:rPr>
            </w:r>
            <w:r/>
          </w:p>
        </w:tc>
        <w:tc>
          <w:tcPr>
            <w:tcW w:w="1275"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r>
      <w:tr>
        <w:trPr/>
        <w:tc>
          <w:tcPr>
            <w:tcW w:w="704" w:type="dxa"/>
            <w:vAlign w:val="top"/>
            <w:textDirection w:val="lrTb"/>
            <w:noWrap w:val="false"/>
          </w:tcPr>
          <w:p>
            <w:pPr>
              <w:pStyle w:val="854"/>
              <w:rPr>
                <w:color w:val="auto"/>
                <w:highlight w:val="none"/>
              </w:rPr>
              <w:outlineLvl w:val="1"/>
            </w:pPr>
            <w:r>
              <w:rPr>
                <w:color w:val="auto"/>
                <w:highlight w:val="none"/>
              </w:rPr>
            </w:r>
            <w:r/>
          </w:p>
        </w:tc>
        <w:tc>
          <w:tcPr>
            <w:tcW w:w="2552"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701" w:type="dxa"/>
            <w:vAlign w:val="top"/>
            <w:textDirection w:val="lrTb"/>
            <w:noWrap w:val="false"/>
          </w:tcPr>
          <w:p>
            <w:pPr>
              <w:pStyle w:val="854"/>
              <w:rPr>
                <w:color w:val="auto"/>
                <w:highlight w:val="none"/>
              </w:rPr>
              <w:outlineLvl w:val="1"/>
            </w:pPr>
            <w:r>
              <w:rPr>
                <w:color w:val="auto"/>
                <w:highlight w:val="none"/>
              </w:rPr>
            </w:r>
            <w:r/>
          </w:p>
        </w:tc>
        <w:tc>
          <w:tcPr>
            <w:tcW w:w="1275"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r>
      <w:tr>
        <w:trPr/>
        <w:tc>
          <w:tcPr>
            <w:tcW w:w="704" w:type="dxa"/>
            <w:vAlign w:val="top"/>
            <w:textDirection w:val="lrTb"/>
            <w:noWrap w:val="false"/>
          </w:tcPr>
          <w:p>
            <w:pPr>
              <w:pStyle w:val="854"/>
              <w:rPr>
                <w:color w:val="auto"/>
                <w:highlight w:val="none"/>
              </w:rPr>
              <w:outlineLvl w:val="1"/>
            </w:pPr>
            <w:r>
              <w:rPr>
                <w:color w:val="auto"/>
                <w:highlight w:val="none"/>
              </w:rPr>
            </w:r>
            <w:r/>
          </w:p>
        </w:tc>
        <w:tc>
          <w:tcPr>
            <w:tcW w:w="2552"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701" w:type="dxa"/>
            <w:vAlign w:val="top"/>
            <w:textDirection w:val="lrTb"/>
            <w:noWrap w:val="false"/>
          </w:tcPr>
          <w:p>
            <w:pPr>
              <w:pStyle w:val="854"/>
              <w:rPr>
                <w:color w:val="auto"/>
                <w:highlight w:val="none"/>
              </w:rPr>
              <w:outlineLvl w:val="1"/>
            </w:pPr>
            <w:r>
              <w:rPr>
                <w:color w:val="auto"/>
                <w:highlight w:val="none"/>
              </w:rPr>
            </w:r>
            <w:r/>
          </w:p>
        </w:tc>
        <w:tc>
          <w:tcPr>
            <w:tcW w:w="1275"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r>
      <w:tr>
        <w:trPr/>
        <w:tc>
          <w:tcPr>
            <w:tcW w:w="704" w:type="dxa"/>
            <w:vAlign w:val="top"/>
            <w:textDirection w:val="lrTb"/>
            <w:noWrap w:val="false"/>
          </w:tcPr>
          <w:p>
            <w:pPr>
              <w:pStyle w:val="854"/>
              <w:rPr>
                <w:color w:val="auto"/>
                <w:highlight w:val="none"/>
              </w:rPr>
              <w:outlineLvl w:val="1"/>
            </w:pPr>
            <w:r>
              <w:rPr>
                <w:color w:val="auto"/>
                <w:highlight w:val="none"/>
              </w:rPr>
            </w:r>
            <w:r/>
          </w:p>
        </w:tc>
        <w:tc>
          <w:tcPr>
            <w:tcW w:w="2552"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701" w:type="dxa"/>
            <w:vAlign w:val="top"/>
            <w:textDirection w:val="lrTb"/>
            <w:noWrap w:val="false"/>
          </w:tcPr>
          <w:p>
            <w:pPr>
              <w:pStyle w:val="854"/>
              <w:rPr>
                <w:color w:val="auto"/>
                <w:highlight w:val="none"/>
              </w:rPr>
              <w:outlineLvl w:val="1"/>
            </w:pPr>
            <w:r>
              <w:rPr>
                <w:color w:val="auto"/>
                <w:highlight w:val="none"/>
              </w:rPr>
            </w:r>
            <w:r/>
          </w:p>
        </w:tc>
        <w:tc>
          <w:tcPr>
            <w:tcW w:w="1275"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r>
      <w:tr>
        <w:trPr/>
        <w:tc>
          <w:tcPr>
            <w:tcW w:w="704" w:type="dxa"/>
            <w:vAlign w:val="top"/>
            <w:textDirection w:val="lrTb"/>
            <w:noWrap w:val="false"/>
          </w:tcPr>
          <w:p>
            <w:pPr>
              <w:pStyle w:val="854"/>
              <w:rPr>
                <w:color w:val="auto"/>
                <w:highlight w:val="none"/>
              </w:rPr>
              <w:outlineLvl w:val="1"/>
            </w:pPr>
            <w:r>
              <w:rPr>
                <w:color w:val="auto"/>
                <w:highlight w:val="none"/>
              </w:rPr>
            </w:r>
            <w:r/>
          </w:p>
        </w:tc>
        <w:tc>
          <w:tcPr>
            <w:tcW w:w="2552"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701" w:type="dxa"/>
            <w:vAlign w:val="top"/>
            <w:textDirection w:val="lrTb"/>
            <w:noWrap w:val="false"/>
          </w:tcPr>
          <w:p>
            <w:pPr>
              <w:pStyle w:val="854"/>
              <w:rPr>
                <w:color w:val="auto"/>
                <w:highlight w:val="none"/>
              </w:rPr>
              <w:outlineLvl w:val="1"/>
            </w:pPr>
            <w:r>
              <w:rPr>
                <w:color w:val="auto"/>
                <w:highlight w:val="none"/>
              </w:rPr>
            </w:r>
            <w:r/>
          </w:p>
        </w:tc>
        <w:tc>
          <w:tcPr>
            <w:tcW w:w="1275"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r>
      <w:tr>
        <w:trPr/>
        <w:tc>
          <w:tcPr>
            <w:tcW w:w="704" w:type="dxa"/>
            <w:vAlign w:val="top"/>
            <w:textDirection w:val="lrTb"/>
            <w:noWrap w:val="false"/>
          </w:tcPr>
          <w:p>
            <w:pPr>
              <w:pStyle w:val="854"/>
              <w:rPr>
                <w:color w:val="auto"/>
                <w:highlight w:val="none"/>
              </w:rPr>
              <w:outlineLvl w:val="1"/>
            </w:pPr>
            <w:r>
              <w:rPr>
                <w:color w:val="auto"/>
                <w:highlight w:val="none"/>
              </w:rPr>
            </w:r>
            <w:r/>
          </w:p>
        </w:tc>
        <w:tc>
          <w:tcPr>
            <w:tcW w:w="2552"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701" w:type="dxa"/>
            <w:vAlign w:val="top"/>
            <w:textDirection w:val="lrTb"/>
            <w:noWrap w:val="false"/>
          </w:tcPr>
          <w:p>
            <w:pPr>
              <w:pStyle w:val="854"/>
              <w:rPr>
                <w:color w:val="auto"/>
                <w:highlight w:val="none"/>
              </w:rPr>
              <w:outlineLvl w:val="1"/>
            </w:pPr>
            <w:r>
              <w:rPr>
                <w:color w:val="auto"/>
                <w:highlight w:val="none"/>
              </w:rPr>
            </w:r>
            <w:r/>
          </w:p>
        </w:tc>
        <w:tc>
          <w:tcPr>
            <w:tcW w:w="1275"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c>
          <w:tcPr>
            <w:tcW w:w="1134" w:type="dxa"/>
            <w:vAlign w:val="top"/>
            <w:textDirection w:val="lrTb"/>
            <w:noWrap w:val="false"/>
          </w:tcPr>
          <w:p>
            <w:pPr>
              <w:pStyle w:val="854"/>
              <w:rPr>
                <w:color w:val="auto"/>
                <w:highlight w:val="none"/>
              </w:rPr>
              <w:outlineLvl w:val="1"/>
            </w:pPr>
            <w:r>
              <w:rPr>
                <w:color w:val="auto"/>
                <w:highlight w:val="none"/>
              </w:rPr>
            </w:r>
            <w:r/>
          </w:p>
        </w:tc>
      </w:tr>
    </w:tbl>
    <w:p>
      <w:pPr>
        <w:rPr>
          <w:color w:val="auto"/>
          <w:highlight w:val="none"/>
          <w:lang w:bidi="ar"/>
        </w:rPr>
      </w:pPr>
      <w:r>
        <w:rPr>
          <w:rFonts w:hint="eastAsia"/>
          <w:color w:val="auto"/>
          <w:highlight w:val="none"/>
          <w:lang w:bidi="ar"/>
        </w:rPr>
        <w:t xml:space="preserve">注：格式自拟。</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1124"/>
        <w:spacing w:line="44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十</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rPr>
        <w:t xml:space="preserve">项目方案</w:t>
      </w:r>
      <w:r/>
    </w:p>
    <w:p>
      <w:pPr>
        <w:pStyle w:val="728"/>
        <w:ind w:left="1540" w:right="1540"/>
        <w:spacing w:line="440" w:lineRule="exact"/>
        <w:rPr>
          <w:rFonts w:ascii="仿宋" w:hAnsi="仿宋" w:eastAsia="仿宋" w:cs="仿宋"/>
          <w:color w:val="auto"/>
          <w:sz w:val="28"/>
          <w:szCs w:val="28"/>
          <w:highlight w:val="none"/>
          <w:lang w:val="en-US"/>
        </w:rPr>
      </w:pPr>
      <w:r>
        <w:rPr>
          <w:rFonts w:ascii="仿宋" w:hAnsi="仿宋" w:eastAsia="仿宋" w:cs="仿宋"/>
          <w:color w:val="auto"/>
          <w:sz w:val="28"/>
          <w:szCs w:val="28"/>
          <w:highlight w:val="none"/>
          <w:lang w:val="en-US"/>
        </w:rPr>
      </w:r>
      <w:r/>
    </w:p>
    <w:p>
      <w:pPr>
        <w:jc w:val="both"/>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投标人根据评分标准和办法及本项目情况自行编写，格式自拟。</w:t>
      </w:r>
      <w:r/>
    </w:p>
    <w:p>
      <w:pPr>
        <w:spacing w:line="44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728"/>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728"/>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728"/>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728"/>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728"/>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728"/>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28"/>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rPr>
          <w:rFonts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rPr>
        <w:t xml:space="preserve">格式</w:t>
      </w:r>
      <w:r>
        <w:rPr>
          <w:rFonts w:hint="eastAsia" w:ascii="仿宋" w:hAnsi="仿宋" w:eastAsia="仿宋" w:cs="仿宋"/>
          <w:b/>
          <w:color w:val="auto"/>
          <w:sz w:val="28"/>
          <w:szCs w:val="28"/>
          <w:highlight w:val="none"/>
          <w:lang w:val="en-US"/>
        </w:rPr>
        <w:t xml:space="preserve">十</w:t>
      </w:r>
      <w:r>
        <w:rPr>
          <w:rFonts w:hint="eastAsia" w:ascii="仿宋" w:hAnsi="仿宋" w:eastAsia="仿宋" w:cs="仿宋"/>
          <w:b/>
          <w:color w:val="auto"/>
          <w:sz w:val="28"/>
          <w:szCs w:val="28"/>
          <w:highlight w:val="none"/>
          <w:lang w:val="en-US" w:eastAsia="zh-CN"/>
        </w:rPr>
        <w:t xml:space="preserve">四</w:t>
      </w:r>
      <w:r>
        <w:rPr>
          <w:rFonts w:hint="eastAsia" w:ascii="仿宋" w:hAnsi="仿宋" w:eastAsia="仿宋" w:cs="仿宋"/>
          <w:b/>
          <w:color w:val="auto"/>
          <w:sz w:val="28"/>
          <w:szCs w:val="28"/>
          <w:highlight w:val="none"/>
        </w:rPr>
        <w:t xml:space="preserve">：</w:t>
      </w:r>
      <w:r>
        <w:rPr>
          <w:rFonts w:hint="eastAsia" w:ascii="仿宋" w:hAnsi="仿宋" w:eastAsia="仿宋" w:cs="仿宋"/>
          <w:b/>
          <w:bCs/>
          <w:color w:val="auto"/>
          <w:sz w:val="28"/>
          <w:szCs w:val="28"/>
          <w:highlight w:val="none"/>
          <w:lang w:val="en-US"/>
        </w:rPr>
        <w:t xml:space="preserve">投标人认为应该提供的其他材料</w:t>
      </w:r>
      <w:r/>
    </w:p>
    <w:p>
      <w:pPr>
        <w:rPr>
          <w:color w:val="auto"/>
          <w:highlight w:val="none"/>
          <w:lang w:val="en-US"/>
        </w:rPr>
      </w:pPr>
      <w:r>
        <w:rPr>
          <w:rFonts w:hint="eastAsia"/>
          <w:color w:val="auto"/>
          <w:highlight w:val="none"/>
          <w:lang w:val="en-US"/>
        </w:rPr>
        <w:t xml:space="preserve">（评分或招标文件中要求提供的材料，格式自拟）</w:t>
      </w:r>
      <w:r/>
    </w:p>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Symbol">
    <w:panose1 w:val="05050102010706020507"/>
  </w:font>
  <w:font w:name="Wingdings">
    <w:panose1 w:val="05000000000000000000"/>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Calibri">
    <w:panose1 w:val="020F0502020204030204"/>
  </w:font>
  <w:font w:name="等线 Light">
    <w:panose1 w:val="02010600030101010101"/>
  </w:font>
  <w:font w:name="等线">
    <w:panose1 w:val="02010600030101010101"/>
  </w:font>
  <w:font w:name="仿宋">
    <w:panose1 w:val="02010609060101010101"/>
  </w:font>
  <w:font w:name="Microsoft YaHei UI">
    <w:panose1 w:val="020B0503020204020204"/>
  </w:font>
  <w:font w:name="Arial">
    <w:panose1 w:val="020B0604020202020204"/>
  </w:font>
  <w:font w:name="华文宋体">
    <w:panose1 w:val="0201060004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043" w:hanging="241"/>
      </w:pPr>
      <w:rPr>
        <w:rFonts w:hint="eastAsia" w:ascii="宋体" w:hAnsi="宋体" w:eastAsia="宋体" w:cs="宋体"/>
        <w:sz w:val="28"/>
        <w:szCs w:val="28"/>
        <w:lang w:val="zh-CN" w:eastAsia="zh-CN" w:bidi="zh-CN"/>
      </w:rPr>
    </w:lvl>
    <w:lvl w:ilvl="1">
      <w:start w:val="1"/>
      <w:numFmt w:val="decimal"/>
      <w:isLgl w:val="false"/>
      <w:suff w:val="tab"/>
      <w:lvlText w:val="%1.%2"/>
      <w:lvlJc w:val="left"/>
      <w:pPr>
        <w:ind w:left="2823" w:hanging="541"/>
      </w:pPr>
      <w:rPr>
        <w:rFonts w:hint="eastAsia" w:ascii="宋体" w:hAnsi="宋体" w:eastAsia="宋体"/>
        <w:sz w:val="28"/>
        <w:szCs w:val="28"/>
        <w:lang w:val="zh-CN" w:eastAsia="zh-CN" w:bidi="zh-CN"/>
      </w:rPr>
    </w:lvl>
    <w:lvl w:ilvl="2">
      <w:start w:val="1"/>
      <w:numFmt w:val="decimal"/>
      <w:isLgl w:val="false"/>
      <w:suff w:val="tab"/>
      <w:lvlText w:val="%1.%2.%3"/>
      <w:lvlJc w:val="left"/>
      <w:pPr>
        <w:ind w:left="1802" w:hanging="541"/>
      </w:pPr>
      <w:rPr>
        <w:rFonts w:hint="eastAsia" w:ascii="宋体" w:hAnsi="宋体" w:eastAsia="宋体" w:cs="宋体"/>
        <w:sz w:val="28"/>
        <w:szCs w:val="28"/>
        <w:lang w:val="zh-CN" w:eastAsia="zh-CN" w:bidi="zh-CN"/>
      </w:rPr>
    </w:lvl>
    <w:lvl w:ilvl="3">
      <w:start w:val="0"/>
      <w:numFmt w:val="bullet"/>
      <w:isLgl w:val="false"/>
      <w:suff w:val="tab"/>
      <w:lvlText w:val="•"/>
      <w:lvlJc w:val="left"/>
      <w:pPr>
        <w:ind w:left="2280" w:hanging="541"/>
      </w:pPr>
      <w:rPr>
        <w:lang w:val="zh-CN" w:eastAsia="zh-CN" w:bidi="zh-CN"/>
      </w:rPr>
    </w:lvl>
    <w:lvl w:ilvl="4">
      <w:start w:val="0"/>
      <w:numFmt w:val="bullet"/>
      <w:isLgl w:val="false"/>
      <w:suff w:val="tab"/>
      <w:lvlText w:val="•"/>
      <w:lvlJc w:val="left"/>
      <w:pPr>
        <w:ind w:left="2820" w:hanging="541"/>
      </w:pPr>
      <w:rPr>
        <w:lang w:val="zh-CN" w:eastAsia="zh-CN" w:bidi="zh-CN"/>
      </w:rPr>
    </w:lvl>
    <w:lvl w:ilvl="5">
      <w:start w:val="0"/>
      <w:numFmt w:val="bullet"/>
      <w:isLgl w:val="false"/>
      <w:suff w:val="tab"/>
      <w:lvlText w:val="•"/>
      <w:lvlJc w:val="left"/>
      <w:pPr>
        <w:ind w:left="2860" w:hanging="541"/>
      </w:pPr>
      <w:rPr>
        <w:lang w:val="zh-CN" w:eastAsia="zh-CN" w:bidi="zh-CN"/>
      </w:rPr>
    </w:lvl>
    <w:lvl w:ilvl="6">
      <w:start w:val="0"/>
      <w:numFmt w:val="bullet"/>
      <w:isLgl w:val="false"/>
      <w:suff w:val="tab"/>
      <w:lvlText w:val="•"/>
      <w:lvlJc w:val="left"/>
      <w:pPr>
        <w:ind w:left="2880" w:hanging="541"/>
      </w:pPr>
      <w:rPr>
        <w:lang w:val="zh-CN" w:eastAsia="zh-CN" w:bidi="zh-CN"/>
      </w:rPr>
    </w:lvl>
    <w:lvl w:ilvl="7">
      <w:start w:val="0"/>
      <w:numFmt w:val="bullet"/>
      <w:isLgl w:val="false"/>
      <w:suff w:val="tab"/>
      <w:lvlText w:val="•"/>
      <w:lvlJc w:val="left"/>
      <w:pPr>
        <w:ind w:left="2940" w:hanging="541"/>
      </w:pPr>
      <w:rPr>
        <w:lang w:val="zh-CN" w:eastAsia="zh-CN" w:bidi="zh-CN"/>
      </w:rPr>
    </w:lvl>
    <w:lvl w:ilvl="8">
      <w:start w:val="0"/>
      <w:numFmt w:val="bullet"/>
      <w:isLgl w:val="false"/>
      <w:suff w:val="tab"/>
      <w:lvlText w:val="•"/>
      <w:lvlJc w:val="left"/>
      <w:pPr>
        <w:ind w:left="5930" w:hanging="541"/>
      </w:pPr>
      <w:rPr>
        <w:lang w:val="zh-CN" w:eastAsia="zh-CN" w:bidi="zh-CN"/>
      </w:rPr>
    </w:lvl>
  </w:abstractNum>
  <w:abstractNum w:abstractNumId="2">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71" w:hanging="602"/>
      </w:pPr>
      <w:rPr>
        <w:rFonts w:hint="eastAsia" w:ascii="宋体" w:hAnsi="宋体" w:eastAsia="宋体" w:cs="宋体"/>
        <w:spacing w:val="-4"/>
        <w:sz w:val="28"/>
        <w:szCs w:val="28"/>
        <w:lang w:val="zh-CN" w:eastAsia="zh-CN" w:bidi="zh-CN"/>
      </w:rPr>
    </w:lvl>
    <w:lvl w:ilvl="1">
      <w:start w:val="0"/>
      <w:numFmt w:val="bullet"/>
      <w:isLgl w:val="false"/>
      <w:suff w:val="tab"/>
      <w:lvlText w:val="•"/>
      <w:lvlJc w:val="left"/>
      <w:pPr>
        <w:ind w:left="3770" w:hanging="602"/>
      </w:pPr>
      <w:rPr>
        <w:lang w:val="zh-CN" w:eastAsia="zh-CN" w:bidi="zh-CN"/>
      </w:rPr>
    </w:lvl>
    <w:lvl w:ilvl="2">
      <w:start w:val="0"/>
      <w:numFmt w:val="bullet"/>
      <w:isLgl w:val="false"/>
      <w:suff w:val="tab"/>
      <w:lvlText w:val="•"/>
      <w:lvlJc w:val="left"/>
      <w:pPr>
        <w:ind w:left="4673" w:hanging="602"/>
      </w:pPr>
      <w:rPr>
        <w:lang w:val="zh-CN" w:eastAsia="zh-CN" w:bidi="zh-CN"/>
      </w:rPr>
    </w:lvl>
    <w:lvl w:ilvl="3">
      <w:start w:val="0"/>
      <w:numFmt w:val="bullet"/>
      <w:isLgl w:val="false"/>
      <w:suff w:val="tab"/>
      <w:lvlText w:val="•"/>
      <w:lvlJc w:val="left"/>
      <w:pPr>
        <w:ind w:left="5576" w:hanging="602"/>
      </w:pPr>
      <w:rPr>
        <w:lang w:val="zh-CN" w:eastAsia="zh-CN" w:bidi="zh-CN"/>
      </w:rPr>
    </w:lvl>
    <w:lvl w:ilvl="4">
      <w:start w:val="0"/>
      <w:numFmt w:val="bullet"/>
      <w:isLgl w:val="false"/>
      <w:suff w:val="tab"/>
      <w:lvlText w:val="•"/>
      <w:lvlJc w:val="left"/>
      <w:pPr>
        <w:ind w:left="6479" w:hanging="602"/>
      </w:pPr>
      <w:rPr>
        <w:lang w:val="zh-CN" w:eastAsia="zh-CN" w:bidi="zh-CN"/>
      </w:rPr>
    </w:lvl>
    <w:lvl w:ilvl="5">
      <w:start w:val="0"/>
      <w:numFmt w:val="bullet"/>
      <w:isLgl w:val="false"/>
      <w:suff w:val="tab"/>
      <w:lvlText w:val="•"/>
      <w:lvlJc w:val="left"/>
      <w:pPr>
        <w:ind w:left="7382" w:hanging="602"/>
      </w:pPr>
      <w:rPr>
        <w:lang w:val="zh-CN" w:eastAsia="zh-CN" w:bidi="zh-CN"/>
      </w:rPr>
    </w:lvl>
    <w:lvl w:ilvl="6">
      <w:start w:val="0"/>
      <w:numFmt w:val="bullet"/>
      <w:isLgl w:val="false"/>
      <w:suff w:val="tab"/>
      <w:lvlText w:val="•"/>
      <w:lvlJc w:val="left"/>
      <w:pPr>
        <w:ind w:left="8285" w:hanging="602"/>
      </w:pPr>
      <w:rPr>
        <w:lang w:val="zh-CN" w:eastAsia="zh-CN" w:bidi="zh-CN"/>
      </w:rPr>
    </w:lvl>
    <w:lvl w:ilvl="7">
      <w:start w:val="0"/>
      <w:numFmt w:val="bullet"/>
      <w:isLgl w:val="false"/>
      <w:suff w:val="tab"/>
      <w:lvlText w:val="•"/>
      <w:lvlJc w:val="left"/>
      <w:pPr>
        <w:ind w:left="9188" w:hanging="602"/>
      </w:pPr>
      <w:rPr>
        <w:lang w:val="zh-CN" w:eastAsia="zh-CN" w:bidi="zh-CN"/>
      </w:rPr>
    </w:lvl>
    <w:lvl w:ilvl="8">
      <w:start w:val="0"/>
      <w:numFmt w:val="bullet"/>
      <w:isLgl w:val="false"/>
      <w:suff w:val="tab"/>
      <w:lvlText w:val="•"/>
      <w:lvlJc w:val="left"/>
      <w:pPr>
        <w:ind w:left="10091" w:hanging="602"/>
      </w:pPr>
      <w:rPr>
        <w:lang w:val="zh-CN" w:eastAsia="zh-CN" w:bidi="zh-CN"/>
      </w:rPr>
    </w:lvl>
  </w:abstractNum>
  <w:abstractNum w:abstractNumId="5">
    <w:multiLevelType w:val="hybridMultilevel"/>
    <w:lvl w:ilvl="0">
      <w:start w:val="1"/>
      <w:numFmt w:val="decimal"/>
      <w:isLgl w:val="false"/>
      <w:suff w:val="tab"/>
      <w:lvlText w:val="（%1）"/>
      <w:lvlJc w:val="left"/>
      <w:pPr>
        <w:ind w:left="2809" w:hanging="602"/>
      </w:pPr>
      <w:rPr>
        <w:rFonts w:hint="eastAsia" w:ascii="宋体" w:hAnsi="宋体" w:eastAsia="宋体" w:cs="宋体"/>
        <w:spacing w:val="-2"/>
        <w:sz w:val="28"/>
        <w:szCs w:val="28"/>
        <w:lang w:val="zh-CN" w:eastAsia="zh-CN" w:bidi="zh-CN"/>
      </w:rPr>
    </w:lvl>
    <w:lvl w:ilvl="1">
      <w:start w:val="0"/>
      <w:numFmt w:val="bullet"/>
      <w:isLgl w:val="false"/>
      <w:suff w:val="tab"/>
      <w:lvlText w:val="•"/>
      <w:lvlJc w:val="left"/>
      <w:pPr>
        <w:ind w:left="3711" w:hanging="602"/>
      </w:pPr>
      <w:rPr>
        <w:lang w:val="zh-CN" w:eastAsia="zh-CN" w:bidi="zh-CN"/>
      </w:rPr>
    </w:lvl>
    <w:lvl w:ilvl="2">
      <w:start w:val="0"/>
      <w:numFmt w:val="bullet"/>
      <w:isLgl w:val="false"/>
      <w:suff w:val="tab"/>
      <w:lvlText w:val="•"/>
      <w:lvlJc w:val="left"/>
      <w:pPr>
        <w:ind w:left="4622" w:hanging="602"/>
      </w:pPr>
      <w:rPr>
        <w:lang w:val="zh-CN" w:eastAsia="zh-CN" w:bidi="zh-CN"/>
      </w:rPr>
    </w:lvl>
    <w:lvl w:ilvl="3">
      <w:start w:val="0"/>
      <w:numFmt w:val="bullet"/>
      <w:isLgl w:val="false"/>
      <w:suff w:val="tab"/>
      <w:lvlText w:val="•"/>
      <w:lvlJc w:val="left"/>
      <w:pPr>
        <w:ind w:left="5533" w:hanging="602"/>
      </w:pPr>
      <w:rPr>
        <w:lang w:val="zh-CN" w:eastAsia="zh-CN" w:bidi="zh-CN"/>
      </w:rPr>
    </w:lvl>
    <w:lvl w:ilvl="4">
      <w:start w:val="0"/>
      <w:numFmt w:val="bullet"/>
      <w:isLgl w:val="false"/>
      <w:suff w:val="tab"/>
      <w:lvlText w:val="•"/>
      <w:lvlJc w:val="left"/>
      <w:pPr>
        <w:ind w:left="6444" w:hanging="602"/>
      </w:pPr>
      <w:rPr>
        <w:lang w:val="zh-CN" w:eastAsia="zh-CN" w:bidi="zh-CN"/>
      </w:rPr>
    </w:lvl>
    <w:lvl w:ilvl="5">
      <w:start w:val="0"/>
      <w:numFmt w:val="bullet"/>
      <w:isLgl w:val="false"/>
      <w:suff w:val="tab"/>
      <w:lvlText w:val="•"/>
      <w:lvlJc w:val="left"/>
      <w:pPr>
        <w:ind w:left="7355" w:hanging="602"/>
      </w:pPr>
      <w:rPr>
        <w:lang w:val="zh-CN" w:eastAsia="zh-CN" w:bidi="zh-CN"/>
      </w:rPr>
    </w:lvl>
    <w:lvl w:ilvl="6">
      <w:start w:val="0"/>
      <w:numFmt w:val="bullet"/>
      <w:isLgl w:val="false"/>
      <w:suff w:val="tab"/>
      <w:lvlText w:val="•"/>
      <w:lvlJc w:val="left"/>
      <w:pPr>
        <w:ind w:left="8266" w:hanging="602"/>
      </w:pPr>
      <w:rPr>
        <w:lang w:val="zh-CN" w:eastAsia="zh-CN" w:bidi="zh-CN"/>
      </w:rPr>
    </w:lvl>
    <w:lvl w:ilvl="7">
      <w:start w:val="0"/>
      <w:numFmt w:val="bullet"/>
      <w:isLgl w:val="false"/>
      <w:suff w:val="tab"/>
      <w:lvlText w:val="•"/>
      <w:lvlJc w:val="left"/>
      <w:pPr>
        <w:ind w:left="9177" w:hanging="602"/>
      </w:pPr>
      <w:rPr>
        <w:lang w:val="zh-CN" w:eastAsia="zh-CN" w:bidi="zh-CN"/>
      </w:rPr>
    </w:lvl>
    <w:lvl w:ilvl="8">
      <w:start w:val="0"/>
      <w:numFmt w:val="bullet"/>
      <w:isLgl w:val="false"/>
      <w:suff w:val="tab"/>
      <w:lvlText w:val="•"/>
      <w:lvlJc w:val="left"/>
      <w:pPr>
        <w:ind w:left="10088" w:hanging="602"/>
      </w:pPr>
      <w:rPr>
        <w:lang w:val="zh-CN" w:eastAsia="zh-CN" w:bidi="zh-CN"/>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895" w:hanging="420"/>
      </w:pPr>
    </w:lvl>
    <w:lvl w:ilvl="1">
      <w:start w:val="1"/>
      <w:numFmt w:val="lowerLetter"/>
      <w:isLgl w:val="false"/>
      <w:suff w:val="tab"/>
      <w:lvlText w:val="%2)"/>
      <w:lvlJc w:val="left"/>
      <w:pPr>
        <w:ind w:left="1315" w:hanging="420"/>
      </w:pPr>
    </w:lvl>
    <w:lvl w:ilvl="2">
      <w:start w:val="1"/>
      <w:numFmt w:val="lowerRoman"/>
      <w:isLgl w:val="false"/>
      <w:suff w:val="tab"/>
      <w:lvlText w:val="%3."/>
      <w:lvlJc w:val="right"/>
      <w:pPr>
        <w:ind w:left="1735" w:hanging="420"/>
      </w:pPr>
    </w:lvl>
    <w:lvl w:ilvl="3">
      <w:start w:val="1"/>
      <w:numFmt w:val="decimal"/>
      <w:isLgl w:val="false"/>
      <w:suff w:val="tab"/>
      <w:lvlText w:val="%4."/>
      <w:lvlJc w:val="left"/>
      <w:pPr>
        <w:ind w:left="2155" w:hanging="420"/>
      </w:pPr>
    </w:lvl>
    <w:lvl w:ilvl="4">
      <w:start w:val="1"/>
      <w:numFmt w:val="lowerLetter"/>
      <w:isLgl w:val="false"/>
      <w:suff w:val="tab"/>
      <w:lvlText w:val="%5)"/>
      <w:lvlJc w:val="left"/>
      <w:pPr>
        <w:ind w:left="2575" w:hanging="420"/>
      </w:pPr>
    </w:lvl>
    <w:lvl w:ilvl="5">
      <w:start w:val="1"/>
      <w:numFmt w:val="lowerRoman"/>
      <w:isLgl w:val="false"/>
      <w:suff w:val="tab"/>
      <w:lvlText w:val="%6."/>
      <w:lvlJc w:val="right"/>
      <w:pPr>
        <w:ind w:left="2995" w:hanging="420"/>
      </w:pPr>
    </w:lvl>
    <w:lvl w:ilvl="6">
      <w:start w:val="1"/>
      <w:numFmt w:val="decimal"/>
      <w:isLgl w:val="false"/>
      <w:suff w:val="tab"/>
      <w:lvlText w:val="%7."/>
      <w:lvlJc w:val="left"/>
      <w:pPr>
        <w:ind w:left="3415" w:hanging="420"/>
      </w:pPr>
    </w:lvl>
    <w:lvl w:ilvl="7">
      <w:start w:val="1"/>
      <w:numFmt w:val="lowerLetter"/>
      <w:isLgl w:val="false"/>
      <w:suff w:val="tab"/>
      <w:lvlText w:val="%8)"/>
      <w:lvlJc w:val="left"/>
      <w:pPr>
        <w:ind w:left="3835" w:hanging="420"/>
      </w:pPr>
    </w:lvl>
    <w:lvl w:ilvl="8">
      <w:start w:val="1"/>
      <w:numFmt w:val="lowerRoman"/>
      <w:isLgl w:val="false"/>
      <w:suff w:val="tab"/>
      <w:lvlText w:val="%9."/>
      <w:lvlJc w:val="right"/>
      <w:pPr>
        <w:ind w:left="4255"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475" w:hanging="420"/>
      </w:pPr>
    </w:lvl>
    <w:lvl w:ilvl="1">
      <w:start w:val="1"/>
      <w:numFmt w:val="japaneseCounting"/>
      <w:isLgl w:val="false"/>
      <w:suff w:val="tab"/>
      <w:lvlText w:val="（%2）"/>
      <w:lvlJc w:val="left"/>
      <w:pPr>
        <w:ind w:left="1360" w:hanging="885"/>
      </w:pPr>
    </w:lvl>
    <w:lvl w:ilvl="2">
      <w:start w:val="1"/>
      <w:numFmt w:val="lowerRoman"/>
      <w:isLgl w:val="false"/>
      <w:suff w:val="tab"/>
      <w:lvlText w:val="%3."/>
      <w:lvlJc w:val="right"/>
      <w:pPr>
        <w:ind w:left="1315" w:hanging="420"/>
      </w:pPr>
    </w:lvl>
    <w:lvl w:ilvl="3">
      <w:start w:val="1"/>
      <w:numFmt w:val="decimal"/>
      <w:isLgl w:val="false"/>
      <w:suff w:val="tab"/>
      <w:lvlText w:val="%4."/>
      <w:lvlJc w:val="left"/>
      <w:pPr>
        <w:ind w:left="1735" w:hanging="420"/>
      </w:pPr>
    </w:lvl>
    <w:lvl w:ilvl="4">
      <w:start w:val="1"/>
      <w:numFmt w:val="lowerLetter"/>
      <w:isLgl w:val="false"/>
      <w:suff w:val="tab"/>
      <w:lvlText w:val="%5)"/>
      <w:lvlJc w:val="left"/>
      <w:pPr>
        <w:ind w:left="2155" w:hanging="420"/>
      </w:pPr>
    </w:lvl>
    <w:lvl w:ilvl="5">
      <w:start w:val="1"/>
      <w:numFmt w:val="lowerRoman"/>
      <w:isLgl w:val="false"/>
      <w:suff w:val="tab"/>
      <w:lvlText w:val="%6."/>
      <w:lvlJc w:val="right"/>
      <w:pPr>
        <w:ind w:left="2575" w:hanging="420"/>
      </w:pPr>
    </w:lvl>
    <w:lvl w:ilvl="6">
      <w:start w:val="1"/>
      <w:numFmt w:val="decimal"/>
      <w:isLgl w:val="false"/>
      <w:suff w:val="tab"/>
      <w:lvlText w:val="%7."/>
      <w:lvlJc w:val="left"/>
      <w:pPr>
        <w:ind w:left="2995" w:hanging="420"/>
      </w:pPr>
    </w:lvl>
    <w:lvl w:ilvl="7">
      <w:start w:val="1"/>
      <w:numFmt w:val="lowerLetter"/>
      <w:isLgl w:val="false"/>
      <w:suff w:val="tab"/>
      <w:lvlText w:val="%8)"/>
      <w:lvlJc w:val="left"/>
      <w:pPr>
        <w:ind w:left="3415" w:hanging="420"/>
      </w:pPr>
    </w:lvl>
    <w:lvl w:ilvl="8">
      <w:start w:val="1"/>
      <w:numFmt w:val="lowerRoman"/>
      <w:isLgl w:val="false"/>
      <w:suff w:val="tab"/>
      <w:lvlText w:val="%9."/>
      <w:lvlJc w:val="right"/>
      <w:pPr>
        <w:ind w:left="3835" w:hanging="420"/>
      </w:p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845" w:hanging="420"/>
      </w:pPr>
      <w:rPr>
        <w:rFonts w:ascii="Times New Roman" w:hAnsi="Times New Roman" w:eastAsia="宋体" w:cs="Times New Roman"/>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3">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269" w:hanging="420"/>
      </w:pPr>
    </w:lvl>
    <w:lvl w:ilvl="1">
      <w:start w:val="1"/>
      <w:numFmt w:val="lowerLetter"/>
      <w:isLgl w:val="false"/>
      <w:suff w:val="tab"/>
      <w:lvlText w:val="%2)"/>
      <w:lvlJc w:val="left"/>
      <w:pPr>
        <w:ind w:left="1689" w:hanging="420"/>
      </w:pPr>
    </w:lvl>
    <w:lvl w:ilvl="2">
      <w:start w:val="1"/>
      <w:numFmt w:val="lowerRoman"/>
      <w:isLgl w:val="false"/>
      <w:suff w:val="tab"/>
      <w:lvlText w:val="%3."/>
      <w:lvlJc w:val="right"/>
      <w:pPr>
        <w:ind w:left="2109" w:hanging="420"/>
      </w:pPr>
    </w:lvl>
    <w:lvl w:ilvl="3">
      <w:start w:val="1"/>
      <w:numFmt w:val="decimal"/>
      <w:isLgl w:val="false"/>
      <w:suff w:val="tab"/>
      <w:lvlText w:val="%4."/>
      <w:lvlJc w:val="left"/>
      <w:pPr>
        <w:ind w:left="2529" w:hanging="420"/>
      </w:pPr>
    </w:lvl>
    <w:lvl w:ilvl="4">
      <w:start w:val="1"/>
      <w:numFmt w:val="lowerLetter"/>
      <w:isLgl w:val="false"/>
      <w:suff w:val="tab"/>
      <w:lvlText w:val="%5)"/>
      <w:lvlJc w:val="left"/>
      <w:pPr>
        <w:ind w:left="2949" w:hanging="420"/>
      </w:pPr>
    </w:lvl>
    <w:lvl w:ilvl="5">
      <w:start w:val="1"/>
      <w:numFmt w:val="lowerRoman"/>
      <w:isLgl w:val="false"/>
      <w:suff w:val="tab"/>
      <w:lvlText w:val="%6."/>
      <w:lvlJc w:val="right"/>
      <w:pPr>
        <w:ind w:left="3369" w:hanging="420"/>
      </w:pPr>
    </w:lvl>
    <w:lvl w:ilvl="6">
      <w:start w:val="1"/>
      <w:numFmt w:val="decimal"/>
      <w:isLgl w:val="false"/>
      <w:suff w:val="tab"/>
      <w:lvlText w:val="%7."/>
      <w:lvlJc w:val="left"/>
      <w:pPr>
        <w:ind w:left="3789" w:hanging="420"/>
      </w:pPr>
    </w:lvl>
    <w:lvl w:ilvl="7">
      <w:start w:val="1"/>
      <w:numFmt w:val="lowerLetter"/>
      <w:isLgl w:val="false"/>
      <w:suff w:val="tab"/>
      <w:lvlText w:val="%8)"/>
      <w:lvlJc w:val="left"/>
      <w:pPr>
        <w:ind w:left="4209" w:hanging="420"/>
      </w:pPr>
    </w:lvl>
    <w:lvl w:ilvl="8">
      <w:start w:val="1"/>
      <w:numFmt w:val="lowerRoman"/>
      <w:isLgl w:val="false"/>
      <w:suff w:val="tab"/>
      <w:lvlText w:val="%9."/>
      <w:lvlJc w:val="right"/>
      <w:pPr>
        <w:ind w:left="4629" w:hanging="420"/>
      </w:pPr>
    </w:lvl>
  </w:abstractNum>
  <w:abstractNum w:abstractNumId="15">
    <w:multiLevelType w:val="hybridMultilevel"/>
    <w:lvl w:ilvl="0">
      <w:start w:val="1"/>
      <w:numFmt w:val="decimal"/>
      <w:isLgl w:val="false"/>
      <w:suff w:val="tab"/>
      <w:lvlText w:val="（%1）"/>
      <w:lvlJc w:val="left"/>
      <w:pPr>
        <w:ind w:left="2809" w:hanging="602"/>
      </w:pPr>
      <w:rPr>
        <w:rFonts w:hint="eastAsia" w:ascii="宋体" w:hAnsi="宋体" w:eastAsia="宋体" w:cs="宋体"/>
        <w:spacing w:val="-2"/>
        <w:sz w:val="28"/>
        <w:szCs w:val="28"/>
        <w:lang w:val="zh-CN" w:eastAsia="zh-CN" w:bidi="zh-CN"/>
      </w:rPr>
    </w:lvl>
    <w:lvl w:ilvl="1">
      <w:start w:val="0"/>
      <w:numFmt w:val="bullet"/>
      <w:isLgl w:val="false"/>
      <w:suff w:val="tab"/>
      <w:lvlText w:val="•"/>
      <w:lvlJc w:val="left"/>
      <w:pPr>
        <w:ind w:left="3711" w:hanging="602"/>
      </w:pPr>
      <w:rPr>
        <w:lang w:val="zh-CN" w:eastAsia="zh-CN" w:bidi="zh-CN"/>
      </w:rPr>
    </w:lvl>
    <w:lvl w:ilvl="2">
      <w:start w:val="0"/>
      <w:numFmt w:val="bullet"/>
      <w:isLgl w:val="false"/>
      <w:suff w:val="tab"/>
      <w:lvlText w:val="•"/>
      <w:lvlJc w:val="left"/>
      <w:pPr>
        <w:ind w:left="4622" w:hanging="602"/>
      </w:pPr>
      <w:rPr>
        <w:lang w:val="zh-CN" w:eastAsia="zh-CN" w:bidi="zh-CN"/>
      </w:rPr>
    </w:lvl>
    <w:lvl w:ilvl="3">
      <w:start w:val="0"/>
      <w:numFmt w:val="bullet"/>
      <w:isLgl w:val="false"/>
      <w:suff w:val="tab"/>
      <w:lvlText w:val="•"/>
      <w:lvlJc w:val="left"/>
      <w:pPr>
        <w:ind w:left="5533" w:hanging="602"/>
      </w:pPr>
      <w:rPr>
        <w:lang w:val="zh-CN" w:eastAsia="zh-CN" w:bidi="zh-CN"/>
      </w:rPr>
    </w:lvl>
    <w:lvl w:ilvl="4">
      <w:start w:val="0"/>
      <w:numFmt w:val="bullet"/>
      <w:isLgl w:val="false"/>
      <w:suff w:val="tab"/>
      <w:lvlText w:val="•"/>
      <w:lvlJc w:val="left"/>
      <w:pPr>
        <w:ind w:left="6444" w:hanging="602"/>
      </w:pPr>
      <w:rPr>
        <w:lang w:val="zh-CN" w:eastAsia="zh-CN" w:bidi="zh-CN"/>
      </w:rPr>
    </w:lvl>
    <w:lvl w:ilvl="5">
      <w:start w:val="0"/>
      <w:numFmt w:val="bullet"/>
      <w:isLgl w:val="false"/>
      <w:suff w:val="tab"/>
      <w:lvlText w:val="•"/>
      <w:lvlJc w:val="left"/>
      <w:pPr>
        <w:ind w:left="7355" w:hanging="602"/>
      </w:pPr>
      <w:rPr>
        <w:lang w:val="zh-CN" w:eastAsia="zh-CN" w:bidi="zh-CN"/>
      </w:rPr>
    </w:lvl>
    <w:lvl w:ilvl="6">
      <w:start w:val="0"/>
      <w:numFmt w:val="bullet"/>
      <w:isLgl w:val="false"/>
      <w:suff w:val="tab"/>
      <w:lvlText w:val="•"/>
      <w:lvlJc w:val="left"/>
      <w:pPr>
        <w:ind w:left="8266" w:hanging="602"/>
      </w:pPr>
      <w:rPr>
        <w:lang w:val="zh-CN" w:eastAsia="zh-CN" w:bidi="zh-CN"/>
      </w:rPr>
    </w:lvl>
    <w:lvl w:ilvl="7">
      <w:start w:val="0"/>
      <w:numFmt w:val="bullet"/>
      <w:isLgl w:val="false"/>
      <w:suff w:val="tab"/>
      <w:lvlText w:val="•"/>
      <w:lvlJc w:val="left"/>
      <w:pPr>
        <w:ind w:left="9177" w:hanging="602"/>
      </w:pPr>
      <w:rPr>
        <w:lang w:val="zh-CN" w:eastAsia="zh-CN" w:bidi="zh-CN"/>
      </w:rPr>
    </w:lvl>
    <w:lvl w:ilvl="8">
      <w:start w:val="0"/>
      <w:numFmt w:val="bullet"/>
      <w:isLgl w:val="false"/>
      <w:suff w:val="tab"/>
      <w:lvlText w:val="•"/>
      <w:lvlJc w:val="left"/>
      <w:pPr>
        <w:ind w:left="10088" w:hanging="602"/>
      </w:pPr>
      <w:rPr>
        <w:lang w:val="zh-CN" w:eastAsia="zh-CN" w:bidi="zh-CN"/>
      </w:rPr>
    </w:lvl>
  </w:abstractNum>
  <w:abstractNum w:abstractNumId="16">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num>
  <w:num w:numId="2">
    <w:abstractNumId w:val="13"/>
    <w:lvlOverride w:ilvl="0">
      <w:startOverride w:val="2"/>
    </w:lvlOverride>
  </w:num>
  <w:num w:numId="3">
    <w:abstractNumId w:val="2"/>
    <w:lvlOverride w:ilvl="0">
      <w:startOverride w:val="6"/>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num>
  <w:num w:numId="11">
    <w:abstractNumId w:val="15"/>
    <w:lvlOverride w:ilvl="0">
      <w:startOverride w:val="1"/>
    </w:lvlOverride>
  </w:num>
  <w:num w:numId="12">
    <w:abstractNumId w:val="10"/>
    <w:lvlOverride w:ilvl="0">
      <w:startOverride w:val="1"/>
    </w:lvlOverride>
  </w:num>
  <w:num w:numId="13">
    <w:abstractNumId w:val="5"/>
    <w:lvlOverride w:ilvl="0">
      <w:startOverride w:val="1"/>
    </w:lvlOverride>
  </w:num>
  <w:num w:numId="14">
    <w:abstractNumId w:val="4"/>
    <w:lvlOverride w:ilvl="0">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12"/>
    <w:uiPriority w:val="9"/>
    <w:rPr>
      <w:rFonts w:ascii="Arial" w:hAnsi="Arial" w:eastAsia="Arial" w:cs="Arial"/>
      <w:sz w:val="40"/>
      <w:szCs w:val="40"/>
    </w:rPr>
  </w:style>
  <w:style w:type="character" w:styleId="15">
    <w:name w:val="Heading 2 Char"/>
    <w:basedOn w:val="717"/>
    <w:link w:val="713"/>
    <w:uiPriority w:val="9"/>
    <w:rPr>
      <w:rFonts w:ascii="Arial" w:hAnsi="Arial" w:eastAsia="Arial" w:cs="Arial"/>
      <w:sz w:val="34"/>
    </w:rPr>
  </w:style>
  <w:style w:type="character" w:styleId="17">
    <w:name w:val="Heading 3 Char"/>
    <w:basedOn w:val="717"/>
    <w:link w:val="714"/>
    <w:uiPriority w:val="9"/>
    <w:rPr>
      <w:rFonts w:ascii="Arial" w:hAnsi="Arial" w:eastAsia="Arial" w:cs="Arial"/>
      <w:sz w:val="30"/>
      <w:szCs w:val="30"/>
    </w:rPr>
  </w:style>
  <w:style w:type="character" w:styleId="19">
    <w:name w:val="Heading 4 Char"/>
    <w:basedOn w:val="717"/>
    <w:link w:val="715"/>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7"/>
    <w:link w:val="20"/>
    <w:uiPriority w:val="9"/>
    <w:rPr>
      <w:rFonts w:ascii="Arial" w:hAnsi="Arial" w:eastAsia="Arial" w:cs="Arial"/>
      <w:b/>
      <w:bCs/>
      <w:sz w:val="24"/>
      <w:szCs w:val="24"/>
    </w:rPr>
  </w:style>
  <w:style w:type="character" w:styleId="23">
    <w:name w:val="Heading 6 Char"/>
    <w:basedOn w:val="717"/>
    <w:link w:val="716"/>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7"/>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7"/>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717"/>
    <w:link w:val="33"/>
    <w:uiPriority w:val="10"/>
    <w:rPr>
      <w:sz w:val="48"/>
      <w:szCs w:val="48"/>
    </w:rPr>
  </w:style>
  <w:style w:type="paragraph" w:styleId="35">
    <w:name w:val="Subtitle"/>
    <w:basedOn w:val="711"/>
    <w:next w:val="711"/>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7"/>
    <w:link w:val="735"/>
    <w:uiPriority w:val="99"/>
  </w:style>
  <w:style w:type="character" w:styleId="44">
    <w:name w:val="Footer Char"/>
    <w:basedOn w:val="717"/>
    <w:link w:val="734"/>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character" w:styleId="46">
    <w:name w:val="Caption Char"/>
    <w:basedOn w:val="45"/>
    <w:link w:val="734"/>
    <w:uiPriority w:val="99"/>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7"/>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1">
    <w:name w:val="toc 2"/>
    <w:basedOn w:val="711"/>
    <w:next w:val="711"/>
    <w:uiPriority w:val="39"/>
    <w:unhideWhenUsed/>
    <w:pPr>
      <w:ind w:left="283" w:right="0" w:firstLine="0"/>
      <w:spacing w:after="57"/>
    </w:pPr>
  </w:style>
  <w:style w:type="paragraph" w:styleId="182">
    <w:name w:val="toc 3"/>
    <w:basedOn w:val="711"/>
    <w:next w:val="711"/>
    <w:uiPriority w:val="39"/>
    <w:unhideWhenUsed/>
    <w:pPr>
      <w:ind w:left="567" w:right="0" w:firstLine="0"/>
      <w:spacing w:after="57"/>
    </w:pPr>
  </w:style>
  <w:style w:type="paragraph" w:styleId="183">
    <w:name w:val="toc 4"/>
    <w:basedOn w:val="711"/>
    <w:next w:val="711"/>
    <w:uiPriority w:val="39"/>
    <w:unhideWhenUsed/>
    <w:pPr>
      <w:ind w:left="850" w:right="0" w:firstLine="0"/>
      <w:spacing w:after="57"/>
    </w:pPr>
  </w:style>
  <w:style w:type="paragraph" w:styleId="184">
    <w:name w:val="toc 5"/>
    <w:basedOn w:val="711"/>
    <w:next w:val="711"/>
    <w:uiPriority w:val="39"/>
    <w:unhideWhenUsed/>
    <w:pPr>
      <w:ind w:left="1134" w:right="0" w:firstLine="0"/>
      <w:spacing w:after="57"/>
    </w:pPr>
  </w:style>
  <w:style w:type="paragraph" w:styleId="185">
    <w:name w:val="toc 6"/>
    <w:basedOn w:val="711"/>
    <w:next w:val="711"/>
    <w:uiPriority w:val="39"/>
    <w:unhideWhenUsed/>
    <w:pPr>
      <w:ind w:left="1417" w:right="0" w:firstLine="0"/>
      <w:spacing w:after="57"/>
    </w:pPr>
  </w:style>
  <w:style w:type="paragraph" w:styleId="186">
    <w:name w:val="toc 7"/>
    <w:basedOn w:val="711"/>
    <w:next w:val="711"/>
    <w:uiPriority w:val="39"/>
    <w:unhideWhenUsed/>
    <w:pPr>
      <w:ind w:left="1701" w:right="0" w:firstLine="0"/>
      <w:spacing w:after="57"/>
    </w:pPr>
  </w:style>
  <w:style w:type="paragraph" w:styleId="187">
    <w:name w:val="toc 8"/>
    <w:basedOn w:val="711"/>
    <w:next w:val="711"/>
    <w:uiPriority w:val="39"/>
    <w:unhideWhenUsed/>
    <w:pPr>
      <w:ind w:left="1984" w:right="0" w:firstLine="0"/>
      <w:spacing w:after="57"/>
    </w:pPr>
  </w:style>
  <w:style w:type="paragraph" w:styleId="188">
    <w:name w:val="toc 9"/>
    <w:basedOn w:val="711"/>
    <w:next w:val="7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uiPriority w:val="0"/>
    <w:qFormat/>
    <w:pPr>
      <w:widowControl w:val="off"/>
    </w:pPr>
    <w:rPr>
      <w:rFonts w:ascii="宋体" w:hAnsi="宋体" w:eastAsia="宋体" w:cs="宋体"/>
      <w:sz w:val="22"/>
      <w:szCs w:val="22"/>
      <w:lang w:val="zh-CN" w:eastAsia="zh-CN" w:bidi="zh-CN"/>
    </w:rPr>
  </w:style>
  <w:style w:type="paragraph" w:styleId="712">
    <w:name w:val="Heading 1"/>
    <w:basedOn w:val="711"/>
    <w:next w:val="711"/>
    <w:link w:val="758"/>
    <w:uiPriority w:val="0"/>
    <w:qFormat/>
    <w:pPr>
      <w:keepLines/>
      <w:keepNext/>
      <w:spacing w:before="340" w:after="330" w:line="576" w:lineRule="auto"/>
      <w:outlineLvl w:val="0"/>
    </w:pPr>
    <w:rPr>
      <w:rFonts w:ascii="Times New Roman" w:hAnsi="Times New Roman" w:cs="Times New Roman"/>
      <w:b/>
      <w:bCs/>
      <w:sz w:val="44"/>
      <w:szCs w:val="44"/>
    </w:rPr>
  </w:style>
  <w:style w:type="paragraph" w:styleId="713">
    <w:name w:val="Heading 2"/>
    <w:basedOn w:val="711"/>
    <w:next w:val="711"/>
    <w:link w:val="759"/>
    <w:uiPriority w:val="0"/>
    <w:qFormat/>
    <w:pPr>
      <w:keepLines/>
      <w:keepNext/>
      <w:spacing w:before="260" w:after="260" w:line="415" w:lineRule="auto"/>
      <w:outlineLvl w:val="1"/>
    </w:pPr>
    <w:rPr>
      <w:rFonts w:ascii="等线 Light" w:hAnsi="等线 Light" w:eastAsia="等线 Light" w:cs="Times New Roman"/>
      <w:b/>
      <w:bCs/>
      <w:sz w:val="32"/>
      <w:szCs w:val="32"/>
    </w:rPr>
  </w:style>
  <w:style w:type="paragraph" w:styleId="714">
    <w:name w:val="Heading 3"/>
    <w:basedOn w:val="711"/>
    <w:next w:val="711"/>
    <w:link w:val="760"/>
    <w:uiPriority w:val="0"/>
    <w:qFormat/>
    <w:pPr>
      <w:keepLines/>
      <w:keepNext/>
      <w:spacing w:before="260" w:after="260" w:line="412" w:lineRule="auto"/>
      <w:outlineLvl w:val="2"/>
    </w:pPr>
    <w:rPr>
      <w:rFonts w:ascii="Times New Roman" w:hAnsi="Times New Roman" w:cs="Times New Roman"/>
      <w:b/>
      <w:sz w:val="32"/>
    </w:rPr>
  </w:style>
  <w:style w:type="paragraph" w:styleId="715">
    <w:name w:val="Heading 4"/>
    <w:basedOn w:val="711"/>
    <w:next w:val="711"/>
    <w:link w:val="761"/>
    <w:uiPriority w:val="0"/>
    <w:qFormat/>
    <w:pPr>
      <w:keepLines/>
      <w:keepNext/>
      <w:spacing w:before="280" w:after="290" w:line="374" w:lineRule="auto"/>
      <w:outlineLvl w:val="3"/>
    </w:pPr>
    <w:rPr>
      <w:rFonts w:ascii="等线 Light" w:hAnsi="等线 Light" w:eastAsia="等线 Light" w:cs="华文宋体"/>
      <w:b/>
      <w:bCs/>
      <w:sz w:val="28"/>
      <w:szCs w:val="28"/>
    </w:rPr>
  </w:style>
  <w:style w:type="paragraph" w:styleId="716">
    <w:name w:val="Heading 6"/>
    <w:basedOn w:val="711"/>
    <w:next w:val="711"/>
    <w:link w:val="762"/>
    <w:uiPriority w:val="0"/>
    <w:qFormat/>
    <w:pPr>
      <w:ind w:firstLine="560"/>
      <w:jc w:val="both"/>
      <w:keepNext/>
      <w:spacing w:line="500" w:lineRule="atLeast"/>
      <w:outlineLvl w:val="5"/>
    </w:pPr>
    <w:rPr>
      <w:rFonts w:ascii="Arial" w:hAnsi="Arial" w:cs="Times New Roman"/>
      <w:sz w:val="28"/>
      <w:szCs w:val="28"/>
      <w:lang w:bidi="ar-SA"/>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List 3"/>
    <w:basedOn w:val="711"/>
    <w:uiPriority w:val="0"/>
    <w:qFormat/>
    <w:pPr>
      <w:ind w:left="1260" w:hanging="420"/>
      <w:jc w:val="both"/>
    </w:pPr>
    <w:rPr>
      <w:rFonts w:ascii="Times New Roman" w:hAnsi="Times New Roman" w:cs="Times New Roman"/>
      <w:sz w:val="21"/>
      <w:szCs w:val="20"/>
      <w:lang w:val="en-US" w:bidi="ar-SA"/>
    </w:rPr>
  </w:style>
  <w:style w:type="paragraph" w:styleId="720">
    <w:name w:val="Normal Indent"/>
    <w:basedOn w:val="711"/>
    <w:link w:val="763"/>
    <w:uiPriority w:val="0"/>
    <w:qFormat/>
    <w:pPr>
      <w:ind w:firstLine="420"/>
      <w:spacing w:line="460" w:lineRule="exact"/>
    </w:pPr>
    <w:rPr>
      <w:rFonts w:ascii="Times New Roman" w:hAnsi="Times New Roman" w:cs="Times New Roman"/>
      <w:spacing w:val="14"/>
      <w:sz w:val="24"/>
    </w:rPr>
  </w:style>
  <w:style w:type="paragraph" w:styleId="721">
    <w:name w:val="Document Map"/>
    <w:basedOn w:val="711"/>
    <w:link w:val="764"/>
    <w:uiPriority w:val="0"/>
    <w:qFormat/>
    <w:pPr>
      <w:jc w:val="both"/>
    </w:pPr>
    <w:rPr>
      <w:rFonts w:ascii="Times New Roman" w:hAnsi="Calibri" w:cs="Times New Roman"/>
      <w:sz w:val="18"/>
      <w:szCs w:val="18"/>
      <w:lang w:bidi="ar-SA"/>
    </w:rPr>
  </w:style>
  <w:style w:type="paragraph" w:styleId="722">
    <w:name w:val="annotation text"/>
    <w:basedOn w:val="711"/>
    <w:link w:val="765"/>
    <w:uiPriority w:val="0"/>
    <w:qFormat/>
    <w:rPr>
      <w:rFonts w:ascii="Times New Roman" w:hAnsi="Times New Roman" w:cs="Times New Roman"/>
      <w:sz w:val="21"/>
      <w:szCs w:val="21"/>
    </w:rPr>
  </w:style>
  <w:style w:type="paragraph" w:styleId="723">
    <w:name w:val="Salutation"/>
    <w:basedOn w:val="711"/>
    <w:next w:val="711"/>
    <w:link w:val="766"/>
    <w:uiPriority w:val="0"/>
    <w:qFormat/>
    <w:pPr>
      <w:jc w:val="both"/>
    </w:pPr>
    <w:rPr>
      <w:rFonts w:ascii="Times New Roman" w:hAnsi="Times New Roman" w:cs="Times New Roman"/>
      <w:sz w:val="30"/>
      <w:szCs w:val="20"/>
      <w:lang w:bidi="ar-SA"/>
    </w:rPr>
  </w:style>
  <w:style w:type="paragraph" w:styleId="724">
    <w:name w:val="Body Text"/>
    <w:basedOn w:val="711"/>
    <w:next w:val="725"/>
    <w:link w:val="756"/>
    <w:uiPriority w:val="0"/>
    <w:qFormat/>
    <w:pPr>
      <w:spacing w:after="120"/>
    </w:pPr>
    <w:rPr>
      <w:rFonts w:ascii="Times New Roman" w:hAnsi="Times New Roman" w:cs="Times New Roman"/>
    </w:rPr>
  </w:style>
  <w:style w:type="paragraph" w:styleId="725">
    <w:name w:val="Body Text 2"/>
    <w:basedOn w:val="711"/>
    <w:link w:val="757"/>
    <w:uiPriority w:val="0"/>
    <w:qFormat/>
    <w:pPr>
      <w:jc w:val="center"/>
    </w:pPr>
    <w:rPr>
      <w:rFonts w:ascii="Times New Roman" w:hAnsi="Times New Roman" w:eastAsia="楷体_GB2312" w:cs="Times New Roman"/>
      <w:sz w:val="21"/>
      <w:szCs w:val="24"/>
      <w:lang w:bidi="ar-SA"/>
    </w:rPr>
  </w:style>
  <w:style w:type="paragraph" w:styleId="726">
    <w:name w:val="Body Text Indent"/>
    <w:basedOn w:val="711"/>
    <w:link w:val="767"/>
    <w:uiPriority w:val="0"/>
    <w:qFormat/>
    <w:pPr>
      <w:ind w:left="420"/>
      <w:spacing w:after="120"/>
    </w:pPr>
    <w:rPr>
      <w:rFonts w:ascii="Times New Roman" w:hAnsi="Times New Roman" w:cs="Times New Roman"/>
    </w:rPr>
  </w:style>
  <w:style w:type="paragraph" w:styleId="727">
    <w:name w:val="List 2"/>
    <w:basedOn w:val="711"/>
    <w:uiPriority w:val="0"/>
    <w:qFormat/>
    <w:pPr>
      <w:ind w:left="840" w:hanging="420"/>
      <w:jc w:val="both"/>
    </w:pPr>
    <w:rPr>
      <w:rFonts w:ascii="Times New Roman" w:hAnsi="Times New Roman" w:cs="Times New Roman"/>
      <w:sz w:val="21"/>
      <w:szCs w:val="20"/>
      <w:lang w:val="en-US" w:bidi="ar-SA"/>
    </w:rPr>
  </w:style>
  <w:style w:type="paragraph" w:styleId="728">
    <w:name w:val="Block Text"/>
    <w:basedOn w:val="711"/>
    <w:uiPriority w:val="0"/>
    <w:qFormat/>
    <w:pPr>
      <w:ind w:left="1440" w:right="1440"/>
      <w:spacing w:after="120"/>
    </w:pPr>
    <w:rPr>
      <w:rFonts w:ascii="Times New Roman" w:hAnsi="Times New Roman" w:cs="Times New Roman"/>
    </w:rPr>
  </w:style>
  <w:style w:type="paragraph" w:styleId="729">
    <w:name w:val="index 4"/>
    <w:basedOn w:val="711"/>
    <w:next w:val="711"/>
    <w:uiPriority w:val="0"/>
    <w:semiHidden/>
    <w:qFormat/>
    <w:pPr>
      <w:ind w:left="1260"/>
    </w:pPr>
  </w:style>
  <w:style w:type="paragraph" w:styleId="730">
    <w:name w:val="Plain Text"/>
    <w:basedOn w:val="711"/>
    <w:link w:val="768"/>
    <w:uiPriority w:val="0"/>
    <w:qFormat/>
    <w:rPr>
      <w:rFonts w:ascii="Times New Roman" w:hAnsi="Courier New" w:cs="Times New Roman"/>
      <w:szCs w:val="20"/>
    </w:rPr>
  </w:style>
  <w:style w:type="paragraph" w:styleId="731">
    <w:name w:val="Date"/>
    <w:basedOn w:val="711"/>
    <w:next w:val="711"/>
    <w:link w:val="769"/>
    <w:uiPriority w:val="0"/>
    <w:qFormat/>
    <w:pPr>
      <w:ind w:left="100"/>
    </w:pPr>
    <w:rPr>
      <w:rFonts w:ascii="Times New Roman" w:hAnsi="Times New Roman" w:cs="Times New Roman"/>
    </w:rPr>
  </w:style>
  <w:style w:type="paragraph" w:styleId="732">
    <w:name w:val="Body Text Indent 2"/>
    <w:basedOn w:val="711"/>
    <w:link w:val="770"/>
    <w:uiPriority w:val="0"/>
    <w:qFormat/>
    <w:pPr>
      <w:ind w:firstLine="525"/>
      <w:jc w:val="both"/>
      <w:spacing w:line="420" w:lineRule="exact"/>
    </w:pPr>
    <w:rPr>
      <w:rFonts w:ascii="Times New Roman" w:hAnsi="Times New Roman" w:cs="Times New Roman"/>
      <w:sz w:val="21"/>
      <w:szCs w:val="20"/>
      <w:lang w:bidi="ar-SA"/>
    </w:rPr>
  </w:style>
  <w:style w:type="paragraph" w:styleId="733">
    <w:name w:val="Balloon Text"/>
    <w:basedOn w:val="711"/>
    <w:link w:val="771"/>
    <w:uiPriority w:val="0"/>
    <w:qFormat/>
    <w:rPr>
      <w:rFonts w:ascii="Times New Roman" w:hAnsi="Times New Roman" w:cs="Times New Roman"/>
      <w:sz w:val="18"/>
      <w:szCs w:val="18"/>
    </w:rPr>
  </w:style>
  <w:style w:type="paragraph" w:styleId="734">
    <w:name w:val="Footer"/>
    <w:basedOn w:val="711"/>
    <w:link w:val="772"/>
    <w:uiPriority w:val="0"/>
    <w:qFormat/>
    <w:pPr>
      <w:tabs>
        <w:tab w:val="center" w:pos="4153" w:leader="none"/>
        <w:tab w:val="right" w:pos="8306" w:leader="none"/>
      </w:tabs>
    </w:pPr>
    <w:rPr>
      <w:rFonts w:ascii="Times New Roman" w:hAnsi="Times New Roman" w:cs="Times New Roman"/>
      <w:sz w:val="18"/>
      <w:szCs w:val="18"/>
    </w:rPr>
  </w:style>
  <w:style w:type="paragraph" w:styleId="735">
    <w:name w:val="Header"/>
    <w:basedOn w:val="711"/>
    <w:link w:val="773"/>
    <w:uiPriority w:val="0"/>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36">
    <w:name w:val="toc 1"/>
    <w:basedOn w:val="711"/>
    <w:next w:val="711"/>
    <w:uiPriority w:val="0"/>
    <w:qFormat/>
    <w:rPr>
      <w:rFonts w:ascii="Times New Roman" w:hAnsi="Times New Roman" w:cs="Times New Roman"/>
    </w:rPr>
  </w:style>
  <w:style w:type="paragraph" w:styleId="737">
    <w:name w:val="Body Text Indent 3"/>
    <w:basedOn w:val="711"/>
    <w:link w:val="774"/>
    <w:uiPriority w:val="0"/>
    <w:qFormat/>
    <w:pPr>
      <w:ind w:firstLine="360"/>
      <w:jc w:val="both"/>
      <w:spacing w:line="440" w:lineRule="atLeast"/>
    </w:pPr>
    <w:rPr>
      <w:rFonts w:ascii="Times New Roman" w:hAnsi="Arial" w:cs="Times New Roman"/>
      <w:sz w:val="21"/>
      <w:szCs w:val="20"/>
      <w:lang w:bidi="ar-SA"/>
    </w:rPr>
  </w:style>
  <w:style w:type="paragraph" w:styleId="738">
    <w:name w:val="Normal (Web)"/>
    <w:basedOn w:val="711"/>
    <w:uiPriority w:val="0"/>
    <w:qFormat/>
    <w:pPr>
      <w:spacing w:before="100" w:beforeAutospacing="1" w:after="100" w:afterAutospacing="1"/>
      <w:widowControl/>
    </w:pPr>
    <w:rPr>
      <w:rFonts w:ascii="Times New Roman" w:hAnsi="Times New Roman" w:cs="Times New Roman"/>
      <w:b/>
      <w:sz w:val="24"/>
      <w:szCs w:val="24"/>
      <w:lang w:val="en-US" w:bidi="ar-SA"/>
    </w:rPr>
  </w:style>
  <w:style w:type="paragraph" w:styleId="739">
    <w:name w:val="index 1"/>
    <w:basedOn w:val="711"/>
    <w:next w:val="711"/>
    <w:uiPriority w:val="0"/>
    <w:qFormat/>
    <w:pPr>
      <w:jc w:val="both"/>
    </w:pPr>
    <w:rPr>
      <w:rFonts w:ascii="Times New Roman" w:hAnsi="Times New Roman" w:cs="Times New Roman"/>
      <w:sz w:val="21"/>
      <w:szCs w:val="24"/>
      <w:lang w:val="en-US" w:bidi="ar-SA"/>
    </w:rPr>
  </w:style>
  <w:style w:type="paragraph" w:styleId="740">
    <w:name w:val="annotation subject"/>
    <w:basedOn w:val="722"/>
    <w:next w:val="722"/>
    <w:link w:val="775"/>
    <w:uiPriority w:val="0"/>
    <w:qFormat/>
    <w:rPr>
      <w:rFonts w:ascii="Calibri" w:hAnsi="Calibri"/>
      <w:b/>
      <w:bCs/>
      <w:szCs w:val="22"/>
      <w:lang w:bidi="ar-SA"/>
    </w:rPr>
  </w:style>
  <w:style w:type="paragraph" w:styleId="741">
    <w:name w:val="Body Text First Indent"/>
    <w:basedOn w:val="724"/>
    <w:link w:val="776"/>
    <w:uiPriority w:val="0"/>
    <w:qFormat/>
    <w:pPr>
      <w:ind w:firstLine="420"/>
      <w:jc w:val="both"/>
    </w:pPr>
    <w:rPr>
      <w:rFonts w:ascii="Calibri" w:hAnsi="Calibri"/>
      <w:sz w:val="21"/>
      <w:lang w:val="en-US" w:bidi="ar-SA"/>
    </w:rPr>
  </w:style>
  <w:style w:type="paragraph" w:styleId="742">
    <w:name w:val="Body Text First Indent 2"/>
    <w:basedOn w:val="726"/>
    <w:link w:val="777"/>
    <w:uiPriority w:val="0"/>
    <w:qFormat/>
    <w:pPr>
      <w:ind w:firstLine="420"/>
    </w:pPr>
  </w:style>
  <w:style w:type="table" w:styleId="743">
    <w:name w:val="Table Grid"/>
    <w:basedOn w:val="71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7"/>
    <w:uiPriority w:val="0"/>
    <w:qFormat/>
    <w:rPr>
      <w:rFonts w:ascii="Times New Roman" w:hAnsi="Times New Roman" w:eastAsia="宋体" w:cs="Times New Roman"/>
      <w:b/>
      <w:bCs/>
    </w:rPr>
  </w:style>
  <w:style w:type="character" w:styleId="745">
    <w:name w:val="page number"/>
    <w:uiPriority w:val="0"/>
    <w:qFormat/>
    <w:rPr>
      <w:rFonts w:hint="default" w:ascii="Times New Roman" w:hAnsi="Times New Roman" w:eastAsia="宋体" w:cs="Times New Roman"/>
    </w:rPr>
  </w:style>
  <w:style w:type="character" w:styleId="746">
    <w:name w:val="FollowedHyperlink"/>
    <w:uiPriority w:val="0"/>
    <w:qFormat/>
    <w:rPr>
      <w:rFonts w:ascii="Times New Roman" w:hAnsi="Times New Roman" w:eastAsia="宋体" w:cs="Times New Roman"/>
      <w:color w:val="954f72"/>
      <w:u w:val="single"/>
    </w:rPr>
  </w:style>
  <w:style w:type="character" w:styleId="747">
    <w:name w:val="Hyperlink"/>
    <w:uiPriority w:val="0"/>
    <w:qFormat/>
    <w:rPr>
      <w:rFonts w:ascii="Times New Roman" w:hAnsi="Times New Roman" w:eastAsia="宋体" w:cs="Times New Roman"/>
      <w:color w:val="0563c1"/>
      <w:u w:val="single"/>
    </w:rPr>
  </w:style>
  <w:style w:type="character" w:styleId="748">
    <w:name w:val="annotation reference"/>
    <w:uiPriority w:val="0"/>
    <w:qFormat/>
    <w:rPr>
      <w:rFonts w:ascii="Times New Roman" w:hAnsi="Times New Roman" w:eastAsia="宋体" w:cs="Times New Roman"/>
      <w:sz w:val="21"/>
      <w:szCs w:val="21"/>
    </w:rPr>
  </w:style>
  <w:style w:type="paragraph" w:styleId="749" w:customStyle="1">
    <w:name w:val="段"/>
    <w:next w:val="711"/>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75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1" w:customStyle="1">
    <w:name w:val="正文1"/>
    <w:basedOn w:val="752"/>
    <w:next w:val="753"/>
    <w:uiPriority w:val="0"/>
    <w:qFormat/>
    <w:rPr>
      <w:rFonts w:ascii="Calibri" w:hAnsi="Calibri" w:eastAsia="宋体" w:cs="Times New Roman"/>
      <w:sz w:val="24"/>
      <w:szCs w:val="24"/>
      <w:lang w:val="en-US" w:eastAsia="zh-CN" w:bidi="ar-SA"/>
    </w:rPr>
  </w:style>
  <w:style w:type="paragraph" w:styleId="752" w:customStyle="1">
    <w:name w:val="正文11"/>
    <w:next w:val="751"/>
    <w:uiPriority w:val="0"/>
    <w:qFormat/>
    <w:pPr>
      <w:jc w:val="both"/>
      <w:widowControl w:val="off"/>
    </w:pPr>
    <w:rPr>
      <w:rFonts w:ascii="Times New Roman" w:hAnsi="Times New Roman" w:eastAsia="宋体" w:cs="Times New Roman"/>
      <w:sz w:val="21"/>
      <w:szCs w:val="22"/>
      <w:lang w:val="en-US" w:eastAsia="zh-CN" w:bidi="ar-SA"/>
    </w:rPr>
  </w:style>
  <w:style w:type="paragraph" w:styleId="753" w:customStyle="1">
    <w:name w:val="正文文本1"/>
    <w:basedOn w:val="751"/>
    <w:next w:val="754"/>
    <w:uiPriority w:val="0"/>
    <w:qFormat/>
    <w:pPr>
      <w:spacing w:after="120"/>
    </w:pPr>
    <w:rPr>
      <w:lang w:eastAsia="en-US"/>
    </w:rPr>
  </w:style>
  <w:style w:type="paragraph" w:styleId="754" w:customStyle="1">
    <w:name w:val="一级条标题"/>
    <w:basedOn w:val="755"/>
    <w:next w:val="7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customStyle="1">
    <w:name w:val="章标题"/>
    <w:next w:val="71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756" w:customStyle="1">
    <w:name w:val="正文文本 Char"/>
    <w:link w:val="724"/>
    <w:uiPriority w:val="0"/>
    <w:qFormat/>
    <w:rPr>
      <w:rFonts w:ascii="宋体" w:hAnsi="宋体" w:eastAsia="宋体" w:cs="宋体"/>
      <w:sz w:val="22"/>
      <w:lang w:val="zh-CN" w:bidi="zh-CN"/>
    </w:rPr>
  </w:style>
  <w:style w:type="character" w:styleId="757" w:customStyle="1">
    <w:name w:val="正文文本 2 Char"/>
    <w:link w:val="725"/>
    <w:uiPriority w:val="0"/>
    <w:qFormat/>
    <w:rPr>
      <w:rFonts w:ascii="Times New Roman" w:hAnsi="Times New Roman" w:eastAsia="楷体_GB2312" w:cs="Times New Roman"/>
      <w:szCs w:val="24"/>
      <w:lang w:val="zh-CN"/>
    </w:rPr>
  </w:style>
  <w:style w:type="character" w:styleId="758" w:customStyle="1">
    <w:name w:val="标题 1 Char1"/>
    <w:link w:val="712"/>
    <w:uiPriority w:val="0"/>
    <w:qFormat/>
    <w:rPr>
      <w:rFonts w:ascii="宋体" w:hAnsi="宋体" w:eastAsia="宋体" w:cs="宋体"/>
      <w:b/>
      <w:bCs/>
      <w:sz w:val="44"/>
      <w:szCs w:val="44"/>
      <w:lang w:val="zh-CN" w:bidi="zh-CN"/>
    </w:rPr>
  </w:style>
  <w:style w:type="character" w:styleId="759" w:customStyle="1">
    <w:name w:val="标题 2 Char"/>
    <w:link w:val="713"/>
    <w:uiPriority w:val="0"/>
    <w:qFormat/>
    <w:rPr>
      <w:rFonts w:ascii="等线 Light" w:hAnsi="等线 Light" w:eastAsia="等线 Light" w:cs="Times New Roman"/>
      <w:b/>
      <w:bCs/>
      <w:sz w:val="32"/>
      <w:szCs w:val="32"/>
      <w:lang w:val="zh-CN" w:bidi="zh-CN"/>
    </w:rPr>
  </w:style>
  <w:style w:type="character" w:styleId="760" w:customStyle="1">
    <w:name w:val="标题 3 Char1"/>
    <w:link w:val="714"/>
    <w:uiPriority w:val="0"/>
    <w:qFormat/>
    <w:rPr>
      <w:rFonts w:ascii="宋体" w:hAnsi="宋体" w:eastAsia="宋体" w:cs="宋体"/>
      <w:b/>
      <w:sz w:val="32"/>
      <w:lang w:val="zh-CN" w:bidi="zh-CN"/>
    </w:rPr>
  </w:style>
  <w:style w:type="character" w:styleId="761" w:customStyle="1">
    <w:name w:val="标题 4 Char"/>
    <w:link w:val="715"/>
    <w:uiPriority w:val="0"/>
    <w:qFormat/>
    <w:rPr>
      <w:rFonts w:ascii="等线 Light" w:hAnsi="等线 Light" w:eastAsia="等线 Light" w:cs="华文宋体"/>
      <w:b/>
      <w:bCs/>
      <w:sz w:val="28"/>
      <w:szCs w:val="28"/>
      <w:lang w:val="zh-CN" w:bidi="zh-CN"/>
    </w:rPr>
  </w:style>
  <w:style w:type="character" w:styleId="762" w:customStyle="1">
    <w:name w:val="标题 6 Char"/>
    <w:link w:val="716"/>
    <w:uiPriority w:val="0"/>
    <w:qFormat/>
    <w:rPr>
      <w:rFonts w:ascii="Arial" w:hAnsi="Arial" w:eastAsia="宋体" w:cs="Times New Roman"/>
      <w:sz w:val="28"/>
      <w:szCs w:val="28"/>
      <w:lang w:val="zh-CN"/>
    </w:rPr>
  </w:style>
  <w:style w:type="character" w:styleId="763" w:customStyle="1">
    <w:name w:val="正文缩进 Char"/>
    <w:link w:val="720"/>
    <w:uiPriority w:val="0"/>
    <w:qFormat/>
    <w:rPr>
      <w:rFonts w:ascii="宋体" w:hAnsi="宋体" w:eastAsia="宋体" w:cs="宋体"/>
      <w:spacing w:val="14"/>
      <w:sz w:val="24"/>
      <w:lang w:val="zh-CN" w:bidi="zh-CN"/>
    </w:rPr>
  </w:style>
  <w:style w:type="character" w:styleId="764" w:customStyle="1">
    <w:name w:val="文档结构图 Char"/>
    <w:link w:val="721"/>
    <w:uiPriority w:val="0"/>
    <w:qFormat/>
    <w:rPr>
      <w:rFonts w:ascii="宋体" w:hAnsi="Calibri" w:eastAsia="宋体" w:cs="Times New Roman"/>
      <w:sz w:val="18"/>
      <w:szCs w:val="18"/>
      <w:lang w:val="zh-CN"/>
    </w:rPr>
  </w:style>
  <w:style w:type="character" w:styleId="765" w:customStyle="1">
    <w:name w:val="批注文字 Char"/>
    <w:link w:val="722"/>
    <w:uiPriority w:val="0"/>
    <w:qFormat/>
    <w:rPr>
      <w:rFonts w:ascii="宋体" w:hAnsi="宋体" w:eastAsia="宋体" w:cs="宋体"/>
      <w:szCs w:val="21"/>
      <w:lang w:val="zh-CN" w:bidi="zh-CN"/>
    </w:rPr>
  </w:style>
  <w:style w:type="character" w:styleId="766" w:customStyle="1">
    <w:name w:val="称呼 Char"/>
    <w:link w:val="723"/>
    <w:uiPriority w:val="0"/>
    <w:qFormat/>
    <w:rPr>
      <w:rFonts w:ascii="Times New Roman" w:hAnsi="Times New Roman" w:eastAsia="宋体" w:cs="Times New Roman"/>
      <w:sz w:val="30"/>
      <w:szCs w:val="20"/>
      <w:lang w:val="zh-CN"/>
    </w:rPr>
  </w:style>
  <w:style w:type="character" w:styleId="767" w:customStyle="1">
    <w:name w:val="正文文本缩进 Char"/>
    <w:link w:val="726"/>
    <w:uiPriority w:val="0"/>
    <w:qFormat/>
    <w:rPr>
      <w:rFonts w:ascii="宋体" w:hAnsi="宋体" w:eastAsia="宋体" w:cs="宋体"/>
      <w:sz w:val="22"/>
      <w:lang w:val="zh-CN" w:bidi="zh-CN"/>
    </w:rPr>
  </w:style>
  <w:style w:type="character" w:styleId="768" w:customStyle="1">
    <w:name w:val="纯文本 Char"/>
    <w:link w:val="730"/>
    <w:uiPriority w:val="0"/>
    <w:qFormat/>
    <w:rPr>
      <w:rFonts w:ascii="宋体" w:hAnsi="Courier New" w:eastAsia="宋体" w:cs="宋体"/>
      <w:sz w:val="22"/>
      <w:szCs w:val="20"/>
      <w:lang w:val="zh-CN" w:bidi="zh-CN"/>
    </w:rPr>
  </w:style>
  <w:style w:type="character" w:styleId="769" w:customStyle="1">
    <w:name w:val="日期 Char"/>
    <w:link w:val="731"/>
    <w:uiPriority w:val="0"/>
    <w:qFormat/>
    <w:rPr>
      <w:rFonts w:ascii="宋体" w:hAnsi="宋体" w:eastAsia="宋体" w:cs="宋体"/>
      <w:sz w:val="22"/>
      <w:lang w:val="zh-CN" w:bidi="zh-CN"/>
    </w:rPr>
  </w:style>
  <w:style w:type="character" w:styleId="770" w:customStyle="1">
    <w:name w:val="正文文本缩进 2 Char"/>
    <w:link w:val="732"/>
    <w:uiPriority w:val="0"/>
    <w:qFormat/>
    <w:rPr>
      <w:rFonts w:ascii="宋体" w:hAnsi="Times New Roman" w:eastAsia="宋体" w:cs="Times New Roman"/>
      <w:szCs w:val="20"/>
      <w:lang w:val="zh-CN"/>
    </w:rPr>
  </w:style>
  <w:style w:type="character" w:styleId="771" w:customStyle="1">
    <w:name w:val="批注框文本 Char"/>
    <w:link w:val="733"/>
    <w:uiPriority w:val="0"/>
    <w:qFormat/>
    <w:rPr>
      <w:rFonts w:ascii="宋体" w:hAnsi="宋体" w:eastAsia="宋体" w:cs="宋体"/>
      <w:sz w:val="18"/>
      <w:szCs w:val="18"/>
      <w:lang w:val="zh-CN" w:bidi="zh-CN"/>
    </w:rPr>
  </w:style>
  <w:style w:type="character" w:styleId="772" w:customStyle="1">
    <w:name w:val="页脚 Char1"/>
    <w:link w:val="734"/>
    <w:uiPriority w:val="0"/>
    <w:qFormat/>
    <w:rPr>
      <w:rFonts w:ascii="宋体" w:hAnsi="宋体" w:eastAsia="宋体" w:cs="宋体"/>
      <w:sz w:val="18"/>
      <w:szCs w:val="18"/>
      <w:lang w:val="zh-CN" w:bidi="zh-CN"/>
    </w:rPr>
  </w:style>
  <w:style w:type="character" w:styleId="773" w:customStyle="1">
    <w:name w:val="页眉 Char1"/>
    <w:link w:val="735"/>
    <w:uiPriority w:val="0"/>
    <w:qFormat/>
    <w:rPr>
      <w:rFonts w:ascii="宋体" w:hAnsi="宋体" w:eastAsia="宋体" w:cs="宋体"/>
      <w:sz w:val="18"/>
      <w:szCs w:val="18"/>
      <w:lang w:val="zh-CN" w:bidi="zh-CN"/>
    </w:rPr>
  </w:style>
  <w:style w:type="character" w:styleId="774" w:customStyle="1">
    <w:name w:val="正文文本缩进 3 Char"/>
    <w:link w:val="737"/>
    <w:uiPriority w:val="0"/>
    <w:qFormat/>
    <w:rPr>
      <w:rFonts w:ascii="宋体" w:hAnsi="Arial" w:eastAsia="宋体" w:cs="Times New Roman"/>
      <w:szCs w:val="20"/>
      <w:lang w:val="zh-CN"/>
    </w:rPr>
  </w:style>
  <w:style w:type="character" w:styleId="775" w:customStyle="1">
    <w:name w:val="批注主题 Char"/>
    <w:link w:val="740"/>
    <w:uiPriority w:val="0"/>
    <w:qFormat/>
    <w:rPr>
      <w:rFonts w:ascii="Calibri" w:hAnsi="Calibri" w:eastAsia="宋体" w:cs="Times New Roman"/>
      <w:b/>
      <w:bCs/>
      <w:lang w:val="zh-CN"/>
    </w:rPr>
  </w:style>
  <w:style w:type="character" w:styleId="776" w:customStyle="1">
    <w:name w:val="正文首行缩进 Char2"/>
    <w:link w:val="741"/>
    <w:uiPriority w:val="0"/>
    <w:qFormat/>
    <w:rPr>
      <w:rFonts w:ascii="Calibri" w:hAnsi="Calibri" w:eastAsia="宋体" w:cs="Times New Roman"/>
      <w:sz w:val="22"/>
      <w:lang w:val="zh-CN" w:bidi="zh-CN"/>
    </w:rPr>
  </w:style>
  <w:style w:type="character" w:styleId="777" w:customStyle="1">
    <w:name w:val="正文首行缩进 2 Char"/>
    <w:link w:val="742"/>
    <w:uiPriority w:val="0"/>
    <w:qFormat/>
    <w:rPr>
      <w:rFonts w:ascii="Times New Roman" w:hAnsi="Times New Roman" w:eastAsia="宋体" w:cs="Times New Roman"/>
      <w:lang w:val="zh-CN" w:bidi="zh-CN"/>
    </w:rPr>
  </w:style>
  <w:style w:type="paragraph" w:styleId="778" w:customStyle="1">
    <w:name w:val="Table Paragraph"/>
    <w:basedOn w:val="711"/>
    <w:uiPriority w:val="0"/>
    <w:qFormat/>
    <w:rPr>
      <w:rFonts w:ascii="Times New Roman" w:hAnsi="Times New Roman" w:cs="Times New Roman"/>
    </w:rPr>
  </w:style>
  <w:style w:type="paragraph" w:styleId="779">
    <w:name w:val="List Paragraph"/>
    <w:basedOn w:val="711"/>
    <w:uiPriority w:val="0"/>
    <w:qFormat/>
    <w:pPr>
      <w:ind w:firstLine="420"/>
    </w:pPr>
    <w:rPr>
      <w:rFonts w:ascii="Times New Roman" w:hAnsi="Times New Roman" w:cs="Times New Roman"/>
    </w:rPr>
  </w:style>
  <w:style w:type="paragraph" w:styleId="780" w:customStyle="1">
    <w:name w:val="图例"/>
    <w:basedOn w:val="711"/>
    <w:uiPriority w:val="0"/>
    <w:qFormat/>
    <w:pPr>
      <w:jc w:val="center"/>
      <w:spacing w:before="120" w:after="120" w:line="360" w:lineRule="auto"/>
    </w:pPr>
    <w:rPr>
      <w:rFonts w:ascii="Times New Roman" w:hAnsi="Times New Roman" w:eastAsia="仿宋_GB2312" w:cs="Times New Roman"/>
      <w:b/>
      <w:sz w:val="24"/>
    </w:rPr>
  </w:style>
  <w:style w:type="paragraph" w:styleId="781" w:customStyle="1">
    <w:name w:val="正文_0_0_0"/>
    <w:uiPriority w:val="0"/>
    <w:qFormat/>
    <w:pPr>
      <w:jc w:val="both"/>
    </w:pPr>
    <w:rPr>
      <w:rFonts w:ascii="Calibri" w:hAnsi="Calibri" w:eastAsia="宋体" w:cs="Times New Roman"/>
      <w:lang w:val="en-US" w:eastAsia="zh-CN" w:bidi="ar-SA"/>
    </w:rPr>
  </w:style>
  <w:style w:type="paragraph" w:styleId="782" w:customStyle="1">
    <w:name w:val="列表段落1"/>
    <w:basedOn w:val="711"/>
    <w:uiPriority w:val="0"/>
    <w:qFormat/>
    <w:pPr>
      <w:ind w:firstLine="420"/>
    </w:pPr>
    <w:rPr>
      <w:rFonts w:ascii="等线" w:hAnsi="等线" w:eastAsia="等线" w:cs="Times New Roman"/>
    </w:rPr>
  </w:style>
  <w:style w:type="paragraph" w:styleId="783" w:customStyle="1">
    <w:name w:val="_Style 17"/>
    <w:basedOn w:val="711"/>
    <w:next w:val="782"/>
    <w:uiPriority w:val="0"/>
    <w:qFormat/>
    <w:pPr>
      <w:ind w:left="794" w:firstLine="420"/>
      <w:spacing w:line="440" w:lineRule="exact"/>
      <w:widowControl/>
    </w:pPr>
    <w:rPr>
      <w:rFonts w:ascii="Calibri" w:hAnsi="Calibri" w:cs="Times New Roman"/>
      <w:sz w:val="24"/>
      <w:szCs w:val="24"/>
      <w:lang w:eastAsia="en-US" w:bidi="en-US"/>
    </w:rPr>
  </w:style>
  <w:style w:type="paragraph" w:styleId="784" w:customStyle="1">
    <w:name w:val="Normal_0_2"/>
    <w:uiPriority w:val="0"/>
    <w:qFormat/>
    <w:rPr>
      <w:rFonts w:ascii="黑体" w:hAnsi="黑体" w:eastAsia="黑体" w:cs="Times New Roman"/>
      <w:b/>
      <w:sz w:val="32"/>
      <w:szCs w:val="24"/>
      <w:lang w:val="en-US" w:eastAsia="zh-CN" w:bidi="ar-SA"/>
    </w:rPr>
  </w:style>
  <w:style w:type="paragraph" w:styleId="785" w:customStyle="1">
    <w:name w:val="Normal_9_0"/>
    <w:uiPriority w:val="0"/>
    <w:qFormat/>
    <w:rPr>
      <w:rFonts w:ascii="Times New Roman" w:hAnsi="Times New Roman" w:eastAsia="Times New Roman" w:cs="Times New Roman"/>
      <w:sz w:val="24"/>
      <w:szCs w:val="24"/>
      <w:lang w:val="en-US" w:eastAsia="zh-CN" w:bidi="ar-SA"/>
    </w:rPr>
  </w:style>
  <w:style w:type="paragraph" w:styleId="78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787"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78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78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790"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791" w:customStyle="1">
    <w:name w:val="Normal_12_0"/>
    <w:uiPriority w:val="0"/>
    <w:qFormat/>
    <w:rPr>
      <w:rFonts w:ascii="黑体" w:hAnsi="黑体" w:eastAsia="黑体" w:cs="Times New Roman"/>
      <w:b/>
      <w:sz w:val="32"/>
      <w:szCs w:val="24"/>
      <w:lang w:val="en-US" w:eastAsia="zh-CN" w:bidi="ar-SA"/>
    </w:rPr>
  </w:style>
  <w:style w:type="character" w:styleId="792" w:customStyle="1">
    <w:name w:val="标题 3 字符"/>
    <w:uiPriority w:val="0"/>
    <w:qFormat/>
    <w:rPr>
      <w:rFonts w:ascii="宋体" w:hAnsi="宋体" w:eastAsia="宋体" w:cs="宋体"/>
      <w:b/>
      <w:bCs/>
      <w:sz w:val="32"/>
      <w:szCs w:val="32"/>
      <w:lang w:val="zh-CN" w:bidi="zh-CN"/>
    </w:rPr>
  </w:style>
  <w:style w:type="character" w:styleId="793" w:customStyle="1">
    <w:name w:val="标题 6 字符"/>
    <w:uiPriority w:val="0"/>
    <w:qFormat/>
    <w:rPr>
      <w:rFonts w:ascii="等线 Light" w:hAnsi="等线 Light" w:eastAsia="等线 Light" w:cs="Times New Roman"/>
      <w:b/>
      <w:bCs/>
      <w:sz w:val="24"/>
      <w:szCs w:val="24"/>
      <w:lang w:val="zh-CN" w:bidi="zh-CN"/>
    </w:rPr>
  </w:style>
  <w:style w:type="paragraph" w:styleId="794" w:customStyle="1">
    <w:name w:val="msonormal"/>
    <w:basedOn w:val="711"/>
    <w:uiPriority w:val="0"/>
    <w:qFormat/>
    <w:pPr>
      <w:spacing w:before="100" w:beforeAutospacing="1" w:after="100" w:afterAutospacing="1"/>
      <w:widowControl/>
    </w:pPr>
    <w:rPr>
      <w:rFonts w:ascii="Times New Roman" w:hAnsi="Times New Roman" w:cs="Times New Roman"/>
      <w:b/>
      <w:sz w:val="24"/>
      <w:szCs w:val="24"/>
      <w:lang w:val="en-US" w:bidi="ar-SA"/>
    </w:rPr>
  </w:style>
  <w:style w:type="character" w:styleId="795" w:customStyle="1">
    <w:name w:val="称呼 字符"/>
    <w:uiPriority w:val="0"/>
    <w:qFormat/>
    <w:rPr>
      <w:rFonts w:ascii="宋体" w:hAnsi="宋体" w:eastAsia="宋体" w:cs="宋体"/>
      <w:sz w:val="22"/>
      <w:lang w:val="zh-CN" w:bidi="zh-CN"/>
    </w:rPr>
  </w:style>
  <w:style w:type="character" w:styleId="796" w:customStyle="1">
    <w:name w:val="正文文本 2 字符"/>
    <w:uiPriority w:val="0"/>
    <w:qFormat/>
    <w:rPr>
      <w:rFonts w:ascii="宋体" w:hAnsi="宋体" w:eastAsia="宋体" w:cs="宋体"/>
      <w:sz w:val="22"/>
      <w:lang w:val="zh-CN" w:bidi="zh-CN"/>
    </w:rPr>
  </w:style>
  <w:style w:type="character" w:styleId="797" w:customStyle="1">
    <w:name w:val="正文文本缩进 2 字符"/>
    <w:uiPriority w:val="0"/>
    <w:qFormat/>
    <w:rPr>
      <w:rFonts w:ascii="宋体" w:hAnsi="宋体" w:eastAsia="宋体" w:cs="宋体"/>
      <w:sz w:val="22"/>
      <w:lang w:val="zh-CN" w:bidi="zh-CN"/>
    </w:rPr>
  </w:style>
  <w:style w:type="character" w:styleId="798" w:customStyle="1">
    <w:name w:val="正文文本缩进 3 字符"/>
    <w:uiPriority w:val="0"/>
    <w:qFormat/>
    <w:rPr>
      <w:rFonts w:ascii="宋体" w:hAnsi="宋体" w:eastAsia="宋体" w:cs="宋体"/>
      <w:sz w:val="16"/>
      <w:szCs w:val="16"/>
      <w:lang w:val="zh-CN" w:bidi="zh-CN"/>
    </w:rPr>
  </w:style>
  <w:style w:type="character" w:styleId="799" w:customStyle="1">
    <w:name w:val="文档结构图 字符"/>
    <w:uiPriority w:val="0"/>
    <w:qFormat/>
    <w:rPr>
      <w:rFonts w:ascii="Microsoft YaHei UI" w:hAnsi="宋体" w:eastAsia="Microsoft YaHei UI" w:cs="宋体"/>
      <w:sz w:val="18"/>
      <w:szCs w:val="18"/>
      <w:lang w:val="zh-CN" w:bidi="zh-CN"/>
    </w:rPr>
  </w:style>
  <w:style w:type="character" w:styleId="800" w:customStyle="1">
    <w:name w:val="批注主题 字符"/>
    <w:uiPriority w:val="0"/>
    <w:qFormat/>
    <w:rPr>
      <w:rFonts w:ascii="宋体" w:hAnsi="宋体" w:eastAsia="宋体" w:cs="宋体"/>
      <w:b/>
      <w:bCs/>
      <w:szCs w:val="21"/>
      <w:lang w:val="zh-CN" w:bidi="zh-CN"/>
    </w:rPr>
  </w:style>
  <w:style w:type="paragraph" w:styleId="801" w:customStyle="1">
    <w:name w:val="List Paragraph1"/>
    <w:basedOn w:val="711"/>
    <w:uiPriority w:val="0"/>
    <w:qFormat/>
    <w:pPr>
      <w:ind w:firstLine="420"/>
    </w:pPr>
    <w:rPr>
      <w:rFonts w:ascii="Times New Roman" w:hAnsi="Times New Roman" w:cs="Times New Roman"/>
      <w:lang w:val="en-US" w:bidi="ar-SA"/>
    </w:rPr>
  </w:style>
  <w:style w:type="paragraph" w:styleId="802" w:customStyle="1">
    <w:name w:val="WPSOffice手动目录 1"/>
    <w:uiPriority w:val="0"/>
    <w:qFormat/>
    <w:rPr>
      <w:rFonts w:ascii="Times New Roman" w:hAnsi="Times New Roman" w:eastAsia="宋体" w:cs="Times New Roman"/>
      <w:lang w:val="en-US" w:eastAsia="zh-CN" w:bidi="ar-SA"/>
    </w:rPr>
  </w:style>
  <w:style w:type="paragraph" w:styleId="803" w:customStyle="1">
    <w:name w:val="_Style 20"/>
    <w:link w:val="804"/>
    <w:uiPriority w:val="0"/>
    <w:qFormat/>
    <w:pPr>
      <w:ind w:firstLine="420"/>
      <w:jc w:val="both"/>
      <w:spacing w:after="120"/>
      <w:widowControl w:val="off"/>
    </w:pPr>
    <w:rPr>
      <w:rFonts w:ascii="Calibri" w:hAnsi="Calibri" w:eastAsia="宋体" w:cs="Calibri"/>
      <w:sz w:val="21"/>
      <w:szCs w:val="22"/>
      <w:lang w:val="en-US" w:eastAsia="zh-CN" w:bidi="ar-SA"/>
    </w:rPr>
  </w:style>
  <w:style w:type="character" w:styleId="804" w:customStyle="1">
    <w:name w:val="正文首行缩进 Char1"/>
    <w:link w:val="803"/>
    <w:uiPriority w:val="0"/>
    <w:qFormat/>
    <w:rPr>
      <w:rFonts w:ascii="Calibri" w:hAnsi="Calibri" w:eastAsia="宋体" w:cs="Calibri"/>
    </w:rPr>
  </w:style>
  <w:style w:type="paragraph" w:styleId="805" w:customStyle="1">
    <w:name w:val="目录1"/>
    <w:basedOn w:val="724"/>
    <w:next w:val="741"/>
    <w:link w:val="806"/>
    <w:uiPriority w:val="0"/>
    <w:qFormat/>
    <w:pPr>
      <w:ind w:firstLine="420"/>
      <w:jc w:val="both"/>
    </w:pPr>
    <w:rPr>
      <w:rFonts w:ascii="楷体_GB2312" w:hAnsi="等线" w:eastAsia="楷体_GB2312"/>
      <w:b/>
      <w:sz w:val="24"/>
      <w:szCs w:val="24"/>
      <w:lang w:bidi="ar-SA"/>
    </w:rPr>
  </w:style>
  <w:style w:type="character" w:styleId="806" w:customStyle="1">
    <w:name w:val="正文首行缩进 Char"/>
    <w:link w:val="805"/>
    <w:uiPriority w:val="0"/>
    <w:qFormat/>
    <w:rPr>
      <w:rFonts w:ascii="楷体_GB2312" w:hAnsi="Times New Roman" w:eastAsia="楷体_GB2312" w:cs="Times New Roman"/>
      <w:b/>
      <w:sz w:val="24"/>
      <w:szCs w:val="24"/>
      <w:lang w:val="zh-CN"/>
    </w:rPr>
  </w:style>
  <w:style w:type="paragraph" w:styleId="807" w:customStyle="1">
    <w:name w:val="Char1"/>
    <w:basedOn w:val="711"/>
    <w:uiPriority w:val="0"/>
    <w:qFormat/>
    <w:pPr>
      <w:jc w:val="both"/>
    </w:pPr>
    <w:rPr>
      <w:rFonts w:ascii="仿宋_GB2312" w:hAnsi="Times New Roman" w:eastAsia="仿宋_GB2312" w:cs="Times New Roman"/>
      <w:b/>
      <w:sz w:val="32"/>
      <w:szCs w:val="32"/>
      <w:lang w:val="en-US" w:bidi="ar-SA"/>
    </w:rPr>
  </w:style>
  <w:style w:type="paragraph" w:styleId="808" w:customStyle="1">
    <w:name w:val="Char Char Char"/>
    <w:basedOn w:val="711"/>
    <w:uiPriority w:val="0"/>
    <w:qFormat/>
    <w:pPr>
      <w:widowControl/>
    </w:pPr>
    <w:rPr>
      <w:rFonts w:ascii="Tahoma" w:hAnsi="Tahoma" w:cs="Times New Roman"/>
      <w:sz w:val="24"/>
      <w:szCs w:val="20"/>
      <w:lang w:val="en-US" w:bidi="ar-SA"/>
    </w:rPr>
  </w:style>
  <w:style w:type="paragraph" w:styleId="809" w:customStyle="1">
    <w:name w:val="默认段落字体 Para Char Char Char Char"/>
    <w:basedOn w:val="711"/>
    <w:uiPriority w:val="0"/>
    <w:qFormat/>
    <w:pPr>
      <w:ind w:left="420" w:firstLine="420"/>
      <w:jc w:val="both"/>
      <w:spacing w:line="240" w:lineRule="atLeast"/>
    </w:pPr>
    <w:rPr>
      <w:rFonts w:ascii="Times New Roman" w:hAnsi="Times New Roman" w:cs="Times New Roman"/>
      <w:sz w:val="21"/>
      <w:szCs w:val="21"/>
      <w:lang w:val="en-US" w:bidi="ar-SA"/>
    </w:rPr>
  </w:style>
  <w:style w:type="paragraph" w:styleId="810" w:customStyle="1">
    <w:name w:val="Char Char Char Char"/>
    <w:basedOn w:val="711"/>
    <w:uiPriority w:val="0"/>
    <w:qFormat/>
    <w:pPr>
      <w:jc w:val="both"/>
    </w:pPr>
    <w:rPr>
      <w:rFonts w:ascii="仿宋_GB2312" w:hAnsi="Times New Roman" w:eastAsia="仿宋_GB2312" w:cs="Times New Roman"/>
      <w:b/>
      <w:sz w:val="32"/>
      <w:szCs w:val="32"/>
      <w:lang w:val="en-US" w:bidi="ar-SA"/>
    </w:rPr>
  </w:style>
  <w:style w:type="paragraph" w:styleId="811" w:customStyle="1">
    <w:name w:val="Blockquote"/>
    <w:basedOn w:val="711"/>
    <w:uiPriority w:val="0"/>
    <w:qFormat/>
    <w:pPr>
      <w:ind w:left="360" w:right="360"/>
      <w:spacing w:before="100" w:after="100"/>
    </w:pPr>
    <w:rPr>
      <w:rFonts w:ascii="Times New Roman" w:hAnsi="Times New Roman" w:cs="Times New Roman"/>
      <w:sz w:val="24"/>
      <w:szCs w:val="20"/>
      <w:lang w:val="en-US" w:bidi="ar-SA"/>
    </w:rPr>
  </w:style>
  <w:style w:type="paragraph" w:styleId="812" w:customStyle="1">
    <w:name w:val="Char Char Char Char Char Char"/>
    <w:basedOn w:val="711"/>
    <w:uiPriority w:val="0"/>
    <w:qFormat/>
    <w:pPr>
      <w:jc w:val="both"/>
      <w:spacing w:line="360" w:lineRule="auto"/>
    </w:pPr>
    <w:rPr>
      <w:rFonts w:ascii="Times New Roman" w:hAnsi="Times New Roman" w:cs="Times New Roman"/>
      <w:sz w:val="24"/>
      <w:szCs w:val="20"/>
      <w:lang w:val="en-US" w:bidi="ar-SA"/>
    </w:rPr>
  </w:style>
  <w:style w:type="paragraph" w:styleId="813" w:customStyle="1">
    <w:name w:val="SS正文首行缩进 +"/>
    <w:basedOn w:val="741"/>
    <w:uiPriority w:val="0"/>
    <w:qFormat/>
    <w:pPr>
      <w:ind w:firstLine="480"/>
      <w:spacing w:line="360" w:lineRule="auto"/>
    </w:pPr>
    <w:rPr>
      <w:rFonts w:ascii="Times New Roman" w:hAnsi="Times New Roman"/>
      <w:sz w:val="24"/>
      <w:szCs w:val="20"/>
      <w:lang w:val="zh-CN"/>
    </w:rPr>
  </w:style>
  <w:style w:type="paragraph" w:styleId="814" w:customStyle="1">
    <w:name w:val="Char"/>
    <w:basedOn w:val="711"/>
    <w:uiPriority w:val="0"/>
    <w:qFormat/>
    <w:pPr>
      <w:spacing w:after="160" w:line="240" w:lineRule="exact"/>
      <w:widowControl/>
    </w:pPr>
    <w:rPr>
      <w:rFonts w:ascii="Verdana" w:hAnsi="Verdana" w:eastAsia="仿宋_GB2312" w:cs="Times New Roman"/>
      <w:sz w:val="24"/>
      <w:szCs w:val="20"/>
      <w:lang w:val="en-US" w:eastAsia="en-US" w:bidi="ar-SA"/>
    </w:rPr>
  </w:style>
  <w:style w:type="character" w:styleId="815" w:customStyle="1">
    <w:name w:val="标题 1 字符1"/>
    <w:uiPriority w:val="0"/>
    <w:qFormat/>
    <w:rPr>
      <w:rFonts w:hint="default" w:ascii="Times New Roman" w:hAnsi="Times New Roman" w:eastAsia="宋体" w:cs="Times New Roman"/>
      <w:b/>
      <w:bCs/>
      <w:sz w:val="52"/>
      <w:szCs w:val="44"/>
      <w:lang w:val="zh-CN" w:eastAsia="zh-CN"/>
    </w:rPr>
  </w:style>
  <w:style w:type="character" w:styleId="816" w:customStyle="1">
    <w:name w:val="标题 2 字符1"/>
    <w:uiPriority w:val="0"/>
    <w:qFormat/>
    <w:rPr>
      <w:rFonts w:hint="eastAsia" w:ascii="宋体" w:hAnsi="宋体" w:eastAsia="黑体" w:cs="Times New Roman"/>
      <w:bCs/>
      <w:i/>
      <w:iCs/>
      <w:sz w:val="24"/>
      <w:szCs w:val="20"/>
      <w:lang w:val="zh-CN" w:eastAsia="zh-CN"/>
    </w:rPr>
  </w:style>
  <w:style w:type="character" w:styleId="817" w:customStyle="1">
    <w:name w:val="标题 4 字符1"/>
    <w:uiPriority w:val="0"/>
    <w:qFormat/>
    <w:rPr>
      <w:rFonts w:hint="eastAsia" w:ascii="等线 Light" w:hAnsi="等线 Light" w:eastAsia="等线 Light" w:cs="Times New Roman"/>
      <w:b/>
      <w:bCs/>
      <w:sz w:val="28"/>
      <w:szCs w:val="28"/>
      <w:lang w:val="zh-CN" w:eastAsia="zh-CN"/>
    </w:rPr>
  </w:style>
  <w:style w:type="character" w:styleId="818" w:customStyle="1">
    <w:name w:val="页眉 字符1"/>
    <w:uiPriority w:val="0"/>
    <w:qFormat/>
    <w:rPr>
      <w:rFonts w:hint="default" w:ascii="Calibri" w:hAnsi="Calibri" w:eastAsia="宋体" w:cs="Times New Roman"/>
      <w:sz w:val="18"/>
      <w:szCs w:val="18"/>
      <w:lang w:val="zh-CN" w:eastAsia="zh-CN"/>
    </w:rPr>
  </w:style>
  <w:style w:type="character" w:styleId="819" w:customStyle="1">
    <w:name w:val="页脚 字符1"/>
    <w:uiPriority w:val="0"/>
    <w:qFormat/>
    <w:rPr>
      <w:rFonts w:hint="default" w:ascii="Calibri" w:hAnsi="Calibri" w:eastAsia="宋体" w:cs="Times New Roman"/>
      <w:sz w:val="18"/>
      <w:szCs w:val="18"/>
      <w:lang w:val="zh-CN" w:eastAsia="zh-CN"/>
    </w:rPr>
  </w:style>
  <w:style w:type="character" w:styleId="820" w:customStyle="1">
    <w:name w:val="标题 1 Char"/>
    <w:uiPriority w:val="0"/>
    <w:qFormat/>
    <w:rPr>
      <w:rFonts w:hint="default" w:ascii="Times New Roman" w:hAnsi="Times New Roman" w:eastAsia="宋体" w:cs="Times New Roman"/>
      <w:b/>
      <w:bCs/>
      <w:sz w:val="52"/>
      <w:szCs w:val="44"/>
    </w:rPr>
  </w:style>
  <w:style w:type="character" w:styleId="821" w:customStyle="1">
    <w:name w:val="标题 3 Char"/>
    <w:uiPriority w:val="0"/>
    <w:qFormat/>
    <w:rPr>
      <w:rFonts w:hint="default" w:ascii="Times New Roman" w:hAnsi="Times New Roman" w:eastAsia="宋体" w:cs="Times New Roman"/>
      <w:b/>
      <w:bCs/>
      <w:sz w:val="32"/>
      <w:szCs w:val="32"/>
    </w:rPr>
  </w:style>
  <w:style w:type="character" w:styleId="822" w:customStyle="1">
    <w:name w:val="页眉 Char"/>
    <w:uiPriority w:val="0"/>
    <w:qFormat/>
    <w:rPr>
      <w:rFonts w:ascii="Times New Roman" w:hAnsi="Times New Roman" w:eastAsia="宋体" w:cs="Times New Roman"/>
      <w:sz w:val="18"/>
      <w:szCs w:val="18"/>
    </w:rPr>
  </w:style>
  <w:style w:type="character" w:styleId="823" w:customStyle="1">
    <w:name w:val="页脚 Char"/>
    <w:uiPriority w:val="0"/>
    <w:qFormat/>
    <w:rPr>
      <w:rFonts w:ascii="Times New Roman" w:hAnsi="Times New Roman" w:eastAsia="宋体" w:cs="Times New Roman"/>
      <w:sz w:val="18"/>
      <w:szCs w:val="18"/>
    </w:rPr>
  </w:style>
  <w:style w:type="character" w:styleId="824" w:customStyle="1">
    <w:name w:val="正文文本 字符1"/>
    <w:uiPriority w:val="0"/>
    <w:qFormat/>
    <w:rPr>
      <w:rFonts w:hint="eastAsia" w:ascii="楷体_GB2312" w:hAnsi="Times New Roman" w:eastAsia="楷体_GB2312" w:cs="Times New Roman"/>
      <w:sz w:val="24"/>
      <w:szCs w:val="24"/>
      <w:lang w:val="zh-CN" w:eastAsia="zh-CN"/>
    </w:rPr>
  </w:style>
  <w:style w:type="character" w:styleId="825" w:customStyle="1">
    <w:name w:val="批注文字 字符1"/>
    <w:uiPriority w:val="0"/>
    <w:qFormat/>
    <w:rPr>
      <w:rFonts w:hint="default" w:ascii="Calibri" w:hAnsi="Calibri" w:eastAsia="宋体" w:cs="Times New Roman"/>
      <w:lang w:val="zh-CN" w:eastAsia="zh-CN"/>
    </w:rPr>
  </w:style>
  <w:style w:type="character" w:styleId="826" w:customStyle="1">
    <w:name w:val="正文文本缩进 字符1"/>
    <w:uiPriority w:val="0"/>
    <w:qFormat/>
    <w:rPr>
      <w:rFonts w:hint="eastAsia" w:ascii="宋体" w:hAnsi="Times New Roman" w:eastAsia="宋体" w:cs="Times New Roman"/>
      <w:sz w:val="24"/>
      <w:szCs w:val="20"/>
      <w:lang w:val="zh-CN" w:eastAsia="zh-CN"/>
    </w:rPr>
  </w:style>
  <w:style w:type="character" w:styleId="827" w:customStyle="1">
    <w:name w:val="日期 字符1"/>
    <w:uiPriority w:val="0"/>
    <w:qFormat/>
    <w:rPr>
      <w:rFonts w:hint="eastAsia" w:ascii="隶书" w:hAnsi="Times New Roman" w:eastAsia="隶书" w:cs="Times New Roman"/>
      <w:sz w:val="30"/>
      <w:szCs w:val="20"/>
      <w:lang w:val="zh-CN" w:eastAsia="zh-CN"/>
    </w:rPr>
  </w:style>
  <w:style w:type="character" w:styleId="828" w:customStyle="1">
    <w:name w:val="纯文本 字符1"/>
    <w:uiPriority w:val="0"/>
    <w:qFormat/>
    <w:rPr>
      <w:rFonts w:hint="eastAsia" w:ascii="宋体" w:hAnsi="Courier New" w:eastAsia="宋体" w:cs="Times New Roman"/>
      <w:sz w:val="28"/>
      <w:szCs w:val="20"/>
      <w:lang w:val="zh-CN" w:eastAsia="zh-CN"/>
    </w:rPr>
  </w:style>
  <w:style w:type="character" w:styleId="829" w:customStyle="1">
    <w:name w:val="批注框文本 字符1"/>
    <w:uiPriority w:val="0"/>
    <w:qFormat/>
    <w:rPr>
      <w:rFonts w:hint="default" w:ascii="Calibri" w:hAnsi="Calibri" w:eastAsia="宋体" w:cs="Times New Roman"/>
      <w:sz w:val="18"/>
      <w:szCs w:val="18"/>
      <w:lang w:val="zh-CN" w:eastAsia="zh-CN"/>
    </w:rPr>
  </w:style>
  <w:style w:type="character" w:styleId="830" w:customStyle="1">
    <w:name w:val="txt1"/>
    <w:uiPriority w:val="0"/>
    <w:qFormat/>
    <w:rPr>
      <w:rFonts w:ascii="Times New Roman" w:hAnsi="Times New Roman" w:eastAsia="宋体" w:cs="Times New Roman"/>
    </w:rPr>
  </w:style>
  <w:style w:type="character" w:styleId="831" w:customStyle="1">
    <w:name w:val="ask-title2"/>
    <w:uiPriority w:val="0"/>
    <w:qFormat/>
    <w:rPr>
      <w:rFonts w:ascii="Times New Roman" w:hAnsi="Times New Roman" w:eastAsia="宋体" w:cs="Times New Roman"/>
    </w:rPr>
  </w:style>
  <w:style w:type="character" w:styleId="832" w:customStyle="1">
    <w:name w:val="font61"/>
    <w:uiPriority w:val="0"/>
    <w:qFormat/>
    <w:rPr>
      <w:rFonts w:hint="eastAsia" w:ascii="宋体" w:hAnsi="宋体" w:eastAsia="宋体" w:cs="宋体"/>
      <w:color w:val="000000"/>
      <w:sz w:val="24"/>
      <w:szCs w:val="24"/>
      <w:u w:val="none"/>
    </w:rPr>
  </w:style>
  <w:style w:type="character" w:styleId="833" w:customStyle="1">
    <w:name w:val="font11"/>
    <w:uiPriority w:val="0"/>
    <w:qFormat/>
    <w:rPr>
      <w:rFonts w:hint="eastAsia" w:ascii="仿宋" w:hAnsi="仿宋" w:eastAsia="仿宋" w:cs="仿宋"/>
      <w:color w:val="000000"/>
      <w:sz w:val="24"/>
      <w:szCs w:val="24"/>
      <w:u w:val="none"/>
    </w:rPr>
  </w:style>
  <w:style w:type="paragraph" w:styleId="834" w:customStyle="1">
    <w:name w:val="正文（缩进）"/>
    <w:basedOn w:val="711"/>
    <w:uiPriority w:val="0"/>
    <w:qFormat/>
    <w:pPr>
      <w:ind w:firstLine="480"/>
    </w:pPr>
    <w:rPr>
      <w:rFonts w:ascii="Times New Roman" w:hAnsi="Times New Roman" w:cs="Times New Roman"/>
    </w:rPr>
  </w:style>
  <w:style w:type="paragraph" w:styleId="835" w:customStyle="1">
    <w:name w:val="Normal_10_0"/>
    <w:uiPriority w:val="0"/>
    <w:qFormat/>
    <w:rPr>
      <w:rFonts w:ascii="黑体" w:hAnsi="黑体" w:eastAsia="黑体" w:cs="Times New Roman"/>
      <w:b/>
      <w:sz w:val="32"/>
      <w:szCs w:val="24"/>
      <w:lang w:val="en-US" w:eastAsia="zh-CN" w:bidi="ar-SA"/>
    </w:rPr>
  </w:style>
  <w:style w:type="character" w:styleId="836" w:customStyle="1">
    <w:name w:val="font31"/>
    <w:basedOn w:val="717"/>
    <w:uiPriority w:val="0"/>
    <w:qFormat/>
    <w:rPr>
      <w:rFonts w:hint="eastAsia" w:ascii="仿宋" w:hAnsi="仿宋" w:eastAsia="仿宋" w:cs="仿宋"/>
      <w:color w:val="000000"/>
      <w:sz w:val="24"/>
      <w:szCs w:val="24"/>
      <w:u w:val="none"/>
    </w:rPr>
  </w:style>
  <w:style w:type="character" w:styleId="837" w:customStyle="1">
    <w:name w:val="font01"/>
    <w:basedOn w:val="717"/>
    <w:uiPriority w:val="0"/>
    <w:qFormat/>
    <w:rPr>
      <w:rFonts w:hint="eastAsia" w:ascii="宋体" w:hAnsi="宋体" w:eastAsia="宋体" w:cs="宋体"/>
      <w:color w:val="000000"/>
      <w:sz w:val="24"/>
      <w:szCs w:val="24"/>
      <w:u w:val="none"/>
    </w:rPr>
  </w:style>
  <w:style w:type="character" w:styleId="838" w:customStyle="1">
    <w:name w:val="font41"/>
    <w:basedOn w:val="717"/>
    <w:uiPriority w:val="0"/>
    <w:qFormat/>
    <w:rPr>
      <w:rFonts w:hint="eastAsia" w:ascii="宋体" w:hAnsi="宋体" w:eastAsia="宋体" w:cs="宋体"/>
      <w:color w:val="000000"/>
      <w:sz w:val="21"/>
      <w:szCs w:val="21"/>
      <w:u w:val="none"/>
    </w:rPr>
  </w:style>
  <w:style w:type="character" w:styleId="839" w:customStyle="1">
    <w:name w:val="font51"/>
    <w:basedOn w:val="717"/>
    <w:uiPriority w:val="0"/>
    <w:qFormat/>
    <w:rPr>
      <w:rFonts w:hint="eastAsia" w:ascii="宋体" w:hAnsi="宋体" w:eastAsia="宋体" w:cs="宋体"/>
      <w:color w:val="000000"/>
      <w:sz w:val="21"/>
      <w:szCs w:val="21"/>
      <w:u w:val="none"/>
    </w:rPr>
  </w:style>
  <w:style w:type="character" w:styleId="840" w:customStyle="1">
    <w:name w:val="font71"/>
    <w:basedOn w:val="717"/>
    <w:uiPriority w:val="0"/>
    <w:qFormat/>
    <w:rPr>
      <w:rFonts w:hint="eastAsia" w:ascii="宋体" w:hAnsi="宋体" w:eastAsia="宋体" w:cs="宋体"/>
      <w:color w:val="000000"/>
      <w:sz w:val="21"/>
      <w:szCs w:val="21"/>
      <w:u w:val="none"/>
      <w:vertAlign w:val="superscript"/>
    </w:rPr>
  </w:style>
  <w:style w:type="paragraph" w:styleId="84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character" w:styleId="842" w:customStyle="1">
    <w:name w:val="font21"/>
    <w:basedOn w:val="717"/>
    <w:uiPriority w:val="0"/>
    <w:qFormat/>
    <w:rPr>
      <w:rFonts w:hint="default" w:ascii="Calibri" w:hAnsi="Calibri" w:cs="Calibri"/>
      <w:color w:val="000000"/>
      <w:sz w:val="20"/>
      <w:szCs w:val="20"/>
      <w:u w:val="none"/>
    </w:rPr>
  </w:style>
  <w:style w:type="character" w:styleId="843" w:customStyle="1">
    <w:name w:val="font91"/>
    <w:basedOn w:val="717"/>
    <w:uiPriority w:val="0"/>
    <w:qFormat/>
    <w:rPr>
      <w:rFonts w:hint="default" w:ascii="Calibri" w:hAnsi="Calibri" w:cs="Calibri"/>
      <w:b/>
      <w:bCs/>
      <w:color w:val="000000"/>
      <w:sz w:val="14"/>
      <w:szCs w:val="14"/>
      <w:u w:val="none"/>
    </w:rPr>
  </w:style>
  <w:style w:type="character" w:styleId="844" w:customStyle="1">
    <w:name w:val="font101"/>
    <w:basedOn w:val="717"/>
    <w:uiPriority w:val="0"/>
    <w:qFormat/>
    <w:rPr>
      <w:rFonts w:hint="eastAsia" w:ascii="宋体" w:hAnsi="宋体" w:eastAsia="宋体" w:cs="宋体"/>
      <w:color w:val="000000"/>
      <w:sz w:val="20"/>
      <w:szCs w:val="20"/>
      <w:u w:val="none"/>
    </w:rPr>
  </w:style>
  <w:style w:type="paragraph" w:styleId="845" w:customStyle="1">
    <w:name w:val="修订1"/>
    <w:hidden/>
    <w:uiPriority w:val="99"/>
    <w:unhideWhenUsed/>
    <w:qFormat/>
    <w:rPr>
      <w:rFonts w:ascii="宋体" w:hAnsi="宋体" w:eastAsia="宋体" w:cs="宋体"/>
      <w:sz w:val="22"/>
      <w:szCs w:val="22"/>
      <w:lang w:val="zh-CN" w:eastAsia="zh-CN" w:bidi="zh-CN"/>
    </w:rPr>
  </w:style>
  <w:style w:type="paragraph" w:styleId="846" w:customStyle="1">
    <w:name w:val="无间隔1"/>
    <w:basedOn w:val="711"/>
    <w:uiPriority w:val="0"/>
    <w:qFormat/>
    <w:rPr>
      <w:rFonts w:ascii="Calibri" w:hAnsi="Calibri" w:cs="Times New Roman"/>
      <w:sz w:val="20"/>
      <w:szCs w:val="20"/>
      <w:lang w:eastAsia="en-US"/>
    </w:rPr>
  </w:style>
  <w:style w:type="paragraph" w:styleId="847" w:customStyle="1">
    <w:name w:val="无间隔2"/>
    <w:basedOn w:val="711"/>
    <w:uiPriority w:val="0"/>
    <w:qFormat/>
    <w:rPr>
      <w:rFonts w:ascii="Calibri" w:hAnsi="Calibri"/>
      <w:lang w:val="en-US" w:eastAsia="en-US" w:bidi="en-US"/>
    </w:rPr>
  </w:style>
  <w:style w:type="paragraph" w:styleId="848" w:customStyle="1">
    <w:name w:val="无间隔11"/>
    <w:uiPriority w:val="99"/>
    <w:qFormat/>
    <w:pPr>
      <w:jc w:val="both"/>
      <w:widowControl w:val="off"/>
    </w:pPr>
    <w:rPr>
      <w:rFonts w:ascii="Calibri" w:hAnsi="Calibri" w:eastAsia="宋体" w:cs="Times New Roman"/>
      <w:sz w:val="22"/>
      <w:szCs w:val="22"/>
      <w:lang w:val="en-US" w:eastAsia="zh-CN" w:bidi="ar-SA"/>
    </w:rPr>
  </w:style>
  <w:style w:type="paragraph" w:styleId="849" w:customStyle="1">
    <w:name w:val="U_正文2"/>
    <w:basedOn w:val="711"/>
    <w:uiPriority w:val="99"/>
    <w:qFormat/>
    <w:pPr>
      <w:spacing w:line="300" w:lineRule="auto"/>
    </w:pPr>
    <w:rPr>
      <w:rFonts w:ascii="Times New Roman" w:hAnsi="Times New Roman"/>
      <w:sz w:val="24"/>
      <w:szCs w:val="20"/>
    </w:rPr>
  </w:style>
  <w:style w:type="paragraph" w:styleId="850" w:customStyle="1">
    <w:name w:val="列出段落1"/>
    <w:basedOn w:val="711"/>
    <w:uiPriority w:val="34"/>
    <w:qFormat/>
    <w:pPr>
      <w:ind w:firstLine="420"/>
    </w:pPr>
  </w:style>
  <w:style w:type="paragraph" w:styleId="851" w:customStyle="1">
    <w:name w:val="Body text|1"/>
    <w:basedOn w:val="711"/>
    <w:uiPriority w:val="0"/>
    <w:qFormat/>
    <w:pPr>
      <w:ind w:firstLine="400"/>
      <w:spacing w:line="413" w:lineRule="auto"/>
    </w:pPr>
    <w:rPr>
      <w:sz w:val="26"/>
      <w:szCs w:val="26"/>
      <w:lang w:val="zh-TW" w:eastAsia="zh-TW" w:bidi="zh-TW"/>
    </w:rPr>
  </w:style>
  <w:style w:type="paragraph" w:styleId="852" w:customStyle="1">
    <w:name w:val="纯文本1"/>
    <w:basedOn w:val="711"/>
    <w:uiPriority w:val="99"/>
    <w:unhideWhenUsed/>
    <w:qFormat/>
    <w:rPr>
      <w:rFonts w:ascii="宋体" w:hAnsi="Courier New"/>
      <w:sz w:val="20"/>
      <w:szCs w:val="20"/>
    </w:rPr>
  </w:style>
  <w:style w:type="character" w:styleId="853" w:customStyle="1">
    <w:name w:val="font81"/>
    <w:basedOn w:val="717"/>
    <w:uiPriority w:val="0"/>
    <w:qFormat/>
    <w:rPr>
      <w:rFonts w:hint="default" w:ascii="Times New Roman" w:hAnsi="Times New Roman" w:cs="Times New Roman"/>
      <w:color w:val="000000"/>
      <w:sz w:val="14"/>
      <w:szCs w:val="14"/>
      <w:u w:val="none"/>
    </w:rPr>
  </w:style>
  <w:style w:type="paragraph" w:styleId="854" w:customStyle="1">
    <w:name w:val="Normal_11_0"/>
    <w:uiPriority w:val="0"/>
    <w:qFormat/>
    <w:rPr>
      <w:rFonts w:ascii="黑体" w:hAnsi="黑体" w:eastAsia="黑体" w:cs="Times New Roman"/>
      <w:b/>
      <w:sz w:val="32"/>
      <w:szCs w:val="24"/>
      <w:lang w:val="en-US" w:eastAsia="zh-CN" w:bidi="ar-SA"/>
    </w:rPr>
  </w:style>
  <w:style w:type="paragraph" w:styleId="855" w:customStyle="1">
    <w:name w:val="普通正文"/>
    <w:basedOn w:val="711"/>
    <w:uiPriority w:val="0"/>
    <w:qFormat/>
    <w:pPr>
      <w:ind w:firstLine="480"/>
      <w:spacing w:before="120" w:after="120" w:line="360" w:lineRule="auto"/>
    </w:pPr>
    <w:rPr>
      <w:rFonts w:ascii="Arial" w:hAnsi="Arial"/>
      <w:sz w:val="24"/>
      <w:szCs w:val="24"/>
    </w:rPr>
  </w:style>
  <w:style w:type="paragraph" w:styleId="856" w:customStyle="1">
    <w:name w:val="Table Text"/>
    <w:basedOn w:val="711"/>
    <w:uiPriority w:val="0"/>
    <w:semiHidden/>
    <w:qFormat/>
    <w:rPr>
      <w:rFonts w:ascii="宋体" w:hAnsi="宋体" w:eastAsia="宋体" w:cs="宋体"/>
      <w:sz w:val="25"/>
      <w:szCs w:val="25"/>
      <w:lang w:val="en-US" w:eastAsia="en-US" w:bidi="ar-SA"/>
    </w:rPr>
  </w:style>
  <w:style w:type="table" w:styleId="857" w:customStyle="1">
    <w:name w:val="Table Normal"/>
    <w:uiPriority w:val="0"/>
    <w:unhideWhenUsed/>
    <w:qFormat/>
    <w:tblPr>
      <w:tblCellMar>
        <w:left w:w="0" w:type="dxa"/>
        <w:top w:w="0" w:type="dxa"/>
        <w:right w:w="0" w:type="dxa"/>
        <w:bottom w:w="0" w:type="dxa"/>
      </w:tblCellMar>
    </w:tblPr>
  </w:style>
  <w:style w:type="numbering" w:styleId="137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9C49294-BB82-4269-9312-550FF0C053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、_你是温暖的源头</dc:creator>
  <cp:lastModifiedBy>戴婷</cp:lastModifiedBy>
  <cp:revision>7</cp:revision>
  <dcterms:created xsi:type="dcterms:W3CDTF">2024-05-17T04:29:00Z</dcterms:created>
  <dcterms:modified xsi:type="dcterms:W3CDTF">2026-06-02T01:41:54Z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778FCD7520FA4EF1AA5D1A0451112D54_13</vt:lpwstr>
  </property>
  <property fmtid="{D5CDD505-2E9C-101B-9397-08002B2CF9AE}" pid="4" name="KSOTemplateDocerSaveRecord">
    <vt:lpwstr>eyJoZGlkIjoiZWU0MTFmYzZmZDM2ZGViNDAyYTRhODI2YzUyYjg2ZjMiLCJ1c2VySWQiOiIyMzk1MjI1ODEifQ==</vt:lpwstr>
  </property>
</Properties>
</file>