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0"/>
        <w:ind w:firstLine="0"/>
        <w:rPr>
          <w:rFonts w:eastAsia="黑体"/>
          <w:b/>
          <w:bCs/>
          <w:sz w:val="84"/>
          <w:highlight w:val="none"/>
        </w:rPr>
      </w:pPr>
      <w:r/>
      <w:bookmarkStart w:id="0" w:name="_Hlk69393945"/>
      <w:r/>
      <w:bookmarkStart w:id="1" w:name="_Toc528771312"/>
      <w:r/>
      <w:bookmarkStart w:id="2" w:name="_Toc27744861"/>
      <w:r>
        <w:rPr>
          <w:rFonts w:eastAsia="黑体"/>
          <w:b/>
          <w:bCs/>
          <w:sz w:val="84"/>
          <w:highlight w:val="none"/>
        </w:rPr>
      </w:r>
      <w:r/>
    </w:p>
    <w:p>
      <w:pPr>
        <w:pStyle w:val="1140"/>
        <w:ind w:firstLine="0"/>
        <w:jc w:val="center"/>
        <w:rPr>
          <w:rFonts w:eastAsia="黑体"/>
          <w:b/>
          <w:bCs/>
          <w:sz w:val="84"/>
          <w:highlight w:val="none"/>
        </w:rPr>
      </w:pPr>
      <w:r>
        <w:rPr>
          <w:rFonts w:hint="eastAsia" w:eastAsia="黑体"/>
          <w:b/>
          <w:bCs/>
          <w:sz w:val="84"/>
          <w:highlight w:val="none"/>
        </w:rPr>
        <w:t xml:space="preserve">招　标　文　件</w:t>
      </w:r>
      <w:r>
        <w:rPr>
          <w:rFonts w:eastAsia="黑体"/>
          <w:b/>
          <w:bCs/>
          <w:sz w:val="84"/>
          <w:highlight w:val="none"/>
        </w:rPr>
      </w:r>
      <w:r/>
    </w:p>
    <w:p>
      <w:pPr>
        <w:pStyle w:val="1140"/>
        <w:ind w:firstLine="2249"/>
        <w:rPr>
          <w:b/>
          <w:bCs/>
          <w:sz w:val="32"/>
          <w:highlight w:val="none"/>
        </w:rPr>
      </w:pPr>
      <w:r>
        <w:rPr>
          <w:b/>
          <w:bCs/>
          <w:sz w:val="32"/>
          <w:highlight w:val="none"/>
        </w:rPr>
      </w:r>
      <w:r/>
    </w:p>
    <w:p>
      <w:pPr>
        <w:pStyle w:val="1140"/>
        <w:ind w:firstLine="2249"/>
        <w:rPr>
          <w:b/>
          <w:bCs/>
          <w:sz w:val="32"/>
          <w:highlight w:val="none"/>
        </w:rPr>
      </w:pPr>
      <w:r>
        <w:rPr>
          <w:b/>
          <w:bCs/>
          <w:sz w:val="32"/>
          <w:highlight w:val="none"/>
        </w:rPr>
      </w:r>
      <w:r/>
    </w:p>
    <w:p>
      <w:pPr>
        <w:pStyle w:val="1140"/>
        <w:ind w:firstLine="2249"/>
        <w:rPr>
          <w:b/>
          <w:bCs/>
          <w:sz w:val="32"/>
          <w:highlight w:val="none"/>
        </w:rPr>
      </w:pPr>
      <w:r>
        <w:rPr>
          <w:b/>
          <w:bCs/>
          <w:sz w:val="32"/>
          <w:highlight w:val="none"/>
        </w:rPr>
      </w:r>
      <w:r/>
    </w:p>
    <w:p>
      <w:pPr>
        <w:pStyle w:val="1140"/>
        <w:ind w:firstLine="2249"/>
        <w:rPr>
          <w:b/>
          <w:bCs/>
          <w:sz w:val="32"/>
          <w:highlight w:val="none"/>
        </w:rPr>
      </w:pPr>
      <w:r>
        <w:rPr>
          <w:b/>
          <w:bCs/>
          <w:sz w:val="32"/>
          <w:highlight w:val="none"/>
        </w:rPr>
      </w:r>
      <w:r/>
    </w:p>
    <w:p>
      <w:pPr>
        <w:pStyle w:val="1140"/>
        <w:ind w:firstLine="2249"/>
        <w:rPr>
          <w:b/>
          <w:bCs/>
          <w:sz w:val="32"/>
          <w:highlight w:val="none"/>
        </w:rPr>
      </w:pPr>
      <w:r>
        <w:rPr>
          <w:b/>
          <w:bCs/>
          <w:sz w:val="32"/>
          <w:highlight w:val="none"/>
        </w:rPr>
      </w:r>
      <w:r/>
    </w:p>
    <w:p>
      <w:pPr>
        <w:pStyle w:val="1140"/>
        <w:ind w:firstLine="2249"/>
        <w:rPr>
          <w:b/>
          <w:bCs/>
          <w:spacing w:val="-20"/>
          <w:sz w:val="32"/>
          <w:highlight w:val="none"/>
        </w:rPr>
      </w:pPr>
      <w:r>
        <w:rPr>
          <w:b/>
          <w:bCs/>
          <w:spacing w:val="-20"/>
          <w:sz w:val="32"/>
          <w:highlight w:val="none"/>
        </w:rPr>
      </w:r>
      <w:r/>
    </w:p>
    <w:p>
      <w:pPr>
        <w:pStyle w:val="1140"/>
        <w:ind w:left="0" w:firstLine="0"/>
        <w:rPr>
          <w:rFonts w:hint="eastAsia" w:ascii="宋体" w:hAnsi="宋体" w:eastAsia="宋体" w:cs="宋体"/>
          <w:b/>
          <w:bCs/>
          <w:sz w:val="32"/>
          <w:highlight w:val="none"/>
        </w:rPr>
      </w:pPr>
      <w:r>
        <w:rPr>
          <w:rFonts w:hint="eastAsia" w:ascii="宋体" w:hAnsi="宋体" w:eastAsia="宋体" w:cs="宋体"/>
          <w:b/>
          <w:bCs/>
          <w:sz w:val="32"/>
          <w:highlight w:val="none"/>
        </w:rPr>
        <w:t xml:space="preserve">项目名称：</w:t>
      </w:r>
      <w:r>
        <w:rPr>
          <w:rFonts w:hint="eastAsia" w:ascii="宋体" w:hAnsi="宋体" w:cs="宋体"/>
          <w:b/>
          <w:bCs/>
          <w:sz w:val="32"/>
          <w:highlight w:val="none"/>
          <w:lang w:eastAsia="zh-CN"/>
        </w:rPr>
        <w:t xml:space="preserve">扬州市直属监所医疗卫生专业化达标建设项目（二次）</w:t>
      </w:r>
      <w:r>
        <w:rPr>
          <w:rFonts w:hint="eastAsia" w:ascii="宋体" w:hAnsi="宋体" w:eastAsia="宋体" w:cs="宋体"/>
          <w:b/>
          <w:bCs/>
          <w:sz w:val="32"/>
          <w:highlight w:val="none"/>
        </w:rPr>
      </w:r>
      <w:r/>
    </w:p>
    <w:p>
      <w:pPr>
        <w:pStyle w:val="1084"/>
        <w:rPr>
          <w:rFonts w:hint="eastAsia" w:ascii="宋体" w:hAnsi="宋体" w:eastAsia="宋体" w:cs="宋体"/>
          <w:b/>
          <w:bCs/>
          <w:sz w:val="32"/>
          <w:szCs w:val="24"/>
          <w:highlight w:val="none"/>
        </w:rPr>
      </w:pPr>
      <w:r>
        <w:rPr>
          <w:rFonts w:hint="eastAsia" w:ascii="宋体" w:hAnsi="宋体" w:eastAsia="宋体" w:cs="宋体"/>
          <w:b/>
          <w:bCs/>
          <w:sz w:val="32"/>
          <w:szCs w:val="24"/>
          <w:highlight w:val="none"/>
        </w:rPr>
        <w:t xml:space="preserve">项目编号：</w:t>
      </w:r>
      <w:r>
        <w:rPr>
          <w:rFonts w:hint="eastAsia" w:ascii="宋体" w:hAnsi="宋体" w:eastAsia="宋体" w:cs="宋体"/>
          <w:b/>
          <w:bCs/>
          <w:sz w:val="32"/>
          <w:szCs w:val="24"/>
          <w:highlight w:val="none"/>
          <w:lang w:eastAsia="zh-CN"/>
        </w:rPr>
        <w:t xml:space="preserve">JSZC-321000-ZYCG-G2026-0010</w:t>
      </w:r>
      <w:r>
        <w:rPr>
          <w:rFonts w:hint="eastAsia" w:ascii="宋体" w:hAnsi="宋体" w:eastAsia="宋体" w:cs="宋体"/>
          <w:b/>
          <w:bCs/>
          <w:sz w:val="32"/>
          <w:szCs w:val="24"/>
          <w:highlight w:val="none"/>
        </w:rPr>
        <w:t xml:space="preserve">   </w:t>
      </w:r>
      <w:r>
        <w:rPr>
          <w:rFonts w:hint="eastAsia" w:ascii="宋体" w:hAnsi="宋体" w:eastAsia="宋体" w:cs="宋体"/>
          <w:b/>
          <w:bCs/>
          <w:sz w:val="32"/>
          <w:szCs w:val="24"/>
          <w:highlight w:val="none"/>
        </w:rPr>
      </w:r>
      <w:r/>
    </w:p>
    <w:p>
      <w:pPr>
        <w:pStyle w:val="1084"/>
        <w:jc w:val="center"/>
        <w:spacing w:line="360" w:lineRule="auto"/>
        <w:rPr>
          <w:rFonts w:hint="eastAsia" w:ascii="宋体" w:hAnsi="宋体" w:eastAsia="宋体" w:cs="宋体"/>
          <w:color w:val="000000"/>
          <w:sz w:val="44"/>
          <w:szCs w:val="28"/>
          <w:highlight w:val="none"/>
          <w:lang w:eastAsia="zh-CN"/>
        </w:rPr>
      </w:pPr>
      <w:r>
        <w:rPr>
          <w:rFonts w:hint="eastAsia" w:ascii="宋体" w:hAnsi="宋体" w:eastAsia="宋体" w:cs="宋体"/>
          <w:color w:val="000000"/>
          <w:sz w:val="44"/>
          <w:szCs w:val="28"/>
          <w:highlight w:val="none"/>
          <w:lang w:eastAsia="zh-CN"/>
        </w:rPr>
      </w:r>
      <w:r/>
    </w:p>
    <w:p>
      <w:pPr>
        <w:pStyle w:val="1084"/>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1084"/>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1142"/>
        <w:tabs>
          <w:tab w:val="left" w:pos="0" w:leader="none"/>
          <w:tab w:val="left" w:pos="993" w:leader="none"/>
          <w:tab w:val="left" w:pos="113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4"/>
        <w:jc w:val="center"/>
        <w:spacing w:line="360" w:lineRule="auto"/>
        <w:rPr>
          <w:rFonts w:hint="eastAsia" w:ascii="宋体" w:hAnsi="宋体" w:eastAsia="宋体" w:cs="宋体"/>
          <w:b/>
          <w:bCs/>
          <w:color w:val="000000"/>
          <w:sz w:val="32"/>
          <w:szCs w:val="21"/>
          <w:highlight w:val="none"/>
        </w:rPr>
      </w:pPr>
      <w:r>
        <w:rPr>
          <w:rFonts w:hint="eastAsia" w:ascii="宋体" w:hAnsi="宋体" w:eastAsia="宋体" w:cs="宋体"/>
          <w:b/>
          <w:bCs/>
          <w:color w:val="000000"/>
          <w:sz w:val="32"/>
          <w:szCs w:val="21"/>
          <w:highlight w:val="none"/>
        </w:rPr>
        <w:t xml:space="preserve">扬州筑苑工程招标咨询有限公司</w:t>
      </w:r>
      <w:r>
        <w:rPr>
          <w:rFonts w:hint="eastAsia" w:ascii="宋体" w:hAnsi="宋体" w:eastAsia="宋体" w:cs="宋体"/>
          <w:b/>
          <w:bCs/>
          <w:color w:val="000000"/>
          <w:sz w:val="32"/>
          <w:szCs w:val="21"/>
          <w:highlight w:val="none"/>
        </w:rPr>
      </w:r>
      <w:r/>
    </w:p>
    <w:p>
      <w:pPr>
        <w:pStyle w:val="1084"/>
        <w:jc w:val="center"/>
        <w:spacing w:line="360" w:lineRule="auto"/>
        <w:rPr>
          <w:rFonts w:hint="eastAsia" w:ascii="宋体" w:hAnsi="宋体" w:eastAsia="宋体" w:cs="宋体"/>
          <w:b/>
          <w:bCs/>
          <w:color w:val="000000"/>
          <w:sz w:val="32"/>
          <w:szCs w:val="21"/>
          <w:highlight w:val="none"/>
          <w:lang w:eastAsia="zh-CN"/>
        </w:rPr>
      </w:pPr>
      <w:r>
        <w:rPr>
          <w:rFonts w:hint="eastAsia" w:ascii="宋体" w:hAnsi="宋体" w:eastAsia="宋体" w:cs="宋体"/>
          <w:b/>
          <w:bCs/>
          <w:color w:val="000000"/>
          <w:sz w:val="32"/>
          <w:szCs w:val="21"/>
          <w:highlight w:val="none"/>
          <w:lang w:eastAsia="zh-CN"/>
        </w:rPr>
        <w:t xml:space="preserve">2026年</w:t>
      </w:r>
      <w:r>
        <w:rPr>
          <w:rFonts w:hint="eastAsia" w:ascii="宋体" w:hAnsi="宋体" w:eastAsia="宋体" w:cs="宋体"/>
          <w:b/>
          <w:bCs/>
          <w:color w:val="000000"/>
          <w:sz w:val="32"/>
          <w:szCs w:val="21"/>
          <w:highlight w:val="none"/>
          <w:lang w:val="en-US" w:eastAsia="zh-CN"/>
        </w:rPr>
        <w:t xml:space="preserve">6</w:t>
      </w:r>
      <w:r>
        <w:rPr>
          <w:rFonts w:hint="eastAsia" w:ascii="宋体" w:hAnsi="宋体" w:eastAsia="宋体" w:cs="宋体"/>
          <w:b/>
          <w:bCs/>
          <w:color w:val="000000"/>
          <w:sz w:val="32"/>
          <w:szCs w:val="21"/>
          <w:highlight w:val="none"/>
          <w:lang w:eastAsia="zh-CN"/>
        </w:rPr>
        <w:t xml:space="preserve">月</w:t>
      </w:r>
      <w:r>
        <w:rPr>
          <w:rFonts w:hint="eastAsia" w:ascii="宋体" w:hAnsi="宋体" w:eastAsia="宋体" w:cs="宋体"/>
          <w:b/>
          <w:bCs/>
          <w:color w:val="000000"/>
          <w:sz w:val="32"/>
          <w:szCs w:val="21"/>
          <w:highlight w:val="none"/>
          <w:lang w:eastAsia="zh-CN"/>
        </w:rPr>
      </w:r>
      <w:r/>
    </w:p>
    <w:p>
      <w:pPr>
        <w:pStyle w:val="1084"/>
        <w:jc w:val="center"/>
        <w:spacing w:line="360" w:lineRule="auto"/>
        <w:rPr>
          <w:color w:val="000000"/>
          <w:highlight w:val="none"/>
        </w:rPr>
      </w:pPr>
      <w:r>
        <w:rPr>
          <w:color w:val="000000"/>
          <w:highlight w:val="none"/>
        </w:rPr>
        <w:br w:type="page" w:clear="all"/>
      </w:r>
      <w:r>
        <w:rPr>
          <w:color w:val="000000"/>
          <w:highlight w:val="none"/>
        </w:rPr>
      </w:r>
      <w:r/>
    </w:p>
    <w:p>
      <w:pPr>
        <w:pStyle w:val="1084"/>
        <w:jc w:val="center"/>
        <w:spacing w:line="360" w:lineRule="auto"/>
        <w:rPr>
          <w:rFonts w:ascii="宋体" w:hAnsi="宋体"/>
          <w:color w:val="000000"/>
          <w:sz w:val="44"/>
          <w:szCs w:val="44"/>
          <w:highlight w:val="none"/>
        </w:rPr>
      </w:pPr>
      <w:r>
        <w:rPr>
          <w:rFonts w:hint="eastAsia" w:ascii="宋体" w:hAnsi="宋体"/>
          <w:color w:val="000000"/>
          <w:sz w:val="44"/>
          <w:szCs w:val="44"/>
          <w:highlight w:val="none"/>
          <w:lang w:val="en-US" w:eastAsia="zh-CN"/>
        </w:rPr>
        <w:t xml:space="preserve">总  </w:t>
      </w:r>
      <w:r>
        <w:rPr>
          <w:rFonts w:hint="eastAsia" w:ascii="宋体" w:hAnsi="宋体"/>
          <w:color w:val="000000"/>
          <w:sz w:val="44"/>
          <w:szCs w:val="44"/>
          <w:highlight w:val="none"/>
        </w:rPr>
        <w:t xml:space="preserve">目</w:t>
      </w:r>
      <w:r>
        <w:rPr>
          <w:rFonts w:ascii="宋体" w:hAnsi="宋体"/>
          <w:color w:val="000000"/>
          <w:sz w:val="44"/>
          <w:szCs w:val="44"/>
          <w:highlight w:val="none"/>
        </w:rPr>
        <w:t xml:space="preserve"> 录</w:t>
      </w:r>
      <w:r>
        <w:rPr>
          <w:rFonts w:ascii="宋体" w:hAnsi="宋体"/>
          <w:color w:val="000000"/>
          <w:sz w:val="44"/>
          <w:szCs w:val="44"/>
          <w:highlight w:val="none"/>
        </w:rPr>
      </w:r>
      <w:r/>
    </w:p>
    <w:p>
      <w:pPr>
        <w:pStyle w:val="1100"/>
        <w:rPr>
          <w:color w:val="000000"/>
          <w:highlight w:val="none"/>
        </w:rPr>
      </w:pPr>
      <w:r>
        <w:rPr>
          <w:color w:val="000000"/>
          <w:highlight w:val="none"/>
        </w:rPr>
      </w:r>
      <w:r/>
    </w:p>
    <w:p>
      <w:pPr>
        <w:pStyle w:val="1112"/>
        <w:spacing w:line="360" w:lineRule="auto"/>
        <w:tabs>
          <w:tab w:val="right" w:pos="829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TOC \o "1-3" \f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第一章 </w:t>
      </w:r>
      <w:r>
        <w:rPr>
          <w:rFonts w:hint="eastAsia" w:ascii="宋体" w:hAnsi="宋体" w:cs="宋体"/>
          <w:color w:val="000000"/>
          <w:sz w:val="24"/>
          <w:szCs w:val="24"/>
          <w:highlight w:val="none"/>
          <w:lang w:val="en-US" w:eastAsia="zh-CN"/>
        </w:rPr>
        <w:t xml:space="preserve">投标邀请</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_Toc109304962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112"/>
        <w:spacing w:line="360" w:lineRule="auto"/>
        <w:tabs>
          <w:tab w:val="right" w:pos="8296" w:leader="dot"/>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第二章 </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须知</w:t>
      </w:r>
      <w:r>
        <w:rPr>
          <w:rFonts w:hint="eastAsia" w:ascii="宋体" w:hAnsi="宋体" w:eastAsia="宋体" w:cs="宋体"/>
          <w:color w:val="000000"/>
          <w:sz w:val="24"/>
          <w:szCs w:val="24"/>
          <w:highlight w:val="none"/>
        </w:rPr>
        <w:tab/>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p>
      <w:pPr>
        <w:pStyle w:val="1112"/>
        <w:spacing w:line="360" w:lineRule="auto"/>
        <w:tabs>
          <w:tab w:val="right" w:pos="8296" w:leader="dot"/>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第三章 合同</w:t>
      </w:r>
      <w:r>
        <w:rPr>
          <w:rFonts w:hint="eastAsia" w:ascii="宋体" w:hAnsi="宋体" w:cs="宋体"/>
          <w:color w:val="000000"/>
          <w:sz w:val="24"/>
          <w:szCs w:val="24"/>
          <w:highlight w:val="none"/>
          <w:lang w:val="en-US" w:eastAsia="zh-CN"/>
        </w:rPr>
        <w:t xml:space="preserve">文本</w:t>
      </w:r>
      <w:r>
        <w:rPr>
          <w:rFonts w:hint="eastAsia" w:ascii="宋体" w:hAnsi="宋体" w:eastAsia="宋体" w:cs="宋体"/>
          <w:color w:val="000000"/>
          <w:sz w:val="24"/>
          <w:szCs w:val="24"/>
          <w:highlight w:val="none"/>
        </w:rPr>
        <w:tab/>
      </w:r>
      <w:r>
        <w:rPr>
          <w:rFonts w:hint="eastAsia" w:ascii="宋体" w:hAnsi="宋体" w:cs="宋体"/>
          <w:color w:val="000000"/>
          <w:sz w:val="24"/>
          <w:szCs w:val="24"/>
          <w:highlight w:val="none"/>
          <w:lang w:val="en-US" w:eastAsia="zh-CN"/>
        </w:rPr>
        <w:t xml:space="preserve">19</w:t>
      </w:r>
      <w:r>
        <w:rPr>
          <w:rFonts w:ascii="宋体" w:hAnsi="宋体" w:eastAsia="宋体" w:cs="宋体"/>
          <w:color w:val="000000"/>
          <w:sz w:val="24"/>
          <w:szCs w:val="24"/>
          <w:highlight w:val="none"/>
          <w:lang w:val="en-US" w:eastAsia="zh-CN"/>
        </w:rPr>
      </w:r>
      <w:r/>
    </w:p>
    <w:p>
      <w:pPr>
        <w:pStyle w:val="1112"/>
        <w:spacing w:line="360" w:lineRule="auto"/>
        <w:tabs>
          <w:tab w:val="right" w:pos="8296" w:leader="dot"/>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第四章 </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需求</w:t>
      </w:r>
      <w:r>
        <w:rPr>
          <w:rFonts w:hint="eastAsia" w:ascii="宋体" w:hAnsi="宋体" w:eastAsia="宋体" w:cs="宋体"/>
          <w:color w:val="000000"/>
          <w:sz w:val="24"/>
          <w:szCs w:val="24"/>
          <w:highlight w:val="none"/>
        </w:rPr>
        <w:tab/>
      </w:r>
      <w:r>
        <w:rPr>
          <w:rFonts w:hint="eastAsia" w:ascii="宋体" w:hAnsi="宋体" w:cs="宋体"/>
          <w:color w:val="000000"/>
          <w:sz w:val="24"/>
          <w:szCs w:val="24"/>
          <w:highlight w:val="none"/>
          <w:lang w:val="en-US" w:eastAsia="zh-CN"/>
        </w:rPr>
        <w:t xml:space="preserve">23</w:t>
      </w:r>
      <w:r>
        <w:rPr>
          <w:rFonts w:ascii="宋体" w:hAnsi="宋体" w:eastAsia="宋体" w:cs="宋体"/>
          <w:color w:val="000000"/>
          <w:sz w:val="24"/>
          <w:szCs w:val="24"/>
          <w:highlight w:val="none"/>
          <w:lang w:val="en-US" w:eastAsia="zh-CN"/>
        </w:rPr>
      </w:r>
      <w:r/>
    </w:p>
    <w:p>
      <w:pPr>
        <w:pStyle w:val="1112"/>
        <w:spacing w:line="360" w:lineRule="auto"/>
        <w:tabs>
          <w:tab w:val="right" w:pos="8296" w:leader="dot"/>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第五章 评标方法与评标</w:t>
      </w:r>
      <w:r>
        <w:rPr>
          <w:rFonts w:hint="eastAsia" w:ascii="宋体" w:hAnsi="宋体" w:cs="宋体"/>
          <w:color w:val="000000"/>
          <w:sz w:val="24"/>
          <w:szCs w:val="24"/>
          <w:highlight w:val="none"/>
          <w:lang w:val="en-US" w:eastAsia="zh-CN"/>
        </w:rPr>
        <w:t xml:space="preserve">标准</w:t>
      </w:r>
      <w:r>
        <w:rPr>
          <w:rFonts w:hint="eastAsia" w:ascii="宋体" w:hAnsi="宋体" w:eastAsia="宋体" w:cs="宋体"/>
          <w:color w:val="000000"/>
          <w:sz w:val="24"/>
          <w:szCs w:val="24"/>
          <w:highlight w:val="none"/>
        </w:rPr>
        <w:tab/>
      </w:r>
      <w:r>
        <w:rPr>
          <w:rFonts w:hint="eastAsia" w:ascii="宋体" w:hAnsi="宋体" w:cs="宋体"/>
          <w:color w:val="000000"/>
          <w:sz w:val="24"/>
          <w:szCs w:val="24"/>
          <w:highlight w:val="none"/>
          <w:lang w:val="en-US" w:eastAsia="zh-CN"/>
        </w:rPr>
        <w:t xml:space="preserve">30</w:t>
      </w:r>
      <w:r>
        <w:rPr>
          <w:rFonts w:ascii="宋体" w:hAnsi="宋体" w:eastAsia="宋体" w:cs="宋体"/>
          <w:color w:val="000000"/>
          <w:sz w:val="24"/>
          <w:szCs w:val="24"/>
          <w:highlight w:val="none"/>
          <w:lang w:val="en-US" w:eastAsia="zh-CN"/>
        </w:rPr>
      </w:r>
      <w:r/>
    </w:p>
    <w:p>
      <w:pPr>
        <w:pStyle w:val="1112"/>
        <w:spacing w:line="360" w:lineRule="auto"/>
        <w:tabs>
          <w:tab w:val="right" w:pos="8296" w:leader="dot"/>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第六章 投标文件格式</w:t>
      </w:r>
      <w:r>
        <w:rPr>
          <w:rFonts w:hint="eastAsia" w:ascii="宋体" w:hAnsi="宋体" w:eastAsia="宋体" w:cs="宋体"/>
          <w:color w:val="000000"/>
          <w:sz w:val="24"/>
          <w:szCs w:val="24"/>
          <w:highlight w:val="none"/>
        </w:rPr>
        <w:tab/>
      </w:r>
      <w:r>
        <w:rPr>
          <w:rFonts w:hint="eastAsia" w:ascii="宋体" w:hAnsi="宋体" w:cs="宋体"/>
          <w:color w:val="000000"/>
          <w:sz w:val="24"/>
          <w:szCs w:val="24"/>
          <w:highlight w:val="none"/>
          <w:lang w:val="en-US" w:eastAsia="zh-CN"/>
        </w:rPr>
        <w:t xml:space="preserve">35</w:t>
      </w:r>
      <w:r>
        <w:rPr>
          <w:rFonts w:ascii="宋体" w:hAnsi="宋体" w:eastAsia="宋体" w:cs="宋体"/>
          <w:color w:val="000000"/>
          <w:sz w:val="24"/>
          <w:szCs w:val="24"/>
          <w:highlight w:val="none"/>
          <w:lang w:val="en-US" w:eastAsia="zh-CN"/>
        </w:rPr>
      </w:r>
      <w:r/>
    </w:p>
    <w:p>
      <w:pPr>
        <w:pStyle w:val="1084"/>
        <w:spacing w:line="360" w:lineRule="auto"/>
        <w:rPr>
          <w:rFonts w:ascii="宋体" w:hAnsi="宋体"/>
          <w:color w:val="000000"/>
          <w:sz w:val="28"/>
          <w:highlight w:val="none"/>
        </w:rPr>
      </w:pPr>
      <w:r>
        <w:rPr>
          <w:rFonts w:hint="eastAsia" w:ascii="宋体" w:hAnsi="宋体" w:eastAsia="宋体" w:cs="宋体"/>
          <w:color w:val="000000"/>
          <w:sz w:val="24"/>
          <w:szCs w:val="24"/>
          <w:highlight w:val="none"/>
        </w:rPr>
        <w:fldChar w:fldCharType="end"/>
      </w:r>
      <w:r>
        <w:rPr>
          <w:rFonts w:ascii="宋体" w:hAnsi="宋体"/>
          <w:color w:val="000000"/>
          <w:sz w:val="28"/>
          <w:highlight w:val="none"/>
        </w:rPr>
      </w:r>
      <w:r/>
    </w:p>
    <w:p>
      <w:pPr>
        <w:pStyle w:val="1084"/>
        <w:spacing w:line="360" w:lineRule="auto"/>
        <w:rPr>
          <w:color w:val="000000"/>
          <w:highlight w:val="none"/>
        </w:rPr>
      </w:pPr>
      <w:r>
        <w:rPr>
          <w:color w:val="000000"/>
          <w:highlight w:val="none"/>
        </w:rPr>
      </w:r>
      <w:r/>
    </w:p>
    <w:p>
      <w:pPr>
        <w:pStyle w:val="1085"/>
        <w:jc w:val="center"/>
        <w:spacing w:line="360" w:lineRule="auto"/>
        <w:rPr>
          <w:rFonts w:hint="eastAsia" w:ascii="宋体" w:hAnsi="宋体"/>
          <w:color w:val="000000"/>
          <w:sz w:val="36"/>
          <w:szCs w:val="28"/>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bookmarkStart w:id="3" w:name="_Toc109304962"/>
      <w:r>
        <w:rPr>
          <w:rFonts w:hint="eastAsia" w:ascii="宋体" w:hAnsi="宋体"/>
          <w:color w:val="000000"/>
          <w:sz w:val="36"/>
          <w:szCs w:val="28"/>
          <w:highlight w:val="none"/>
        </w:rPr>
      </w:r>
      <w:r/>
    </w:p>
    <w:p>
      <w:pPr>
        <w:pStyle w:val="1085"/>
        <w:jc w:val="center"/>
        <w:spacing w:line="360" w:lineRule="auto"/>
        <w:rPr>
          <w:rFonts w:hint="eastAsia" w:ascii="宋体" w:hAnsi="宋体"/>
          <w:color w:val="000000"/>
          <w:sz w:val="28"/>
          <w:szCs w:val="28"/>
          <w:highlight w:val="none"/>
        </w:rPr>
      </w:pPr>
      <w:r>
        <w:rPr>
          <w:rFonts w:hint="eastAsia" w:ascii="宋体" w:hAnsi="宋体"/>
          <w:color w:val="000000"/>
          <w:sz w:val="36"/>
          <w:szCs w:val="28"/>
          <w:highlight w:val="none"/>
        </w:rPr>
        <w:t xml:space="preserve">第一章 </w:t>
      </w:r>
      <w:bookmarkEnd w:id="3"/>
      <w:r>
        <w:rPr>
          <w:rFonts w:hint="eastAsia" w:ascii="宋体" w:hAnsi="宋体"/>
          <w:color w:val="000000"/>
          <w:sz w:val="36"/>
          <w:szCs w:val="28"/>
          <w:highlight w:val="none"/>
        </w:rPr>
        <w:t xml:space="preserve">投标邀请</w:t>
      </w:r>
      <w:r>
        <w:rPr>
          <w:rFonts w:hint="eastAsia" w:ascii="宋体" w:hAnsi="宋体"/>
          <w:color w:val="000000"/>
          <w:sz w:val="28"/>
          <w:szCs w:val="28"/>
          <w:highlight w:val="none"/>
        </w:rPr>
      </w:r>
      <w:r/>
    </w:p>
    <w:p>
      <w:pPr>
        <w:pStyle w:val="1084"/>
        <w:ind w:left="0" w:right="0" w:firstLine="480"/>
        <w:jc w:val="left"/>
        <w:keepLines w:val="0"/>
        <w:keepNext w:val="0"/>
        <w:pageBreakBefore w:val="0"/>
        <w:spacing w:before="0" w:after="0" w:line="360" w:lineRule="auto"/>
        <w:widowControl w:val="off"/>
        <w:rPr>
          <w:rFonts w:hint="eastAsia"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rPr>
        <w:t xml:space="preserve">受</w:t>
      </w:r>
      <w:r>
        <w:rPr>
          <w:rFonts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eastAsia="zh-CN"/>
        </w:rPr>
        <w:t xml:space="preserve">扬州市公安局</w:t>
      </w:r>
      <w:r>
        <w:rPr>
          <w:rFonts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t xml:space="preserve">的委托，扬州筑苑工程招标咨询有限公司就</w:t>
      </w:r>
      <w:r>
        <w:rPr>
          <w:rFonts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eastAsia="zh-CN"/>
        </w:rPr>
        <w:t xml:space="preserve">扬州市直属监所医疗卫生专业化达标建设项目（二次）</w:t>
      </w:r>
      <w:r>
        <w:rPr>
          <w:rFonts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eastAsia="zh-CN"/>
        </w:rPr>
        <w:t xml:space="preserve">（JSZC-321000-ZYCG-G2026-0010）</w:t>
      </w:r>
      <w:r>
        <w:rPr>
          <w:rFonts w:hint="eastAsia" w:ascii="宋体" w:hAnsi="宋体" w:eastAsia="宋体" w:cs="宋体"/>
          <w:color w:val="000000"/>
          <w:sz w:val="24"/>
          <w:szCs w:val="21"/>
          <w:highlight w:val="none"/>
          <w:lang w:val="en-US" w:eastAsia="zh-CN"/>
        </w:rPr>
        <w:t xml:space="preserve">项目</w:t>
      </w:r>
      <w:r>
        <w:rPr>
          <w:rFonts w:hint="eastAsia" w:ascii="宋体" w:hAnsi="宋体" w:eastAsia="宋体" w:cs="宋体"/>
          <w:color w:val="000000"/>
          <w:sz w:val="24"/>
          <w:szCs w:val="21"/>
          <w:highlight w:val="none"/>
          <w:lang w:eastAsia="zh-CN"/>
        </w:rPr>
        <w:t xml:space="preserve">进行公开招标采购，欢迎符合条件的投标人投标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1084"/>
        <w:ind w:firstLine="482"/>
        <w:pageBreakBefore w:val="0"/>
        <w:spacing w:line="360" w:lineRule="auto"/>
        <w:widowControl w:val="off"/>
        <w:rPr>
          <w:rFonts w:hint="eastAsia" w:ascii="宋体" w:hAnsi="宋体" w:eastAsia="宋体" w:cs="宋体"/>
          <w:b/>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000000"/>
          <w:sz w:val="24"/>
          <w:szCs w:val="24"/>
          <w:highlight w:val="none"/>
        </w:rPr>
        <w:t xml:space="preserve">项目概况：</w:t>
      </w:r>
      <w:r>
        <w:rPr>
          <w:rFonts w:hint="eastAsia" w:ascii="宋体" w:hAnsi="宋体" w:eastAsia="宋体" w:cs="宋体"/>
          <w:b/>
          <w:color w:val="000000"/>
          <w:sz w:val="24"/>
          <w:szCs w:val="24"/>
          <w:highlight w:val="none"/>
        </w:rPr>
      </w:r>
      <w:r/>
    </w:p>
    <w:p>
      <w:pPr>
        <w:pStyle w:val="1084"/>
        <w:ind w:firstLine="480"/>
        <w:pageBreakBefore w:val="0"/>
        <w:spacing w:line="360" w:lineRule="auto"/>
        <w:widowControl w:val="off"/>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扬州市直属监所医疗卫生专业化达标建设项目（二次）</w:t>
      </w:r>
      <w:r>
        <w:rPr>
          <w:rFonts w:hint="eastAsia" w:ascii="宋体" w:hAnsi="宋体" w:eastAsia="宋体" w:cs="宋体"/>
          <w:color w:val="000000"/>
          <w:sz w:val="24"/>
          <w:szCs w:val="24"/>
          <w:highlight w:val="none"/>
          <w:u w:val="single"/>
        </w:rPr>
        <w:t xml:space="preserve">）</w:t>
      </w:r>
      <w:r>
        <w:rPr>
          <w:rFonts w:hint="eastAsia" w:ascii="宋体" w:hAnsi="宋体" w:eastAsia="宋体" w:cs="宋体"/>
          <w:sz w:val="24"/>
          <w:szCs w:val="24"/>
          <w:highlight w:val="none"/>
        </w:rPr>
        <w:t xml:space="preserve">招标项目的潜在投标人可在</w:t>
      </w:r>
      <w:r>
        <w:rPr>
          <w:rFonts w:hint="eastAsia" w:ascii="宋体" w:hAnsi="宋体" w:eastAsia="宋体" w:cs="宋体"/>
          <w:sz w:val="24"/>
          <w:szCs w:val="24"/>
          <w:highlight w:val="none"/>
          <w:u w:val="single"/>
          <w:lang w:eastAsia="zh-CN"/>
        </w:rPr>
        <w:t xml:space="preserve">“江苏政府采购网”、“扬州市政府采购网”</w:t>
      </w:r>
      <w:r>
        <w:rPr>
          <w:rFonts w:hint="eastAsia" w:ascii="宋体" w:hAnsi="宋体" w:eastAsia="宋体" w:cs="宋体"/>
          <w:sz w:val="24"/>
          <w:szCs w:val="24"/>
          <w:highlight w:val="none"/>
          <w:u w:val="single"/>
        </w:rPr>
        <w:t xml:space="preserve">自行免费下载</w:t>
      </w:r>
      <w:r>
        <w:rPr>
          <w:rFonts w:hint="eastAsia" w:ascii="宋体" w:hAnsi="宋体" w:eastAsia="宋体" w:cs="宋体"/>
          <w:sz w:val="24"/>
          <w:szCs w:val="24"/>
          <w:highlight w:val="none"/>
        </w:rPr>
        <w:t xml:space="preserve">招标文件</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eastAsia="zh-CN"/>
        </w:rPr>
        <w:t xml:space="preserve">2026年0</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lang w:eastAsia="zh-CN"/>
        </w:rPr>
        <w:t xml:space="preserve">月</w:t>
      </w:r>
      <w:r>
        <w:rPr>
          <w:rFonts w:hint="eastAsia" w:ascii="宋体" w:hAnsi="宋体" w:eastAsia="宋体" w:cs="宋体"/>
          <w:color w:val="000000"/>
          <w:sz w:val="24"/>
          <w:szCs w:val="24"/>
          <w:highlight w:val="none"/>
          <w:u w:val="single"/>
          <w:lang w:val="en-US" w:eastAsia="zh-CN"/>
        </w:rPr>
        <w:t xml:space="preserve">26</w:t>
      </w:r>
      <w:r>
        <w:rPr>
          <w:rFonts w:hint="eastAsia" w:ascii="宋体" w:hAnsi="宋体" w:eastAsia="宋体" w:cs="宋体"/>
          <w:color w:val="000000"/>
          <w:sz w:val="24"/>
          <w:szCs w:val="24"/>
          <w:highlight w:val="none"/>
          <w:u w:val="single"/>
          <w:lang w:eastAsia="zh-CN"/>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bCs/>
          <w:color w:val="000000"/>
          <w:sz w:val="24"/>
          <w:szCs w:val="24"/>
          <w:highlight w:val="none"/>
          <w:u w:val="single"/>
        </w:rPr>
        <w:t xml:space="preserve">点30分（</w:t>
      </w:r>
      <w:r>
        <w:rPr>
          <w:rFonts w:hint="eastAsia" w:ascii="宋体" w:hAnsi="宋体" w:eastAsia="宋体" w:cs="宋体"/>
          <w:bCs/>
          <w:color w:val="000000"/>
          <w:sz w:val="24"/>
          <w:szCs w:val="24"/>
          <w:highlight w:val="none"/>
        </w:rPr>
        <w:t xml:space="preserve">北</w:t>
      </w:r>
      <w:r>
        <w:rPr>
          <w:rFonts w:hint="eastAsia" w:ascii="宋体" w:hAnsi="宋体" w:eastAsia="宋体" w:cs="宋体"/>
          <w:bCs/>
          <w:sz w:val="24"/>
          <w:szCs w:val="24"/>
          <w:highlight w:val="none"/>
        </w:rPr>
        <w:t xml:space="preserve">京时间）前递交投标文件</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r>
      <w:r/>
    </w:p>
    <w:p>
      <w:pPr>
        <w:pStyle w:val="1086"/>
        <w:pageBreakBefore w:val="0"/>
        <w:spacing w:before="0" w:after="0" w:line="360" w:lineRule="auto"/>
        <w:widowControl w:val="off"/>
        <w:rPr>
          <w:rFonts w:hint="eastAsia" w:ascii="宋体" w:hAnsi="宋体" w:eastAsia="宋体" w:cs="宋体"/>
          <w:bCs w:val="0"/>
          <w:color w:val="000000"/>
          <w:sz w:val="24"/>
          <w:szCs w:val="24"/>
          <w:highlight w:val="none"/>
        </w:rPr>
      </w:pPr>
      <w:r/>
      <w:bookmarkStart w:id="4" w:name="_Toc109304963"/>
      <w:r>
        <w:rPr>
          <w:rFonts w:hint="eastAsia" w:ascii="宋体" w:hAnsi="宋体" w:eastAsia="宋体" w:cs="宋体"/>
          <w:bCs w:val="0"/>
          <w:color w:val="000000"/>
          <w:sz w:val="24"/>
          <w:szCs w:val="24"/>
          <w:highlight w:val="none"/>
        </w:rPr>
        <w:t xml:space="preserve">一、项目基本情况</w:t>
      </w:r>
      <w:bookmarkEnd w:id="4"/>
      <w:r>
        <w:rPr>
          <w:rFonts w:hint="eastAsia" w:ascii="宋体" w:hAnsi="宋体" w:eastAsia="宋体" w:cs="宋体"/>
          <w:bCs w:val="0"/>
          <w:color w:val="000000"/>
          <w:sz w:val="24"/>
          <w:szCs w:val="24"/>
          <w:highlight w:val="none"/>
        </w:rPr>
      </w:r>
      <w:r/>
    </w:p>
    <w:p>
      <w:pPr>
        <w:pStyle w:val="108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JSZC-321000-ZYCG-G2026-0010</w:t>
      </w:r>
      <w:r/>
    </w:p>
    <w:p>
      <w:pPr>
        <w:pStyle w:val="1084"/>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扬州市直属监所医疗卫生专业化达标建设项目（二次）</w:t>
      </w:r>
      <w:r>
        <w:rPr>
          <w:rFonts w:hint="eastAsia" w:ascii="宋体" w:hAnsi="宋体" w:eastAsia="宋体" w:cs="宋体"/>
          <w:color w:val="000000"/>
          <w:sz w:val="24"/>
          <w:szCs w:val="24"/>
          <w:highlight w:val="none"/>
          <w:lang w:eastAsia="zh-CN"/>
        </w:rPr>
      </w:r>
      <w:r/>
    </w:p>
    <w:p>
      <w:pPr>
        <w:pStyle w:val="1084"/>
        <w:ind w:firstLine="480"/>
        <w:pageBreakBefore w:val="0"/>
        <w:spacing w:line="360" w:lineRule="auto"/>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330</w:t>
      </w:r>
      <w:r>
        <w:rPr>
          <w:rFonts w:hint="eastAsia" w:ascii="宋体" w:hAnsi="宋体" w:eastAsia="宋体" w:cs="宋体"/>
          <w:color w:val="000000"/>
          <w:sz w:val="24"/>
          <w:szCs w:val="24"/>
          <w:highlight w:val="none"/>
          <w:lang w:eastAsia="zh-CN"/>
        </w:rPr>
        <w:t xml:space="preserve">万元</w:t>
      </w:r>
      <w:r>
        <w:rPr>
          <w:rFonts w:ascii="宋体" w:hAnsi="宋体" w:eastAsia="宋体" w:cs="宋体"/>
          <w:color w:val="000000"/>
          <w:sz w:val="24"/>
          <w:szCs w:val="24"/>
          <w:highlight w:val="none"/>
          <w:lang w:val="en-US"/>
        </w:rPr>
      </w:r>
      <w:r/>
    </w:p>
    <w:p>
      <w:pPr>
        <w:pStyle w:val="1084"/>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.本项目设置最高限价，最高限价为</w:t>
      </w:r>
      <w:r>
        <w:rPr>
          <w:rFonts w:hint="eastAsia" w:ascii="宋体" w:hAnsi="宋体" w:eastAsia="宋体" w:cs="宋体"/>
          <w:color w:val="000000"/>
          <w:sz w:val="24"/>
          <w:szCs w:val="24"/>
          <w:highlight w:val="none"/>
          <w:lang w:val="en-US" w:eastAsia="zh-CN"/>
        </w:rPr>
        <w:t xml:space="preserve">330万元</w:t>
      </w:r>
      <w:r>
        <w:rPr>
          <w:rFonts w:hint="eastAsia" w:ascii="宋体" w:hAnsi="宋体" w:eastAsia="宋体" w:cs="宋体"/>
          <w:color w:val="000000"/>
          <w:sz w:val="24"/>
          <w:szCs w:val="24"/>
          <w:highlight w:val="none"/>
        </w:rPr>
        <w:t xml:space="preserve">，最后报价超过最高限价的为无效报价，按照无效响</w:t>
      </w:r>
      <w:r>
        <w:rPr>
          <w:rFonts w:hint="eastAsia" w:ascii="宋体" w:hAnsi="宋体" w:eastAsia="宋体" w:cs="宋体"/>
          <w:color w:val="000000"/>
          <w:sz w:val="24"/>
          <w:szCs w:val="24"/>
          <w:highlight w:val="none"/>
        </w:rPr>
        <w:t xml:space="preserve">应处理。</w:t>
      </w:r>
      <w:r>
        <w:rPr>
          <w:rFonts w:hint="eastAsia" w:ascii="宋体" w:hAnsi="宋体" w:eastAsia="宋体" w:cs="宋体"/>
          <w:color w:val="000000"/>
          <w:sz w:val="24"/>
          <w:szCs w:val="24"/>
          <w:highlight w:val="none"/>
        </w:rPr>
      </w:r>
      <w:r/>
    </w:p>
    <w:p>
      <w:pPr>
        <w:pStyle w:val="108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简介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拟由扬州市区综合性医院派驻专业人员负责市直属监所医疗保障和体检中心新入所人员健康体检等工作，并提供配套医疗设施保障服务。</w:t>
      </w:r>
      <w:r>
        <w:rPr>
          <w:rFonts w:hint="eastAsia" w:ascii="宋体" w:hAnsi="宋体" w:eastAsia="宋体" w:cs="宋体"/>
          <w:color w:val="000000"/>
          <w:sz w:val="24"/>
          <w:szCs w:val="24"/>
          <w:highlight w:val="none"/>
        </w:rPr>
        <w:t xml:space="preserve">详细内容见本招标文件第四章。</w:t>
      </w:r>
      <w:r>
        <w:rPr>
          <w:rFonts w:hint="eastAsia" w:ascii="宋体" w:hAnsi="宋体" w:eastAsia="宋体" w:cs="宋体"/>
          <w:color w:val="000000"/>
          <w:sz w:val="24"/>
          <w:szCs w:val="24"/>
          <w:highlight w:val="none"/>
        </w:rPr>
      </w:r>
      <w:r/>
    </w:p>
    <w:p>
      <w:pPr>
        <w:pStyle w:val="108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eastAsia="zh-CN"/>
        </w:rPr>
        <w:t xml:space="preserve">服务期限为1年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86"/>
        <w:pageBreakBefore w:val="0"/>
        <w:spacing w:before="0" w:after="0" w:line="360" w:lineRule="auto"/>
        <w:widowControl w:val="off"/>
        <w:rPr>
          <w:rFonts w:hint="eastAsia" w:ascii="宋体" w:hAnsi="宋体" w:eastAsia="宋体" w:cs="宋体"/>
          <w:bCs w:val="0"/>
          <w:color w:val="000000"/>
          <w:sz w:val="24"/>
          <w:szCs w:val="24"/>
          <w:highlight w:val="none"/>
        </w:rPr>
      </w:pPr>
      <w:r/>
      <w:bookmarkStart w:id="5" w:name="_Toc109304964"/>
      <w:r>
        <w:rPr>
          <w:rFonts w:hint="eastAsia" w:ascii="宋体" w:hAnsi="宋体" w:eastAsia="宋体" w:cs="宋体"/>
          <w:bCs w:val="0"/>
          <w:color w:val="000000"/>
          <w:sz w:val="24"/>
          <w:szCs w:val="24"/>
          <w:highlight w:val="none"/>
        </w:rPr>
        <w:t xml:space="preserve">二、申请人的资格要求：</w:t>
      </w:r>
      <w:bookmarkEnd w:id="5"/>
      <w:r>
        <w:rPr>
          <w:rFonts w:hint="eastAsia" w:ascii="宋体" w:hAnsi="宋体" w:eastAsia="宋体" w:cs="宋体"/>
          <w:bCs w:val="0"/>
          <w:color w:val="000000"/>
          <w:sz w:val="24"/>
          <w:szCs w:val="24"/>
          <w:highlight w:val="none"/>
        </w:rPr>
      </w:r>
      <w:r/>
    </w:p>
    <w:p>
      <w:pPr>
        <w:pStyle w:val="1084"/>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（一）通用资格要求</w:t>
      </w:r>
      <w:r>
        <w:rPr>
          <w:rFonts w:hint="eastAsia" w:ascii="宋体" w:hAnsi="宋体" w:eastAsia="宋体" w:cs="宋体"/>
          <w:color w:val="000000"/>
          <w:sz w:val="24"/>
          <w:szCs w:val="24"/>
          <w:highlight w:val="none"/>
        </w:rPr>
      </w:r>
      <w:r/>
    </w:p>
    <w:p>
      <w:pPr>
        <w:pStyle w:val="1084"/>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1.满足《中华人民共和国政府采购法》第二十二条规定，并提供下列材料：</w:t>
      </w:r>
      <w:r>
        <w:rPr>
          <w:rFonts w:hint="eastAsia" w:ascii="宋体" w:hAnsi="宋体" w:eastAsia="宋体" w:cs="宋体"/>
          <w:i/>
          <w:iCs/>
          <w:color w:val="000000"/>
          <w:sz w:val="24"/>
          <w:szCs w:val="24"/>
          <w:highlight w:val="none"/>
          <w:u w:val="single"/>
        </w:rPr>
      </w:r>
      <w:r/>
    </w:p>
    <w:p>
      <w:pPr>
        <w:pStyle w:val="1084"/>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 法人或者其他组织的营业执照等证明文件，自然人的身份证明；</w:t>
      </w:r>
      <w:r>
        <w:rPr>
          <w:rFonts w:hint="eastAsia" w:ascii="宋体" w:hAnsi="宋体" w:eastAsia="宋体" w:cs="宋体"/>
          <w:i/>
          <w:iCs/>
          <w:color w:val="000000"/>
          <w:sz w:val="24"/>
          <w:szCs w:val="24"/>
          <w:highlight w:val="none"/>
          <w:u w:val="single"/>
        </w:rPr>
      </w:r>
      <w:r/>
    </w:p>
    <w:p>
      <w:pPr>
        <w:pStyle w:val="1084"/>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w:t>
      </w:r>
      <w:r>
        <w:rPr>
          <w:rFonts w:hint="eastAsia" w:ascii="宋体" w:hAnsi="宋体" w:eastAsia="宋体" w:cs="宋体"/>
          <w:i/>
          <w:iCs/>
          <w:color w:val="000000"/>
          <w:sz w:val="24"/>
          <w:szCs w:val="24"/>
          <w:highlight w:val="none"/>
          <w:u w:val="single"/>
          <w:lang w:eastAsia="zh-CN"/>
        </w:rPr>
        <w:t xml:space="preserve">上一年度（2025年度）的财务状况报告</w:t>
      </w:r>
      <w:r>
        <w:rPr>
          <w:rFonts w:hint="eastAsia" w:ascii="宋体" w:hAnsi="宋体" w:eastAsia="宋体" w:cs="宋体"/>
          <w:i/>
          <w:iCs/>
          <w:color w:val="000000"/>
          <w:sz w:val="24"/>
          <w:szCs w:val="24"/>
          <w:highlight w:val="none"/>
          <w:u w:val="single"/>
        </w:rPr>
        <w:t xml:space="preserve">（成立不满一年无需提供）；</w:t>
      </w:r>
      <w:r>
        <w:rPr>
          <w:rFonts w:hint="eastAsia" w:ascii="宋体" w:hAnsi="宋体" w:eastAsia="宋体" w:cs="宋体"/>
          <w:i/>
          <w:iCs/>
          <w:color w:val="000000"/>
          <w:sz w:val="24"/>
          <w:szCs w:val="24"/>
          <w:highlight w:val="none"/>
          <w:u w:val="single"/>
        </w:rPr>
      </w:r>
      <w:r/>
    </w:p>
    <w:p>
      <w:pPr>
        <w:pStyle w:val="1084"/>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rPr>
          <w:rFonts w:hint="eastAsia" w:ascii="宋体" w:hAnsi="宋体" w:eastAsia="宋体" w:cs="宋体"/>
          <w:i/>
          <w:iCs/>
          <w:color w:val="000000"/>
          <w:sz w:val="24"/>
          <w:szCs w:val="24"/>
          <w:highlight w:val="none"/>
          <w:u w:val="single"/>
        </w:rPr>
      </w:r>
      <w:r/>
    </w:p>
    <w:p>
      <w:pPr>
        <w:pStyle w:val="1084"/>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1.4具备履行合同所必需的设备和专业技术能力的书面声明；</w:t>
      </w:r>
      <w:r>
        <w:rPr>
          <w:rFonts w:hint="eastAsia" w:ascii="宋体" w:hAnsi="宋体" w:eastAsia="宋体" w:cs="宋体"/>
          <w:i/>
          <w:iCs/>
          <w:color w:val="000000"/>
          <w:sz w:val="24"/>
          <w:szCs w:val="24"/>
          <w:highlight w:val="none"/>
          <w:u w:val="single"/>
        </w:rPr>
      </w:r>
      <w:r/>
    </w:p>
    <w:p>
      <w:pPr>
        <w:pStyle w:val="1084"/>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1.5参加政府采购活动前3年内在经营活动中没有重大违法记录的书面声明；</w:t>
      </w:r>
      <w:r>
        <w:rPr>
          <w:rFonts w:hint="eastAsia" w:ascii="宋体" w:hAnsi="宋体" w:eastAsia="宋体" w:cs="宋体"/>
          <w:i/>
          <w:iCs/>
          <w:color w:val="000000"/>
          <w:sz w:val="24"/>
          <w:szCs w:val="24"/>
          <w:highlight w:val="none"/>
          <w:u w:val="single"/>
        </w:rPr>
      </w:r>
      <w:r/>
    </w:p>
    <w:p>
      <w:pPr>
        <w:pStyle w:val="1084"/>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1.6</w:t>
      </w:r>
      <w:r>
        <w:rPr>
          <w:rFonts w:hint="eastAsia" w:ascii="宋体" w:hAnsi="宋体" w:eastAsia="宋体" w:cs="宋体"/>
          <w:i/>
          <w:iCs/>
          <w:color w:val="000000"/>
          <w:sz w:val="24"/>
          <w:szCs w:val="24"/>
          <w:highlight w:val="none"/>
          <w:u w:val="single"/>
          <w:lang w:eastAsia="zh-CN"/>
        </w:rPr>
        <w:t xml:space="preserve">投标人</w:t>
      </w:r>
      <w:r>
        <w:rPr>
          <w:rFonts w:hint="eastAsia" w:ascii="宋体" w:hAnsi="宋体" w:eastAsia="宋体" w:cs="宋体"/>
          <w:i/>
          <w:iCs/>
          <w:color w:val="000000"/>
          <w:sz w:val="24"/>
          <w:szCs w:val="24"/>
          <w:highlight w:val="none"/>
          <w:u w:val="single"/>
        </w:rPr>
        <w:t xml:space="preserve">信用承诺函；</w:t>
      </w:r>
      <w:r>
        <w:rPr>
          <w:rFonts w:hint="eastAsia" w:ascii="宋体" w:hAnsi="宋体" w:eastAsia="宋体" w:cs="宋体"/>
          <w:i/>
          <w:iCs/>
          <w:color w:val="000000"/>
          <w:sz w:val="24"/>
          <w:szCs w:val="24"/>
          <w:highlight w:val="none"/>
          <w:u w:val="single"/>
        </w:rPr>
      </w:r>
      <w:r/>
    </w:p>
    <w:p>
      <w:pPr>
        <w:pStyle w:val="1084"/>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2.未被“信用中国”网站（www.creditchina.gov.cn）、“中国政府采购网</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eastAsia="宋体" w:cs="宋体"/>
          <w:i/>
          <w:iCs/>
          <w:color w:val="000000"/>
          <w:sz w:val="24"/>
          <w:szCs w:val="24"/>
          <w:highlight w:val="none"/>
          <w:u w:val="single"/>
        </w:rPr>
      </w:r>
      <w:r/>
    </w:p>
    <w:p>
      <w:pPr>
        <w:pStyle w:val="1084"/>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3.落实政府采购政策需满足的资格要</w:t>
      </w:r>
      <w:r>
        <w:rPr>
          <w:rFonts w:hint="eastAsia" w:ascii="宋体" w:hAnsi="宋体" w:eastAsia="宋体" w:cs="宋体"/>
          <w:color w:val="000000"/>
          <w:sz w:val="24"/>
          <w:szCs w:val="24"/>
          <w:highlight w:val="none"/>
        </w:rPr>
        <w:t xml:space="preserve">求：</w:t>
      </w:r>
      <w:r>
        <w:rPr>
          <w:rFonts w:hint="eastAsia" w:ascii="宋体" w:hAnsi="宋体" w:eastAsia="宋体" w:cs="宋体"/>
          <w:sz w:val="24"/>
          <w:szCs w:val="24"/>
          <w:highlight w:val="none"/>
          <w:lang w:val="en-US" w:eastAsia="zh-CN"/>
        </w:rPr>
        <w:t xml:space="preserve">无</w:t>
      </w:r>
      <w:r>
        <w:rPr>
          <w:rFonts w:hint="eastAsia" w:ascii="宋体" w:hAnsi="宋体" w:eastAsia="宋体" w:cs="宋体"/>
          <w:color w:val="000000"/>
          <w:sz w:val="24"/>
          <w:szCs w:val="24"/>
          <w:highlight w:val="none"/>
          <w:lang w:eastAsia="zh-CN"/>
        </w:rPr>
      </w:r>
      <w:r/>
    </w:p>
    <w:p>
      <w:pPr>
        <w:pStyle w:val="108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cs="宋体"/>
          <w:sz w:val="24"/>
          <w:szCs w:val="24"/>
          <w:highlight w:val="none"/>
        </w:rPr>
        <w:t xml:space="preserve">本项目（是/否）接受联合体投标：否</w:t>
      </w:r>
      <w:r>
        <w:rPr>
          <w:rFonts w:hint="eastAsia" w:ascii="宋体" w:hAnsi="宋体" w:eastAsia="宋体" w:cs="宋体"/>
          <w:color w:val="000000"/>
          <w:sz w:val="24"/>
          <w:szCs w:val="24"/>
          <w:highlight w:val="none"/>
        </w:rPr>
      </w:r>
      <w:r/>
    </w:p>
    <w:p>
      <w:pPr>
        <w:pStyle w:val="108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5.</w:t>
      </w:r>
      <w:r>
        <w:rPr>
          <w:rFonts w:hint="eastAsia" w:ascii="宋体" w:hAnsi="宋体" w:cs="宋体"/>
          <w:sz w:val="24"/>
          <w:szCs w:val="24"/>
          <w:highlight w:val="none"/>
        </w:rPr>
        <w:t xml:space="preserve">本项目（是/否）</w:t>
      </w:r>
      <w:r>
        <w:rPr>
          <w:rFonts w:ascii="宋体" w:hAnsi="宋体" w:eastAsia="宋体" w:cs="宋体"/>
          <w:color w:val="000000"/>
          <w:sz w:val="24"/>
          <w:highlight w:val="none"/>
        </w:rPr>
        <w:t xml:space="preserve">接受进口产品</w:t>
      </w:r>
      <w:r>
        <w:rPr>
          <w:rFonts w:ascii="宋体" w:hAnsi="宋体" w:eastAsia="宋体" w:cs="宋体"/>
          <w:color w:val="000000"/>
          <w:sz w:val="24"/>
          <w:highlight w:val="none"/>
        </w:rPr>
        <w:t xml:space="preserve">投标</w:t>
      </w:r>
      <w:r>
        <w:rPr>
          <w:rFonts w:hint="eastAsia" w:ascii="宋体" w:hAnsi="宋体" w:eastAsia="宋体" w:cs="宋体"/>
          <w:color w:val="000000"/>
          <w:sz w:val="24"/>
          <w:highlight w:val="none"/>
        </w:rPr>
        <w:t xml:space="preserve">：否（注：指产品而非构成产品的零部件或者原材料，本文件所称进口产品是指通过中国海关报关验放进入中国境内且产自关境外的产品）</w:t>
      </w:r>
      <w:r>
        <w:rPr>
          <w:rFonts w:hint="eastAsia" w:ascii="宋体" w:hAnsi="宋体" w:eastAsia="宋体" w:cs="宋体"/>
          <w:color w:val="000000"/>
          <w:sz w:val="24"/>
          <w:szCs w:val="24"/>
          <w:highlight w:val="none"/>
        </w:rPr>
      </w:r>
      <w:r/>
    </w:p>
    <w:p>
      <w:pPr>
        <w:pStyle w:val="1084"/>
        <w:ind w:firstLine="48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i/>
          <w:iCs/>
          <w:color w:val="000000"/>
          <w:sz w:val="24"/>
          <w:szCs w:val="24"/>
          <w:highlight w:val="none"/>
          <w:u w:val="single"/>
          <w:lang w:eastAsia="zh-CN"/>
        </w:rPr>
        <w:t xml:space="preserve">投标人应为综合性医院，且应具有有效期内的医疗执业机构许可证</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t xml:space="preserve">（提供医疗执业机构许可证正本及副本原件，扫描上传）</w:t>
      </w:r>
      <w:r>
        <w:rPr>
          <w:rFonts w:hint="eastAsia" w:ascii="宋体" w:hAnsi="宋体" w:eastAsia="宋体" w:cs="宋体"/>
          <w:i/>
          <w:iCs/>
          <w:color w:val="000000"/>
          <w:sz w:val="24"/>
          <w:szCs w:val="24"/>
          <w:highlight w:val="none"/>
          <w:u w:val="single"/>
        </w:rPr>
      </w:r>
      <w:r/>
    </w:p>
    <w:p>
      <w:pPr>
        <w:pStyle w:val="1086"/>
        <w:pageBreakBefore w:val="0"/>
        <w:spacing w:before="0" w:after="0" w:line="360" w:lineRule="auto"/>
        <w:widowControl w:val="off"/>
        <w:rPr>
          <w:rFonts w:hint="eastAsia" w:ascii="宋体" w:hAnsi="宋体" w:eastAsia="宋体" w:cs="宋体"/>
          <w:bCs w:val="0"/>
          <w:color w:val="000000"/>
          <w:sz w:val="24"/>
          <w:szCs w:val="24"/>
          <w:highlight w:val="none"/>
        </w:rPr>
      </w:pPr>
      <w:r/>
      <w:bookmarkStart w:id="6" w:name="_Toc109304965"/>
      <w:r>
        <w:rPr>
          <w:rFonts w:hint="eastAsia" w:ascii="宋体" w:hAnsi="宋体" w:eastAsia="宋体" w:cs="宋体"/>
          <w:bCs w:val="0"/>
          <w:color w:val="000000"/>
          <w:sz w:val="24"/>
          <w:szCs w:val="24"/>
          <w:highlight w:val="none"/>
        </w:rPr>
        <w:t xml:space="preserve">三、获取采购文件</w:t>
      </w:r>
      <w:bookmarkEnd w:id="6"/>
      <w:r>
        <w:rPr>
          <w:rFonts w:hint="eastAsia" w:ascii="宋体" w:hAnsi="宋体" w:eastAsia="宋体" w:cs="宋体"/>
          <w:bCs w:val="0"/>
          <w:color w:val="000000"/>
          <w:sz w:val="24"/>
          <w:szCs w:val="24"/>
          <w:highlight w:val="none"/>
        </w:rPr>
      </w:r>
      <w:r/>
    </w:p>
    <w:p>
      <w:pPr>
        <w:pStyle w:val="1084"/>
        <w:ind w:firstLine="480"/>
        <w:spacing w:line="360" w:lineRule="auto"/>
        <w:rPr>
          <w:rFonts w:hint="eastAsia" w:ascii="宋体" w:hAnsi="宋体" w:eastAsia="宋体" w:cs="宋体"/>
          <w:sz w:val="24"/>
          <w:szCs w:val="24"/>
          <w:highlight w:val="none"/>
        </w:rPr>
      </w:pPr>
      <w:r/>
      <w:bookmarkStart w:id="7" w:name="_Toc109304966"/>
      <w:r>
        <w:rPr>
          <w:rFonts w:hint="eastAsia" w:ascii="宋体" w:hAnsi="宋体" w:eastAsia="宋体" w:cs="宋体"/>
          <w:sz w:val="24"/>
          <w:szCs w:val="24"/>
          <w:highlight w:val="none"/>
        </w:rPr>
        <w:t xml:space="preserve">1.时间：自招标文件公告发布之日起5个工作日。</w:t>
      </w:r>
      <w:r>
        <w:rPr>
          <w:rFonts w:hint="eastAsia" w:ascii="宋体" w:hAnsi="宋体" w:eastAsia="宋体" w:cs="宋体"/>
          <w:sz w:val="24"/>
          <w:szCs w:val="24"/>
          <w:highlight w:val="none"/>
        </w:rPr>
      </w:r>
      <w:r/>
    </w:p>
    <w:p>
      <w:pPr>
        <w:pStyle w:val="108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2.方式：在</w:t>
      </w:r>
      <w:r>
        <w:rPr>
          <w:rFonts w:hint="eastAsia" w:ascii="宋体" w:hAnsi="宋体" w:eastAsia="宋体" w:cs="宋体"/>
          <w:sz w:val="24"/>
          <w:szCs w:val="24"/>
          <w:highlight w:val="none"/>
          <w:lang w:eastAsia="zh-CN"/>
        </w:rPr>
        <w:t xml:space="preserve">“江苏政府采购网”、“扬州市政府采购网”</w:t>
      </w:r>
      <w:r>
        <w:rPr>
          <w:rFonts w:hint="eastAsia" w:ascii="宋体" w:hAnsi="宋体" w:eastAsia="宋体" w:cs="宋体"/>
          <w:sz w:val="24"/>
          <w:szCs w:val="24"/>
          <w:highlight w:val="none"/>
        </w:rPr>
        <w:t xml:space="preserve">自行免费下载招标文件。</w:t>
      </w:r>
      <w:r>
        <w:rPr>
          <w:rFonts w:hint="eastAsia" w:ascii="宋体" w:hAnsi="宋体" w:eastAsia="宋体" w:cs="宋体"/>
          <w:sz w:val="24"/>
          <w:szCs w:val="24"/>
          <w:highlight w:val="none"/>
        </w:rPr>
      </w:r>
      <w:r/>
    </w:p>
    <w:p>
      <w:pPr>
        <w:pStyle w:val="1086"/>
        <w:pageBreakBefore w:val="0"/>
        <w:spacing w:before="0" w:after="0" w:line="360" w:lineRule="auto"/>
        <w:widowControl w:val="off"/>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四、</w:t>
      </w:r>
      <w:bookmarkEnd w:id="7"/>
      <w:r>
        <w:rPr>
          <w:rFonts w:hint="eastAsia" w:ascii="宋体" w:hAnsi="宋体" w:eastAsia="宋体" w:cs="宋体"/>
          <w:bCs w:val="0"/>
          <w:color w:val="000000"/>
          <w:sz w:val="24"/>
          <w:szCs w:val="24"/>
          <w:highlight w:val="none"/>
        </w:rPr>
        <w:t xml:space="preserve">提交投标文件截止时间、开标时间和地点</w:t>
      </w:r>
      <w:r>
        <w:rPr>
          <w:rFonts w:hint="eastAsia" w:ascii="宋体" w:hAnsi="宋体" w:eastAsia="宋体" w:cs="宋体"/>
          <w:bCs w:val="0"/>
          <w:color w:val="000000"/>
          <w:sz w:val="24"/>
          <w:szCs w:val="24"/>
          <w:highlight w:val="none"/>
        </w:rPr>
      </w:r>
      <w:r/>
    </w:p>
    <w:p>
      <w:pPr>
        <w:pStyle w:val="1084"/>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bookmarkStart w:id="8" w:name="_Toc109304968"/>
      <w:r>
        <w:rPr>
          <w:rFonts w:ascii="宋体" w:hAnsi="宋体" w:eastAsia="宋体" w:cs="宋体"/>
          <w:color w:val="000000"/>
          <w:sz w:val="24"/>
          <w:highlight w:val="none"/>
          <w:u w:val="none"/>
        </w:rPr>
        <w:t xml:space="preserve">1.</w:t>
      </w:r>
      <w:r>
        <w:rPr>
          <w:rFonts w:hint="eastAsia" w:ascii="宋体" w:hAnsi="宋体" w:eastAsia="宋体" w:cs="宋体"/>
          <w:color w:val="000000"/>
          <w:sz w:val="24"/>
          <w:highlight w:val="none"/>
          <w:lang w:eastAsia="zh-CN"/>
        </w:rPr>
        <w:t xml:space="preserve">2026年06月26日09点30分</w:t>
      </w:r>
      <w:r>
        <w:rPr>
          <w:rFonts w:ascii="宋体" w:hAnsi="宋体" w:eastAsia="宋体" w:cs="宋体"/>
          <w:color w:val="000000"/>
          <w:sz w:val="24"/>
          <w:highlight w:val="none"/>
          <w:u w:val="none"/>
        </w:rPr>
        <w:t xml:space="preserve">（</w:t>
      </w:r>
      <w:r>
        <w:rPr>
          <w:rFonts w:ascii="宋体" w:hAnsi="宋体" w:eastAsia="宋体" w:cs="宋体"/>
          <w:color w:val="000000"/>
          <w:sz w:val="24"/>
          <w:highlight w:val="none"/>
        </w:rPr>
        <w:t xml:space="preserve">北京时间）</w:t>
      </w:r>
      <w:r>
        <w:rPr>
          <w:highlight w:val="none"/>
        </w:rPr>
      </w:r>
      <w:r/>
    </w:p>
    <w:p>
      <w:pPr>
        <w:pStyle w:val="1084"/>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2.地点：“苏采云”政府采购交易系统。</w:t>
      </w:r>
      <w:r>
        <w:rPr>
          <w:highlight w:val="none"/>
        </w:rPr>
      </w:r>
      <w:r/>
    </w:p>
    <w:p>
      <w:pPr>
        <w:pStyle w:val="1086"/>
        <w:pageBreakBefore w:val="0"/>
        <w:spacing w:before="0" w:after="0" w:line="360" w:lineRule="auto"/>
        <w:widowControl w:val="off"/>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lang w:val="en-US" w:eastAsia="zh-CN"/>
        </w:rPr>
        <w:t xml:space="preserve">五</w:t>
      </w:r>
      <w:r>
        <w:rPr>
          <w:rFonts w:hint="eastAsia" w:ascii="宋体" w:hAnsi="宋体" w:eastAsia="宋体" w:cs="宋体"/>
          <w:bCs w:val="0"/>
          <w:color w:val="000000"/>
          <w:sz w:val="24"/>
          <w:szCs w:val="24"/>
          <w:highlight w:val="none"/>
        </w:rPr>
        <w:t xml:space="preserve">、公告期限</w:t>
      </w:r>
      <w:bookmarkEnd w:id="8"/>
      <w:r>
        <w:rPr>
          <w:rFonts w:hint="eastAsia" w:ascii="宋体" w:hAnsi="宋体" w:eastAsia="宋体" w:cs="宋体"/>
          <w:bCs w:val="0"/>
          <w:color w:val="000000"/>
          <w:sz w:val="24"/>
          <w:szCs w:val="24"/>
          <w:highlight w:val="none"/>
        </w:rPr>
      </w:r>
      <w:r/>
    </w:p>
    <w:p>
      <w:pPr>
        <w:pStyle w:val="1084"/>
        <w:ind w:firstLine="480"/>
        <w:pageBreakBefore w:val="0"/>
        <w:spacing w:line="360" w:lineRule="auto"/>
        <w:widowControl w:val="off"/>
        <w:rPr>
          <w:rFonts w:hint="eastAsia" w:ascii="宋体" w:hAnsi="宋体" w:eastAsia="宋体" w:cs="宋体"/>
          <w:color w:val="000000"/>
          <w:sz w:val="24"/>
          <w:szCs w:val="24"/>
          <w:highlight w:val="none"/>
        </w:rPr>
      </w:pPr>
      <w:r/>
      <w:bookmarkStart w:id="9" w:name="_Toc109304969"/>
      <w:r>
        <w:rPr>
          <w:rFonts w:hint="eastAsia" w:ascii="宋体" w:hAnsi="宋体" w:eastAsia="宋体" w:cs="宋体"/>
          <w:color w:val="000000"/>
          <w:sz w:val="24"/>
          <w:szCs w:val="24"/>
          <w:highlight w:val="none"/>
        </w:rPr>
        <w:t xml:space="preserve">为自本公告发布之日起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1086"/>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、其他补充事宜</w:t>
      </w:r>
      <w:bookmarkEnd w:id="9"/>
      <w:r>
        <w:rPr>
          <w:rFonts w:hint="eastAsia" w:ascii="宋体" w:hAnsi="宋体" w:eastAsia="宋体" w:cs="宋体"/>
          <w:color w:val="000000"/>
          <w:sz w:val="24"/>
          <w:szCs w:val="24"/>
          <w:highlight w:val="none"/>
        </w:rPr>
      </w:r>
      <w:r/>
    </w:p>
    <w:p>
      <w:pPr>
        <w:pStyle w:val="1084"/>
        <w:ind w:firstLine="420"/>
        <w:jc w:val="left"/>
        <w:spacing w:line="360" w:lineRule="auto"/>
        <w:widowControl/>
        <w:rPr>
          <w:rFonts w:hint="eastAsia" w:ascii="宋体" w:hAnsi="宋体" w:eastAsia="宋体" w:cs="宋体"/>
          <w:sz w:val="24"/>
          <w:szCs w:val="24"/>
          <w:highlight w:val="none"/>
        </w:rPr>
      </w:pPr>
      <w:r/>
      <w:bookmarkStart w:id="10" w:name="_Toc109304970"/>
      <w:r>
        <w:rPr>
          <w:rFonts w:hint="eastAsia" w:ascii="宋体" w:hAnsi="宋体" w:eastAsia="宋体" w:cs="宋体"/>
          <w:sz w:val="24"/>
          <w:szCs w:val="24"/>
          <w:highlight w:val="none"/>
        </w:rPr>
        <w:t xml:space="preserve">1.潜在投标人访问政府采购管理交易系统（苏采云）的网络地址和方法：</w:t>
      </w:r>
      <w:r>
        <w:rPr>
          <w:rFonts w:hint="eastAsia" w:ascii="宋体" w:hAnsi="宋体" w:eastAsia="宋体" w:cs="宋体"/>
          <w:sz w:val="24"/>
          <w:szCs w:val="24"/>
          <w:highlight w:val="none"/>
        </w:rPr>
      </w:r>
      <w:r/>
    </w:p>
    <w:p>
      <w:pPr>
        <w:pStyle w:val="10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sz w:val="24"/>
          <w:szCs w:val="24"/>
          <w:highlight w:val="none"/>
        </w:rPr>
      </w:r>
      <w:r/>
    </w:p>
    <w:p>
      <w:pPr>
        <w:pStyle w:val="10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sz w:val="24"/>
          <w:szCs w:val="24"/>
          <w:highlight w:val="none"/>
        </w:rPr>
      </w:r>
      <w:r/>
    </w:p>
    <w:p>
      <w:pPr>
        <w:pStyle w:val="10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（3）“CA数字证书”的办理材料以及供应商操作手册详见：</w:t>
      </w:r>
      <w:r>
        <w:rPr>
          <w:rFonts w:hint="eastAsia" w:ascii="宋体" w:hAnsi="宋体" w:eastAsia="宋体" w:cs="宋体"/>
          <w:sz w:val="24"/>
          <w:szCs w:val="24"/>
          <w:highlight w:val="none"/>
        </w:rPr>
      </w:r>
      <w:r/>
    </w:p>
    <w:p>
      <w:pPr>
        <w:pStyle w:val="10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INCLUDEPICTURE \d "C:\\Users\\l\\AppData\\Roaming\\Tencent\\QQ\\Temp\\%W@GJ$ACOF(TYDYECOKVDYB.png" \* MERGEFORMATINET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http://zfcg.yangzhou.gov.cn/zfcg/xzzx/202309/4d7de1f7865f4a2894fc22bc452f94d8.shtml。</w:t>
      </w:r>
      <w:r>
        <w:rPr>
          <w:rFonts w:hint="eastAsia" w:ascii="宋体" w:hAnsi="宋体" w:eastAsia="宋体" w:cs="宋体"/>
          <w:sz w:val="24"/>
          <w:szCs w:val="24"/>
          <w:highlight w:val="none"/>
        </w:rPr>
      </w:r>
      <w:r/>
    </w:p>
    <w:p>
      <w:pPr>
        <w:pStyle w:val="10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（4）潜在供应商访问“苏采云”系统的网络地址和方法：“苏采云”系统的网址：</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INCLUDEPICTURE \d "C:\\Users\\l\\AppData\\Roaming\\Tencent\\QQ\\Temp\\%W@GJ$ACOF(TYDYECOKVDYB.png" \* MERGEFORMATINET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http://jszfcg.jsczt.cn/。</w:t>
      </w:r>
      <w:r>
        <w:rPr>
          <w:rFonts w:hint="eastAsia" w:ascii="宋体" w:hAnsi="宋体" w:eastAsia="宋体" w:cs="宋体"/>
          <w:sz w:val="24"/>
          <w:szCs w:val="24"/>
          <w:highlight w:val="none"/>
        </w:rPr>
      </w:r>
      <w:r/>
    </w:p>
    <w:p>
      <w:pPr>
        <w:pStyle w:val="10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sz w:val="24"/>
          <w:szCs w:val="24"/>
          <w:highlight w:val="none"/>
        </w:rPr>
      </w:r>
      <w:r/>
    </w:p>
    <w:p>
      <w:pPr>
        <w:pStyle w:val="10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（6）招标代理机构（采购代理机构）将数据电文形式的采购文件加载至“苏采云”系统，供潜在供应商下载或者查阅。     </w:t>
      </w:r>
      <w:r>
        <w:rPr>
          <w:rFonts w:hint="eastAsia" w:ascii="宋体" w:hAnsi="宋体" w:eastAsia="宋体" w:cs="宋体"/>
          <w:sz w:val="24"/>
          <w:szCs w:val="24"/>
          <w:highlight w:val="none"/>
        </w:rPr>
      </w:r>
      <w:r/>
    </w:p>
    <w:p>
      <w:pPr>
        <w:pStyle w:val="10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（7）苏采云系统使用谷歌浏览器参与不见面开标。</w:t>
      </w:r>
      <w:r>
        <w:rPr>
          <w:rFonts w:hint="eastAsia" w:ascii="宋体" w:hAnsi="宋体" w:eastAsia="宋体" w:cs="宋体"/>
          <w:sz w:val="24"/>
          <w:szCs w:val="24"/>
          <w:highlight w:val="none"/>
        </w:rPr>
      </w:r>
      <w:r/>
    </w:p>
    <w:p>
      <w:pPr>
        <w:pStyle w:val="10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sz w:val="24"/>
          <w:szCs w:val="24"/>
          <w:highlight w:val="none"/>
        </w:rPr>
      </w:r>
      <w:r/>
    </w:p>
    <w:p>
      <w:pPr>
        <w:pStyle w:val="1084"/>
        <w:ind w:firstLine="42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rPr>
          <w:rFonts w:hint="eastAsia" w:ascii="宋体" w:hAnsi="宋体" w:eastAsia="宋体" w:cs="宋体"/>
          <w:sz w:val="24"/>
          <w:szCs w:val="24"/>
          <w:highlight w:val="none"/>
        </w:rPr>
      </w:r>
      <w:r/>
    </w:p>
    <w:p>
      <w:pPr>
        <w:pStyle w:val="1084"/>
        <w:ind w:firstLine="42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3.供应商如确定参加投标，可自行下载招标文件及有关资料，按照《操作手册》进行注册，领取CA和办理电子签章，并按《操作手册》要求制作、上传电子投标文件，技术支持联系方式：13813140731。</w:t>
      </w:r>
      <w:r>
        <w:rPr>
          <w:rFonts w:hint="eastAsia" w:ascii="宋体" w:hAnsi="宋体" w:eastAsia="宋体" w:cs="宋体"/>
          <w:sz w:val="24"/>
          <w:szCs w:val="24"/>
          <w:highlight w:val="none"/>
        </w:rPr>
      </w:r>
      <w:r/>
    </w:p>
    <w:p>
      <w:pPr>
        <w:pStyle w:val="1084"/>
        <w:ind w:firstLine="42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4.严格执行政府采购关于支持</w:t>
      </w:r>
      <w:r>
        <w:rPr>
          <w:rFonts w:hint="eastAsia" w:ascii="宋体" w:hAnsi="宋体" w:eastAsia="宋体" w:cs="宋体"/>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sz w:val="24"/>
          <w:szCs w:val="24"/>
          <w:highlight w:val="none"/>
        </w:rPr>
      </w:r>
      <w:r/>
    </w:p>
    <w:p>
      <w:pPr>
        <w:pStyle w:val="112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5.供应商对于投标产品的包装应按照“财办库〔2020〕123号《关于印发《商品包装政府采购需求标准（试行）》、《快递包装政府采购需求标准（试行）》的通知》”执行。</w:t>
      </w:r>
      <w:r>
        <w:rPr>
          <w:rFonts w:hint="eastAsia" w:ascii="宋体" w:hAnsi="宋体" w:eastAsia="宋体" w:cs="宋体"/>
          <w:sz w:val="24"/>
          <w:szCs w:val="24"/>
          <w:highlight w:val="none"/>
        </w:rPr>
      </w:r>
      <w:r/>
    </w:p>
    <w:p>
      <w:pPr>
        <w:pStyle w:val="1084"/>
        <w:ind w:firstLine="42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6.潜在投标人对招标文件项目需求部分的询问、质疑请向采购人提出，由采购人负责答复。</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 xml:space="preserve">7.本次招标不收取投标保证金。</w:t>
      </w:r>
      <w:r>
        <w:rPr>
          <w:rFonts w:hint="eastAsia" w:ascii="宋体" w:hAnsi="宋体" w:eastAsia="宋体" w:cs="宋体"/>
          <w:color w:val="ff0000"/>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8.有关本次招标的事项若存在变动或修改，敬</w:t>
      </w:r>
      <w:r>
        <w:rPr>
          <w:rFonts w:hint="eastAsia" w:ascii="宋体" w:hAnsi="宋体" w:eastAsia="宋体" w:cs="宋体"/>
          <w:sz w:val="24"/>
          <w:szCs w:val="24"/>
          <w:highlight w:val="none"/>
        </w:rPr>
        <w:t xml:space="preserve">请及时关注</w:t>
      </w:r>
      <w:r>
        <w:rPr>
          <w:rFonts w:hint="eastAsia" w:ascii="宋体" w:hAnsi="宋体" w:eastAsia="宋体" w:cs="宋体"/>
          <w:sz w:val="24"/>
          <w:szCs w:val="24"/>
          <w:highlight w:val="none"/>
          <w:lang w:eastAsia="zh-CN"/>
        </w:rPr>
        <w:t xml:space="preserve">“江苏政府采购网”、“扬州市政府采购网”</w:t>
      </w:r>
      <w:r>
        <w:rPr>
          <w:rFonts w:hint="eastAsia" w:ascii="宋体" w:hAnsi="宋体" w:eastAsia="宋体" w:cs="宋体"/>
          <w:sz w:val="24"/>
          <w:szCs w:val="24"/>
          <w:highlight w:val="none"/>
        </w:rPr>
        <w:t xml:space="preserve">发布的信息。</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9.本项目招标文件中所有斜体下划线部分为实质性条款，如不满足，则为无效投标。</w:t>
      </w:r>
      <w:r>
        <w:rPr>
          <w:rFonts w:hint="eastAsia" w:ascii="宋体" w:hAnsi="宋体" w:eastAsia="宋体" w:cs="宋体"/>
          <w:i/>
          <w:iCs/>
          <w:sz w:val="24"/>
          <w:szCs w:val="24"/>
          <w:highlight w:val="none"/>
          <w:u w:val="single"/>
        </w:rPr>
      </w:r>
      <w:r/>
    </w:p>
    <w:p>
      <w:pPr>
        <w:pStyle w:val="1086"/>
        <w:pageBreakBefore w:val="0"/>
        <w:spacing w:before="0" w:after="0" w:line="360" w:lineRule="auto"/>
        <w:widowControl w:val="off"/>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lang w:val="en-US" w:eastAsia="zh-CN"/>
        </w:rPr>
        <w:t xml:space="preserve">七</w:t>
      </w:r>
      <w:r>
        <w:rPr>
          <w:rFonts w:hint="eastAsia" w:ascii="宋体" w:hAnsi="宋体" w:eastAsia="宋体" w:cs="宋体"/>
          <w:bCs w:val="0"/>
          <w:color w:val="000000"/>
          <w:sz w:val="24"/>
          <w:szCs w:val="24"/>
          <w:highlight w:val="none"/>
        </w:rPr>
        <w:t xml:space="preserve">、</w:t>
      </w:r>
      <w:bookmarkEnd w:id="10"/>
      <w:r>
        <w:rPr>
          <w:rFonts w:hint="eastAsia" w:ascii="宋体" w:hAnsi="宋体" w:eastAsia="宋体" w:cs="宋体"/>
          <w:bCs w:val="0"/>
          <w:color w:val="000000"/>
          <w:sz w:val="24"/>
          <w:szCs w:val="24"/>
          <w:highlight w:val="none"/>
        </w:rPr>
        <w:t xml:space="preserve">本次招标联系方式</w:t>
      </w:r>
      <w:r>
        <w:rPr>
          <w:rFonts w:hint="eastAsia" w:ascii="宋体" w:hAnsi="宋体" w:eastAsia="宋体" w:cs="宋体"/>
          <w:bCs w:val="0"/>
          <w:color w:val="000000"/>
          <w:sz w:val="24"/>
          <w:szCs w:val="24"/>
          <w:highlight w:val="none"/>
        </w:rPr>
      </w:r>
      <w:r/>
    </w:p>
    <w:p>
      <w:pPr>
        <w:pStyle w:val="1102"/>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1084"/>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扬州市公安局</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84"/>
        <w:ind w:firstLine="480"/>
        <w:jc w:val="left"/>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val="en-US" w:eastAsia="zh-CN"/>
        </w:rPr>
        <w:t xml:space="preserve">扬州市邗江区润扬中路98号</w:t>
      </w:r>
      <w:r>
        <w:rPr>
          <w:rFonts w:hint="eastAsia" w:ascii="宋体" w:hAnsi="宋体" w:eastAsia="宋体" w:cs="宋体"/>
          <w:color w:val="000000"/>
          <w:sz w:val="24"/>
          <w:szCs w:val="24"/>
          <w:highlight w:val="none"/>
          <w:lang w:eastAsia="zh-CN"/>
        </w:rPr>
      </w:r>
      <w:r/>
    </w:p>
    <w:p>
      <w:pPr>
        <w:pStyle w:val="1084"/>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徐敏</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84"/>
        <w:ind w:firstLine="480"/>
        <w:jc w:val="left"/>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联系方式：0514-</w:t>
      </w:r>
      <w:r>
        <w:rPr>
          <w:rFonts w:hint="eastAsia" w:ascii="宋体" w:hAnsi="宋体" w:eastAsia="宋体" w:cs="宋体"/>
          <w:color w:val="000000"/>
          <w:sz w:val="24"/>
          <w:szCs w:val="24"/>
          <w:highlight w:val="none"/>
          <w:lang w:val="en-US" w:eastAsia="zh-CN"/>
        </w:rPr>
        <w:t xml:space="preserve">87838080</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1102"/>
        <w:ind w:firstLine="480"/>
        <w:pageBreakBefore w:val="0"/>
        <w:spacing w:line="360" w:lineRule="auto"/>
        <w:widowControl w:val="off"/>
        <w:rPr>
          <w:rFonts w:hint="eastAsia" w:ascii="宋体" w:hAnsi="宋体" w:eastAsia="宋体" w:cs="宋体"/>
          <w:color w:val="000000"/>
          <w:sz w:val="24"/>
          <w:szCs w:val="24"/>
          <w:highlight w:val="none"/>
        </w:rPr>
      </w:pPr>
      <w:r/>
      <w:bookmarkEnd w:id="0"/>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1084"/>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称：扬州筑苑工程招标咨询有限公司   </w:t>
      </w:r>
      <w:r>
        <w:rPr>
          <w:rFonts w:hint="eastAsia" w:ascii="宋体" w:hAnsi="宋体" w:eastAsia="宋体" w:cs="宋体"/>
          <w:color w:val="000000"/>
          <w:sz w:val="24"/>
          <w:szCs w:val="24"/>
          <w:highlight w:val="none"/>
        </w:rPr>
      </w:r>
      <w:r/>
    </w:p>
    <w:p>
      <w:pPr>
        <w:pStyle w:val="1084"/>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址：扬州市润扬北路19号</w:t>
      </w:r>
      <w:r>
        <w:rPr>
          <w:rFonts w:hint="eastAsia" w:ascii="宋体" w:hAnsi="宋体" w:eastAsia="宋体" w:cs="宋体"/>
          <w:color w:val="000000"/>
          <w:sz w:val="24"/>
          <w:szCs w:val="24"/>
          <w:highlight w:val="none"/>
        </w:rPr>
      </w:r>
      <w:r/>
    </w:p>
    <w:p>
      <w:pPr>
        <w:pStyle w:val="1084"/>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薛梦宇</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84"/>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联系方式</w:t>
      </w:r>
      <w:r>
        <w:rPr>
          <w:rFonts w:hint="eastAsia" w:ascii="宋体" w:hAnsi="宋体" w:eastAsia="宋体" w:cs="宋体"/>
          <w:color w:val="000000"/>
          <w:sz w:val="24"/>
          <w:szCs w:val="24"/>
          <w:highlight w:val="none"/>
        </w:rPr>
        <w:t xml:space="preserve">：0514-87116778</w:t>
      </w:r>
      <w:r>
        <w:rPr>
          <w:rFonts w:hint="eastAsia" w:ascii="宋体" w:hAnsi="宋体" w:eastAsia="宋体" w:cs="宋体"/>
          <w:color w:val="000000"/>
          <w:sz w:val="24"/>
          <w:szCs w:val="24"/>
          <w:highlight w:val="none"/>
        </w:rPr>
      </w:r>
      <w:r/>
    </w:p>
    <w:p>
      <w:pPr>
        <w:pStyle w:val="1157"/>
        <w:jc w:val="center"/>
        <w:spacing w:line="360" w:lineRule="auto"/>
        <w:rPr>
          <w:rFonts w:hint="eastAsia" w:ascii="宋体" w:hAnsi="宋体"/>
          <w:color w:val="000000"/>
          <w:highlight w:val="none"/>
        </w:rPr>
      </w:pPr>
      <w:r>
        <w:rPr>
          <w:rFonts w:ascii="宋体" w:hAnsi="宋体"/>
          <w:color w:val="000000"/>
          <w:sz w:val="36"/>
          <w:highlight w:val="none"/>
        </w:rPr>
        <w:br w:type="page" w:clear="all"/>
      </w:r>
      <w:bookmarkStart w:id="11" w:name="_Toc109304972"/>
      <w:r>
        <w:rPr>
          <w:rFonts w:hint="eastAsia" w:ascii="宋体" w:hAnsi="宋体"/>
          <w:color w:val="000000"/>
          <w:highlight w:val="none"/>
        </w:rPr>
        <w:t xml:space="preserve">第二章 </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须知</w:t>
      </w:r>
      <w:r>
        <w:rPr>
          <w:rFonts w:hint="eastAsia" w:ascii="宋体" w:hAnsi="宋体"/>
          <w:color w:val="000000"/>
          <w:highlight w:val="none"/>
        </w:rPr>
      </w:r>
      <w:r/>
    </w:p>
    <w:p>
      <w:pPr>
        <w:pStyle w:val="1169"/>
        <w:ind w:firstLine="498"/>
        <w:pageBreakBefore w:val="0"/>
        <w:spacing w:before="145" w:after="145" w:line="360" w:lineRule="auto"/>
        <w:widowControl w:val="off"/>
        <w:rPr>
          <w:rFonts w:hint="eastAsia" w:ascii="宋体" w:hAnsi="宋体" w:eastAsia="宋体" w:cs="宋体"/>
          <w:sz w:val="24"/>
          <w:szCs w:val="24"/>
          <w:highlight w:val="none"/>
        </w:rPr>
      </w:pPr>
      <w:r/>
      <w:bookmarkEnd w:id="11"/>
      <w:r/>
      <w:bookmarkStart w:id="12" w:name="_Toc109304973"/>
      <w:r>
        <w:rPr>
          <w:rFonts w:hint="eastAsia" w:ascii="宋体" w:hAnsi="宋体" w:eastAsia="宋体" w:cs="宋体"/>
          <w:sz w:val="24"/>
          <w:szCs w:val="24"/>
          <w:highlight w:val="none"/>
        </w:rPr>
        <w:t xml:space="preserve">一、总则</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1、招标方式</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本次招标采取公开招标方式，本招标文件仅适用于招标公告中所述项目。</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2、合格的投标人</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2.1满足招标公告中</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的资格要求的规定。</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满足本文件实质性要求和条件的规定。</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3、适用法律</w:t>
      </w:r>
      <w:r>
        <w:rPr>
          <w:rFonts w:hint="eastAsia" w:ascii="宋体" w:hAnsi="宋体" w:eastAsia="宋体" w:cs="宋体"/>
          <w:b w:val="0"/>
          <w:bCs w:val="0"/>
          <w:sz w:val="24"/>
          <w:szCs w:val="24"/>
          <w:highlight w:val="none"/>
        </w:rPr>
      </w:r>
      <w:r/>
    </w:p>
    <w:p>
      <w:pPr>
        <w:pStyle w:val="1084"/>
        <w:ind w:firstLine="42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本次招标及由此产生的合同受中华人民共和国有关的法律法规制约和保护。</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4、投标费用</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4.1 投标人应自行承担所有与参加投标有关的费用，无论投标过程中的做法和结果如何，</w:t>
      </w:r>
      <w:r>
        <w:rPr>
          <w:rFonts w:hint="eastAsia" w:ascii="宋体" w:hAnsi="宋体" w:eastAsia="宋体" w:cs="宋体"/>
          <w:bCs/>
          <w:sz w:val="24"/>
          <w:szCs w:val="24"/>
          <w:highlight w:val="none"/>
          <w:lang w:eastAsia="zh-CN"/>
        </w:rPr>
        <w:t xml:space="preserve">扬州筑苑工程招标咨询有限公司</w:t>
      </w:r>
      <w:r>
        <w:rPr>
          <w:rFonts w:hint="eastAsia" w:ascii="宋体" w:hAnsi="宋体" w:eastAsia="宋体" w:cs="宋体"/>
          <w:bCs/>
          <w:sz w:val="24"/>
          <w:szCs w:val="24"/>
          <w:highlight w:val="none"/>
        </w:rPr>
        <w:t xml:space="preserve">（以下简称</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）在任何情况下均无义务和责任承担这些费用。</w:t>
      </w:r>
      <w:r>
        <w:rPr>
          <w:rFonts w:hint="eastAsia" w:ascii="宋体" w:hAnsi="宋体" w:eastAsia="宋体" w:cs="宋体"/>
          <w:bCs/>
          <w:sz w:val="24"/>
          <w:szCs w:val="24"/>
          <w:highlight w:val="none"/>
        </w:rPr>
      </w:r>
      <w:r/>
    </w:p>
    <w:p>
      <w:pPr>
        <w:pStyle w:val="1172"/>
        <w:ind w:firstLine="480"/>
        <w:spacing w:line="360" w:lineRule="auto"/>
        <w:rPr>
          <w:rFonts w:hint="eastAsia" w:ascii="宋体" w:hAnsi="宋体" w:eastAsia="宋体" w:cs="宋体"/>
          <w:bCs/>
          <w:sz w:val="24"/>
          <w:szCs w:val="24"/>
          <w:highlight w:val="none"/>
        </w:rPr>
      </w:pPr>
      <w:r/>
      <w:bookmarkStart w:id="13" w:name="_Hlk115095815"/>
      <w:r>
        <w:rPr>
          <w:rFonts w:hint="eastAsia" w:ascii="宋体" w:hAnsi="宋体" w:eastAsia="宋体" w:cs="宋体"/>
          <w:bCs/>
          <w:sz w:val="24"/>
          <w:szCs w:val="24"/>
          <w:highlight w:val="none"/>
        </w:rPr>
        <w:t xml:space="preserve">4.2</w:t>
      </w:r>
      <w:r>
        <w:rPr>
          <w:rFonts w:hint="eastAsia" w:ascii="宋体" w:hAnsi="宋体" w:eastAsia="宋体" w:cs="宋体"/>
          <w:b w:val="0"/>
          <w:bCs w:val="0"/>
          <w:color w:val="000000"/>
          <w:sz w:val="24"/>
          <w:szCs w:val="24"/>
          <w:highlight w:val="none"/>
        </w:rPr>
        <w:t xml:space="preserve">本项目代理服</w:t>
      </w:r>
      <w:r>
        <w:rPr>
          <w:rFonts w:hint="eastAsia" w:ascii="宋体" w:hAnsi="宋体" w:eastAsia="宋体" w:cs="宋体"/>
          <w:color w:val="000000"/>
          <w:sz w:val="24"/>
          <w:szCs w:val="24"/>
          <w:highlight w:val="none"/>
        </w:rPr>
        <w:t xml:space="preserve">务费</w:t>
      </w:r>
      <w:r>
        <w:rPr>
          <w:rFonts w:hint="eastAsia" w:hAnsi="宋体" w:eastAsia="宋体" w:cs="宋体"/>
          <w:color w:val="000000"/>
          <w:sz w:val="24"/>
          <w:szCs w:val="24"/>
          <w:highlight w:val="none"/>
          <w:lang w:val="en-US" w:eastAsia="zh-CN"/>
        </w:rPr>
        <w:t xml:space="preserve">由中标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在领取</w:t>
      </w:r>
      <w:r>
        <w:rPr>
          <w:rFonts w:hint="eastAsia"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通知书前向</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一次性支付</w:t>
      </w:r>
      <w:r>
        <w:rPr>
          <w:rFonts w:hint="eastAsia" w:hAnsi="宋体" w:eastAsia="宋体" w:cs="宋体"/>
          <w:color w:val="000000"/>
          <w:sz w:val="24"/>
          <w:szCs w:val="24"/>
          <w:highlight w:val="none"/>
          <w:lang w:val="en-US" w:eastAsia="zh-CN"/>
        </w:rPr>
        <w:t xml:space="preserve">壹万伍仟元整</w:t>
      </w:r>
      <w:r>
        <w:rPr>
          <w:rFonts w:hint="eastAsia" w:ascii="宋体" w:hAnsi="宋体" w:eastAsia="宋体" w:cs="宋体"/>
          <w:color w:val="000000"/>
          <w:sz w:val="24"/>
          <w:szCs w:val="24"/>
          <w:highlight w:val="none"/>
          <w:lang w:eastAsia="zh-CN"/>
        </w:rPr>
        <w:t xml:space="preserve">。代理服务费包含在</w:t>
      </w:r>
      <w:r>
        <w:rPr>
          <w:rFonts w:hint="eastAsia"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eastAsia="zh-CN"/>
        </w:rPr>
        <w:t xml:space="preserve">总价中。</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招标代理服务费开户银行： 江苏银行股份有限公司扬州分行</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开户名称：扬州筑苑工程招标咨询有限公司 </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开户账号</w:t>
      </w:r>
      <w:r>
        <w:rPr>
          <w:rFonts w:hint="eastAsia" w:ascii="宋体" w:hAnsi="宋体" w:eastAsia="宋体" w:cs="宋体"/>
          <w:bCs/>
          <w:sz w:val="24"/>
          <w:szCs w:val="24"/>
          <w:highlight w:val="none"/>
        </w:rPr>
        <w:t xml:space="preserve">：90080188000034881 </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Cs/>
          <w:sz w:val="24"/>
          <w:szCs w:val="24"/>
          <w:highlight w:val="none"/>
        </w:rPr>
        <w:t xml:space="preserve">4.3专家评审费按扬财购【2020】40号文《关于进一步规范扬州市政府采购专</w:t>
      </w:r>
      <w:r>
        <w:rPr>
          <w:rFonts w:hint="eastAsia" w:ascii="宋体" w:hAnsi="宋体" w:eastAsia="宋体" w:cs="宋体"/>
          <w:b w:val="0"/>
          <w:bCs/>
          <w:sz w:val="24"/>
          <w:szCs w:val="24"/>
          <w:highlight w:val="none"/>
        </w:rPr>
        <w:t xml:space="preserve">家评审费标准的通知》执行。</w:t>
      </w:r>
      <w:r>
        <w:rPr>
          <w:rFonts w:hint="eastAsia" w:ascii="宋体" w:hAnsi="宋体" w:eastAsia="宋体" w:cs="宋体"/>
          <w:b w:val="0"/>
          <w:bCs/>
          <w:sz w:val="24"/>
          <w:szCs w:val="24"/>
          <w:highlight w:val="none"/>
        </w:rPr>
      </w:r>
      <w:r/>
    </w:p>
    <w:p>
      <w:pPr>
        <w:pStyle w:val="1165"/>
        <w:ind w:firstLine="602"/>
        <w:pageBreakBefore w:val="0"/>
        <w:spacing w:before="0" w:after="0" w:line="360" w:lineRule="auto"/>
        <w:widowControl w:val="off"/>
        <w:rPr>
          <w:rFonts w:hint="eastAsia" w:ascii="宋体" w:hAnsi="宋体" w:eastAsia="宋体" w:cs="宋体"/>
          <w:b w:val="0"/>
          <w:bCs w:val="0"/>
          <w:sz w:val="24"/>
          <w:szCs w:val="24"/>
          <w:highlight w:val="none"/>
        </w:rPr>
      </w:pPr>
      <w:r/>
      <w:bookmarkEnd w:id="13"/>
      <w:r>
        <w:rPr>
          <w:rFonts w:hint="eastAsia" w:ascii="宋体" w:hAnsi="宋体" w:eastAsia="宋体" w:cs="宋体"/>
          <w:b w:val="0"/>
          <w:bCs/>
          <w:sz w:val="24"/>
          <w:szCs w:val="24"/>
          <w:highlight w:val="none"/>
        </w:rPr>
        <w:t xml:space="preserve">5、招标</w:t>
      </w:r>
      <w:r>
        <w:rPr>
          <w:rFonts w:hint="eastAsia" w:ascii="宋体" w:hAnsi="宋体" w:eastAsia="宋体" w:cs="宋体"/>
          <w:b w:val="0"/>
          <w:bCs w:val="0"/>
          <w:sz w:val="24"/>
          <w:szCs w:val="24"/>
          <w:highlight w:val="none"/>
        </w:rPr>
        <w:t xml:space="preserve">文件的约束力</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投标人一旦参加本项目采购活动，即被认为接受了本招标文件的规定和约束。</w:t>
      </w:r>
      <w:r>
        <w:rPr>
          <w:rFonts w:hint="eastAsia" w:ascii="宋体" w:hAnsi="宋体" w:eastAsia="宋体" w:cs="宋体"/>
          <w:sz w:val="24"/>
          <w:szCs w:val="24"/>
          <w:highlight w:val="none"/>
        </w:rPr>
      </w:r>
      <w:r/>
    </w:p>
    <w:p>
      <w:pPr>
        <w:pStyle w:val="1169"/>
        <w:ind w:firstLine="321"/>
        <w:pageBreakBefore w:val="0"/>
        <w:spacing w:before="145" w:after="145"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二、招标文件</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6、招标文件构成</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6.1</w:t>
      </w:r>
      <w:r>
        <w:rPr>
          <w:rFonts w:hint="eastAsia" w:ascii="宋体" w:hAnsi="宋体" w:eastAsia="宋体" w:cs="宋体"/>
          <w:sz w:val="24"/>
          <w:szCs w:val="24"/>
          <w:highlight w:val="none"/>
        </w:rPr>
        <w:t xml:space="preserve"> 招标文件由以下部分组成：</w:t>
      </w:r>
      <w:r>
        <w:rPr>
          <w:rFonts w:hint="eastAsia" w:ascii="宋体" w:hAnsi="宋体" w:eastAsia="宋体" w:cs="宋体"/>
          <w:sz w:val="24"/>
          <w:szCs w:val="24"/>
          <w:highlight w:val="none"/>
        </w:rPr>
      </w:r>
      <w:r/>
    </w:p>
    <w:p>
      <w:pPr>
        <w:pStyle w:val="1084"/>
        <w:ind w:firstLine="36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rPr>
          <w:rFonts w:hint="eastAsia" w:ascii="宋体" w:hAnsi="宋体" w:eastAsia="宋体" w:cs="宋体"/>
          <w:sz w:val="24"/>
          <w:szCs w:val="24"/>
          <w:highlight w:val="none"/>
        </w:rPr>
      </w:r>
      <w:r/>
    </w:p>
    <w:p>
      <w:pPr>
        <w:pStyle w:val="1084"/>
        <w:ind w:firstLine="36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rPr>
          <w:rFonts w:hint="eastAsia" w:ascii="宋体" w:hAnsi="宋体" w:eastAsia="宋体" w:cs="宋体"/>
          <w:sz w:val="24"/>
          <w:szCs w:val="24"/>
          <w:highlight w:val="none"/>
        </w:rPr>
      </w:r>
      <w:r/>
    </w:p>
    <w:p>
      <w:pPr>
        <w:pStyle w:val="1084"/>
        <w:ind w:firstLine="36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rPr>
          <w:rFonts w:hint="eastAsia" w:ascii="宋体" w:hAnsi="宋体" w:eastAsia="宋体" w:cs="宋体"/>
          <w:sz w:val="24"/>
          <w:szCs w:val="24"/>
          <w:highlight w:val="none"/>
        </w:rPr>
      </w:r>
      <w:r/>
    </w:p>
    <w:p>
      <w:pPr>
        <w:pStyle w:val="1084"/>
        <w:ind w:firstLine="36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rPr>
          <w:rFonts w:hint="eastAsia" w:ascii="宋体" w:hAnsi="宋体" w:eastAsia="宋体" w:cs="宋体"/>
          <w:sz w:val="24"/>
          <w:szCs w:val="24"/>
          <w:highlight w:val="none"/>
        </w:rPr>
      </w:r>
      <w:r/>
    </w:p>
    <w:p>
      <w:pPr>
        <w:pStyle w:val="1084"/>
        <w:ind w:firstLine="36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rPr>
          <w:rFonts w:hint="eastAsia" w:ascii="宋体" w:hAnsi="宋体" w:eastAsia="宋体" w:cs="宋体"/>
          <w:sz w:val="24"/>
          <w:szCs w:val="24"/>
          <w:highlight w:val="none"/>
        </w:rPr>
      </w:r>
      <w:r/>
    </w:p>
    <w:p>
      <w:pPr>
        <w:pStyle w:val="1084"/>
        <w:ind w:firstLine="36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（6）投标文件格式</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请仔细检查招标文件是否齐全，如有缺漏请立即与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联系解决。</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6.2</w:t>
      </w:r>
      <w:r>
        <w:rPr>
          <w:rFonts w:hint="eastAsia" w:ascii="宋体" w:hAnsi="宋体" w:eastAsia="宋体" w:cs="宋体"/>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szCs w:val="24"/>
          <w:highlight w:val="none"/>
        </w:rPr>
      </w:r>
      <w:r/>
    </w:p>
    <w:p>
      <w:pPr>
        <w:pStyle w:val="1165"/>
        <w:ind w:firstLine="56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7、招标文件的澄清</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7.1</w:t>
      </w:r>
      <w:r>
        <w:rPr>
          <w:rFonts w:hint="eastAsia" w:ascii="宋体" w:hAnsi="宋体" w:eastAsia="宋体" w:cs="宋体"/>
          <w:sz w:val="24"/>
          <w:szCs w:val="24"/>
          <w:highlight w:val="none"/>
        </w:rPr>
        <w:t xml:space="preserve"> 任何要求对招标文件进行澄清的投标人，应在投标截止期</w:t>
      </w:r>
      <w:r>
        <w:rPr>
          <w:rFonts w:hint="eastAsia" w:ascii="宋体" w:hAnsi="宋体" w:eastAsia="宋体" w:cs="宋体"/>
          <w:b/>
          <w:sz w:val="24"/>
          <w:szCs w:val="24"/>
          <w:highlight w:val="none"/>
        </w:rPr>
        <w:t xml:space="preserve">十日</w:t>
      </w:r>
      <w:r>
        <w:rPr>
          <w:rFonts w:hint="eastAsia" w:ascii="宋体" w:hAnsi="宋体" w:eastAsia="宋体" w:cs="宋体"/>
          <w:sz w:val="24"/>
          <w:szCs w:val="24"/>
          <w:highlight w:val="none"/>
        </w:rPr>
        <w:t xml:space="preserve">前按招标公告中的通讯地址，以书面形式通知</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165"/>
        <w:ind w:firstLine="56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8、招标文件的修改</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8.1</w:t>
      </w:r>
      <w:r>
        <w:rPr>
          <w:rFonts w:hint="eastAsia" w:ascii="宋体" w:hAnsi="宋体" w:eastAsia="宋体" w:cs="宋体"/>
          <w:sz w:val="24"/>
          <w:szCs w:val="24"/>
          <w:highlight w:val="none"/>
        </w:rPr>
        <w:t xml:space="preserve"> 在投标截止时间前，</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可以对招标文件进行修改。</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8.2 </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有权按照法定的要求推迟投标截止日期和开标日期。</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8.3 </w:t>
      </w:r>
      <w:r>
        <w:rPr>
          <w:rFonts w:hint="eastAsia" w:ascii="宋体" w:hAnsi="宋体" w:eastAsia="宋体" w:cs="宋体"/>
          <w:sz w:val="24"/>
          <w:szCs w:val="24"/>
          <w:highlight w:val="none"/>
        </w:rPr>
        <w:t xml:space="preserve">招标文件的修改将在江苏政府采购网、扬州市政府采购网公布，补充文件将作为招标文件的组成部分，并对投标人具有约束力。</w:t>
      </w:r>
      <w:r>
        <w:rPr>
          <w:rFonts w:hint="eastAsia" w:ascii="宋体" w:hAnsi="宋体" w:eastAsia="宋体" w:cs="宋体"/>
          <w:sz w:val="24"/>
          <w:szCs w:val="24"/>
          <w:highlight w:val="none"/>
        </w:rPr>
      </w:r>
      <w:r/>
    </w:p>
    <w:p>
      <w:pPr>
        <w:pStyle w:val="1169"/>
        <w:ind w:firstLine="482"/>
        <w:pageBreakBefore w:val="0"/>
        <w:spacing w:before="145" w:after="145"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三、投标文件的编制</w:t>
      </w:r>
      <w:r>
        <w:rPr>
          <w:rFonts w:hint="eastAsia" w:ascii="宋体" w:hAnsi="宋体" w:eastAsia="宋体" w:cs="宋体"/>
          <w:sz w:val="24"/>
          <w:szCs w:val="24"/>
          <w:highlight w:val="none"/>
        </w:rPr>
      </w:r>
      <w:r/>
    </w:p>
    <w:p>
      <w:pPr>
        <w:pStyle w:val="1165"/>
        <w:ind w:firstLine="560"/>
        <w:pageBreakBefore w:val="0"/>
        <w:spacing w:before="0" w:after="0" w:line="360" w:lineRule="auto"/>
        <w:widowControl w:val="off"/>
        <w:rPr>
          <w:rFonts w:hint="eastAsia" w:ascii="宋体" w:hAnsi="宋体" w:eastAsia="宋体" w:cs="宋体"/>
          <w:bCs w:val="0"/>
          <w:sz w:val="24"/>
          <w:szCs w:val="24"/>
          <w:highlight w:val="none"/>
        </w:rPr>
      </w:pPr>
      <w:r>
        <w:rPr>
          <w:rFonts w:hint="eastAsia" w:ascii="宋体" w:hAnsi="宋体" w:eastAsia="宋体" w:cs="宋体"/>
          <w:b w:val="0"/>
          <w:bCs w:val="0"/>
          <w:sz w:val="24"/>
          <w:szCs w:val="24"/>
          <w:highlight w:val="none"/>
        </w:rPr>
        <w:t xml:space="preserve">9、投标文件的语言及度量衡单位</w:t>
      </w:r>
      <w:r>
        <w:rPr>
          <w:rFonts w:hint="eastAsia" w:ascii="宋体" w:hAnsi="宋体" w:eastAsia="宋体" w:cs="宋体"/>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9.1</w:t>
      </w:r>
      <w:r>
        <w:rPr>
          <w:rFonts w:hint="eastAsia" w:ascii="宋体" w:hAnsi="宋体" w:eastAsia="宋体" w:cs="宋体"/>
          <w:sz w:val="24"/>
          <w:szCs w:val="24"/>
          <w:highlight w:val="none"/>
        </w:rPr>
        <w:t xml:space="preserve">投标人提交的投标文件以及投标人与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就有关投标的所有来往通知、函件和文件均应使用</w:t>
      </w:r>
      <w:r>
        <w:rPr>
          <w:rFonts w:hint="eastAsia" w:ascii="宋体" w:hAnsi="宋体" w:eastAsia="宋体" w:cs="宋体"/>
          <w:b/>
          <w:bCs/>
          <w:sz w:val="24"/>
          <w:szCs w:val="24"/>
          <w:highlight w:val="none"/>
        </w:rPr>
        <w:t xml:space="preserve">简体中文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9.2</w:t>
      </w:r>
      <w:r>
        <w:rPr>
          <w:rFonts w:hint="eastAsia" w:ascii="宋体" w:hAnsi="宋体" w:eastAsia="宋体" w:cs="宋体"/>
          <w:sz w:val="24"/>
          <w:szCs w:val="24"/>
          <w:highlight w:val="none"/>
        </w:rPr>
        <w:t xml:space="preserve"> 除技术性能另有规定外，投标文件所使用的度量衡单位，均须采用国家法定计量单位。</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10、投标文件构成</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10.1</w:t>
      </w:r>
      <w:r>
        <w:rPr>
          <w:rFonts w:hint="eastAsia" w:ascii="宋体" w:hAnsi="宋体" w:eastAsia="宋体" w:cs="宋体"/>
          <w:sz w:val="24"/>
          <w:szCs w:val="24"/>
          <w:highlight w:val="none"/>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如标书制作工具中格式和内容与“江苏政府采购网”发布的招标文件不一致，请以“江苏政府采购网”发布的招标文件为准。</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11、证明投标人及投标标的符合招标文件规定的文件</w:t>
      </w:r>
      <w:r>
        <w:rPr>
          <w:rFonts w:hint="eastAsia" w:ascii="宋体" w:hAnsi="宋体" w:eastAsia="宋体" w:cs="宋体"/>
          <w:b w:val="0"/>
          <w:bCs w:val="0"/>
          <w:sz w:val="24"/>
          <w:szCs w:val="24"/>
          <w:highlight w:val="none"/>
        </w:rPr>
      </w:r>
      <w:r/>
    </w:p>
    <w:p>
      <w:pPr>
        <w:pStyle w:val="1084"/>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11.1 投标人应按照法律、法规、规章和规范性文件以及招标文件要求提交证明文件，证明其及投标标的符合招标文件规定。</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12、投标分项报价表</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12.1</w:t>
      </w:r>
      <w:r>
        <w:rPr>
          <w:rFonts w:hint="eastAsia" w:ascii="宋体" w:hAnsi="宋体" w:eastAsia="宋体" w:cs="宋体"/>
          <w:sz w:val="24"/>
          <w:szCs w:val="24"/>
          <w:highlight w:val="none"/>
        </w:rPr>
        <w:t xml:space="preserve"> 投标人应按照招标文件规定格式填报投标分项报价表。</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12.2</w:t>
      </w:r>
      <w:r>
        <w:rPr>
          <w:rFonts w:hint="eastAsia" w:ascii="宋体" w:hAnsi="宋体" w:eastAsia="宋体" w:cs="宋体"/>
          <w:bCs/>
          <w:sz w:val="24"/>
          <w:szCs w:val="24"/>
          <w:highlight w:val="none"/>
        </w:rPr>
        <w:t xml:space="preserve">投标货币。投标文件中的单价和总价无特殊规定的采用人民币报价，以元为单位标注。</w:t>
      </w:r>
      <w:r>
        <w:rPr>
          <w:rFonts w:hint="eastAsia" w:ascii="宋体" w:hAnsi="宋体" w:eastAsia="宋体" w:cs="宋体"/>
          <w:sz w:val="24"/>
          <w:szCs w:val="24"/>
          <w:highlight w:val="none"/>
        </w:rPr>
        <w:t xml:space="preserve">招标文件中另有规定的按规定执行。</w:t>
      </w:r>
      <w:r>
        <w:rPr>
          <w:rFonts w:hint="eastAsia" w:ascii="宋体" w:hAnsi="宋体" w:eastAsia="宋体" w:cs="宋体"/>
          <w:bCs/>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13、技术要求响应及偏离表、商务要求响应及偏离表</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lang w:val="zh-CN"/>
        </w:rPr>
        <w:t xml:space="preserve">13.1</w:t>
      </w:r>
      <w:r>
        <w:rPr>
          <w:rFonts w:hint="eastAsia" w:ascii="宋体" w:hAnsi="宋体" w:eastAsia="宋体" w:cs="宋体"/>
          <w:sz w:val="24"/>
          <w:szCs w:val="24"/>
          <w:highlight w:val="none"/>
          <w:lang w:val="zh-CN"/>
        </w:rPr>
        <w:t xml:space="preserve"> 投标人需对招标文件中的技术要求与商务要求逐项作出响应或偏离，并说明原因。</w:t>
      </w:r>
      <w:r>
        <w:rPr>
          <w:rFonts w:hint="eastAsia" w:ascii="宋体" w:hAnsi="宋体" w:eastAsia="宋体" w:cs="宋体"/>
          <w:sz w:val="24"/>
          <w:szCs w:val="24"/>
          <w:highlight w:val="none"/>
        </w:rPr>
      </w:r>
      <w:r/>
    </w:p>
    <w:p>
      <w:pPr>
        <w:pStyle w:val="1084"/>
        <w:ind w:firstLine="480"/>
        <w:pageBreakBefore w:val="0"/>
        <w:spacing w:line="360" w:lineRule="auto"/>
        <w:widowControl w:val="off"/>
        <w:tabs>
          <w:tab w:val="left" w:pos="1035"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13.2 投标人可在投标文件中提供认为需要的其他技术文件或说明。</w:t>
      </w:r>
      <w:r>
        <w:rPr>
          <w:rFonts w:hint="eastAsia" w:ascii="宋体" w:hAnsi="宋体" w:eastAsia="宋体" w:cs="宋体"/>
          <w:sz w:val="24"/>
          <w:szCs w:val="24"/>
          <w:highlight w:val="none"/>
          <w:lang w:val="zh-CN"/>
        </w:rPr>
      </w:r>
      <w:r/>
    </w:p>
    <w:p>
      <w:pPr>
        <w:pStyle w:val="1084"/>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14、服务承诺、培训计划、人员安排及其他</w:t>
      </w:r>
      <w:r>
        <w:rPr>
          <w:rFonts w:hint="eastAsia" w:ascii="宋体" w:hAnsi="宋体" w:eastAsia="宋体" w:cs="宋体"/>
          <w:color w:val="000000"/>
          <w:sz w:val="24"/>
          <w:szCs w:val="24"/>
          <w:highlight w:val="none"/>
        </w:rPr>
      </w:r>
      <w:r/>
    </w:p>
    <w:p>
      <w:pPr>
        <w:pStyle w:val="108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14.1 </w:t>
      </w:r>
      <w:r>
        <w:rPr>
          <w:rFonts w:hint="eastAsia" w:ascii="宋体" w:hAnsi="宋体" w:eastAsia="宋体" w:cs="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4"/>
          <w:highlight w:val="none"/>
        </w:rPr>
      </w:r>
      <w:r/>
    </w:p>
    <w:p>
      <w:pPr>
        <w:pStyle w:val="108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rPr>
          <w:rFonts w:hint="eastAsia" w:ascii="宋体" w:hAnsi="宋体" w:eastAsia="宋体" w:cs="宋体"/>
          <w:color w:val="00000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  投标人需根据招标文件要求提供</w:t>
      </w:r>
      <w:r>
        <w:rPr>
          <w:rFonts w:hint="eastAsia" w:ascii="宋体" w:hAnsi="宋体" w:eastAsia="宋体" w:cs="宋体"/>
          <w:color w:val="000000"/>
          <w:sz w:val="24"/>
          <w:szCs w:val="24"/>
          <w:highlight w:val="none"/>
          <w:lang w:val="zh-CN"/>
        </w:rPr>
        <w:t xml:space="preserve">所投标的的主要组成部分、功能设计、实现思路及关键技术等。</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15、投标函和开标一览表</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15.1</w:t>
      </w:r>
      <w:r>
        <w:rPr>
          <w:rFonts w:hint="eastAsia" w:ascii="宋体" w:hAnsi="宋体" w:eastAsia="宋体" w:cs="宋体"/>
          <w:sz w:val="24"/>
          <w:szCs w:val="24"/>
          <w:highlight w:val="none"/>
        </w:rPr>
        <w:t xml:space="preserve"> 投标人应按照招标文件中提供的格式完整、正确填写投标函、开标一览表。</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15.2</w:t>
      </w:r>
      <w:r>
        <w:rPr>
          <w:rFonts w:hint="eastAsia" w:ascii="宋体" w:hAnsi="宋体" w:eastAsia="宋体" w:cs="宋体"/>
          <w:sz w:val="24"/>
          <w:szCs w:val="24"/>
          <w:highlight w:val="none"/>
        </w:rPr>
        <w:t xml:space="preserve"> 对于采用货币报价的项目，</w:t>
      </w:r>
      <w:r>
        <w:rPr>
          <w:rFonts w:hint="eastAsia" w:ascii="宋体" w:hAnsi="宋体" w:eastAsia="宋体" w:cs="宋体"/>
          <w:bCs/>
          <w:sz w:val="24"/>
          <w:szCs w:val="24"/>
          <w:highlight w:val="none"/>
        </w:rPr>
        <w:t xml:space="preserve">开标一览表中的投标总报价应与投标分项报价表中的投标总报价一致，如不一致，</w:t>
      </w:r>
      <w:r>
        <w:rPr>
          <w:rFonts w:hint="eastAsia" w:ascii="宋体" w:hAnsi="宋体" w:eastAsia="宋体" w:cs="宋体"/>
          <w:sz w:val="24"/>
          <w:szCs w:val="24"/>
          <w:highlight w:val="none"/>
        </w:rPr>
        <w:t xml:space="preserve">不作为无效投标处理</w:t>
      </w:r>
      <w:r>
        <w:rPr>
          <w:rFonts w:hint="eastAsia" w:ascii="宋体" w:hAnsi="宋体" w:eastAsia="宋体" w:cs="宋体"/>
          <w:bCs/>
          <w:sz w:val="24"/>
          <w:szCs w:val="24"/>
          <w:highlight w:val="none"/>
        </w:rPr>
        <w:t xml:space="preserve">，但评标时按开标一览表中价格为准</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16、投标有效期</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16.1</w:t>
      </w:r>
      <w:r>
        <w:rPr>
          <w:rFonts w:hint="eastAsia" w:ascii="宋体" w:hAnsi="宋体" w:eastAsia="宋体" w:cs="宋体"/>
          <w:bCs/>
          <w:sz w:val="24"/>
          <w:szCs w:val="24"/>
          <w:highlight w:val="none"/>
        </w:rPr>
        <w:t xml:space="preserve"> 投标有效期为</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规定的开标之日后</w:t>
      </w:r>
      <w:r>
        <w:rPr>
          <w:rFonts w:hint="eastAsia" w:ascii="宋体" w:hAnsi="宋体" w:eastAsia="宋体" w:cs="宋体"/>
          <w:b/>
          <w:sz w:val="24"/>
          <w:szCs w:val="24"/>
          <w:highlight w:val="none"/>
          <w:u w:val="single"/>
        </w:rPr>
        <w:t xml:space="preserve">六十（60）天</w:t>
      </w:r>
      <w:r>
        <w:rPr>
          <w:rFonts w:hint="eastAsia" w:ascii="宋体" w:hAnsi="宋体" w:eastAsia="宋体" w:cs="宋体"/>
          <w:bCs/>
          <w:sz w:val="24"/>
          <w:szCs w:val="24"/>
          <w:highlight w:val="none"/>
        </w:rPr>
        <w:t xml:space="preserve">。投标有效期比规定短的将被视为未实质性响应招标文件而予以拒绝。</w:t>
      </w:r>
      <w:r>
        <w:rPr>
          <w:rFonts w:hint="eastAsia" w:ascii="宋体" w:hAnsi="宋体" w:eastAsia="宋体" w:cs="宋体"/>
          <w:bCs/>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17、投标有效期的延长</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17.1</w:t>
      </w:r>
      <w:r>
        <w:rPr>
          <w:rFonts w:hint="eastAsia" w:ascii="宋体" w:hAnsi="宋体" w:eastAsia="宋体" w:cs="宋体"/>
          <w:bCs/>
          <w:sz w:val="24"/>
          <w:szCs w:val="24"/>
          <w:highlight w:val="none"/>
        </w:rPr>
        <w:t xml:space="preserve"> 在特殊情况下，</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的这一要求而放弃投标</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同意延长投标有效期的投标人既不能要求也不允许修改其投标文件</w:t>
      </w:r>
      <w:r>
        <w:rPr>
          <w:rFonts w:hint="eastAsia" w:ascii="宋体" w:hAnsi="宋体" w:eastAsia="宋体" w:cs="宋体"/>
          <w:sz w:val="24"/>
          <w:szCs w:val="24"/>
          <w:highlight w:val="none"/>
        </w:rPr>
        <w:t xml:space="preserve">，同时受投标有效期约束的所有权利与义务均延长至新的有效期</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1169"/>
        <w:ind w:firstLine="482"/>
        <w:pageBreakBefore w:val="0"/>
        <w:spacing w:before="145" w:after="145"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四、投标文件的递交</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18、投标文件的递交</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18.1 电子投标文件的递交</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投标人应当按照《操作手册》规定，在投标截止时间前制作并上传电子投标文件。</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19、投标截止时间</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19.1 投标人上传电子投标文件的时间不得迟于招标公告中规定的投标截止时间。</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投标人应充分考虑到网</w:t>
      </w:r>
      <w:r>
        <w:rPr>
          <w:rFonts w:hint="eastAsia" w:ascii="宋体" w:hAnsi="宋体" w:eastAsia="宋体" w:cs="宋体"/>
          <w:bCs/>
          <w:sz w:val="24"/>
          <w:szCs w:val="24"/>
          <w:highlight w:val="none"/>
        </w:rPr>
        <w:t xml:space="preserve">络环境、网络带宽等风险因素，如因投标人自身原因造成的电子投标文件上传不成功的按照本招标文件第二章第26.1.2条 规定做无效投标处理。</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19.2</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20、投标文件的拒收</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20.1</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拒绝接收在其规定的投标截止时间后上传的任何投标文件。</w:t>
      </w:r>
      <w:r>
        <w:rPr>
          <w:rFonts w:hint="eastAsia" w:ascii="宋体" w:hAnsi="宋体" w:eastAsia="宋体" w:cs="宋体"/>
          <w:bCs/>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21、投标文件的撤回和修改</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 投标文件的撤回</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21.1.1 电子投标文件的撤回</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投标人可在投标截止时间前，撤回其电子投标文件，具体操作方法见《操作手册》。</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21.1.2 投标人撤回电子投标文件，则认为其不再参与本项目投标活动。</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 投标文件的修改</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21.2.1投标人可在投标截止时间前，对其电子投标文件进行修改，具体操作方法见《操作手册》。</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21.2.2</w:t>
      </w:r>
      <w:r>
        <w:rPr>
          <w:rFonts w:hint="eastAsia" w:ascii="宋体" w:hAnsi="宋体" w:eastAsia="宋体" w:cs="宋体"/>
          <w:bCs/>
          <w:sz w:val="24"/>
          <w:szCs w:val="24"/>
          <w:highlight w:val="none"/>
        </w:rPr>
        <w:t xml:space="preserve"> 在投标截止时间之后，投标人不得对其电子投标文件作任何修改。</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21.3</w:t>
      </w:r>
      <w:r>
        <w:rPr>
          <w:rFonts w:hint="eastAsia" w:ascii="宋体" w:hAnsi="宋体" w:eastAsia="宋体" w:cs="宋体"/>
          <w:bCs/>
          <w:sz w:val="24"/>
          <w:szCs w:val="24"/>
          <w:highlight w:val="none"/>
        </w:rPr>
        <w:t xml:space="preserve"> 在投标截止时间至招标文件中规定的投标有效期满之间的这段时间内，投标人不得撤回其投标。</w:t>
      </w:r>
      <w:r>
        <w:rPr>
          <w:rFonts w:hint="eastAsia" w:ascii="宋体" w:hAnsi="宋体" w:eastAsia="宋体" w:cs="宋体"/>
          <w:bCs/>
          <w:sz w:val="24"/>
          <w:szCs w:val="24"/>
          <w:highlight w:val="none"/>
        </w:rPr>
      </w:r>
      <w:r/>
    </w:p>
    <w:p>
      <w:pPr>
        <w:pStyle w:val="1169"/>
        <w:ind w:firstLine="482"/>
        <w:pageBreakBefore w:val="0"/>
        <w:spacing w:before="145" w:after="145"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五、开标与评标</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22、开标</w:t>
      </w:r>
      <w:r>
        <w:rPr>
          <w:rFonts w:hint="eastAsia" w:ascii="宋体" w:hAnsi="宋体" w:eastAsia="宋体" w:cs="宋体"/>
          <w:b w:val="0"/>
          <w:bCs w:val="0"/>
          <w:sz w:val="24"/>
          <w:szCs w:val="24"/>
          <w:highlight w:val="none"/>
        </w:rPr>
      </w:r>
      <w:r/>
    </w:p>
    <w:p>
      <w:pPr>
        <w:pStyle w:val="1084"/>
        <w:ind w:firstLine="36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将在招标公告中规定的时间和地点组织公开开标</w:t>
      </w:r>
      <w:r>
        <w:rPr>
          <w:rFonts w:hint="eastAsia" w:ascii="宋体" w:hAnsi="宋体" w:eastAsia="宋体" w:cs="宋体"/>
          <w:sz w:val="24"/>
          <w:szCs w:val="24"/>
          <w:highlight w:val="none"/>
        </w:rPr>
        <w:t xml:space="preserve">。投标人应当按照《操作手册》规定，参加开标活动和在苏采云系统规定的时间内对投标文件进行解密。</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22.2</w:t>
      </w:r>
      <w:r>
        <w:rPr>
          <w:rFonts w:hint="eastAsia" w:ascii="宋体" w:hAnsi="宋体" w:eastAsia="宋体" w:cs="宋体"/>
          <w:sz w:val="24"/>
          <w:szCs w:val="24"/>
          <w:highlight w:val="none"/>
        </w:rPr>
        <w:t xml:space="preserve">开标仪式由</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组织。苏采云系统将自动对项目进行开标，并宣布各投标人名称和投标价格。</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22.3投标人在开标过程中涉及到的投标文件解密、开标结果确认等工作，应按照《操作手册》规定执行。</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22.4投标人如果对开标过程和开标记录有疑义，应当根据《操作手册》规定提出，如苏采云系统中《开标记录表》宣布后5分钟内未提出的，视同认可开标结果。</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23、评标委员会</w:t>
      </w:r>
      <w:r>
        <w:rPr>
          <w:rFonts w:hint="eastAsia" w:ascii="宋体" w:hAnsi="宋体" w:eastAsia="宋体" w:cs="宋体"/>
          <w:b w:val="0"/>
          <w:bCs w:val="0"/>
          <w:sz w:val="24"/>
          <w:szCs w:val="24"/>
          <w:highlight w:val="none"/>
        </w:rPr>
      </w:r>
      <w:r/>
    </w:p>
    <w:p>
      <w:pPr>
        <w:pStyle w:val="1084"/>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 23.1</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开标后，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将立即组织评标委员会（以下简称评委会）进行评标。</w:t>
      </w:r>
      <w:r>
        <w:rPr>
          <w:rFonts w:hint="eastAsia" w:ascii="宋体" w:hAnsi="宋体" w:eastAsia="宋体" w:cs="宋体"/>
          <w:b/>
          <w:sz w:val="24"/>
          <w:szCs w:val="24"/>
          <w:highlight w:val="none"/>
        </w:rPr>
      </w:r>
      <w:r/>
    </w:p>
    <w:p>
      <w:pPr>
        <w:pStyle w:val="1084"/>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 23.2 评委会由采购人代表和有关技术、经济等方面的专家组成，且人员构成符合政府采购有关规定。</w:t>
      </w:r>
      <w:r>
        <w:rPr>
          <w:rFonts w:hint="eastAsia" w:ascii="宋体" w:hAnsi="宋体" w:eastAsia="宋体" w:cs="宋体"/>
          <w:sz w:val="24"/>
          <w:szCs w:val="24"/>
          <w:highlight w:val="none"/>
        </w:rPr>
      </w:r>
      <w:r/>
    </w:p>
    <w:p>
      <w:pPr>
        <w:pStyle w:val="1084"/>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 23.3评委会独立工作，负责评审所有投标文件并确定中标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24、评标过程的保密与公正</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24.1</w:t>
      </w:r>
      <w:r>
        <w:rPr>
          <w:rFonts w:hint="eastAsia" w:ascii="宋体" w:hAnsi="宋体" w:eastAsia="宋体" w:cs="宋体"/>
          <w:bCs/>
          <w:sz w:val="24"/>
          <w:szCs w:val="24"/>
          <w:highlight w:val="none"/>
        </w:rPr>
        <w:t xml:space="preserve">凡是与审查、澄清、评价和比较投标的有关资料以及授标建议等，采购人、评委、</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均不得向投标人或与评标无关的其他人员透露。</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24.2在评标过程中，投标人不得以任何行为影响评标过程，否则其投标文件将被作为无效投标文件。</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 </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和评标委员会不向未中标的投标人解释未中标原因，也不公布评标过程中的相关细节。</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24.4 采用综合评分法的项目，未中标的投标人可于中标结果公告期限届满之日起通过苏采云系统查看自己的评审得分及排序情况。</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25、投标文件的澄清</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25.1评标期间，评委会对投标文件中含义不明确、同类问题表述不一致或者有明显文字和计算错误的内容 ，有权要求投标人作出必要的澄清、说明或者补正。</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评标委员会并非对每个投标人都做澄清要求。</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25.2需要</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进行澄清、说明和补正的，评委会将通过苏采云系统向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sz w:val="24"/>
          <w:szCs w:val="24"/>
          <w:highlight w:val="none"/>
        </w:rPr>
      </w:r>
      <w:r/>
    </w:p>
    <w:p>
      <w:pPr>
        <w:pStyle w:val="1084"/>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25.3 接到评委会澄清、说明和补正要求的投标人如未按规定</w:t>
      </w:r>
      <w:r>
        <w:rPr>
          <w:rFonts w:hint="eastAsia" w:ascii="宋体" w:hAnsi="宋体" w:eastAsia="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澄清、说明和补正，其风险由投标人自行承担。</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26、对投标文件的初审</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26.1</w:t>
      </w:r>
      <w:r>
        <w:rPr>
          <w:rFonts w:hint="eastAsia" w:ascii="宋体" w:hAnsi="宋体" w:eastAsia="宋体" w:cs="宋体"/>
          <w:bCs/>
          <w:sz w:val="24"/>
          <w:szCs w:val="24"/>
          <w:highlight w:val="none"/>
        </w:rPr>
        <w:t xml:space="preserve">投标文件初审分为资格审查和符合性审查。</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采购人在进行资格性审查的同时，将在“信用中国”网站（www.creditchina.gov.cn）和</w:t>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bCs/>
          <w:sz w:val="24"/>
          <w:szCs w:val="24"/>
          <w:highlight w:val="none"/>
        </w:rPr>
        <w:t xml:space="preserve">查询投标人的信用记录，以确定投标人是否具备投标资格</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查询结果留存并归档。</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接受联合体的项目，两个以上的自然人、法人或者其他组织组成一个联合体，以一个</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的身份共同参加政府采购活动的</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联合体成员存在不良信用记录的，视同联合体存在不良应用记录。</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26.1.3 未通过资格审查或符合性审查的投标人，</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将在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中告知未通过资格审查或符合性审查的原因，评标结束后，</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将不再告知未通过资格审查和符合性审查的原因。</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26.4</w:t>
      </w:r>
      <w:r>
        <w:rPr>
          <w:rFonts w:hint="eastAsia" w:ascii="宋体" w:hAnsi="宋体" w:eastAsia="宋体" w:cs="宋体"/>
          <w:bCs/>
          <w:sz w:val="24"/>
          <w:szCs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（1）投标文件中开标一览表内容与投标文件中相应内容不一致的，以开标一览表为准。</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（2）大写金额和小写金额不一致的，以大写金额为准。</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（3）单价金额小数点或者百分比有明显错位的，以开标一览表的总价为准，并修改单价。</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（4）总价金额与按单价汇总金额不一致的，以单价金额计算结果为准。</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同时出现两种以上错误的，按照前款规定的顺序修正。</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26.5 </w:t>
      </w:r>
      <w:r>
        <w:rPr>
          <w:rFonts w:hint="eastAsia" w:ascii="宋体" w:hAnsi="宋体" w:eastAsia="宋体" w:cs="宋体"/>
          <w:bCs/>
          <w:sz w:val="24"/>
          <w:szCs w:val="24"/>
          <w:highlight w:val="none"/>
        </w:rPr>
        <w:t xml:space="preserve">评委会将按上述修正错误的方法调整投标文件中的投标报价，并通过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告知投标人，调整后的价格应对投标人具有约束力。如果投标人不接受修正后的价格，则其投标将被拒绝。</w:t>
      </w:r>
      <w:r>
        <w:rPr>
          <w:rFonts w:hint="eastAsia" w:ascii="宋体" w:hAnsi="宋体" w:eastAsia="宋体" w:cs="宋体"/>
          <w:bCs/>
          <w:sz w:val="24"/>
          <w:szCs w:val="24"/>
          <w:highlight w:val="none"/>
        </w:rPr>
      </w:r>
      <w:r/>
    </w:p>
    <w:p>
      <w:pPr>
        <w:pStyle w:val="1084"/>
        <w:ind w:firstLine="42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26.6投标人在开、评标全过程中应保持通讯畅通，及时登录苏采云系统查阅、答复相关信息，并安排专人与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及评标委员会联系。</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27、无效投标条款和废标条款</w:t>
      </w:r>
      <w:r>
        <w:rPr>
          <w:rFonts w:hint="eastAsia" w:ascii="宋体" w:hAnsi="宋体" w:eastAsia="宋体" w:cs="宋体"/>
          <w:b w:val="0"/>
          <w:bCs w:val="0"/>
          <w:sz w:val="24"/>
          <w:szCs w:val="24"/>
          <w:highlight w:val="none"/>
        </w:rPr>
      </w:r>
      <w:r/>
    </w:p>
    <w:p>
      <w:pPr>
        <w:pStyle w:val="1084"/>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27.1无效投标条款</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27.1.1 投标人在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规定的时间内未成功解密电子投标文件的。</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27.1.2 投标人未按照招标文件要求上传电子投标文件的。</w:t>
      </w:r>
      <w:r>
        <w:rPr>
          <w:rFonts w:hint="eastAsia" w:ascii="宋体" w:hAnsi="宋体" w:eastAsia="宋体" w:cs="宋体"/>
          <w:bCs/>
          <w:sz w:val="24"/>
          <w:szCs w:val="24"/>
          <w:highlight w:val="none"/>
        </w:rPr>
      </w:r>
      <w:r/>
    </w:p>
    <w:p>
      <w:pPr>
        <w:pStyle w:val="1084"/>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27.1.3同一投标人提交两个（含两个）以上不同的投标报价的。</w:t>
      </w:r>
      <w:r>
        <w:rPr>
          <w:rFonts w:hint="eastAsia" w:ascii="宋体" w:hAnsi="宋体" w:eastAsia="宋体" w:cs="宋体"/>
          <w:bCs/>
          <w:sz w:val="24"/>
          <w:szCs w:val="24"/>
          <w:highlight w:val="none"/>
        </w:rPr>
      </w:r>
      <w:r/>
    </w:p>
    <w:p>
      <w:pPr>
        <w:pStyle w:val="1084"/>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27.1.4投标人不具备招标文件中规定资格要求的。</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27.1.5投标人的报价超过了采购预算或最高限价的。</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i/>
          <w:sz w:val="24"/>
          <w:szCs w:val="24"/>
          <w:highlight w:val="none"/>
          <w:u w:val="single"/>
        </w:rPr>
      </w:pPr>
      <w:r>
        <w:rPr>
          <w:rFonts w:hint="eastAsia" w:ascii="宋体" w:hAnsi="宋体" w:eastAsia="宋体" w:cs="宋体"/>
          <w:bCs/>
          <w:sz w:val="24"/>
          <w:szCs w:val="24"/>
          <w:highlight w:val="none"/>
        </w:rPr>
        <w:t xml:space="preserve">27.1.6未通过符合性审查的。</w:t>
      </w:r>
      <w:r>
        <w:rPr>
          <w:rFonts w:hint="eastAsia" w:ascii="宋体" w:hAnsi="宋体" w:eastAsia="宋体" w:cs="宋体"/>
          <w:bCs/>
          <w:i/>
          <w:sz w:val="24"/>
          <w:szCs w:val="24"/>
          <w:highlight w:val="none"/>
          <w:u w:val="single"/>
        </w:rPr>
      </w:r>
      <w:r/>
    </w:p>
    <w:p>
      <w:pPr>
        <w:pStyle w:val="1084"/>
        <w:ind w:firstLine="360"/>
        <w:pageBreakBefore w:val="0"/>
        <w:spacing w:line="360" w:lineRule="auto"/>
        <w:widowControl w:val="off"/>
        <w:rPr>
          <w:rFonts w:hint="eastAsia" w:ascii="宋体" w:hAnsi="宋体" w:eastAsia="宋体" w:cs="宋体"/>
          <w:bCs/>
          <w:i/>
          <w:sz w:val="24"/>
          <w:szCs w:val="24"/>
          <w:highlight w:val="none"/>
          <w:u w:val="single"/>
        </w:rPr>
      </w:pPr>
      <w:r>
        <w:rPr>
          <w:rFonts w:hint="eastAsia" w:ascii="宋体" w:hAnsi="宋体" w:eastAsia="宋体" w:cs="宋体"/>
          <w:bCs/>
          <w:sz w:val="24"/>
          <w:szCs w:val="24"/>
          <w:highlight w:val="none"/>
        </w:rPr>
        <w:t xml:space="preserve"> 27.1.7不符合招标文件中规定的实质性要求和条件的（</w:t>
      </w:r>
      <w:r>
        <w:rPr>
          <w:rFonts w:hint="eastAsia" w:ascii="宋体" w:hAnsi="宋体" w:eastAsia="宋体" w:cs="宋体"/>
          <w:bCs/>
          <w:i/>
          <w:sz w:val="24"/>
          <w:szCs w:val="24"/>
          <w:highlight w:val="none"/>
          <w:u w:val="single"/>
        </w:rPr>
        <w:t xml:space="preserve">本招标文件中斜体且有下划线部分为实质性要求和条件）。</w:t>
      </w:r>
      <w:r>
        <w:rPr>
          <w:rFonts w:hint="eastAsia" w:ascii="宋体" w:hAnsi="宋体" w:eastAsia="宋体" w:cs="宋体"/>
          <w:bCs/>
          <w:i/>
          <w:sz w:val="24"/>
          <w:szCs w:val="24"/>
          <w:highlight w:val="none"/>
          <w:u w:val="singl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27.1.8 投标人被 “信用中国”网站（www.creditchina.gov.cn）列入失信被执行人或重大税收违法案件当事人名单或政府采购严重失信行为记录名单，被</w:t>
      </w:r>
      <w:r>
        <w:rPr>
          <w:rFonts w:hint="eastAsia" w:ascii="宋体" w:hAnsi="宋体" w:eastAsia="宋体" w:cs="宋体"/>
          <w:sz w:val="24"/>
          <w:szCs w:val="24"/>
          <w:highlight w:val="none"/>
        </w:rPr>
        <w:t xml:space="preserve">“中国政府采购网"(www.ccgp.gov.cn)列入政府采购严重失信行为记录名单，</w:t>
      </w:r>
      <w:r>
        <w:rPr>
          <w:rFonts w:hint="eastAsia" w:ascii="宋体" w:hAnsi="宋体" w:eastAsia="宋体" w:cs="宋体"/>
          <w:bCs/>
          <w:sz w:val="24"/>
          <w:szCs w:val="24"/>
          <w:highlight w:val="none"/>
        </w:rPr>
        <w:t xml:space="preserve">或查询“信用中国”网站后发现投标人存在其他不符合《中华人民共和国政府采购法》第二十二条规定条件的信用记录。</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27.1.9 投标文件含有采购人不能接受的附加条件的。</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color w:val="ff0000"/>
          <w:sz w:val="24"/>
          <w:szCs w:val="24"/>
          <w:highlight w:val="none"/>
          <w:lang w:val="en-US" w:eastAsia="zh-CN"/>
        </w:rPr>
      </w:pPr>
      <w:r>
        <w:rPr>
          <w:rFonts w:hint="eastAsia" w:ascii="宋体" w:hAnsi="宋体" w:eastAsia="宋体" w:cs="宋体"/>
          <w:bCs/>
          <w:color w:val="ff0000"/>
          <w:sz w:val="24"/>
          <w:szCs w:val="24"/>
          <w:highlight w:val="none"/>
        </w:rPr>
        <w:t xml:space="preserve">2</w:t>
      </w:r>
      <w:r>
        <w:rPr>
          <w:rFonts w:hint="eastAsia" w:ascii="宋体" w:hAnsi="宋体" w:eastAsia="宋体" w:cs="宋体"/>
          <w:bCs/>
          <w:color w:val="ff0000"/>
          <w:sz w:val="24"/>
          <w:szCs w:val="24"/>
          <w:highlight w:val="none"/>
          <w:lang w:val="en-US" w:eastAsia="zh-CN"/>
        </w:rPr>
        <w:t xml:space="preserve">7</w:t>
      </w:r>
      <w:r>
        <w:rPr>
          <w:rFonts w:hint="eastAsia" w:ascii="宋体" w:hAnsi="宋体" w:eastAsia="宋体" w:cs="宋体"/>
          <w:bCs/>
          <w:color w:val="ff0000"/>
          <w:sz w:val="24"/>
          <w:szCs w:val="24"/>
          <w:highlight w:val="none"/>
        </w:rPr>
        <w:t xml:space="preserve">.1.10</w:t>
      </w:r>
      <w:r>
        <w:rPr>
          <w:rFonts w:hint="eastAsia" w:ascii="宋体" w:hAnsi="宋体" w:eastAsia="宋体" w:cs="宋体"/>
          <w:bCs/>
          <w:color w:val="ff0000"/>
          <w:sz w:val="24"/>
          <w:szCs w:val="24"/>
          <w:highlight w:val="none"/>
          <w:lang w:val="en-US" w:eastAsia="zh-CN"/>
        </w:rPr>
        <w:t xml:space="preserve"> 异常低价投标（响应）</w:t>
      </w:r>
      <w:r>
        <w:rPr>
          <w:rFonts w:hint="eastAsia" w:ascii="宋体" w:hAnsi="宋体" w:eastAsia="宋体" w:cs="宋体"/>
          <w:bCs/>
          <w:color w:val="ff0000"/>
          <w:sz w:val="24"/>
          <w:szCs w:val="24"/>
          <w:highlight w:val="none"/>
          <w:lang w:val="en-US" w:eastAsia="zh-CN"/>
        </w:rPr>
      </w:r>
      <w:r/>
    </w:p>
    <w:p>
      <w:pPr>
        <w:pStyle w:val="1084"/>
        <w:ind w:firstLine="480"/>
        <w:spacing w:line="312"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ff0000"/>
          <w:sz w:val="24"/>
          <w:szCs w:val="24"/>
          <w:highlight w:val="none"/>
          <w:lang w:val="en-US" w:eastAsia="zh-CN"/>
        </w:rPr>
      </w:r>
      <w:r/>
    </w:p>
    <w:p>
      <w:pPr>
        <w:pStyle w:val="1084"/>
        <w:ind w:firstLine="480"/>
        <w:spacing w:line="312"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ff0000"/>
          <w:sz w:val="24"/>
          <w:szCs w:val="24"/>
          <w:highlight w:val="none"/>
          <w:lang w:val="en-US" w:eastAsia="zh-CN"/>
        </w:rPr>
      </w:r>
      <w:r/>
    </w:p>
    <w:p>
      <w:pPr>
        <w:pStyle w:val="1084"/>
        <w:ind w:firstLine="480"/>
        <w:spacing w:line="312"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3.投标（响应）报价低于采购项目最高限价45%的，即投标（响应）报价&lt;采购项目最高限价×45%；</w:t>
      </w:r>
      <w:r>
        <w:rPr>
          <w:rFonts w:hint="eastAsia" w:ascii="宋体" w:hAnsi="宋体" w:eastAsia="宋体" w:cs="宋体"/>
          <w:color w:val="ff0000"/>
          <w:sz w:val="24"/>
          <w:szCs w:val="24"/>
          <w:highlight w:val="none"/>
          <w:lang w:val="en-US" w:eastAsia="zh-CN"/>
        </w:rPr>
      </w:r>
      <w:r/>
    </w:p>
    <w:p>
      <w:pPr>
        <w:pStyle w:val="1084"/>
        <w:ind w:firstLine="480"/>
        <w:spacing w:line="312"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ff0000"/>
          <w:sz w:val="24"/>
          <w:szCs w:val="24"/>
          <w:highlight w:val="none"/>
          <w:lang w:val="en-US" w:eastAsia="zh-CN"/>
        </w:rPr>
      </w:r>
      <w:r/>
    </w:p>
    <w:p>
      <w:pPr>
        <w:pStyle w:val="1084"/>
        <w:ind w:firstLine="480"/>
        <w:spacing w:line="312" w:lineRule="auto"/>
        <w:rPr>
          <w:rFonts w:hint="eastAsia" w:ascii="宋体" w:hAnsi="宋体" w:eastAsia="宋体" w:cs="宋体"/>
          <w:bCs/>
          <w:color w:val="ff0000"/>
          <w:sz w:val="24"/>
          <w:szCs w:val="24"/>
          <w:highlight w:val="none"/>
        </w:rPr>
      </w:pPr>
      <w:r>
        <w:rPr>
          <w:rFonts w:hint="eastAsia" w:ascii="宋体" w:hAnsi="宋体" w:eastAsia="宋体" w:cs="宋体"/>
          <w:color w:val="ff0000"/>
          <w:sz w:val="24"/>
          <w:szCs w:val="24"/>
          <w:highlight w:val="none"/>
          <w:lang w:val="en-US" w:eastAsia="zh-CN"/>
        </w:rPr>
        <w:t xml:space="preserve">5.启动异常低价投标（响应）审查后，评审委员会应当要求相关供应商现场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Cs/>
          <w:color w:val="ff0000"/>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27.1.11 投标文件未按照招标文件要求加盖CA电子公章的。</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27.1.12其他法律、法规及本招标文件规定的属无效投标的情形。</w:t>
      </w:r>
      <w:r>
        <w:rPr>
          <w:rFonts w:hint="eastAsia" w:ascii="宋体" w:hAnsi="宋体" w:eastAsia="宋体" w:cs="宋体"/>
          <w:bCs/>
          <w:sz w:val="24"/>
          <w:szCs w:val="24"/>
          <w:highlight w:val="none"/>
        </w:rPr>
      </w:r>
      <w:r/>
    </w:p>
    <w:p>
      <w:pPr>
        <w:pStyle w:val="1084"/>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27.2废标条款</w:t>
      </w:r>
      <w:r>
        <w:rPr>
          <w:rFonts w:hint="eastAsia" w:ascii="宋体" w:hAnsi="宋体" w:eastAsia="宋体" w:cs="宋体"/>
          <w:bCs/>
          <w:sz w:val="24"/>
          <w:szCs w:val="24"/>
          <w:highlight w:val="none"/>
        </w:rPr>
      </w:r>
      <w:r/>
    </w:p>
    <w:p>
      <w:pPr>
        <w:pStyle w:val="1084"/>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27.2.1符合专业条件的</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或者对招标文件作实质响应的</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不足三家的。</w:t>
      </w:r>
      <w:r>
        <w:rPr>
          <w:rFonts w:hint="eastAsia" w:ascii="宋体" w:hAnsi="宋体" w:eastAsia="宋体" w:cs="宋体"/>
          <w:bCs/>
          <w:sz w:val="24"/>
          <w:szCs w:val="24"/>
          <w:highlight w:val="none"/>
        </w:rPr>
      </w:r>
      <w:r/>
    </w:p>
    <w:p>
      <w:pPr>
        <w:pStyle w:val="1084"/>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27.2.2出现影响采购公正的违法、违规行为的。</w:t>
      </w:r>
      <w:r>
        <w:rPr>
          <w:rFonts w:hint="eastAsia" w:ascii="宋体" w:hAnsi="宋体" w:eastAsia="宋体" w:cs="宋体"/>
          <w:bCs/>
          <w:sz w:val="24"/>
          <w:szCs w:val="24"/>
          <w:highlight w:val="none"/>
        </w:rPr>
      </w:r>
      <w:r/>
    </w:p>
    <w:p>
      <w:pPr>
        <w:pStyle w:val="1084"/>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27.2.3因重大变故，采购任务取消的。</w:t>
      </w:r>
      <w:r>
        <w:rPr>
          <w:rFonts w:hint="eastAsia" w:ascii="宋体" w:hAnsi="宋体" w:eastAsia="宋体" w:cs="宋体"/>
          <w:bCs/>
          <w:sz w:val="24"/>
          <w:szCs w:val="24"/>
          <w:highlight w:val="none"/>
        </w:rPr>
      </w:r>
      <w:r/>
    </w:p>
    <w:p>
      <w:pPr>
        <w:pStyle w:val="1084"/>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27.2.4评标委员会认定招标文件存在歧义、重大缺陷导致评审工作无法进行。</w:t>
      </w:r>
      <w:r>
        <w:rPr>
          <w:rFonts w:hint="eastAsia" w:ascii="宋体" w:hAnsi="宋体" w:eastAsia="宋体" w:cs="宋体"/>
          <w:bCs/>
          <w:sz w:val="24"/>
          <w:szCs w:val="24"/>
          <w:highlight w:val="none"/>
        </w:rPr>
      </w:r>
      <w:r/>
    </w:p>
    <w:p>
      <w:pPr>
        <w:pStyle w:val="1084"/>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27.2.5 因</w:t>
      </w:r>
      <w:r>
        <w:rPr>
          <w:rFonts w:hint="eastAsia" w:ascii="宋体" w:hAnsi="宋体" w:eastAsia="宋体" w:cs="宋体"/>
          <w:sz w:val="24"/>
          <w:szCs w:val="24"/>
          <w:highlight w:val="none"/>
        </w:rPr>
        <w:t xml:space="preserve">苏采云</w:t>
      </w:r>
      <w:r>
        <w:rPr>
          <w:rFonts w:hint="eastAsia" w:ascii="宋体" w:hAnsi="宋体" w:eastAsia="宋体" w:cs="宋体"/>
          <w:sz w:val="24"/>
          <w:szCs w:val="24"/>
          <w:highlight w:val="none"/>
          <w:lang w:eastAsia="zh-CN"/>
        </w:rPr>
        <w:t xml:space="preserve">系统故障</w:t>
      </w:r>
      <w:r>
        <w:rPr>
          <w:rFonts w:hint="eastAsia" w:ascii="宋体" w:hAnsi="宋体" w:eastAsia="宋体" w:cs="宋体"/>
          <w:bCs/>
          <w:sz w:val="24"/>
          <w:szCs w:val="24"/>
          <w:highlight w:val="none"/>
        </w:rPr>
        <w:t xml:space="preserve">原因造成开标不成功的。</w:t>
      </w:r>
      <w:r>
        <w:rPr>
          <w:rFonts w:hint="eastAsia" w:ascii="宋体" w:hAnsi="宋体" w:eastAsia="宋体" w:cs="宋体"/>
          <w:bCs/>
          <w:sz w:val="24"/>
          <w:szCs w:val="24"/>
          <w:highlight w:val="none"/>
        </w:rPr>
      </w:r>
      <w:r/>
    </w:p>
    <w:p>
      <w:pPr>
        <w:pStyle w:val="1084"/>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27.3 投标截止时间结束后参加投标的</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不足三家的处理：</w:t>
      </w:r>
      <w:r>
        <w:rPr>
          <w:rFonts w:hint="eastAsia" w:ascii="宋体" w:hAnsi="宋体" w:eastAsia="宋体" w:cs="宋体"/>
          <w:bCs/>
          <w:sz w:val="24"/>
          <w:szCs w:val="24"/>
          <w:highlight w:val="none"/>
        </w:rPr>
      </w:r>
      <w:r/>
    </w:p>
    <w:p>
      <w:pPr>
        <w:pStyle w:val="1084"/>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27.3.1如出现投标截止时间结束后参加投标的</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或者在评标期间对招标文件做出实质响应的</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不足三家情况，按政府采购相关规定执行。六、定标</w:t>
      </w:r>
      <w:r>
        <w:rPr>
          <w:rFonts w:hint="eastAsia" w:ascii="宋体" w:hAnsi="宋体" w:eastAsia="宋体" w:cs="宋体"/>
          <w:bCs/>
          <w:sz w:val="24"/>
          <w:szCs w:val="24"/>
          <w:highlight w:val="none"/>
        </w:rPr>
      </w:r>
      <w:r/>
    </w:p>
    <w:p>
      <w:pPr>
        <w:pStyle w:val="1165"/>
        <w:ind w:firstLine="600"/>
        <w:pageBreakBefore w:val="0"/>
        <w:spacing w:before="0" w:after="0" w:line="360" w:lineRule="auto"/>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28、确定中标单位</w:t>
      </w:r>
      <w:r>
        <w:rPr>
          <w:rFonts w:hint="eastAsia" w:ascii="宋体" w:hAnsi="宋体" w:eastAsia="宋体" w:cs="宋体"/>
          <w:b w:val="0"/>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28.1中标候选人的选取原则和数量见招标文件第五章规定。 </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28.2 采购人应根据评委会推荐的中标候选人确定中标人。</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28.3 </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将在“江苏政府采购网”、“扬州市政府采购网”发布中标公告，公告期限为1个工作日。</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  若有充分证据证明，中标人出现下列情况之一的，一经查实，将被取消中标资格：</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28.4.1提供虚假材料谋取中标的。</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28.4.2向采购人、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行贿或者提供其他不正当利益的。</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28.4.3属于本文件规定的无效条件，但在评标过程中又未被评委会发现的。</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28.4.4与采购人或者其他</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恶意串通的。</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28.4.5采取不正当手段诋毁、排挤其他</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有下列情形之一的，视为投标人串通投标，投标无效：</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28.5.1不同投标人的投标文件由同一单位或者个人编制。</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28.5.2不同投标人委托同一单位或者个人办理投标事宜。</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28.5.3 不同投标人的投标文件载明的项目管理成员或者联系人员为同一人。</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28.5.4不同投标人的投标文件异常一致或者投标报价呈规律性差异。</w:t>
      </w:r>
      <w:r>
        <w:rPr>
          <w:rFonts w:hint="eastAsia" w:ascii="宋体" w:hAnsi="宋体" w:eastAsia="宋体" w:cs="宋体"/>
          <w:sz w:val="24"/>
          <w:szCs w:val="24"/>
          <w:highlight w:val="none"/>
        </w:rPr>
      </w:r>
      <w:r/>
    </w:p>
    <w:p>
      <w:pPr>
        <w:pStyle w:val="1165"/>
        <w:ind w:firstLine="600"/>
        <w:pageBreakBefore w:val="0"/>
        <w:spacing w:before="0" w:after="0" w:line="360" w:lineRule="auto"/>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29、质疑处理</w:t>
      </w:r>
      <w:r>
        <w:rPr>
          <w:rFonts w:hint="eastAsia" w:ascii="宋体" w:hAnsi="宋体" w:eastAsia="宋体" w:cs="宋体"/>
          <w:b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 提出质疑的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应当是参与所质疑项目采购活动的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。潜在</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依法获取其可质疑的采购文件的，可以对采购文件提出质疑。</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或采购人提出质疑。上述应知其权益受到损害之日，是指：</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29.2.1对可以质疑的采购文件提出质疑的，为收到采购文件之日或者采购文件公告期限届满之日；</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29.2.2对采购过程提出质疑的，为各采购程序环节结束之日；</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29.2.3对中标或者成交结果提出质疑的，为中标或者成交结果公告期限届满之日。</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应当在法定质疑期内一次性提出针对同一采购程序环节的质疑。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如在法定期限内对同一采购程序环节提出多次质疑的，</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、采购人将只对</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第一次质疑作出答复。</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29.3质疑函必须按照本招标文件中《质疑函范本》要求的格式和内容进行填写。</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如组成联合体参加投标，则《质疑函范本》中要求签字、盖章、加盖公章之处，联合体各方均须按要求签字、盖章、加盖公章。</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29.4 </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（含潜在</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）对采购方式、招标文件中采购需求、</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资格条件、评标方法和评标标准、合同文本及资格审查</w:t>
      </w:r>
      <w:r>
        <w:rPr>
          <w:rFonts w:hint="eastAsia" w:ascii="宋体" w:hAnsi="宋体" w:eastAsia="宋体" w:cs="宋体"/>
          <w:color w:val="000000"/>
          <w:sz w:val="24"/>
          <w:szCs w:val="24"/>
          <w:highlight w:val="none"/>
        </w:rPr>
        <w:t xml:space="preserve">结果的询问、质疑请向采购人提出，由采购人负责答复。</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对其他事项的询问、质疑请向</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b/>
          <w:color w:val="000000"/>
          <w:sz w:val="24"/>
          <w:szCs w:val="24"/>
          <w:highlight w:val="none"/>
        </w:rPr>
      </w:r>
      <w:r/>
    </w:p>
    <w:p>
      <w:pPr>
        <w:pStyle w:val="108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尽量通过邮寄方式提</w:t>
      </w:r>
      <w:r>
        <w:rPr>
          <w:rFonts w:hint="eastAsia" w:ascii="宋体" w:hAnsi="宋体" w:eastAsia="宋体" w:cs="宋体"/>
          <w:color w:val="000000"/>
          <w:sz w:val="24"/>
          <w:szCs w:val="24"/>
          <w:highlight w:val="none"/>
        </w:rPr>
        <w:t xml:space="preserve">交质疑（采购人和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质疑接受人及联系方式详见招标文件第一章。</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采购人质疑接收人及联系方式见招标文件第一章。</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 以下情形的质疑不予受理</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29.5.1 内容不符合《政府采购质疑和投诉办法》第十二条规定的质疑。</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29.5.2 超出政府采购法定期限的质疑。</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29.5.3 以传真、电子邮件等方式递交的非原件形式的质疑。</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29.5.4 未参加投标活动的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或在投标活动中自身权益未受到损害的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所提出的质疑。</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29.5.5</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组成联合体参加投标，联合体中任何一方或多方未按要求签字、盖章、加盖公章的质疑。</w:t>
      </w:r>
      <w:r>
        <w:rPr>
          <w:rFonts w:hint="eastAsia" w:ascii="宋体" w:hAnsi="宋体" w:eastAsia="宋体" w:cs="宋体"/>
          <w:sz w:val="24"/>
          <w:szCs w:val="24"/>
          <w:highlight w:val="none"/>
        </w:rPr>
      </w:r>
      <w:r/>
    </w:p>
    <w:p>
      <w:pPr>
        <w:pStyle w:val="1084"/>
        <w:ind w:firstLine="468"/>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29.6  </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提出书面质疑必须有理、有据，不得捏造事实、提供虚假材料进行恶意质疑。否则，一经查实，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有权依据政府采购的有关规定，报请政府采购监管部门对该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进行相应的行政处罚和记录该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的失信信息。</w:t>
      </w:r>
      <w:r>
        <w:rPr>
          <w:rFonts w:hint="eastAsia" w:ascii="宋体" w:hAnsi="宋体" w:eastAsia="宋体" w:cs="宋体"/>
          <w:sz w:val="24"/>
          <w:szCs w:val="24"/>
          <w:highlight w:val="none"/>
        </w:rPr>
      </w:r>
      <w:r/>
    </w:p>
    <w:p>
      <w:pPr>
        <w:pStyle w:val="1165"/>
        <w:ind w:firstLine="600"/>
        <w:pageBreakBefore w:val="0"/>
        <w:spacing w:before="0" w:after="0" w:line="360" w:lineRule="auto"/>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30、中标通知书</w:t>
      </w:r>
      <w:r>
        <w:rPr>
          <w:rFonts w:hint="eastAsia" w:ascii="宋体" w:hAnsi="宋体" w:eastAsia="宋体" w:cs="宋体"/>
          <w:b w:val="0"/>
          <w:sz w:val="24"/>
          <w:szCs w:val="24"/>
          <w:highlight w:val="none"/>
        </w:rPr>
      </w:r>
      <w:r/>
    </w:p>
    <w:p>
      <w:pPr>
        <w:pStyle w:val="1084"/>
        <w:ind w:firstLine="60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30.l</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中标结果确定后，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将向中标人发出中标通知书。请中标人在中标结果公告届满之日起30日内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rPr>
          <w:rFonts w:hint="eastAsia" w:ascii="宋体" w:hAnsi="宋体" w:eastAsia="宋体" w:cs="宋体"/>
          <w:sz w:val="24"/>
          <w:szCs w:val="24"/>
          <w:highlight w:val="none"/>
        </w:rPr>
      </w:r>
      <w:r/>
    </w:p>
    <w:p>
      <w:pPr>
        <w:pStyle w:val="1084"/>
        <w:ind w:firstLine="60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sz w:val="24"/>
          <w:szCs w:val="24"/>
          <w:highlight w:val="none"/>
        </w:rPr>
      </w:r>
      <w:r/>
    </w:p>
    <w:p>
      <w:pPr>
        <w:pStyle w:val="1169"/>
        <w:pageBreakBefore w:val="0"/>
        <w:spacing w:before="145" w:after="145"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七、授予合同</w:t>
      </w:r>
      <w:r>
        <w:rPr>
          <w:rFonts w:hint="eastAsia" w:ascii="宋体" w:hAnsi="宋体" w:eastAsia="宋体" w:cs="宋体"/>
          <w:sz w:val="24"/>
          <w:szCs w:val="24"/>
          <w:highlight w:val="none"/>
        </w:rPr>
      </w:r>
      <w:r/>
    </w:p>
    <w:p>
      <w:pPr>
        <w:pStyle w:val="1165"/>
        <w:ind w:firstLine="600"/>
        <w:pageBreakBefore w:val="0"/>
        <w:spacing w:before="0" w:after="0" w:line="360" w:lineRule="auto"/>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31. 签订合同</w:t>
      </w:r>
      <w:r>
        <w:rPr>
          <w:rFonts w:hint="eastAsia" w:ascii="宋体" w:hAnsi="宋体" w:eastAsia="宋体" w:cs="宋体"/>
          <w:b w:val="0"/>
          <w:sz w:val="24"/>
          <w:szCs w:val="24"/>
          <w:highlight w:val="none"/>
        </w:rPr>
      </w:r>
      <w:r/>
    </w:p>
    <w:p>
      <w:pPr>
        <w:pStyle w:val="1084"/>
        <w:ind w:firstLine="60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31</w:t>
      </w:r>
      <w:r>
        <w:rPr>
          <w:rFonts w:hint="eastAsia" w:ascii="宋体" w:hAnsi="宋体" w:eastAsia="宋体" w:cs="宋体"/>
          <w:sz w:val="24"/>
          <w:szCs w:val="24"/>
          <w:highlight w:val="none"/>
        </w:rPr>
        <w:t xml:space="preserve">.l中标人应当在中标通知书发出之日起</w:t>
      </w:r>
      <w:r>
        <w:rPr>
          <w:rFonts w:hint="eastAsia" w:ascii="宋体" w:hAnsi="宋体" w:eastAsia="宋体" w:cs="宋体"/>
          <w:sz w:val="24"/>
          <w:szCs w:val="24"/>
          <w:highlight w:val="none"/>
          <w:lang w:val="en-US" w:eastAsia="zh-CN"/>
        </w:rPr>
        <w:t xml:space="preserve">三十</w:t>
      </w:r>
      <w:r>
        <w:rPr>
          <w:rFonts w:hint="eastAsia" w:ascii="宋体" w:hAnsi="宋体" w:eastAsia="宋体" w:cs="宋体"/>
          <w:sz w:val="24"/>
          <w:szCs w:val="24"/>
          <w:highlight w:val="none"/>
        </w:rPr>
        <w:t xml:space="preserve">日内，按照招标文件确定的事项与采购人签订政府采购合同。</w:t>
      </w:r>
      <w:r>
        <w:rPr>
          <w:rFonts w:hint="eastAsia" w:ascii="宋体" w:hAnsi="宋体" w:eastAsia="宋体" w:cs="宋体"/>
          <w:sz w:val="24"/>
          <w:szCs w:val="24"/>
          <w:highlight w:val="none"/>
        </w:rPr>
      </w:r>
      <w:r/>
    </w:p>
    <w:p>
      <w:pPr>
        <w:pStyle w:val="1084"/>
        <w:ind w:firstLine="60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31.2</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招标文件、中标人的投标文件及招标过程中有关澄清、承诺文件均应作为合同附件。</w:t>
      </w:r>
      <w:r>
        <w:rPr>
          <w:rFonts w:hint="eastAsia" w:ascii="宋体" w:hAnsi="宋体" w:eastAsia="宋体" w:cs="宋体"/>
          <w:sz w:val="24"/>
          <w:szCs w:val="24"/>
          <w:highlight w:val="none"/>
        </w:rPr>
      </w:r>
      <w:r/>
    </w:p>
    <w:p>
      <w:pPr>
        <w:pStyle w:val="1084"/>
        <w:ind w:firstLine="60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31.3 签订合同后，</w:t>
      </w:r>
      <w:r>
        <w:rPr>
          <w:rFonts w:hint="eastAsia" w:ascii="宋体" w:hAnsi="宋体" w:eastAsia="宋体" w:cs="宋体"/>
          <w:i/>
          <w:sz w:val="24"/>
          <w:szCs w:val="24"/>
          <w:highlight w:val="none"/>
          <w:u w:val="single"/>
        </w:rPr>
        <w:t xml:space="preserve">中标人不得将合同标的进行转包</w:t>
      </w:r>
      <w:r>
        <w:rPr>
          <w:rFonts w:hint="eastAsia" w:ascii="宋体" w:hAnsi="宋体" w:eastAsia="宋体" w:cs="宋体"/>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sz w:val="24"/>
          <w:szCs w:val="24"/>
          <w:highlight w:val="none"/>
        </w:rPr>
      </w:r>
      <w:r/>
    </w:p>
    <w:p>
      <w:pPr>
        <w:pStyle w:val="1165"/>
        <w:ind w:firstLine="600"/>
        <w:pageBreakBefore w:val="0"/>
        <w:spacing w:before="0" w:after="0" w:line="360" w:lineRule="auto"/>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32、政府采购履约资金扶持政策</w:t>
      </w:r>
      <w:r>
        <w:rPr>
          <w:rFonts w:hint="eastAsia" w:ascii="宋体" w:hAnsi="宋体" w:eastAsia="宋体" w:cs="宋体"/>
          <w:b w:val="0"/>
          <w:sz w:val="24"/>
          <w:szCs w:val="24"/>
          <w:highlight w:val="none"/>
        </w:rPr>
      </w:r>
      <w:r/>
    </w:p>
    <w:p>
      <w:pPr>
        <w:pStyle w:val="1151"/>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中标人可凭政府采购合同办理融资贷款，详情请见江苏政府采购网、扬州市政府采购网“政采贷”专栏。</w:t>
      </w:r>
      <w:r>
        <w:rPr>
          <w:rFonts w:hint="eastAsia" w:ascii="宋体" w:hAnsi="宋体" w:eastAsia="宋体" w:cs="宋体"/>
          <w:sz w:val="24"/>
          <w:szCs w:val="24"/>
          <w:highlight w:val="none"/>
        </w:rPr>
      </w:r>
      <w:r/>
    </w:p>
    <w:p>
      <w:pPr>
        <w:pStyle w:val="1085"/>
        <w:jc w:val="center"/>
        <w:pageBreakBefore w:val="0"/>
        <w:spacing w:line="360" w:lineRule="auto"/>
        <w:widowControl w:val="off"/>
        <w:rPr>
          <w:rFonts w:hint="eastAsia" w:ascii="宋体" w:hAnsi="宋体" w:eastAsia="宋体" w:cs="宋体"/>
          <w:color w:val="000000"/>
          <w:sz w:val="24"/>
          <w:szCs w:val="24"/>
          <w:highlight w:val="none"/>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4"/>
          <w:szCs w:val="24"/>
          <w:highlight w:val="none"/>
        </w:rPr>
      </w:r>
      <w:r/>
    </w:p>
    <w:p>
      <w:pPr>
        <w:pStyle w:val="1085"/>
        <w:jc w:val="center"/>
        <w:spacing w:line="360" w:lineRule="auto"/>
        <w:rPr>
          <w:rFonts w:hint="eastAsia" w:ascii="宋体" w:hAnsi="宋体" w:eastAsia="宋体"/>
          <w:color w:val="000000"/>
          <w:highlight w:val="none"/>
          <w:lang w:eastAsia="zh-CN"/>
        </w:rPr>
      </w:pPr>
      <w:r>
        <w:rPr>
          <w:rFonts w:hint="eastAsia" w:ascii="宋体" w:hAnsi="宋体"/>
          <w:color w:val="000000"/>
          <w:highlight w:val="none"/>
        </w:rPr>
        <w:t xml:space="preserve">第三章 合同</w:t>
      </w:r>
      <w:bookmarkEnd w:id="12"/>
      <w:r>
        <w:rPr>
          <w:rFonts w:hint="eastAsia" w:ascii="宋体" w:hAnsi="宋体"/>
          <w:color w:val="000000"/>
          <w:highlight w:val="none"/>
          <w:lang w:val="en-US" w:eastAsia="zh-CN"/>
        </w:rPr>
        <w:t xml:space="preserve">文本</w:t>
      </w:r>
      <w:r>
        <w:rPr>
          <w:rFonts w:hint="eastAsia" w:ascii="宋体" w:hAnsi="宋体" w:eastAsia="宋体"/>
          <w:color w:val="000000"/>
          <w:highlight w:val="none"/>
          <w:lang w:eastAsia="zh-CN"/>
        </w:rPr>
      </w:r>
      <w:r/>
    </w:p>
    <w:p>
      <w:pPr>
        <w:pStyle w:val="1084"/>
        <w:ind w:left="0" w:right="0" w:firstLine="0"/>
        <w:jc w:val="center"/>
        <w:spacing w:before="145" w:after="145"/>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江苏省政府采购合同（服务）（合同编号）</w:t>
      </w:r>
      <w:r>
        <w:rPr>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扬州市直属监所医疗卫生专业化达标建设项目（二次）</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：JSZC-321000-ZYCG-G2026-0010</w:t>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甲方：（买方/采购人）_________</w:t>
      </w:r>
      <w:r>
        <w:rPr>
          <w:rFonts w:hint="eastAsia" w:ascii="宋体" w:hAnsi="宋体" w:eastAsia="宋体" w:cs="宋体"/>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乙方：（卖方/中标供应商）_________</w:t>
      </w:r>
      <w:r>
        <w:rPr>
          <w:rFonts w:hint="eastAsia" w:ascii="宋体" w:hAnsi="宋体" w:eastAsia="宋体" w:cs="宋体"/>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甲</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乙双方按照扬州筑苑工程招标咨询有限公司关于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项目公开招标的结果，签署本合同。</w:t>
      </w:r>
      <w:r>
        <w:rPr>
          <w:rFonts w:hint="eastAsia" w:ascii="宋体" w:hAnsi="宋体" w:eastAsia="宋体" w:cs="宋体"/>
          <w:color w:val="000000"/>
          <w:sz w:val="24"/>
          <w:szCs w:val="24"/>
          <w:highlight w:val="none"/>
          <w:u w:val="none"/>
          <w:lang w:val="en-US" w:eastAsia="zh-CN"/>
        </w:rPr>
      </w:r>
      <w:r/>
    </w:p>
    <w:p>
      <w:pPr>
        <w:pStyle w:val="1102"/>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一、合同内容</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标的名称：______</w:t>
      </w:r>
      <w:r>
        <w:rPr>
          <w:rFonts w:hint="eastAsia" w:ascii="宋体" w:hAnsi="宋体" w:eastAsia="宋体" w:cs="宋体"/>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1.2标的质量：______</w:t>
      </w:r>
      <w:r>
        <w:rPr>
          <w:rFonts w:hint="eastAsia" w:ascii="宋体" w:hAnsi="宋体" w:eastAsia="宋体" w:cs="宋体"/>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标的数量（规模）：______</w:t>
      </w:r>
      <w:r>
        <w:rPr>
          <w:rFonts w:hint="eastAsia" w:ascii="宋体" w:hAnsi="宋体" w:eastAsia="宋体" w:cs="宋体"/>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履行时间（期限）：______</w:t>
      </w:r>
      <w:r>
        <w:rPr>
          <w:rFonts w:hint="eastAsia" w:ascii="宋体" w:hAnsi="宋体" w:eastAsia="宋体" w:cs="宋体"/>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履行地点：______</w:t>
      </w:r>
      <w:r>
        <w:rPr>
          <w:rFonts w:hint="eastAsia" w:ascii="宋体" w:hAnsi="宋体" w:eastAsia="宋体" w:cs="宋体"/>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1.6履行方式：______</w:t>
      </w:r>
      <w:r>
        <w:rPr>
          <w:rFonts w:hint="eastAsia" w:ascii="宋体" w:hAnsi="宋体" w:eastAsia="宋体" w:cs="宋体"/>
          <w:color w:val="000000"/>
          <w:sz w:val="24"/>
          <w:szCs w:val="24"/>
          <w:highlight w:val="none"/>
        </w:rPr>
      </w:r>
      <w:r/>
    </w:p>
    <w:p>
      <w:pPr>
        <w:pStyle w:val="1102"/>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二、合同金额</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line="360" w:lineRule="auto"/>
        <w:widowControl w:val="off"/>
        <w:rPr>
          <w:rFonts w:hint="eastAsia" w:hAnsi="宋体" w:cs="宋体"/>
          <w:highlight w:val="none"/>
        </w:rPr>
      </w:pPr>
      <w:r>
        <w:rPr>
          <w:rFonts w:hint="eastAsia" w:ascii="宋体" w:hAnsi="宋体" w:eastAsia="宋体" w:cs="宋体"/>
          <w:color w:val="000000"/>
          <w:sz w:val="24"/>
          <w:szCs w:val="24"/>
          <w:highlight w:val="none"/>
        </w:rPr>
        <w:t xml:space="preserve">2.1 本合同金额为（大写）：___________圆（________元）人民币或其他币种。</w:t>
      </w:r>
      <w:r>
        <w:rPr>
          <w:rFonts w:hint="eastAsia" w:hAnsi="宋体" w:cs="宋体"/>
          <w:highlight w:val="none"/>
        </w:rPr>
      </w:r>
      <w:r/>
    </w:p>
    <w:p>
      <w:pPr>
        <w:pStyle w:val="1102"/>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三、技术资料</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3.1乙方应按采购文件规定的时间向甲方提供使用服务或产品的有关技术资料。</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w:t>
      </w:r>
      <w:r>
        <w:rPr>
          <w:rFonts w:hint="eastAsia" w:hAnsi="宋体" w:eastAsia="宋体" w:cs="宋体"/>
          <w:color w:val="000000"/>
          <w:sz w:val="24"/>
          <w:szCs w:val="24"/>
          <w:highlight w:val="none"/>
          <w:lang w:eastAsia="zh-CN"/>
        </w:rPr>
        <w:t xml:space="preserve">提供基于</w:t>
      </w:r>
      <w:r>
        <w:rPr>
          <w:rFonts w:hint="eastAsia" w:ascii="宋体" w:hAnsi="宋体" w:eastAsia="宋体" w:cs="宋体"/>
          <w:color w:val="000000"/>
          <w:sz w:val="24"/>
          <w:szCs w:val="24"/>
          <w:highlight w:val="none"/>
        </w:rPr>
        <w:t xml:space="preserve">履行本合同无关的任何其他人。即使向履行本合同有关的人员提供，也应注意保密并限于履行合同的必需范围。</w:t>
      </w:r>
      <w:r>
        <w:rPr>
          <w:rFonts w:hint="eastAsia" w:ascii="宋体" w:hAnsi="宋体" w:eastAsia="宋体" w:cs="宋体"/>
          <w:color w:val="000000"/>
          <w:sz w:val="24"/>
          <w:szCs w:val="24"/>
          <w:highlight w:val="none"/>
        </w:rPr>
      </w:r>
      <w:r/>
    </w:p>
    <w:p>
      <w:pPr>
        <w:pStyle w:val="1102"/>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四、知识产权</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ascii="宋体" w:hAnsi="宋体" w:eastAsia="宋体" w:cs="宋体"/>
          <w:color w:val="000000"/>
          <w:sz w:val="24"/>
          <w:szCs w:val="24"/>
          <w:highlight w:val="none"/>
        </w:rPr>
      </w:r>
      <w:r/>
    </w:p>
    <w:p>
      <w:pPr>
        <w:pStyle w:val="1102"/>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五、产权担保</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乙方保证所交付的服务或产品的所有权完全属于乙方且无任何抵押、查封等产权瑕疵。</w:t>
      </w:r>
      <w:r>
        <w:rPr>
          <w:rFonts w:hint="eastAsia" w:ascii="宋体" w:hAnsi="宋体" w:eastAsia="宋体" w:cs="宋体"/>
          <w:color w:val="000000"/>
          <w:sz w:val="24"/>
          <w:szCs w:val="24"/>
          <w:highlight w:val="none"/>
        </w:rPr>
      </w:r>
      <w:r/>
    </w:p>
    <w:p>
      <w:pPr>
        <w:pStyle w:val="1102"/>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六、履约保证金</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乙方交纳人民币</w:t>
      </w:r>
      <w:r>
        <w:rPr>
          <w:rFonts w:hint="eastAsia" w:ascii="宋体" w:hAnsi="宋体" w:eastAsia="宋体" w:cs="宋体"/>
          <w:color w:val="000000"/>
          <w:sz w:val="24"/>
          <w:szCs w:val="24"/>
          <w:highlight w:val="none"/>
          <w:u w:val="single"/>
        </w:rPr>
        <w:t xml:space="preserve"> 零 </w:t>
      </w:r>
      <w:r>
        <w:rPr>
          <w:rFonts w:hint="eastAsia" w:ascii="宋体" w:hAnsi="宋体" w:eastAsia="宋体" w:cs="宋体"/>
          <w:color w:val="000000"/>
          <w:sz w:val="24"/>
          <w:szCs w:val="24"/>
          <w:highlight w:val="none"/>
        </w:rPr>
        <w:t xml:space="preserve">元作为本合同的履约保证金。（不得超过合同金额的10%）</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6.2合同履行结束后，甲方应及时退还交纳的履约保证金。</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6.2.1履约保证金退还方式：无</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6.2.2履约保证金退还时间：无</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6.2.3履约保证金退还条件：无</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6.2.4履约保证金不予退还的情形：无</w:t>
      </w:r>
      <w:r>
        <w:rPr>
          <w:rFonts w:hint="eastAsia" w:ascii="宋体" w:hAnsi="宋体" w:eastAsia="宋体" w:cs="宋体"/>
          <w:color w:val="000000"/>
          <w:sz w:val="24"/>
          <w:szCs w:val="24"/>
          <w:highlight w:val="none"/>
        </w:rPr>
      </w:r>
      <w:r/>
    </w:p>
    <w:p>
      <w:pPr>
        <w:pStyle w:val="1102"/>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七、转包或分包</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7.1本合同范围的服务或产品，应由乙方直接供应，不得转让他人供应；</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除非得到甲方的书面同意，乙方不得部分分包给他人供应。</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7.3如有转让和未经甲方同意的分包行为，甲方有权给予终止合同。</w:t>
      </w:r>
      <w:r>
        <w:rPr>
          <w:rFonts w:hint="eastAsia" w:ascii="宋体" w:hAnsi="宋体" w:eastAsia="宋体" w:cs="宋体"/>
          <w:color w:val="000000"/>
          <w:sz w:val="24"/>
          <w:szCs w:val="24"/>
          <w:highlight w:val="none"/>
        </w:rPr>
      </w:r>
      <w:r/>
    </w:p>
    <w:p>
      <w:pPr>
        <w:pStyle w:val="1102"/>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八、合同款项支付</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8.1合同款项的支付方式及进度安排</w:t>
      </w:r>
      <w:r>
        <w:rPr>
          <w:rFonts w:hint="eastAsia" w:ascii="宋体" w:hAnsi="宋体" w:eastAsia="宋体" w:cs="宋体"/>
          <w:color w:val="000000"/>
          <w:sz w:val="24"/>
          <w:szCs w:val="24"/>
          <w:highlight w:val="none"/>
        </w:rPr>
      </w:r>
      <w:r/>
    </w:p>
    <w:p>
      <w:pPr>
        <w:pStyle w:val="1084"/>
        <w:keepLines w:val="0"/>
        <w:keepNext w:val="0"/>
        <w:pageBreakBefore w:val="0"/>
        <w:spacing w:before="145" w:after="145"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合同签订后，乙方向甲方开具发票，甲方自收到发票之日起10个工作日内支付合同总价30%的预付款；服务开始后，剩余合同总价的70%，甲乙双方按半年为一个周期结算服务费用，每周期结束后，中标人向采购人开具发票，采购人自收到发票之日起10个工作日内支付。（预付款扣除，扣完为止）</w:t>
      </w:r>
      <w:r>
        <w:rPr>
          <w:rFonts w:hint="eastAsia" w:ascii="宋体" w:hAnsi="宋体" w:eastAsia="宋体" w:cs="宋体"/>
          <w:b/>
          <w:color w:val="000000"/>
          <w:sz w:val="24"/>
          <w:szCs w:val="24"/>
          <w:highlight w:val="none"/>
        </w:rPr>
      </w:r>
      <w:r/>
    </w:p>
    <w:p>
      <w:pPr>
        <w:pStyle w:val="1102"/>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九、税金</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rPr>
          <w:rFonts w:hint="eastAsia" w:ascii="宋体" w:hAnsi="宋体" w:eastAsia="宋体" w:cs="宋体"/>
          <w:color w:val="000000"/>
          <w:sz w:val="24"/>
          <w:szCs w:val="24"/>
          <w:highlight w:val="none"/>
        </w:rPr>
      </w:r>
      <w:r/>
    </w:p>
    <w:p>
      <w:pPr>
        <w:pStyle w:val="1102"/>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十、项目验收</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甲方依法组织履约验收工作。</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对于实际使用人和甲方分离的项目，甲方邀请实际使用人参与验收。</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10.4如有必要，甲方邀请参加本项目的其他供应商或第三方专业机构及专家参与验收，相关意见将作为验收书的参考资料。</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color w:val="000000"/>
          <w:sz w:val="24"/>
          <w:szCs w:val="24"/>
          <w:highlight w:val="none"/>
        </w:rPr>
      </w:r>
      <w:r/>
    </w:p>
    <w:p>
      <w:pPr>
        <w:pStyle w:val="1102"/>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十一、违约责任</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甲方无正当理由拒绝接受乙方提供服务的，甲方向乙方偿付拒绝接受服务合同价款总值的违约金。</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甲方无故逾期验收和办理合同款项支付手续的,甲方应按逾期付款总额每日向乙方支付违约金。</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 </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乙方所提供服务的标准不符合合同规定及采购文件规定标准的，甲方有权拒绝接受服务，并可单方面解除合同。</w:t>
      </w:r>
      <w:r>
        <w:rPr>
          <w:rFonts w:hint="eastAsia" w:ascii="宋体" w:hAnsi="宋体" w:eastAsia="宋体" w:cs="宋体"/>
          <w:color w:val="000000"/>
          <w:sz w:val="24"/>
          <w:szCs w:val="24"/>
          <w:highlight w:val="none"/>
        </w:rPr>
      </w:r>
      <w:r/>
    </w:p>
    <w:p>
      <w:pPr>
        <w:pStyle w:val="1102"/>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十二、不可抗力事件处理</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不可抗力事件发生后，应立即通知对方，并寄送有关权威机构出具的证明。</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不可抗力事件延续120天以上，双方应通过友好协商，确定是否继续履行合同。</w:t>
      </w:r>
      <w:r>
        <w:rPr>
          <w:rFonts w:hint="eastAsia" w:ascii="宋体" w:hAnsi="宋体" w:eastAsia="宋体" w:cs="宋体"/>
          <w:color w:val="000000"/>
          <w:sz w:val="24"/>
          <w:szCs w:val="24"/>
          <w:highlight w:val="none"/>
        </w:rPr>
      </w:r>
      <w:r/>
    </w:p>
    <w:p>
      <w:pPr>
        <w:pStyle w:val="1166"/>
        <w:ind w:firstLine="48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十三、解决争议的方法</w:t>
      </w:r>
      <w:r>
        <w:rPr>
          <w:rFonts w:hint="eastAsia" w:ascii="宋体" w:hAnsi="宋体" w:eastAsia="宋体" w:cs="宋体"/>
          <w:b/>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13.1双方在签订、履行合同中所发生的一切争议，应通过友好协商解决。如协商不成，由甲方住所地人民法院管辖。</w:t>
      </w:r>
      <w:r>
        <w:rPr>
          <w:rFonts w:hint="eastAsia" w:ascii="宋体" w:hAnsi="宋体" w:eastAsia="宋体" w:cs="宋体"/>
          <w:color w:val="000000"/>
          <w:sz w:val="24"/>
          <w:szCs w:val="24"/>
          <w:highlight w:val="none"/>
        </w:rPr>
      </w:r>
      <w:r/>
    </w:p>
    <w:p>
      <w:pPr>
        <w:pStyle w:val="1102"/>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十四、合同生效及其它</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合同经双方法定代表人或授权委托代表人签字并加盖单位公章后生效。</w:t>
      </w:r>
      <w:r>
        <w:rPr>
          <w:rFonts w:hint="eastAsia" w:ascii="宋体" w:hAnsi="宋体" w:eastAsia="宋体" w:cs="宋体"/>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14.2本合同未尽事宜，</w:t>
      </w:r>
      <w:r>
        <w:rPr>
          <w:rFonts w:ascii="宋体" w:hAnsi="宋体" w:eastAsia="宋体" w:cs="宋体"/>
          <w:color w:val="000000"/>
          <w:sz w:val="24"/>
          <w:highlight w:val="none"/>
        </w:rPr>
        <w:t xml:space="preserve">遵照中华人民共和国现行法律法规有关条文执行。</w:t>
      </w:r>
      <w:r>
        <w:rPr>
          <w:rFonts w:hint="eastAsia" w:ascii="宋体" w:hAnsi="宋体" w:eastAsia="宋体" w:cs="宋体"/>
          <w:color w:val="000000"/>
          <w:sz w:val="24"/>
          <w:szCs w:val="24"/>
          <w:highlight w:val="none"/>
        </w:rPr>
      </w:r>
      <w:r/>
    </w:p>
    <w:p>
      <w:pPr>
        <w:pStyle w:val="1102"/>
        <w:ind w:firstLine="480"/>
        <w:keepLines w:val="0"/>
        <w:keepNext w:val="0"/>
        <w:pageBreakBefore w:val="0"/>
        <w:spacing w:line="360" w:lineRule="auto"/>
        <w:widowControl w:val="off"/>
        <w:rPr>
          <w:rFonts w:hint="eastAsia" w:hAnsi="宋体" w:cs="宋体"/>
          <w:color w:val="000000"/>
          <w:sz w:val="24"/>
          <w:szCs w:val="24"/>
          <w:highlight w:val="none"/>
        </w:rPr>
      </w:pPr>
      <w:r>
        <w:rPr>
          <w:rFonts w:hint="eastAsia" w:ascii="宋体" w:hAnsi="宋体" w:eastAsia="宋体" w:cs="宋体"/>
          <w:color w:val="000000"/>
          <w:sz w:val="24"/>
          <w:szCs w:val="24"/>
          <w:highlight w:val="none"/>
        </w:rPr>
        <w:t xml:space="preserve">14.3 本合同正本</w:t>
      </w:r>
      <w:r>
        <w:rPr>
          <w:rFonts w:hint="eastAsia" w:hAnsi="宋体" w:eastAsia="宋体" w:cs="宋体"/>
          <w:color w:val="000000"/>
          <w:sz w:val="24"/>
          <w:szCs w:val="24"/>
          <w:highlight w:val="none"/>
          <w:lang w:eastAsia="zh-CN"/>
        </w:rPr>
        <w:t xml:space="preserve">一式四份</w:t>
      </w:r>
      <w:r>
        <w:rPr>
          <w:rFonts w:hint="eastAsia" w:ascii="宋体" w:hAnsi="宋体" w:eastAsia="宋体" w:cs="宋体"/>
          <w:color w:val="000000"/>
          <w:sz w:val="24"/>
          <w:szCs w:val="24"/>
          <w:highlight w:val="none"/>
        </w:rPr>
        <w:t xml:space="preserve">，具有同等法律效力，甲方、乙方各执</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份。</w:t>
      </w:r>
      <w:r>
        <w:rPr>
          <w:rFonts w:hint="eastAsia" w:hAnsi="宋体" w:cs="宋体"/>
          <w:color w:val="000000"/>
          <w:sz w:val="24"/>
          <w:szCs w:val="24"/>
          <w:highlight w:val="none"/>
        </w:rPr>
      </w:r>
      <w:r/>
    </w:p>
    <w:p>
      <w:pPr>
        <w:pStyle w:val="110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02"/>
              <w:spacing w:before="120" w:after="120" w:line="360" w:lineRule="auto"/>
              <w:rPr>
                <w:rFonts w:hint="eastAsia" w:hAnsi="宋体" w:eastAsia="宋体" w:cs="宋体"/>
                <w:color w:val="000000"/>
                <w:sz w:val="24"/>
                <w:szCs w:val="24"/>
                <w:highlight w:val="none"/>
                <w:lang w:eastAsia="zh-CN"/>
              </w:rPr>
            </w:pPr>
            <w:r>
              <w:rPr>
                <w:rFonts w:hint="eastAsia" w:hAnsi="宋体" w:cs="宋体"/>
                <w:color w:val="000000"/>
                <w:sz w:val="24"/>
                <w:szCs w:val="24"/>
                <w:highlight w:val="none"/>
              </w:rPr>
              <w:t xml:space="preserve">甲方：</w:t>
            </w:r>
            <w:r>
              <w:rPr>
                <w:rFonts w:hint="eastAsia" w:hAnsi="宋体" w:cs="宋体"/>
                <w:color w:val="000000"/>
                <w:sz w:val="24"/>
                <w:szCs w:val="24"/>
                <w:highlight w:val="none"/>
                <w:lang w:eastAsia="zh-CN"/>
              </w:rPr>
              <w:t xml:space="preserve">扬州市公安局</w:t>
            </w:r>
            <w:r>
              <w:rPr>
                <w:rFonts w:hint="eastAsia" w:hAnsi="宋体" w:eastAsia="宋体" w:cs="宋体"/>
                <w:color w:val="000000"/>
                <w:sz w:val="24"/>
                <w:szCs w:val="24"/>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0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乙方： </w:t>
            </w:r>
            <w:r>
              <w:rPr>
                <w:rFonts w:hint="eastAsia" w:hAnsi="宋体" w:cs="宋体"/>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0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地址： </w:t>
            </w:r>
            <w:r>
              <w:rPr>
                <w:rFonts w:hint="eastAsia"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0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地址： </w:t>
            </w:r>
            <w:r>
              <w:rPr>
                <w:rFonts w:hint="eastAsia" w:hAnsi="宋体" w:cs="宋体"/>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0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法定代表人或授权代表：</w:t>
            </w:r>
            <w:r>
              <w:rPr>
                <w:rFonts w:hint="eastAsia"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0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法定代表人或授权代表：</w:t>
            </w:r>
            <w:r>
              <w:rPr>
                <w:rFonts w:hint="eastAsia" w:hAnsi="宋体" w:cs="宋体"/>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02"/>
              <w:spacing w:before="120" w:after="120" w:line="360" w:lineRule="auto"/>
              <w:rPr>
                <w:rFonts w:hint="eastAsia"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经办人：</w:t>
            </w:r>
            <w:r>
              <w:rPr>
                <w:rFonts w:hint="eastAsia" w:hAnsi="宋体" w:eastAsia="宋体" w:cs="宋体"/>
                <w:color w:val="000000"/>
                <w:sz w:val="24"/>
                <w:szCs w:val="24"/>
                <w:highlight w:val="none"/>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02"/>
              <w:spacing w:before="120" w:after="120" w:line="360" w:lineRule="auto"/>
              <w:rPr>
                <w:rFonts w:hint="eastAsia"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经办人：</w:t>
            </w:r>
            <w:r>
              <w:rPr>
                <w:rFonts w:hint="eastAsia" w:hAnsi="宋体" w:eastAsia="宋体" w:cs="宋体"/>
                <w:color w:val="000000"/>
                <w:sz w:val="24"/>
                <w:szCs w:val="24"/>
                <w:highlight w:val="none"/>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0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联系电话：</w:t>
            </w:r>
            <w:r>
              <w:rPr>
                <w:rFonts w:hint="eastAsia"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0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联系电话：</w:t>
            </w:r>
            <w:r>
              <w:rPr>
                <w:rFonts w:hint="eastAsia" w:hAnsi="宋体" w:cs="宋体"/>
                <w:color w:val="000000"/>
                <w:sz w:val="24"/>
                <w:szCs w:val="24"/>
                <w:highlight w:val="none"/>
              </w:rPr>
            </w:r>
            <w:r/>
          </w:p>
        </w:tc>
      </w:tr>
    </w:tbl>
    <w:p>
      <w:pPr>
        <w:pStyle w:val="1102"/>
        <w:ind w:firstLine="240"/>
        <w:jc w:val="right"/>
        <w:spacing w:before="120" w:after="120" w:line="360" w:lineRule="auto"/>
        <w:rPr>
          <w:rFonts w:hint="eastAsia" w:hAnsi="宋体" w:cs="宋体"/>
          <w:color w:val="000000"/>
          <w:sz w:val="21"/>
          <w:szCs w:val="21"/>
          <w:highlight w:val="none"/>
        </w:rPr>
      </w:pPr>
      <w:r>
        <w:rPr>
          <w:rFonts w:hint="eastAsia" w:hAnsi="宋体" w:cs="宋体"/>
          <w:color w:val="000000"/>
          <w:sz w:val="24"/>
          <w:szCs w:val="24"/>
          <w:highlight w:val="none"/>
        </w:rPr>
        <w:t xml:space="preserve">签订日期：     年   月   日</w:t>
      </w:r>
      <w:r>
        <w:rPr>
          <w:rFonts w:hint="eastAsia" w:hAnsi="宋体" w:cs="宋体"/>
          <w:color w:val="000000"/>
          <w:sz w:val="21"/>
          <w:szCs w:val="21"/>
          <w:highlight w:val="none"/>
        </w:rPr>
      </w:r>
      <w:r/>
    </w:p>
    <w:p>
      <w:pPr>
        <w:pStyle w:val="1085"/>
        <w:jc w:val="center"/>
        <w:spacing w:line="360" w:lineRule="auto"/>
        <w:rPr>
          <w:rFonts w:hint="eastAsia" w:ascii="宋体" w:hAnsi="宋体"/>
          <w:color w:val="000000"/>
          <w:highlight w:val="none"/>
        </w:rPr>
      </w:pPr>
      <w:r>
        <w:rPr>
          <w:color w:val="000000"/>
          <w:highlight w:val="none"/>
        </w:rPr>
        <w:br w:type="page" w:clear="all"/>
      </w:r>
      <w:bookmarkStart w:id="14" w:name="_Toc109304974"/>
      <w:r>
        <w:rPr>
          <w:rFonts w:hint="eastAsia"/>
          <w:color w:val="000000"/>
          <w:highlight w:val="none"/>
        </w:rPr>
        <w:t xml:space="preserve">第四章 </w:t>
      </w:r>
      <w:r>
        <w:rPr>
          <w:rFonts w:hint="eastAsia"/>
          <w:color w:val="000000"/>
          <w:highlight w:val="none"/>
          <w:lang w:val="en-US" w:eastAsia="zh-CN"/>
        </w:rPr>
        <w:t xml:space="preserve">采购</w:t>
      </w:r>
      <w:r>
        <w:rPr>
          <w:rFonts w:hint="eastAsia"/>
          <w:color w:val="000000"/>
          <w:highlight w:val="none"/>
        </w:rPr>
        <w:t xml:space="preserve">需求</w:t>
      </w:r>
      <w:bookmarkEnd w:id="14"/>
      <w:r/>
      <w:bookmarkStart w:id="15" w:name="_Toc109304975"/>
      <w:r>
        <w:rPr>
          <w:rFonts w:hint="eastAsia" w:ascii="宋体" w:hAnsi="宋体"/>
          <w:color w:val="000000"/>
          <w:highlight w:val="none"/>
        </w:rPr>
      </w:r>
      <w:r/>
    </w:p>
    <w:p>
      <w:pPr>
        <w:pStyle w:val="10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项目属性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服务类项目。</w:t>
      </w:r>
      <w:r>
        <w:rPr>
          <w:rFonts w:hint="eastAsia" w:ascii="宋体" w:hAnsi="宋体" w:eastAsia="宋体" w:cs="宋体"/>
          <w:color w:val="000000"/>
          <w:sz w:val="21"/>
          <w:szCs w:val="21"/>
          <w:highlight w:val="none"/>
        </w:rPr>
      </w:r>
      <w:r/>
    </w:p>
    <w:p>
      <w:pPr>
        <w:pStyle w:val="1084"/>
        <w:ind w:firstLine="480"/>
        <w:spacing w:line="360" w:lineRule="auto"/>
        <w:rPr>
          <w:rFonts w:hint="eastAsia" w:ascii="宋体" w:hAnsi="宋体" w:eastAsia="宋体" w:cs="宋体"/>
          <w:bCs/>
          <w:iCs/>
          <w:color w:val="000000"/>
          <w:sz w:val="21"/>
          <w:szCs w:val="21"/>
          <w:highlight w:val="none"/>
        </w:rPr>
      </w:pPr>
      <w:r>
        <w:rPr>
          <w:rFonts w:hint="eastAsia" w:ascii="宋体" w:hAnsi="宋体" w:eastAsia="宋体" w:cs="宋体"/>
          <w:bCs/>
          <w:iCs/>
          <w:color w:val="000000"/>
          <w:sz w:val="21"/>
          <w:szCs w:val="21"/>
          <w:highlight w:val="none"/>
        </w:rPr>
        <w:t xml:space="preserve">其他要求</w:t>
      </w:r>
      <w:r>
        <w:rPr>
          <w:rFonts w:hint="eastAsia" w:ascii="宋体" w:hAnsi="宋体" w:eastAsia="宋体" w:cs="宋体"/>
          <w:bCs/>
          <w:iCs/>
          <w:color w:val="000000"/>
          <w:sz w:val="21"/>
          <w:szCs w:val="21"/>
          <w:highlight w:val="none"/>
        </w:rPr>
      </w:r>
      <w:r/>
    </w:p>
    <w:p>
      <w:pPr>
        <w:pStyle w:val="1084"/>
        <w:ind w:firstLine="480"/>
        <w:spacing w:line="360" w:lineRule="auto"/>
        <w:rPr>
          <w:rFonts w:hint="eastAsia" w:ascii="宋体" w:hAnsi="宋体" w:eastAsia="宋体" w:cs="宋体"/>
          <w:bCs/>
          <w:iCs/>
          <w:color w:val="000000"/>
          <w:sz w:val="21"/>
          <w:szCs w:val="21"/>
          <w:highlight w:val="none"/>
        </w:rPr>
      </w:pPr>
      <w:r>
        <w:rPr>
          <w:rFonts w:hint="eastAsia" w:ascii="宋体" w:hAnsi="宋体" w:eastAsia="宋体" w:cs="宋体"/>
          <w:bCs/>
          <w:iCs/>
          <w:color w:val="000000"/>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eastAsia="宋体" w:cs="宋体"/>
          <w:bCs/>
          <w:iCs/>
          <w:color w:val="000000"/>
          <w:sz w:val="21"/>
          <w:szCs w:val="21"/>
          <w:highlight w:val="none"/>
          <w:lang w:eastAsia="zh-CN"/>
        </w:rPr>
        <w:t xml:space="preserve">投标人</w:t>
      </w:r>
      <w:r>
        <w:rPr>
          <w:rFonts w:hint="eastAsia" w:ascii="宋体" w:hAnsi="宋体" w:eastAsia="宋体" w:cs="宋体"/>
          <w:bCs/>
          <w:iCs/>
          <w:color w:val="000000"/>
          <w:sz w:val="21"/>
          <w:szCs w:val="21"/>
          <w:highlight w:val="none"/>
        </w:rPr>
        <w:t xml:space="preserve">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Cs/>
          <w:iCs/>
          <w:color w:val="000000"/>
          <w:sz w:val="21"/>
          <w:szCs w:val="21"/>
          <w:highlight w:val="none"/>
        </w:rPr>
      </w:r>
      <w:r/>
    </w:p>
    <w:p>
      <w:pPr>
        <w:pStyle w:val="1084"/>
        <w:ind w:firstLine="480"/>
        <w:spacing w:line="360" w:lineRule="auto"/>
        <w:rPr>
          <w:rFonts w:hint="eastAsia" w:ascii="宋体" w:hAnsi="宋体" w:eastAsia="宋体" w:cs="宋体"/>
          <w:bCs/>
          <w:iCs/>
          <w:color w:val="000000"/>
          <w:sz w:val="21"/>
          <w:szCs w:val="21"/>
          <w:highlight w:val="none"/>
        </w:rPr>
      </w:pPr>
      <w:r>
        <w:rPr>
          <w:rFonts w:hint="eastAsia" w:ascii="宋体" w:hAnsi="宋体" w:eastAsia="宋体" w:cs="宋体"/>
          <w:bCs/>
          <w:iCs/>
          <w:color w:val="000000"/>
          <w:sz w:val="21"/>
          <w:szCs w:val="21"/>
          <w:highlight w:val="none"/>
          <w:lang w:eastAsia="zh-CN"/>
        </w:rPr>
        <w:t xml:space="preserve">投标人</w:t>
      </w:r>
      <w:r>
        <w:rPr>
          <w:rFonts w:hint="eastAsia" w:ascii="宋体" w:hAnsi="宋体" w:eastAsia="宋体" w:cs="宋体"/>
          <w:bCs/>
          <w:iCs/>
          <w:color w:val="000000"/>
          <w:sz w:val="21"/>
          <w:szCs w:val="21"/>
          <w:highlight w:val="none"/>
        </w:rPr>
        <w:t xml:space="preserve">对于投标产品的包装应按照“财办库〔2020〕123号《关于印发《商品包装政府采购需求标准（试行）》、《快递包装政府采购需求标准（试行）》的通知》”执行。</w:t>
      </w:r>
      <w:r>
        <w:rPr>
          <w:rFonts w:hint="eastAsia" w:ascii="宋体" w:hAnsi="宋体" w:eastAsia="宋体" w:cs="宋体"/>
          <w:bCs/>
          <w:iCs/>
          <w:color w:val="000000"/>
          <w:sz w:val="21"/>
          <w:szCs w:val="21"/>
          <w:highlight w:val="none"/>
        </w:rPr>
      </w:r>
      <w:r/>
    </w:p>
    <w:p>
      <w:pPr>
        <w:pStyle w:val="1086"/>
        <w:ind w:firstLine="422"/>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采购标的对应的中小企业划分标准所属行业一览表</w:t>
      </w:r>
      <w:r>
        <w:rPr>
          <w:rFonts w:hint="eastAsia" w:ascii="宋体" w:hAnsi="宋体" w:eastAsia="宋体" w:cs="宋体"/>
          <w:color w:val="000000"/>
          <w:sz w:val="21"/>
          <w:szCs w:val="21"/>
          <w:highlight w:val="none"/>
        </w:rPr>
      </w:r>
      <w:r/>
    </w:p>
    <w:tbl>
      <w:tblPr>
        <w:tblW w:w="7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544"/>
        <w:gridCol w:w="3158"/>
      </w:tblGrid>
      <w:tr>
        <w:trPr>
          <w:cantSplit/>
        </w:trPr>
        <w:tc>
          <w:tcPr>
            <w:tcW w:w="928" w:type="dxa"/>
            <w:vAlign w:val="center"/>
            <w:textDirection w:val="lrTb"/>
            <w:noWrap w:val="false"/>
          </w:tcPr>
          <w:p>
            <w:pPr>
              <w:pStyle w:val="10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3544" w:type="dxa"/>
            <w:vAlign w:val="center"/>
            <w:textDirection w:val="lrTb"/>
            <w:noWrap w:val="false"/>
          </w:tcPr>
          <w:p>
            <w:pPr>
              <w:pStyle w:val="10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采购标的</w:t>
            </w:r>
            <w:r>
              <w:rPr>
                <w:rFonts w:hint="eastAsia" w:ascii="宋体" w:hAnsi="宋体" w:eastAsia="宋体" w:cs="宋体"/>
                <w:color w:val="000000"/>
                <w:sz w:val="21"/>
                <w:szCs w:val="21"/>
                <w:highlight w:val="none"/>
              </w:rPr>
            </w:r>
            <w:r/>
          </w:p>
        </w:tc>
        <w:tc>
          <w:tcPr>
            <w:tcW w:w="3158" w:type="dxa"/>
            <w:vAlign w:val="center"/>
            <w:textDirection w:val="lrTb"/>
            <w:noWrap w:val="false"/>
          </w:tcPr>
          <w:p>
            <w:pPr>
              <w:pStyle w:val="10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对应中小企业划分标准所属行业</w:t>
            </w:r>
            <w:r>
              <w:rPr>
                <w:rFonts w:hint="eastAsia" w:ascii="宋体" w:hAnsi="宋体" w:eastAsia="宋体" w:cs="宋体"/>
                <w:color w:val="000000"/>
                <w:sz w:val="21"/>
                <w:szCs w:val="21"/>
                <w:highlight w:val="none"/>
              </w:rPr>
            </w:r>
            <w:r/>
          </w:p>
        </w:tc>
      </w:tr>
      <w:tr>
        <w:trPr>
          <w:cantSplit/>
          <w:trHeight w:val="291"/>
        </w:trPr>
        <w:tc>
          <w:tcPr>
            <w:tcW w:w="928" w:type="dxa"/>
            <w:vAlign w:val="center"/>
            <w:textDirection w:val="lrTb"/>
            <w:noWrap w:val="false"/>
          </w:tcPr>
          <w:p>
            <w:pPr>
              <w:pStyle w:val="10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3544" w:type="dxa"/>
            <w:vAlign w:val="top"/>
            <w:textDirection w:val="lrTb"/>
            <w:noWrap w:val="false"/>
          </w:tcPr>
          <w:p>
            <w:pPr>
              <w:pStyle w:val="1084"/>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扬州市直属监所医疗卫生专业化达标建设项目（二次）</w:t>
            </w:r>
            <w:r>
              <w:rPr>
                <w:rFonts w:hint="eastAsia" w:ascii="宋体" w:hAnsi="宋体" w:eastAsia="宋体" w:cs="宋体"/>
                <w:color w:val="000000"/>
                <w:sz w:val="21"/>
                <w:szCs w:val="21"/>
                <w:highlight w:val="none"/>
                <w:lang w:eastAsia="zh-CN"/>
              </w:rPr>
            </w:r>
            <w:r/>
          </w:p>
        </w:tc>
        <w:tc>
          <w:tcPr>
            <w:tcW w:w="3158" w:type="dxa"/>
            <w:vAlign w:val="center"/>
            <w:textDirection w:val="lrTb"/>
            <w:noWrap w:val="false"/>
          </w:tcPr>
          <w:p>
            <w:pPr>
              <w:pStyle w:val="10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b w:val="0"/>
                <w:bCs w:val="0"/>
                <w:i w:val="0"/>
                <w:iCs w:val="0"/>
                <w:color w:val="000000"/>
                <w:sz w:val="21"/>
                <w:szCs w:val="21"/>
                <w:highlight w:val="none"/>
                <w:u w:val="none"/>
              </w:rPr>
              <w:t xml:space="preserve">其他未列明行业</w:t>
            </w:r>
            <w:r>
              <w:rPr>
                <w:rFonts w:hint="eastAsia" w:ascii="宋体" w:hAnsi="宋体" w:eastAsia="宋体" w:cs="宋体"/>
                <w:color w:val="000000"/>
                <w:sz w:val="21"/>
                <w:szCs w:val="21"/>
                <w:highlight w:val="none"/>
              </w:rPr>
            </w:r>
            <w:r/>
          </w:p>
        </w:tc>
      </w:tr>
    </w:tbl>
    <w:p>
      <w:pPr>
        <w:pStyle w:val="1084"/>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84"/>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一、项目预算</w:t>
      </w:r>
      <w:r>
        <w:rPr>
          <w:rFonts w:hint="eastAsia" w:ascii="宋体" w:hAnsi="宋体" w:eastAsia="宋体" w:cs="宋体"/>
          <w:b/>
          <w:bCs/>
          <w:color w:val="000000"/>
          <w:sz w:val="24"/>
          <w:szCs w:val="24"/>
          <w:highlight w:val="none"/>
        </w:rPr>
      </w:r>
      <w:r/>
    </w:p>
    <w:p>
      <w:pPr>
        <w:pStyle w:val="1084"/>
        <w:numPr>
          <w:ilvl w:val="0"/>
          <w:numId w:val="0"/>
        </w:numPr>
        <w:keepLines w:val="0"/>
        <w:keepNext w:val="0"/>
        <w:pageBreakBefore w:val="0"/>
        <w:spacing w:line="360" w:lineRule="auto"/>
        <w:widowControl w:val="off"/>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val="en-US" w:eastAsia="zh-CN"/>
        </w:rPr>
        <w:t xml:space="preserve"> 330万/年，不含需求中明确另行计费项目，超过预算报价视为无效响应。</w:t>
      </w:r>
      <w:r>
        <w:rPr>
          <w:rFonts w:hint="eastAsia" w:ascii="宋体" w:hAnsi="宋体" w:eastAsia="宋体" w:cs="宋体"/>
          <w:b/>
          <w:bCs/>
          <w:color w:val="000000"/>
          <w:sz w:val="24"/>
          <w:szCs w:val="24"/>
          <w:highlight w:val="none"/>
          <w:lang w:val="en-US"/>
        </w:rPr>
      </w:r>
      <w:r/>
    </w:p>
    <w:p>
      <w:pPr>
        <w:pStyle w:val="1084"/>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医疗机构等级要求</w:t>
      </w:r>
      <w:r>
        <w:rPr>
          <w:rFonts w:hint="eastAsia" w:ascii="宋体" w:hAnsi="宋体" w:eastAsia="宋体" w:cs="宋体"/>
          <w:b/>
          <w:bCs/>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综合性医疗机构。</w:t>
      </w:r>
      <w:r>
        <w:rPr>
          <w:rFonts w:hint="eastAsia" w:ascii="宋体" w:hAnsi="宋体" w:eastAsia="宋体" w:cs="宋体"/>
          <w:b/>
          <w:bCs/>
          <w:color w:val="000000"/>
          <w:sz w:val="24"/>
          <w:szCs w:val="24"/>
          <w:highlight w:val="none"/>
        </w:rPr>
      </w:r>
      <w:r/>
    </w:p>
    <w:p>
      <w:pPr>
        <w:pStyle w:val="108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、派驻医疗专业力量需求</w:t>
      </w:r>
      <w:r>
        <w:rPr>
          <w:rFonts w:hint="eastAsia" w:ascii="宋体" w:hAnsi="宋体" w:eastAsia="宋体" w:cs="宋体"/>
          <w:b/>
          <w:bCs/>
          <w:color w:val="000000"/>
          <w:sz w:val="24"/>
          <w:szCs w:val="24"/>
          <w:highlight w:val="none"/>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乙方共派驻不少于19名人员，包括临床医师不少于6名、放射技师3名、超声医师3名、护士6名和管理人员1名，派驻人员的调整由乙方全权负责；管理人员负责医务人员的日常管理和对接协调工作。乙方负责派驻人员的职业资格审查，甲方负责派驻人员的政治审查及职业资格复查。</w:t>
      </w:r>
      <w:r>
        <w:rPr>
          <w:rFonts w:hint="eastAsia" w:ascii="宋体" w:hAnsi="宋体" w:eastAsia="宋体" w:cs="宋体"/>
          <w:b w:val="0"/>
          <w:bCs/>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遇不可抗力或突发公共卫生事件，经双方协商可临时调整方案。</w:t>
      </w:r>
      <w:r>
        <w:rPr>
          <w:rFonts w:hint="eastAsia" w:ascii="宋体" w:hAnsi="宋体" w:eastAsia="宋体" w:cs="宋体"/>
          <w:b w:val="0"/>
          <w:bCs/>
          <w:color w:val="000000"/>
          <w:sz w:val="24"/>
          <w:szCs w:val="24"/>
          <w:highlight w:val="none"/>
          <w:lang w:val="en-US" w:eastAsia="zh-CN"/>
        </w:rPr>
      </w:r>
      <w:r/>
    </w:p>
    <w:p>
      <w:pPr>
        <w:pStyle w:val="108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（一）派驻监所医疗专业力量。共</w:t>
      </w:r>
      <w:r>
        <w:rPr>
          <w:rFonts w:hint="eastAsia" w:ascii="宋体" w:hAnsi="宋体" w:eastAsia="宋体" w:cs="宋体"/>
          <w:b w:val="0"/>
          <w:bCs/>
          <w:color w:val="000000"/>
          <w:sz w:val="24"/>
          <w:szCs w:val="24"/>
          <w:highlight w:val="none"/>
          <w:lang w:val="en-US" w:eastAsia="zh-CN"/>
        </w:rPr>
        <w:t xml:space="preserve">临床医师不少于6名</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护士6名</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1166"/>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1.在岗情况。</w:t>
      </w:r>
      <w:r>
        <w:rPr>
          <w:rFonts w:hint="eastAsia" w:ascii="宋体" w:hAnsi="宋体" w:eastAsia="宋体" w:cs="宋体"/>
          <w:b w:val="0"/>
          <w:bCs/>
          <w:color w:val="000000"/>
          <w:sz w:val="24"/>
          <w:szCs w:val="24"/>
          <w:highlight w:val="none"/>
          <w:lang w:val="en-US" w:eastAsia="zh-CN"/>
        </w:rPr>
        <w:t xml:space="preserve">看守所24小时1医1护在岗值班，工作日白天（8:00—17:00）另外安排1医1护在岗；行政所（拘留所、戒毒所合署）24小时1医在岗值班；具体在岗情况按照排班表执行。在岗期间遇有特殊情况需离开，由乙方及时安排人员替代，做到无缝衔接。</w:t>
      </w:r>
      <w:r>
        <w:rPr>
          <w:rFonts w:hint="eastAsia" w:ascii="宋体" w:hAnsi="宋体" w:eastAsia="宋体" w:cs="宋体"/>
          <w:b w:val="0"/>
          <w:bCs/>
          <w:color w:val="000000"/>
          <w:sz w:val="24"/>
          <w:szCs w:val="24"/>
          <w:highlight w:val="none"/>
          <w:lang w:val="en-US" w:eastAsia="zh-CN"/>
        </w:rPr>
      </w:r>
      <w:r/>
    </w:p>
    <w:p>
      <w:pPr>
        <w:pStyle w:val="1166"/>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2.中标医院驻所医师要求。</w:t>
      </w:r>
      <w:r>
        <w:rPr>
          <w:rFonts w:hint="eastAsia" w:ascii="宋体" w:hAnsi="宋体" w:eastAsia="宋体" w:cs="宋体"/>
          <w:b/>
          <w:bCs w:val="0"/>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（１）原则上，年龄不超过65周岁，具有大专及以上学历，主治及以上职称医师不少于3名，</w:t>
      </w:r>
      <w:r>
        <w:rPr>
          <w:rFonts w:hint="eastAsia" w:ascii="宋体" w:hAnsi="宋体" w:eastAsia="宋体" w:cs="宋体"/>
          <w:b w:val="0"/>
          <w:bCs/>
          <w:color w:val="000000"/>
          <w:sz w:val="24"/>
          <w:szCs w:val="24"/>
          <w:highlight w:val="none"/>
          <w:lang w:val="en-US" w:eastAsia="zh-CN"/>
        </w:rPr>
        <w:t xml:space="preserve">在编主治</w:t>
      </w:r>
      <w:r>
        <w:rPr>
          <w:rFonts w:hint="eastAsia" w:ascii="宋体" w:hAnsi="宋体" w:cs="宋体"/>
          <w:b w:val="0"/>
          <w:bCs/>
          <w:color w:val="000000"/>
          <w:sz w:val="24"/>
          <w:szCs w:val="24"/>
          <w:highlight w:val="none"/>
          <w:lang w:val="en-US" w:eastAsia="zh-CN"/>
        </w:rPr>
        <w:t xml:space="preserve">及</w:t>
      </w:r>
      <w:r>
        <w:rPr>
          <w:rFonts w:hint="eastAsia" w:ascii="宋体" w:hAnsi="宋体" w:eastAsia="宋体" w:cs="宋体"/>
          <w:b w:val="0"/>
          <w:bCs/>
          <w:color w:val="000000"/>
          <w:sz w:val="24"/>
          <w:szCs w:val="24"/>
          <w:highlight w:val="none"/>
          <w:lang w:val="en-US" w:eastAsia="zh-CN"/>
        </w:rPr>
        <w:t xml:space="preserve">以上职称医师</w:t>
      </w:r>
      <w:r>
        <w:rPr>
          <w:rFonts w:hint="eastAsia" w:ascii="宋体" w:hAnsi="宋体" w:cs="宋体"/>
          <w:b w:val="0"/>
          <w:bCs/>
          <w:color w:val="000000"/>
          <w:sz w:val="24"/>
          <w:szCs w:val="24"/>
          <w:highlight w:val="none"/>
          <w:lang w:val="en-US" w:eastAsia="zh-CN"/>
        </w:rPr>
        <w:t xml:space="preserve">须有</w:t>
      </w:r>
      <w:r>
        <w:rPr>
          <w:rFonts w:hint="eastAsia" w:ascii="宋体" w:hAnsi="宋体" w:eastAsia="宋体" w:cs="宋体"/>
          <w:b w:val="0"/>
          <w:bCs/>
          <w:color w:val="000000"/>
          <w:sz w:val="24"/>
          <w:szCs w:val="24"/>
          <w:highlight w:val="none"/>
          <w:lang w:val="en-US" w:eastAsia="zh-CN"/>
        </w:rPr>
        <w:t xml:space="preserve">1名</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副主任及以上职称医师</w:t>
      </w:r>
      <w:r>
        <w:rPr>
          <w:rFonts w:hint="eastAsia" w:ascii="宋体" w:hAnsi="宋体" w:cs="宋体"/>
          <w:b w:val="0"/>
          <w:bCs/>
          <w:color w:val="000000"/>
          <w:sz w:val="24"/>
          <w:szCs w:val="24"/>
          <w:highlight w:val="none"/>
          <w:lang w:val="en-US" w:eastAsia="zh-CN"/>
        </w:rPr>
        <w:t xml:space="preserve">须有</w:t>
      </w:r>
      <w:r>
        <w:rPr>
          <w:rFonts w:hint="eastAsia" w:ascii="宋体" w:hAnsi="宋体" w:eastAsia="宋体" w:cs="宋体"/>
          <w:b w:val="0"/>
          <w:bCs/>
          <w:color w:val="000000"/>
          <w:sz w:val="24"/>
          <w:szCs w:val="24"/>
          <w:highlight w:val="none"/>
          <w:lang w:val="en-US" w:eastAsia="zh-CN"/>
        </w:rPr>
        <w:t xml:space="preserve">1名；</w:t>
      </w:r>
      <w:r>
        <w:rPr>
          <w:rFonts w:hint="eastAsia" w:ascii="宋体" w:hAnsi="宋体" w:eastAsia="宋体" w:cs="宋体"/>
          <w:b w:val="0"/>
          <w:bCs/>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（２）原则上，医师执业类别以全科医学科、急诊医学科、重症医学科、老年医学科、心血管内科、神经内科等为主，其他执业类别为辅；</w:t>
      </w:r>
      <w:r>
        <w:rPr>
          <w:rFonts w:hint="eastAsia" w:ascii="宋体" w:hAnsi="宋体" w:eastAsia="宋体" w:cs="宋体"/>
          <w:b w:val="0"/>
          <w:bCs/>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（３）为保持工作的连续性，乙方应保证医务人员相对稳定，原则上人员轮换时间不低于6个月。</w:t>
      </w:r>
      <w:r>
        <w:rPr>
          <w:rFonts w:hint="eastAsia" w:ascii="宋体" w:hAnsi="宋体" w:eastAsia="宋体" w:cs="宋体"/>
          <w:b w:val="0"/>
          <w:bCs/>
          <w:color w:val="000000"/>
          <w:sz w:val="24"/>
          <w:szCs w:val="24"/>
          <w:highlight w:val="none"/>
          <w:lang w:val="en-US" w:eastAsia="zh-CN"/>
        </w:rPr>
      </w:r>
      <w:r/>
    </w:p>
    <w:p>
      <w:pPr>
        <w:pStyle w:val="1166"/>
        <w:ind w:firstLine="482"/>
        <w:keepLines w:val="0"/>
        <w:keepNext w:val="0"/>
        <w:pageBreakBefore w:val="0"/>
        <w:spacing w:line="360" w:lineRule="auto"/>
        <w:widowControl w:val="off"/>
        <w:rPr>
          <w:rFonts w:hint="eastAsia" w:ascii="宋体" w:hAnsi="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w:t>
      </w:r>
      <w:r>
        <w:rPr>
          <w:rFonts w:hint="eastAsia" w:ascii="宋体" w:hAnsi="宋体" w:cs="宋体"/>
          <w:b/>
          <w:bCs w:val="0"/>
          <w:color w:val="000000"/>
          <w:sz w:val="24"/>
          <w:szCs w:val="24"/>
          <w:highlight w:val="none"/>
          <w:lang w:val="en-US" w:eastAsia="zh-CN"/>
        </w:rPr>
        <w:t xml:space="preserve">护士要求。</w:t>
      </w:r>
      <w:r>
        <w:rPr>
          <w:rFonts w:hint="eastAsia" w:ascii="宋体" w:hAnsi="宋体" w:cs="宋体"/>
          <w:b/>
          <w:bCs w:val="0"/>
          <w:color w:val="000000"/>
          <w:sz w:val="24"/>
          <w:szCs w:val="24"/>
          <w:highlight w:val="none"/>
          <w:lang w:val="en-US" w:eastAsia="zh-CN"/>
        </w:rPr>
      </w:r>
      <w:r/>
    </w:p>
    <w:p>
      <w:pPr>
        <w:pStyle w:val="1166"/>
        <w:ind w:firstLine="480"/>
        <w:keepLines w:val="0"/>
        <w:keepNext w:val="0"/>
        <w:pageBreakBefore w:val="0"/>
        <w:spacing w:line="360" w:lineRule="auto"/>
        <w:widowControl w:val="off"/>
        <w:rPr>
          <w:rFonts w:ascii="宋体" w:hAnsi="宋体" w:cs="宋体"/>
          <w:b/>
          <w:bCs w:val="0"/>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原则上，年龄不超过</w:t>
      </w:r>
      <w:r>
        <w:rPr>
          <w:rFonts w:hint="eastAsia" w:ascii="宋体" w:hAnsi="宋体" w:cs="宋体"/>
          <w:b w:val="0"/>
          <w:bCs/>
          <w:color w:val="000000"/>
          <w:sz w:val="24"/>
          <w:szCs w:val="24"/>
          <w:highlight w:val="none"/>
          <w:lang w:val="en-US" w:eastAsia="zh-CN"/>
        </w:rPr>
        <w:t xml:space="preserve">60周</w:t>
      </w:r>
      <w:r>
        <w:rPr>
          <w:rFonts w:hint="eastAsia" w:ascii="宋体" w:hAnsi="宋体" w:eastAsia="宋体" w:cs="宋体"/>
          <w:b w:val="0"/>
          <w:bCs/>
          <w:color w:val="000000"/>
          <w:sz w:val="24"/>
          <w:szCs w:val="24"/>
          <w:highlight w:val="none"/>
          <w:lang w:val="en-US" w:eastAsia="zh-CN"/>
        </w:rPr>
        <w:t xml:space="preserve">岁，具有大专及以上学历</w:t>
      </w:r>
      <w:r>
        <w:rPr>
          <w:rFonts w:hint="eastAsia" w:ascii="宋体" w:hAnsi="宋体" w:cs="宋体"/>
          <w:b w:val="0"/>
          <w:bCs/>
          <w:color w:val="000000"/>
          <w:sz w:val="24"/>
          <w:szCs w:val="24"/>
          <w:highlight w:val="none"/>
          <w:lang w:val="en-US" w:eastAsia="zh-CN"/>
        </w:rPr>
        <w:t xml:space="preserve">。</w:t>
      </w:r>
      <w:r>
        <w:rPr>
          <w:rFonts w:ascii="宋体" w:hAnsi="宋体" w:cs="宋体"/>
          <w:b/>
          <w:bCs w:val="0"/>
          <w:color w:val="000000"/>
          <w:sz w:val="24"/>
          <w:szCs w:val="24"/>
          <w:highlight w:val="none"/>
          <w:lang w:val="en-US" w:eastAsia="zh-CN"/>
        </w:rPr>
      </w:r>
      <w:r/>
    </w:p>
    <w:p>
      <w:pPr>
        <w:pStyle w:val="108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（二）派驻体检中心医疗专业力量。</w:t>
      </w:r>
      <w:r>
        <w:rPr>
          <w:rFonts w:hint="eastAsia" w:ascii="宋体" w:hAnsi="宋体" w:eastAsia="宋体" w:cs="宋体"/>
          <w:b w:val="0"/>
          <w:bCs/>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eastAsia="zh-CN"/>
        </w:rPr>
        <w:t xml:space="preserve">）配置</w:t>
      </w:r>
      <w:r>
        <w:rPr>
          <w:rFonts w:hint="eastAsia" w:ascii="宋体" w:hAnsi="宋体" w:eastAsia="宋体" w:cs="宋体"/>
          <w:b w:val="0"/>
          <w:bCs/>
          <w:color w:val="000000"/>
          <w:sz w:val="24"/>
          <w:szCs w:val="24"/>
          <w:highlight w:val="none"/>
          <w:lang w:val="en-US" w:eastAsia="zh-CN"/>
        </w:rPr>
        <w:t xml:space="preserve">3名超声</w:t>
      </w:r>
      <w:r>
        <w:rPr>
          <w:rFonts w:hint="eastAsia" w:ascii="宋体" w:hAnsi="宋体" w:eastAsia="宋体" w:cs="宋体"/>
          <w:b w:val="0"/>
          <w:bCs/>
          <w:color w:val="000000"/>
          <w:sz w:val="24"/>
          <w:szCs w:val="24"/>
          <w:highlight w:val="none"/>
        </w:rPr>
        <w:t xml:space="preserve">医</w:t>
      </w:r>
      <w:r>
        <w:rPr>
          <w:rFonts w:hint="eastAsia" w:ascii="宋体" w:hAnsi="宋体" w:eastAsia="宋体" w:cs="宋体"/>
          <w:b w:val="0"/>
          <w:bCs/>
          <w:color w:val="000000"/>
          <w:sz w:val="24"/>
          <w:szCs w:val="24"/>
          <w:highlight w:val="none"/>
          <w:lang w:eastAsia="zh-CN"/>
        </w:rPr>
        <w:t xml:space="preserve">师、</w:t>
      </w:r>
      <w:r>
        <w:rPr>
          <w:rFonts w:hint="eastAsia" w:ascii="宋体" w:hAnsi="宋体" w:eastAsia="宋体" w:cs="宋体"/>
          <w:b w:val="0"/>
          <w:bCs/>
          <w:color w:val="000000"/>
          <w:sz w:val="24"/>
          <w:szCs w:val="24"/>
          <w:highlight w:val="none"/>
          <w:lang w:val="en-US" w:eastAsia="zh-CN"/>
        </w:rPr>
        <w:t xml:space="preserve">3名</w:t>
      </w:r>
      <w:r>
        <w:rPr>
          <w:rFonts w:hint="eastAsia" w:ascii="宋体" w:hAnsi="宋体" w:eastAsia="宋体" w:cs="宋体"/>
          <w:b w:val="0"/>
          <w:bCs/>
          <w:color w:val="000000"/>
          <w:sz w:val="24"/>
          <w:szCs w:val="24"/>
          <w:highlight w:val="none"/>
        </w:rPr>
        <w:t xml:space="preserve">放射技师</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体检中心24小时开放，</w:t>
      </w:r>
      <w:r>
        <w:rPr>
          <w:rFonts w:hint="eastAsia" w:ascii="宋体" w:hAnsi="宋体" w:eastAsia="宋体" w:cs="宋体"/>
          <w:b w:val="0"/>
          <w:bCs/>
          <w:color w:val="000000"/>
          <w:sz w:val="24"/>
          <w:szCs w:val="24"/>
          <w:highlight w:val="none"/>
          <w:lang w:eastAsia="zh-CN"/>
        </w:rPr>
        <w:t xml:space="preserve">有</w:t>
      </w:r>
      <w:r>
        <w:rPr>
          <w:rFonts w:hint="eastAsia" w:ascii="宋体" w:hAnsi="宋体" w:eastAsia="宋体" w:cs="宋体"/>
          <w:b w:val="0"/>
          <w:bCs/>
          <w:color w:val="000000"/>
          <w:sz w:val="24"/>
          <w:szCs w:val="24"/>
          <w:highlight w:val="none"/>
          <w:lang w:val="en-US" w:eastAsia="zh-CN"/>
        </w:rPr>
        <w:t xml:space="preserve">1名超声</w:t>
      </w:r>
      <w:r>
        <w:rPr>
          <w:rFonts w:hint="eastAsia" w:ascii="宋体" w:hAnsi="宋体" w:eastAsia="宋体" w:cs="宋体"/>
          <w:b w:val="0"/>
          <w:bCs/>
          <w:color w:val="000000"/>
          <w:sz w:val="24"/>
          <w:szCs w:val="24"/>
          <w:highlight w:val="none"/>
        </w:rPr>
        <w:t xml:space="preserve">医</w:t>
      </w:r>
      <w:r>
        <w:rPr>
          <w:rFonts w:hint="eastAsia" w:ascii="宋体" w:hAnsi="宋体" w:eastAsia="宋体" w:cs="宋体"/>
          <w:b w:val="0"/>
          <w:bCs/>
          <w:color w:val="000000"/>
          <w:sz w:val="24"/>
          <w:szCs w:val="24"/>
          <w:highlight w:val="none"/>
          <w:lang w:eastAsia="zh-CN"/>
        </w:rPr>
        <w:t xml:space="preserve">师、</w:t>
      </w:r>
      <w:r>
        <w:rPr>
          <w:rFonts w:hint="eastAsia" w:ascii="宋体" w:hAnsi="宋体" w:eastAsia="宋体" w:cs="宋体"/>
          <w:b w:val="0"/>
          <w:bCs/>
          <w:color w:val="000000"/>
          <w:sz w:val="24"/>
          <w:szCs w:val="24"/>
          <w:highlight w:val="none"/>
          <w:lang w:val="en-US" w:eastAsia="zh-CN"/>
        </w:rPr>
        <w:t xml:space="preserve">1名</w:t>
      </w:r>
      <w:r>
        <w:rPr>
          <w:rFonts w:hint="eastAsia" w:ascii="宋体" w:hAnsi="宋体" w:eastAsia="宋体" w:cs="宋体"/>
          <w:b w:val="0"/>
          <w:bCs/>
          <w:color w:val="000000"/>
          <w:sz w:val="24"/>
          <w:szCs w:val="24"/>
          <w:highlight w:val="none"/>
        </w:rPr>
        <w:t xml:space="preserve">放射技师</w:t>
      </w:r>
      <w:r>
        <w:rPr>
          <w:rFonts w:hint="eastAsia" w:ascii="宋体" w:hAnsi="宋体" w:eastAsia="宋体" w:cs="宋体"/>
          <w:b w:val="0"/>
          <w:bCs/>
          <w:color w:val="000000"/>
          <w:sz w:val="24"/>
          <w:szCs w:val="24"/>
          <w:highlight w:val="none"/>
          <w:lang w:eastAsia="zh-CN"/>
        </w:rPr>
        <w:t xml:space="preserve">和</w:t>
      </w:r>
      <w:r>
        <w:rPr>
          <w:rFonts w:hint="eastAsia" w:ascii="宋体" w:hAnsi="宋体" w:eastAsia="宋体" w:cs="宋体"/>
          <w:b w:val="0"/>
          <w:bCs/>
          <w:color w:val="000000"/>
          <w:sz w:val="24"/>
          <w:szCs w:val="24"/>
          <w:highlight w:val="none"/>
          <w:lang w:val="en-US" w:eastAsia="zh-CN"/>
        </w:rPr>
        <w:t xml:space="preserve">1名护士在岗值班</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原则上，超声</w:t>
      </w:r>
      <w:r>
        <w:rPr>
          <w:rFonts w:hint="eastAsia" w:ascii="宋体" w:hAnsi="宋体" w:eastAsia="宋体" w:cs="宋体"/>
          <w:b w:val="0"/>
          <w:bCs/>
          <w:color w:val="000000"/>
          <w:sz w:val="24"/>
          <w:szCs w:val="24"/>
          <w:highlight w:val="none"/>
        </w:rPr>
        <w:t xml:space="preserve">医</w:t>
      </w:r>
      <w:r>
        <w:rPr>
          <w:rFonts w:hint="eastAsia" w:ascii="宋体" w:hAnsi="宋体" w:eastAsia="宋体" w:cs="宋体"/>
          <w:b w:val="0"/>
          <w:bCs/>
          <w:color w:val="000000"/>
          <w:sz w:val="24"/>
          <w:szCs w:val="24"/>
          <w:highlight w:val="none"/>
          <w:lang w:eastAsia="zh-CN"/>
        </w:rPr>
        <w:t xml:space="preserve">师、</w:t>
      </w:r>
      <w:r>
        <w:rPr>
          <w:rFonts w:hint="eastAsia" w:ascii="宋体" w:hAnsi="宋体" w:eastAsia="宋体" w:cs="宋体"/>
          <w:b w:val="0"/>
          <w:bCs/>
          <w:color w:val="000000"/>
          <w:sz w:val="24"/>
          <w:szCs w:val="24"/>
          <w:highlight w:val="none"/>
        </w:rPr>
        <w:t xml:space="preserve">放射技师</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护士年龄不超过</w:t>
      </w:r>
      <w:r>
        <w:rPr>
          <w:rFonts w:hint="eastAsia" w:ascii="宋体" w:hAnsi="宋体" w:cs="宋体"/>
          <w:b w:val="0"/>
          <w:bCs/>
          <w:color w:val="000000"/>
          <w:sz w:val="24"/>
          <w:szCs w:val="24"/>
          <w:highlight w:val="none"/>
          <w:lang w:val="en-US" w:eastAsia="zh-CN"/>
        </w:rPr>
        <w:t xml:space="preserve">60周</w:t>
      </w:r>
      <w:r>
        <w:rPr>
          <w:rFonts w:hint="eastAsia" w:ascii="宋体" w:hAnsi="宋体" w:eastAsia="宋体" w:cs="宋体"/>
          <w:b w:val="0"/>
          <w:bCs/>
          <w:color w:val="000000"/>
          <w:sz w:val="24"/>
          <w:szCs w:val="24"/>
          <w:highlight w:val="none"/>
          <w:lang w:val="en-US" w:eastAsia="zh-CN"/>
        </w:rPr>
        <w:t xml:space="preserve">岁，具有大专及以上学历</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eastAsia="zh-CN"/>
        </w:rPr>
      </w:r>
      <w:r/>
    </w:p>
    <w:p>
      <w:pPr>
        <w:pStyle w:val="1084"/>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bCs w:val="0"/>
          <w:color w:val="000000"/>
          <w:sz w:val="24"/>
          <w:szCs w:val="24"/>
          <w:highlight w:val="none"/>
          <w:lang w:eastAsia="zh-CN"/>
        </w:rPr>
        <w:t xml:space="preserve">四</w:t>
      </w:r>
      <w:r>
        <w:rPr>
          <w:rFonts w:hint="eastAsia" w:ascii="宋体" w:hAnsi="宋体" w:eastAsia="宋体" w:cs="宋体"/>
          <w:b/>
          <w:bCs w:val="0"/>
          <w:color w:val="000000"/>
          <w:sz w:val="24"/>
          <w:szCs w:val="24"/>
          <w:highlight w:val="none"/>
        </w:rPr>
        <w:t xml:space="preserve">、监所医疗卫生保障各岗位主要工作</w:t>
      </w:r>
      <w:r>
        <w:rPr>
          <w:rFonts w:hint="eastAsia" w:ascii="宋体" w:hAnsi="宋体" w:eastAsia="宋体" w:cs="宋体"/>
          <w:b w:val="0"/>
          <w:bCs/>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（一）医生主要工作</w:t>
      </w:r>
      <w:r>
        <w:rPr>
          <w:rFonts w:hint="eastAsia" w:ascii="宋体" w:hAnsi="宋体" w:eastAsia="宋体" w:cs="宋体"/>
          <w:b w:val="0"/>
          <w:bCs/>
          <w:color w:val="000000"/>
          <w:sz w:val="24"/>
          <w:szCs w:val="24"/>
          <w:highlight w:val="none"/>
        </w:rPr>
      </w:r>
      <w:r/>
    </w:p>
    <w:p>
      <w:pPr>
        <w:pStyle w:val="1166"/>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1.白天在岗期间</w:t>
      </w:r>
      <w:r>
        <w:rPr>
          <w:rFonts w:hint="eastAsia" w:ascii="宋体" w:hAnsi="宋体" w:eastAsia="宋体" w:cs="宋体"/>
          <w:b/>
          <w:bCs w:val="0"/>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(1)看守所/行政所岗位：工作日上、下午对责任监区监室各开展一次巡诊，逐监室了解被监管人员身体健康状况；连续一周跟踪新入所人员健康状况，对患病、有伤的被监管人员及时给予治疗；紧急情况医疗急救</w:t>
      </w:r>
      <w:r>
        <w:rPr>
          <w:rFonts w:hint="eastAsia" w:ascii="宋体" w:hAnsi="宋体" w:eastAsia="宋体" w:cs="宋体"/>
          <w:b w:val="0"/>
          <w:bCs/>
          <w:color w:val="000000"/>
          <w:sz w:val="24"/>
          <w:szCs w:val="24"/>
          <w:highlight w:val="none"/>
          <w:lang w:val="en" w:eastAsia="zh-CN"/>
        </w:rPr>
        <w:t xml:space="preserve">，对是否需要出所就医提出专业意见，</w:t>
      </w:r>
      <w:r>
        <w:rPr>
          <w:rFonts w:hint="eastAsia" w:ascii="宋体" w:hAnsi="宋体" w:eastAsia="宋体" w:cs="宋体"/>
          <w:b w:val="0"/>
          <w:bCs/>
          <w:color w:val="000000"/>
          <w:sz w:val="24"/>
          <w:szCs w:val="24"/>
          <w:highlight w:val="none"/>
          <w:lang w:val="en-US" w:eastAsia="zh-CN"/>
        </w:rPr>
        <w:t xml:space="preserve">原则上出所就医决定需由中标医院在编医师会诊后下达；辅助完善基础疾病人员医疗档案。</w:t>
      </w:r>
      <w:r>
        <w:rPr>
          <w:rFonts w:hint="eastAsia" w:ascii="宋体" w:hAnsi="宋体" w:eastAsia="宋体" w:cs="宋体"/>
          <w:b w:val="0"/>
          <w:bCs/>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(2)负责被送押对象健康和体格检查。各所每日值班医生负责审核体检项目是否完整、填写体检结论并签名。对拟不予收押（拘）对象提出进一步检查意见。</w:t>
      </w:r>
      <w:r>
        <w:rPr>
          <w:rFonts w:hint="eastAsia" w:ascii="宋体" w:hAnsi="宋体" w:eastAsia="宋体" w:cs="宋体"/>
          <w:b w:val="0"/>
          <w:bCs/>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(3)会诊重点病员，研究跟进措施，评估羁押风险，提出对策建议。</w:t>
      </w:r>
      <w:r>
        <w:rPr>
          <w:rFonts w:hint="eastAsia" w:ascii="宋体" w:hAnsi="宋体" w:eastAsia="宋体" w:cs="宋体"/>
          <w:b w:val="0"/>
          <w:bCs/>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(4)配合体检中心每月集中对羁押满半年押员开展体检。</w:t>
      </w:r>
      <w:r>
        <w:rPr>
          <w:rFonts w:hint="eastAsia" w:ascii="宋体" w:hAnsi="宋体" w:eastAsia="宋体" w:cs="宋体"/>
          <w:b w:val="0"/>
          <w:bCs/>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(5)定期对民警、在押人员开展健康讲座，对民警定期安排急救知识宣教与实际操作培训，加强卫生防疫知识的宣传。</w:t>
      </w:r>
      <w:r>
        <w:rPr>
          <w:rFonts w:hint="eastAsia" w:ascii="宋体" w:hAnsi="宋体" w:eastAsia="宋体" w:cs="宋体"/>
          <w:b w:val="0"/>
          <w:bCs/>
          <w:color w:val="000000"/>
          <w:sz w:val="24"/>
          <w:szCs w:val="24"/>
          <w:highlight w:val="none"/>
          <w:lang w:val="en-US" w:eastAsia="zh-CN"/>
        </w:rPr>
      </w:r>
      <w:r/>
    </w:p>
    <w:p>
      <w:pPr>
        <w:pStyle w:val="1166"/>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2.夜间值班期间</w:t>
      </w:r>
      <w:r>
        <w:rPr>
          <w:rFonts w:hint="eastAsia" w:ascii="宋体" w:hAnsi="宋体" w:eastAsia="宋体" w:cs="宋体"/>
          <w:b/>
          <w:bCs w:val="0"/>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(1)负责被送押对象健康和体格检查，对拟不予收押（拘）对象提出进一步检查意见。</w:t>
      </w:r>
      <w:r>
        <w:rPr>
          <w:rFonts w:hint="eastAsia" w:ascii="宋体" w:hAnsi="宋体" w:eastAsia="宋体" w:cs="宋体"/>
          <w:b w:val="0"/>
          <w:bCs/>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(2)负责监区医疗警情处置，对拟出所就医对象提出专业意见。</w:t>
      </w:r>
      <w:r>
        <w:rPr>
          <w:rFonts w:hint="eastAsia" w:ascii="宋体" w:hAnsi="宋体" w:eastAsia="宋体" w:cs="宋体"/>
          <w:b w:val="0"/>
          <w:bCs/>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（二）护士主要工作</w:t>
      </w:r>
      <w:r>
        <w:rPr>
          <w:rFonts w:hint="eastAsia" w:ascii="宋体" w:hAnsi="宋体" w:eastAsia="宋体" w:cs="宋体"/>
          <w:b w:val="0"/>
          <w:bCs/>
          <w:color w:val="000000"/>
          <w:sz w:val="24"/>
          <w:szCs w:val="24"/>
          <w:highlight w:val="none"/>
        </w:rPr>
      </w:r>
      <w:r/>
    </w:p>
    <w:p>
      <w:pPr>
        <w:pStyle w:val="1166"/>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1.配合医师完成当日医疗工作。</w:t>
      </w:r>
      <w:r>
        <w:rPr>
          <w:rFonts w:hint="eastAsia" w:ascii="宋体" w:hAnsi="宋体" w:eastAsia="宋体" w:cs="宋体"/>
          <w:b/>
          <w:bCs w:val="0"/>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(1)看守所岗位：①工作日上、下午对责任监区监室各开展一次巡诊、</w:t>
      </w:r>
      <w:r>
        <w:rPr>
          <w:rFonts w:hint="eastAsia" w:ascii="宋体" w:hAnsi="宋体" w:eastAsia="宋体" w:cs="宋体"/>
          <w:b w:val="0"/>
          <w:bCs/>
          <w:color w:val="000000"/>
          <w:sz w:val="24"/>
          <w:szCs w:val="24"/>
          <w:highlight w:val="none"/>
          <w:lang w:val="en" w:eastAsia="zh-CN"/>
        </w:rPr>
        <w:t xml:space="preserve">对需输液治疗病员遵照医嘱执行</w:t>
      </w:r>
      <w:r>
        <w:rPr>
          <w:rFonts w:hint="eastAsia" w:ascii="宋体" w:hAnsi="宋体" w:eastAsia="宋体" w:cs="宋体"/>
          <w:b w:val="0"/>
          <w:bCs/>
          <w:color w:val="000000"/>
          <w:sz w:val="24"/>
          <w:szCs w:val="24"/>
          <w:highlight w:val="none"/>
          <w:lang w:val="en-US" w:eastAsia="zh-CN"/>
        </w:rPr>
        <w:t xml:space="preserve">；②紧急情况下参与医疗急救；③ </w:t>
      </w:r>
      <w:r>
        <w:rPr>
          <w:rFonts w:hint="eastAsia" w:ascii="宋体" w:hAnsi="宋体" w:eastAsia="宋体" w:cs="宋体"/>
          <w:b w:val="0"/>
          <w:bCs/>
          <w:color w:val="000000"/>
          <w:sz w:val="24"/>
          <w:szCs w:val="24"/>
          <w:highlight w:val="none"/>
          <w:lang w:val="en" w:eastAsia="zh-CN"/>
        </w:rPr>
        <w:t xml:space="preserve">每日整理服药医嘱，为慢性病服药人员配药，填写新入所人员七天健康情况跟踪表，协助医疗岗整理医疗档案。</w:t>
      </w:r>
      <w:r>
        <w:rPr>
          <w:rFonts w:hint="eastAsia" w:ascii="宋体" w:hAnsi="宋体" w:eastAsia="宋体" w:cs="宋体"/>
          <w:b w:val="0"/>
          <w:bCs/>
          <w:color w:val="000000"/>
          <w:sz w:val="24"/>
          <w:szCs w:val="24"/>
          <w:highlight w:val="none"/>
          <w:lang w:val="en-US" w:eastAsia="zh-CN"/>
        </w:rPr>
        <w:t xml:space="preserve">④</w:t>
      </w:r>
      <w:r>
        <w:rPr>
          <w:rFonts w:hint="eastAsia" w:ascii="宋体" w:hAnsi="宋体" w:eastAsia="宋体" w:cs="宋体"/>
          <w:b w:val="0"/>
          <w:bCs/>
          <w:color w:val="000000"/>
          <w:sz w:val="24"/>
          <w:szCs w:val="24"/>
          <w:highlight w:val="none"/>
          <w:lang w:val="en" w:eastAsia="zh-CN"/>
        </w:rPr>
        <w:t xml:space="preserve">每日填写三会商一评估工作日志。</w:t>
      </w:r>
      <w:r>
        <w:rPr>
          <w:rFonts w:hint="eastAsia" w:ascii="宋体" w:hAnsi="宋体" w:eastAsia="宋体" w:cs="宋体"/>
          <w:b w:val="0"/>
          <w:bCs/>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(2)体检中心岗位：除体检中心日常工作外，</w:t>
      </w:r>
      <w:r>
        <w:rPr>
          <w:rFonts w:hint="eastAsia" w:ascii="宋体" w:hAnsi="宋体" w:eastAsia="宋体" w:cs="宋体"/>
          <w:b w:val="0"/>
          <w:bCs/>
          <w:color w:val="000000"/>
          <w:sz w:val="24"/>
          <w:szCs w:val="24"/>
          <w:highlight w:val="none"/>
          <w:lang w:val="en" w:eastAsia="zh-CN"/>
        </w:rPr>
        <w:t xml:space="preserve">对</w:t>
      </w:r>
      <w:r>
        <w:rPr>
          <w:rFonts w:hint="eastAsia" w:ascii="宋体" w:hAnsi="宋体" w:eastAsia="宋体" w:cs="宋体"/>
          <w:b w:val="0"/>
          <w:bCs/>
          <w:color w:val="000000"/>
          <w:sz w:val="24"/>
          <w:szCs w:val="24"/>
          <w:highlight w:val="none"/>
          <w:lang w:val="en-US" w:eastAsia="zh-CN"/>
        </w:rPr>
        <w:t xml:space="preserve">行政所</w:t>
      </w:r>
      <w:r>
        <w:rPr>
          <w:rFonts w:hint="eastAsia" w:ascii="宋体" w:hAnsi="宋体" w:eastAsia="宋体" w:cs="宋体"/>
          <w:b w:val="0"/>
          <w:bCs/>
          <w:color w:val="000000"/>
          <w:sz w:val="24"/>
          <w:szCs w:val="24"/>
          <w:highlight w:val="none"/>
          <w:lang w:val="en" w:eastAsia="zh-CN"/>
        </w:rPr>
        <w:t xml:space="preserve">需输液治疗病员遵照医嘱执行；</w:t>
      </w:r>
      <w:r>
        <w:rPr>
          <w:rFonts w:hint="eastAsia" w:ascii="宋体" w:hAnsi="宋体" w:eastAsia="宋体" w:cs="宋体"/>
          <w:b w:val="0"/>
          <w:bCs/>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 w:eastAsia="zh-CN"/>
        </w:rPr>
        <w:t xml:space="preserve">每周填写一周病员风险研判报表。</w:t>
      </w:r>
      <w:r>
        <w:rPr>
          <w:rFonts w:hint="eastAsia" w:ascii="宋体" w:hAnsi="宋体" w:eastAsia="宋体" w:cs="宋体"/>
          <w:b w:val="0"/>
          <w:bCs/>
          <w:color w:val="000000"/>
          <w:sz w:val="24"/>
          <w:szCs w:val="24"/>
          <w:highlight w:val="none"/>
          <w:lang w:val="en"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3.每月配合核查需要半年体检的在押人员。</w:t>
      </w:r>
      <w:r>
        <w:rPr>
          <w:rFonts w:hint="eastAsia" w:ascii="宋体" w:hAnsi="宋体" w:eastAsia="宋体" w:cs="宋体"/>
          <w:b w:val="0"/>
          <w:bCs/>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 w:eastAsia="zh-CN"/>
        </w:rPr>
        <w:t xml:space="preserve">每月对出入库药品进行登记并盘点，整理、填写药品发票报表。</w:t>
      </w:r>
      <w:r>
        <w:rPr>
          <w:rFonts w:hint="eastAsia" w:ascii="宋体" w:hAnsi="宋体" w:eastAsia="宋体" w:cs="宋体"/>
          <w:b w:val="0"/>
          <w:bCs/>
          <w:color w:val="000000"/>
          <w:sz w:val="24"/>
          <w:szCs w:val="24"/>
          <w:highlight w:val="none"/>
          <w:lang w:val="en-US" w:eastAsia="zh-CN"/>
        </w:rPr>
      </w:r>
      <w:r/>
    </w:p>
    <w:p>
      <w:pPr>
        <w:pStyle w:val="108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rPr>
        <w:t xml:space="preserve">根据需要对部分特定对象人员抽血检测。</w:t>
      </w:r>
      <w:r>
        <w:rPr>
          <w:rFonts w:hint="eastAsia" w:ascii="宋体" w:hAnsi="宋体" w:eastAsia="宋体" w:cs="宋体"/>
          <w:b w:val="0"/>
          <w:bCs/>
          <w:color w:val="000000"/>
          <w:sz w:val="24"/>
          <w:szCs w:val="24"/>
          <w:highlight w:val="none"/>
        </w:rPr>
      </w:r>
      <w:r/>
    </w:p>
    <w:p>
      <w:pPr>
        <w:pStyle w:val="1084"/>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 6.配合民警、医生复印需投劳病历资料。</w:t>
      </w:r>
      <w:r>
        <w:rPr>
          <w:rFonts w:hint="eastAsia" w:ascii="宋体" w:hAnsi="宋体" w:eastAsia="宋体" w:cs="宋体"/>
          <w:b w:val="0"/>
          <w:bCs/>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负责</w:t>
      </w:r>
      <w:r>
        <w:rPr>
          <w:rFonts w:hint="eastAsia" w:ascii="宋体" w:hAnsi="宋体" w:eastAsia="宋体" w:cs="宋体"/>
          <w:b w:val="0"/>
          <w:bCs/>
          <w:color w:val="000000"/>
          <w:sz w:val="24"/>
          <w:szCs w:val="24"/>
          <w:highlight w:val="none"/>
        </w:rPr>
        <w:t xml:space="preserve">医</w:t>
      </w:r>
      <w:r>
        <w:rPr>
          <w:rFonts w:hint="eastAsia" w:ascii="宋体" w:hAnsi="宋体" w:eastAsia="宋体" w:cs="宋体"/>
          <w:b w:val="0"/>
          <w:bCs/>
          <w:color w:val="000000"/>
          <w:sz w:val="24"/>
          <w:szCs w:val="24"/>
          <w:highlight w:val="none"/>
          <w:lang w:eastAsia="zh-CN"/>
        </w:rPr>
        <w:t xml:space="preserve">疗区域内务</w:t>
      </w:r>
      <w:r>
        <w:rPr>
          <w:rFonts w:hint="eastAsia" w:ascii="宋体" w:hAnsi="宋体" w:eastAsia="宋体" w:cs="宋体"/>
          <w:b w:val="0"/>
          <w:bCs/>
          <w:color w:val="000000"/>
          <w:sz w:val="24"/>
          <w:szCs w:val="24"/>
          <w:highlight w:val="none"/>
        </w:rPr>
        <w:t xml:space="preserve">卫生</w:t>
      </w:r>
      <w:r>
        <w:rPr>
          <w:rFonts w:hint="eastAsia" w:ascii="宋体" w:hAnsi="宋体" w:eastAsia="宋体" w:cs="宋体"/>
          <w:b w:val="0"/>
          <w:bCs/>
          <w:color w:val="000000"/>
          <w:sz w:val="24"/>
          <w:szCs w:val="24"/>
          <w:highlight w:val="none"/>
          <w:lang w:eastAsia="zh-CN"/>
        </w:rPr>
        <w:t xml:space="preserve">和医疗废弃物收集</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（三）体检中心主要工作</w:t>
      </w:r>
      <w:r>
        <w:rPr>
          <w:rFonts w:hint="eastAsia" w:ascii="宋体" w:hAnsi="宋体" w:eastAsia="宋体" w:cs="宋体"/>
          <w:b w:val="0"/>
          <w:bCs/>
          <w:color w:val="000000"/>
          <w:sz w:val="24"/>
          <w:szCs w:val="24"/>
          <w:highlight w:val="none"/>
        </w:rPr>
      </w:r>
      <w:r/>
    </w:p>
    <w:p>
      <w:pPr>
        <w:pStyle w:val="1166"/>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1.进行入所健康体检。</w:t>
      </w:r>
      <w:r>
        <w:rPr>
          <w:rFonts w:hint="eastAsia" w:ascii="宋体" w:hAnsi="宋体" w:eastAsia="宋体" w:cs="宋体"/>
          <w:b w:val="0"/>
          <w:bCs/>
          <w:color w:val="000000"/>
          <w:sz w:val="24"/>
          <w:szCs w:val="24"/>
          <w:highlight w:val="none"/>
          <w:lang w:val="en-US" w:eastAsia="zh-CN"/>
        </w:rPr>
        <w:t xml:space="preserve">包括内外科一般检查，以及测血压、血常规、心电图、胸部DR、腹部B超、急诊肝肾功能、血脂两项、随机血糖等。适龄女性进行尿妊娠试验；原则上，以上检查结果必需在被送押（拘）对象收押（拘）前出具。</w:t>
      </w:r>
      <w:r>
        <w:rPr>
          <w:rFonts w:hint="eastAsia" w:ascii="宋体" w:hAnsi="宋体" w:eastAsia="宋体" w:cs="宋体"/>
          <w:b w:val="0"/>
          <w:bCs/>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需艾滋病初筛的，乙方负责抽血后，由监管支队派员送疾控中心检测。</w:t>
      </w:r>
      <w:r>
        <w:rPr>
          <w:rFonts w:hint="eastAsia" w:ascii="宋体" w:hAnsi="宋体" w:eastAsia="宋体" w:cs="宋体"/>
          <w:b w:val="0"/>
          <w:bCs/>
          <w:color w:val="000000"/>
          <w:sz w:val="24"/>
          <w:szCs w:val="24"/>
          <w:highlight w:val="none"/>
          <w:lang w:val="en-US" w:eastAsia="zh-CN"/>
        </w:rPr>
      </w:r>
      <w:r/>
    </w:p>
    <w:p>
      <w:pPr>
        <w:pStyle w:val="1166"/>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2.进行半年健康体检。</w:t>
      </w:r>
      <w:r>
        <w:rPr>
          <w:rFonts w:hint="eastAsia" w:ascii="宋体" w:hAnsi="宋体" w:eastAsia="宋体" w:cs="宋体"/>
          <w:b w:val="0"/>
          <w:bCs/>
          <w:color w:val="000000"/>
          <w:sz w:val="24"/>
          <w:szCs w:val="24"/>
          <w:highlight w:val="none"/>
          <w:lang w:val="en-US" w:eastAsia="zh-CN"/>
        </w:rPr>
        <w:t xml:space="preserve">包括内外科一般检查，以及测血压、血常规、心电图、胸部DR、腹部B超、急诊肝肾功能、血脂两项、随机血糖等。在押人员半年体检时乙方须配足医务人员、配齐相关设备器材，所有体检项目在监所内实施。</w:t>
      </w:r>
      <w:r>
        <w:rPr>
          <w:rFonts w:hint="eastAsia" w:ascii="宋体" w:hAnsi="宋体" w:eastAsia="宋体" w:cs="宋体"/>
          <w:b w:val="0"/>
          <w:bCs/>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四</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其他相关工作</w:t>
      </w:r>
      <w:r>
        <w:rPr>
          <w:rFonts w:hint="eastAsia" w:ascii="宋体" w:hAnsi="宋体" w:eastAsia="宋体" w:cs="宋体"/>
          <w:b w:val="0"/>
          <w:bCs/>
          <w:color w:val="000000"/>
          <w:sz w:val="24"/>
          <w:szCs w:val="24"/>
          <w:highlight w:val="none"/>
          <w:lang w:val="en-US" w:eastAsia="zh-CN"/>
        </w:rPr>
      </w:r>
      <w:r/>
    </w:p>
    <w:p>
      <w:pPr>
        <w:pStyle w:val="1166"/>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1.会诊要求。</w:t>
      </w:r>
      <w:r>
        <w:rPr>
          <w:rFonts w:hint="eastAsia" w:ascii="宋体" w:hAnsi="宋体" w:eastAsia="宋体" w:cs="宋体"/>
          <w:b w:val="0"/>
          <w:bCs/>
          <w:color w:val="000000"/>
          <w:sz w:val="24"/>
          <w:szCs w:val="24"/>
          <w:highlight w:val="none"/>
          <w:lang w:val="en-US" w:eastAsia="zh-CN"/>
        </w:rPr>
        <w:t xml:space="preserve">被监管人员需要医院专家来所会诊时，会诊工作由乙方管理人员负责协调，在提出申请24小时内予以</w:t>
      </w:r>
      <w:r>
        <w:rPr>
          <w:rFonts w:hint="eastAsia" w:ascii="宋体" w:hAnsi="宋体" w:eastAsia="宋体" w:cs="宋体"/>
          <w:b w:val="0"/>
          <w:bCs/>
          <w:color w:val="000000"/>
          <w:sz w:val="24"/>
          <w:szCs w:val="24"/>
          <w:highlight w:val="none"/>
          <w:lang w:val="en" w:eastAsia="zh-CN"/>
        </w:rPr>
        <w:t xml:space="preserve">优先</w:t>
      </w:r>
      <w:r>
        <w:rPr>
          <w:rFonts w:hint="eastAsia" w:ascii="宋体" w:hAnsi="宋体" w:eastAsia="宋体" w:cs="宋体"/>
          <w:b w:val="0"/>
          <w:bCs/>
          <w:color w:val="000000"/>
          <w:sz w:val="24"/>
          <w:szCs w:val="24"/>
          <w:highlight w:val="none"/>
          <w:lang w:val="en-US" w:eastAsia="zh-CN"/>
        </w:rPr>
        <w:t xml:space="preserve">安排到所开展会诊。</w:t>
      </w:r>
      <w:r>
        <w:rPr>
          <w:rFonts w:hint="eastAsia" w:ascii="宋体" w:hAnsi="宋体" w:eastAsia="宋体" w:cs="宋体"/>
          <w:b w:val="0"/>
          <w:bCs/>
          <w:color w:val="000000"/>
          <w:sz w:val="24"/>
          <w:szCs w:val="24"/>
          <w:highlight w:val="none"/>
          <w:lang w:val="en-US" w:eastAsia="zh-CN"/>
        </w:rPr>
      </w:r>
      <w:r/>
    </w:p>
    <w:p>
      <w:pPr>
        <w:pStyle w:val="1166"/>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2.管理人员职责。</w:t>
      </w:r>
      <w:r>
        <w:rPr>
          <w:rFonts w:hint="eastAsia" w:ascii="宋体" w:hAnsi="宋体" w:eastAsia="宋体" w:cs="宋体"/>
          <w:b w:val="0"/>
          <w:bCs/>
          <w:color w:val="000000"/>
          <w:sz w:val="24"/>
          <w:szCs w:val="24"/>
          <w:highlight w:val="none"/>
          <w:lang w:val="en-US" w:eastAsia="zh-CN"/>
        </w:rPr>
        <w:t xml:space="preserve">管理人员负责医疗人员的日常管理考核和对接协调工作，每月整理相关台账，形成报表。每月考核依据由监管支队协同提供（医疗服务考核表详见附表）。</w:t>
      </w:r>
      <w:r>
        <w:rPr>
          <w:rFonts w:hint="eastAsia" w:ascii="宋体" w:hAnsi="宋体" w:eastAsia="宋体" w:cs="宋体"/>
          <w:b w:val="0"/>
          <w:bCs/>
          <w:color w:val="000000"/>
          <w:sz w:val="24"/>
          <w:szCs w:val="24"/>
          <w:highlight w:val="none"/>
          <w:lang w:val="en-US" w:eastAsia="zh-CN"/>
        </w:rPr>
      </w:r>
      <w:r/>
    </w:p>
    <w:p>
      <w:pPr>
        <w:pStyle w:val="1166"/>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3.日常管理。</w:t>
      </w:r>
      <w:r>
        <w:rPr>
          <w:rFonts w:hint="eastAsia" w:ascii="宋体" w:hAnsi="宋体" w:eastAsia="宋体" w:cs="宋体"/>
          <w:b w:val="0"/>
          <w:bCs/>
          <w:color w:val="000000"/>
          <w:sz w:val="24"/>
          <w:szCs w:val="24"/>
          <w:highlight w:val="none"/>
          <w:lang w:val="en-US" w:eastAsia="zh-CN"/>
        </w:rPr>
        <w:t xml:space="preserve">所有派驻医务人员的日常管理、安全教育、医疗事务由乙方负责。</w:t>
      </w:r>
      <w:r>
        <w:rPr>
          <w:rFonts w:hint="eastAsia" w:ascii="宋体" w:hAnsi="宋体" w:eastAsia="宋体" w:cs="宋体"/>
          <w:b w:val="0"/>
          <w:bCs/>
          <w:color w:val="000000"/>
          <w:sz w:val="24"/>
          <w:szCs w:val="24"/>
          <w:highlight w:val="none"/>
          <w:lang w:val="en-US" w:eastAsia="zh-CN"/>
        </w:rPr>
      </w:r>
      <w:r/>
    </w:p>
    <w:p>
      <w:pPr>
        <w:pStyle w:val="1166"/>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4.纪律要求。</w:t>
      </w:r>
      <w:r>
        <w:rPr>
          <w:rFonts w:hint="eastAsia" w:ascii="宋体" w:hAnsi="宋体" w:eastAsia="宋体" w:cs="宋体"/>
          <w:b w:val="0"/>
          <w:bCs/>
          <w:color w:val="000000"/>
          <w:sz w:val="24"/>
          <w:szCs w:val="24"/>
          <w:highlight w:val="none"/>
          <w:lang w:val="en-US" w:eastAsia="zh-CN"/>
        </w:rPr>
        <w:t xml:space="preserve">乙方入驻监所工作人员，必须严格遵守监所安全管理规定和相关工作要求，不得在体检中弄虚作假，不得打听相关案情、不得为被监管人员通风报信或私自传递物品。</w:t>
      </w:r>
      <w:r>
        <w:rPr>
          <w:rFonts w:hint="eastAsia" w:ascii="宋体" w:hAnsi="宋体" w:eastAsia="宋体" w:cs="宋体"/>
          <w:b w:val="0"/>
          <w:bCs/>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五</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体检收费及治疗费用</w:t>
      </w:r>
      <w:r>
        <w:rPr>
          <w:rFonts w:hint="eastAsia" w:ascii="宋体" w:hAnsi="宋体" w:eastAsia="宋体" w:cs="宋体"/>
          <w:b w:val="0"/>
          <w:bCs/>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1.入所体检基本费用由乙方按照280元/人次实时收取（体检内容包括：血压、血常规、心电图、胸部DR、腹部B超、急诊肝肾功能、血脂两项、随机血糖）</w:t>
      </w:r>
      <w:r>
        <w:rPr>
          <w:rFonts w:hint="eastAsia" w:ascii="宋体" w:hAnsi="宋体" w:eastAsia="宋体" w:cs="宋体"/>
          <w:b w:val="0"/>
          <w:bCs/>
          <w:color w:val="000000"/>
          <w:sz w:val="24"/>
          <w:szCs w:val="24"/>
          <w:highlight w:val="none"/>
          <w:lang w:val="en" w:eastAsia="zh-CN"/>
        </w:rPr>
        <w:t xml:space="preserve">。</w:t>
      </w:r>
      <w:r>
        <w:rPr>
          <w:rFonts w:hint="eastAsia" w:ascii="宋体" w:hAnsi="宋体" w:eastAsia="宋体" w:cs="宋体"/>
          <w:b w:val="0"/>
          <w:bCs/>
          <w:color w:val="000000"/>
          <w:sz w:val="24"/>
          <w:szCs w:val="24"/>
          <w:highlight w:val="none"/>
          <w:lang w:val="en-US" w:eastAsia="zh-CN"/>
        </w:rPr>
        <w:t xml:space="preserve">适龄女性</w:t>
      </w:r>
      <w:r>
        <w:rPr>
          <w:rFonts w:hint="eastAsia" w:ascii="宋体" w:hAnsi="宋体" w:eastAsia="宋体" w:cs="宋体"/>
          <w:b w:val="0"/>
          <w:bCs/>
          <w:color w:val="000000"/>
          <w:sz w:val="24"/>
          <w:szCs w:val="24"/>
          <w:highlight w:val="none"/>
          <w:lang w:val="en" w:eastAsia="zh-CN"/>
        </w:rPr>
        <w:t xml:space="preserve">增加血、尿</w:t>
      </w:r>
      <w:r>
        <w:rPr>
          <w:rFonts w:hint="eastAsia" w:ascii="宋体" w:hAnsi="宋体" w:eastAsia="宋体" w:cs="宋体"/>
          <w:b w:val="0"/>
          <w:bCs/>
          <w:color w:val="000000"/>
          <w:sz w:val="24"/>
          <w:szCs w:val="24"/>
          <w:highlight w:val="none"/>
          <w:lang w:val="en-US" w:eastAsia="zh-CN"/>
        </w:rPr>
        <w:t xml:space="preserve">妊娠试验，相关费用另外结算；</w:t>
      </w:r>
      <w:r>
        <w:rPr>
          <w:rFonts w:hint="eastAsia" w:ascii="宋体" w:hAnsi="宋体" w:eastAsia="宋体" w:cs="宋体"/>
          <w:b w:val="0"/>
          <w:bCs/>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2.半年体检基本费用按照280元/人收取（体检内容包括：血压、血常规、心电图、胸部DR、腹部B超、急诊肝肾功能、血脂两项、随机血糖）</w:t>
      </w:r>
      <w:r>
        <w:rPr>
          <w:rFonts w:hint="eastAsia" w:ascii="宋体" w:hAnsi="宋体" w:eastAsia="宋体" w:cs="宋体"/>
          <w:b w:val="0"/>
          <w:bCs/>
          <w:color w:val="000000"/>
          <w:sz w:val="24"/>
          <w:szCs w:val="24"/>
          <w:highlight w:val="none"/>
          <w:lang w:val="en" w:eastAsia="zh-CN"/>
        </w:rPr>
        <w:t xml:space="preserve">。入所满45日</w:t>
      </w:r>
      <w:r>
        <w:rPr>
          <w:rFonts w:hint="eastAsia" w:ascii="宋体" w:hAnsi="宋体" w:eastAsia="宋体" w:cs="宋体"/>
          <w:b w:val="0"/>
          <w:bCs/>
          <w:color w:val="000000"/>
          <w:sz w:val="24"/>
          <w:szCs w:val="24"/>
          <w:highlight w:val="none"/>
          <w:lang w:val="en-US" w:eastAsia="zh-CN"/>
        </w:rPr>
        <w:t xml:space="preserve">适龄女性</w:t>
      </w:r>
      <w:r>
        <w:rPr>
          <w:rFonts w:hint="eastAsia" w:ascii="宋体" w:hAnsi="宋体" w:eastAsia="宋体" w:cs="宋体"/>
          <w:b w:val="0"/>
          <w:bCs/>
          <w:color w:val="000000"/>
          <w:sz w:val="24"/>
          <w:szCs w:val="24"/>
          <w:highlight w:val="none"/>
          <w:lang w:val="en" w:eastAsia="zh-CN"/>
        </w:rPr>
        <w:t xml:space="preserve">增加血、尿</w:t>
      </w:r>
      <w:r>
        <w:rPr>
          <w:rFonts w:hint="eastAsia" w:ascii="宋体" w:hAnsi="宋体" w:eastAsia="宋体" w:cs="宋体"/>
          <w:b w:val="0"/>
          <w:bCs/>
          <w:color w:val="000000"/>
          <w:sz w:val="24"/>
          <w:szCs w:val="24"/>
          <w:highlight w:val="none"/>
          <w:lang w:val="en-US" w:eastAsia="zh-CN"/>
        </w:rPr>
        <w:t xml:space="preserve">妊娠试验，相关费用另外结算；</w:t>
      </w:r>
      <w:r>
        <w:rPr>
          <w:rFonts w:hint="eastAsia" w:ascii="宋体" w:hAnsi="宋体" w:eastAsia="宋体" w:cs="宋体"/>
          <w:b w:val="0"/>
          <w:bCs/>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3.被监管人员需进行常规体检项目之外其他检测及治疗的，乙方按正常资费收取。</w:t>
      </w:r>
      <w:r>
        <w:rPr>
          <w:rFonts w:hint="eastAsia" w:ascii="宋体" w:hAnsi="宋体" w:eastAsia="宋体" w:cs="宋体"/>
          <w:b w:val="0"/>
          <w:bCs/>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六</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就医绿色通道</w:t>
      </w:r>
      <w:r>
        <w:rPr>
          <w:rFonts w:hint="eastAsia" w:ascii="宋体" w:hAnsi="宋体" w:eastAsia="宋体" w:cs="宋体"/>
          <w:b w:val="0"/>
          <w:bCs/>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建立出所就医绿色通道，双方建立协作联动机制，明确专人负责协调，确保出所就医人员到达医院后15分钟内得到高效救治，相关费用定期结算。</w:t>
      </w:r>
      <w:r>
        <w:rPr>
          <w:rFonts w:hint="eastAsia" w:ascii="宋体" w:hAnsi="宋体" w:eastAsia="宋体" w:cs="宋体"/>
          <w:b w:val="0"/>
          <w:bCs/>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七</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其他相关要求</w:t>
      </w:r>
      <w:r>
        <w:rPr>
          <w:rFonts w:hint="eastAsia" w:ascii="宋体" w:hAnsi="宋体" w:eastAsia="宋体" w:cs="宋体"/>
          <w:b w:val="0"/>
          <w:bCs/>
          <w:color w:val="000000"/>
          <w:sz w:val="24"/>
          <w:szCs w:val="24"/>
          <w:highlight w:val="none"/>
          <w:lang w:val="en-US" w:eastAsia="zh-CN"/>
        </w:rPr>
      </w:r>
      <w:r/>
    </w:p>
    <w:p>
      <w:pPr>
        <w:pStyle w:val="1166"/>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1.医疗机构执业许可要求</w:t>
      </w:r>
      <w:r>
        <w:rPr>
          <w:rFonts w:hint="eastAsia" w:ascii="宋体" w:hAnsi="宋体" w:eastAsia="宋体" w:cs="宋体"/>
          <w:b/>
          <w:bCs w:val="0"/>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监管支队医疗机构（扬州市看守所卫生站、扬州市公安局戒毒所卫生所）执业许可证（含副本中相关诊疗科目）符合本项目依法执业相关要求；同时协助乙方在监管支队执业地点新申领医疗机构执业许可证、放射诊疗许可证、辐射安全许可证等，全体医务人员均需在此机构注册登记。</w:t>
      </w:r>
      <w:r>
        <w:rPr>
          <w:rFonts w:hint="eastAsia" w:ascii="宋体" w:hAnsi="宋体" w:eastAsia="宋体" w:cs="宋体"/>
          <w:b w:val="0"/>
          <w:bCs/>
          <w:color w:val="000000"/>
          <w:sz w:val="24"/>
          <w:szCs w:val="24"/>
          <w:highlight w:val="none"/>
          <w:lang w:val="en-US" w:eastAsia="zh-CN"/>
        </w:rPr>
      </w:r>
      <w:r/>
    </w:p>
    <w:p>
      <w:pPr>
        <w:pStyle w:val="116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（2）乙方在监管支队执业地点新申领医疗机构执业许可证，法定代表人和主要负责人由乙方相关人员担任。合同到期后，该医疗机构执业许可证甲方无权使用。</w:t>
      </w:r>
      <w:r>
        <w:rPr>
          <w:rFonts w:hint="eastAsia" w:ascii="宋体" w:hAnsi="宋体" w:eastAsia="宋体" w:cs="宋体"/>
          <w:b w:val="0"/>
          <w:bCs/>
          <w:color w:val="000000"/>
          <w:sz w:val="24"/>
          <w:szCs w:val="24"/>
          <w:highlight w:val="none"/>
          <w:lang w:val="en-US" w:eastAsia="zh-CN"/>
        </w:rPr>
      </w:r>
      <w:r/>
    </w:p>
    <w:p>
      <w:pPr>
        <w:pStyle w:val="1166"/>
        <w:ind w:firstLine="482"/>
        <w:keepLines w:val="0"/>
        <w:keepNext w:val="0"/>
        <w:pageBreakBefore w:val="0"/>
        <w:spacing w:line="360" w:lineRule="auto"/>
        <w:widowControl w:val="off"/>
        <w:rPr>
          <w:rFonts w:hint="eastAsia" w:ascii="宋体" w:hAnsi="宋体" w:eastAsia="宋体" w:cs="宋体"/>
          <w:b w:val="0"/>
          <w:bCs/>
          <w:i w:val="0"/>
          <w:iCs w:val="0"/>
          <w:color w:val="000000"/>
          <w:sz w:val="24"/>
          <w:szCs w:val="24"/>
          <w:highlight w:val="none"/>
          <w:u w:val="none"/>
          <w:lang w:val="en-US" w:eastAsia="zh-CN"/>
        </w:rPr>
      </w:pPr>
      <w:r>
        <w:rPr>
          <w:rFonts w:hint="eastAsia" w:ascii="宋体" w:hAnsi="宋体" w:eastAsia="宋体" w:cs="宋体"/>
          <w:b/>
          <w:bCs w:val="0"/>
          <w:i w:val="0"/>
          <w:iCs w:val="0"/>
          <w:color w:val="000000"/>
          <w:sz w:val="24"/>
          <w:szCs w:val="24"/>
          <w:highlight w:val="none"/>
          <w:u w:val="none"/>
          <w:lang w:val="en-US" w:eastAsia="zh-CN"/>
        </w:rPr>
        <w:t xml:space="preserve">2.乙方技术能力水平要求。</w:t>
      </w:r>
      <w:r>
        <w:rPr>
          <w:rFonts w:hint="eastAsia" w:ascii="宋体" w:hAnsi="宋体" w:eastAsia="宋体" w:cs="宋体"/>
          <w:b w:val="0"/>
          <w:bCs/>
          <w:i w:val="0"/>
          <w:iCs w:val="0"/>
          <w:color w:val="000000"/>
          <w:sz w:val="24"/>
          <w:szCs w:val="24"/>
          <w:highlight w:val="none"/>
          <w:u w:val="none"/>
          <w:lang w:val="en-US" w:eastAsia="zh-CN"/>
        </w:rPr>
        <w:t xml:space="preserve">根据近年来监管场所在押人员突发心脑血管等疾病猝死的情况，乙方需具备高水平的危急重症患者救治技术能力，包括且不限于急诊情况下的心血管介入手术、冠脉搭桥手术、心脏大血管手术、神经介入手术、综合介入手术、ECMO治疗技术等。</w:t>
      </w:r>
      <w:r>
        <w:rPr>
          <w:rFonts w:hint="eastAsia" w:ascii="宋体" w:hAnsi="宋体" w:eastAsia="宋体" w:cs="宋体"/>
          <w:b w:val="0"/>
          <w:bCs/>
          <w:i w:val="0"/>
          <w:iCs w:val="0"/>
          <w:color w:val="000000"/>
          <w:sz w:val="24"/>
          <w:szCs w:val="24"/>
          <w:highlight w:val="none"/>
          <w:u w:val="none"/>
          <w:lang w:val="en-US" w:eastAsia="zh-CN"/>
        </w:rPr>
      </w:r>
      <w:r/>
    </w:p>
    <w:p>
      <w:pPr>
        <w:pStyle w:val="1166"/>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3.药品采购、保管。</w:t>
      </w:r>
      <w:r>
        <w:rPr>
          <w:rFonts w:hint="eastAsia" w:ascii="宋体" w:hAnsi="宋体" w:eastAsia="宋体" w:cs="宋体"/>
          <w:b w:val="0"/>
          <w:bCs/>
          <w:color w:val="000000"/>
          <w:sz w:val="24"/>
          <w:szCs w:val="24"/>
          <w:highlight w:val="none"/>
          <w:lang w:val="en-US" w:eastAsia="zh-CN"/>
        </w:rPr>
        <w:t xml:space="preserve">监管支队负责大宗药品采购，乙方负责药品保管、合理使用、出入库盘点并结合药品使用情况提出采购建议，监所临时需要补充少量特殊药品，提出需求后由乙方按需及时提供，相关费用定期结算。</w:t>
      </w:r>
      <w:r>
        <w:rPr>
          <w:rFonts w:hint="eastAsia" w:ascii="宋体" w:hAnsi="宋体" w:eastAsia="宋体" w:cs="宋体"/>
          <w:b w:val="0"/>
          <w:bCs/>
          <w:color w:val="000000"/>
          <w:sz w:val="24"/>
          <w:szCs w:val="24"/>
          <w:highlight w:val="none"/>
          <w:lang w:val="en-US" w:eastAsia="zh-CN"/>
        </w:rPr>
      </w:r>
      <w:r/>
    </w:p>
    <w:p>
      <w:pPr>
        <w:pStyle w:val="1166"/>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4.血样送检。</w:t>
      </w:r>
      <w:r>
        <w:rPr>
          <w:rFonts w:hint="eastAsia" w:ascii="宋体" w:hAnsi="宋体" w:eastAsia="宋体" w:cs="宋体"/>
          <w:b w:val="0"/>
          <w:bCs/>
          <w:color w:val="000000"/>
          <w:sz w:val="24"/>
          <w:szCs w:val="24"/>
          <w:highlight w:val="none"/>
          <w:lang w:val="en-US" w:eastAsia="zh-CN"/>
        </w:rPr>
        <w:t xml:space="preserve">乙方安排体检中心护士将血样放置到专用转运箱，监管支队安排车辆和驾驶员每天上午9时前将专用转运箱（含血样）送到乙方检验科（有专人对接）检测。</w:t>
      </w:r>
      <w:r>
        <w:rPr>
          <w:rFonts w:hint="eastAsia" w:ascii="宋体" w:hAnsi="宋体" w:eastAsia="宋体" w:cs="宋体"/>
          <w:b w:val="0"/>
          <w:bCs/>
          <w:color w:val="000000"/>
          <w:sz w:val="24"/>
          <w:szCs w:val="24"/>
          <w:highlight w:val="none"/>
          <w:lang w:val="en-US" w:eastAsia="zh-CN"/>
        </w:rPr>
      </w:r>
      <w:r/>
    </w:p>
    <w:p>
      <w:pPr>
        <w:pStyle w:val="108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五</w:t>
      </w:r>
      <w:r>
        <w:rPr>
          <w:rFonts w:hint="eastAsia" w:ascii="宋体" w:hAnsi="宋体" w:eastAsia="宋体" w:cs="宋体"/>
          <w:b/>
          <w:bCs/>
          <w:color w:val="000000"/>
          <w:sz w:val="24"/>
          <w:szCs w:val="24"/>
          <w:highlight w:val="none"/>
        </w:rPr>
        <w:t xml:space="preserve">、相关保障</w:t>
      </w:r>
      <w:r>
        <w:rPr>
          <w:rFonts w:hint="eastAsia" w:ascii="宋体" w:hAnsi="宋体" w:eastAsia="宋体" w:cs="宋体"/>
          <w:b/>
          <w:bCs/>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（一）体检中心运行保障。</w:t>
      </w:r>
      <w:r>
        <w:rPr>
          <w:rFonts w:hint="eastAsia" w:ascii="宋体" w:hAnsi="宋体" w:eastAsia="宋体" w:cs="宋体"/>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监管支队为体检中心提供医疗用房，负责基础设施、监控设备等日常维护和水电费用。医院负责提供体检中心所需要的医疗器材、临床检验及影像设备等医疗设备维护和耗材。</w:t>
      </w:r>
      <w:r>
        <w:rPr>
          <w:rFonts w:hint="eastAsia" w:ascii="宋体" w:hAnsi="宋体" w:eastAsia="宋体" w:cs="宋体"/>
          <w:color w:val="000000"/>
          <w:sz w:val="24"/>
          <w:szCs w:val="24"/>
          <w:highlight w:val="none"/>
        </w:rPr>
      </w:r>
      <w:r/>
    </w:p>
    <w:p>
      <w:pPr>
        <w:pStyle w:val="108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医院监管病房。</w:t>
      </w:r>
      <w:r>
        <w:rPr>
          <w:rFonts w:hint="eastAsia" w:ascii="宋体" w:hAnsi="宋体" w:eastAsia="宋体" w:cs="宋体"/>
          <w:color w:val="000000"/>
          <w:sz w:val="24"/>
          <w:szCs w:val="24"/>
          <w:highlight w:val="none"/>
        </w:rPr>
      </w:r>
      <w:r/>
    </w:p>
    <w:p>
      <w:pPr>
        <w:pStyle w:val="1084"/>
        <w:numPr>
          <w:ilvl w:val="0"/>
          <w:numId w:val="0"/>
        </w:numP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rPr>
        <w:t xml:space="preserve">医院需在所属医院本部住院、门诊或急诊区域内设置独立监管病房一间（不少于2张病床、内设卫生间，距离病区护士站较近的位置）,设施设备应符合监管病房安防要求。</w:t>
      </w:r>
      <w:r>
        <w:rPr>
          <w:rFonts w:hint="eastAsia" w:ascii="宋体" w:hAnsi="宋体" w:eastAsia="宋体" w:cs="宋体"/>
          <w:color w:val="000000"/>
          <w:sz w:val="24"/>
          <w:szCs w:val="24"/>
          <w:highlight w:val="none"/>
          <w:lang w:val="en-US" w:eastAsia="zh-CN"/>
        </w:rPr>
        <w:t xml:space="preserve">相关费用由中标人承担。</w:t>
      </w:r>
      <w:r>
        <w:rPr>
          <w:rFonts w:ascii="宋体" w:hAnsi="宋体" w:eastAsia="宋体" w:cs="宋体"/>
          <w:color w:val="000000"/>
          <w:sz w:val="24"/>
          <w:szCs w:val="24"/>
          <w:highlight w:val="none"/>
          <w:lang w:val="en-US" w:eastAsia="zh-CN"/>
        </w:rPr>
      </w:r>
      <w:r/>
    </w:p>
    <w:p>
      <w:pPr>
        <w:pStyle w:val="108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六、隐私保护管理要求​</w:t>
      </w:r>
      <w:r>
        <w:rPr>
          <w:rFonts w:hint="eastAsia" w:ascii="宋体" w:hAnsi="宋体" w:eastAsia="宋体" w:cs="宋体"/>
          <w:b/>
          <w:bCs/>
          <w:color w:val="000000"/>
          <w:sz w:val="24"/>
          <w:szCs w:val="24"/>
          <w:highlight w:val="none"/>
          <w:lang w:eastAsia="zh-CN"/>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（一）医疗数据管理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所有被监管人员的医疗档案、体检报告、诊断记录等信息均属于隐私数据，需严格按照《中华人民共和国个人信息保护法》和《医疗机构病历管理规定》进行管理。建立专门的加密数据库存储相关信息，限制访问权限，仅授权的医护人员、监管人员因工作需要方可查看。未经审批，严禁以任何形式复制、传播、泄露被监管人员的医疗隐私数据。医疗数据的传输需采用加密通道，防止数据在传输过程中被窃取或篡改。定期对医疗数据进行备份，并将备份数据存放在安全的物理位置，确保数据安全可恢</w:t>
      </w:r>
      <w:r>
        <w:rPr>
          <w:rFonts w:hint="eastAsia" w:ascii="宋体" w:hAnsi="宋体" w:eastAsia="宋体" w:cs="宋体"/>
          <w:color w:val="000000"/>
          <w:sz w:val="24"/>
          <w:szCs w:val="24"/>
          <w:highlight w:val="none"/>
          <w:lang w:eastAsia="zh-CN"/>
        </w:rPr>
        <w:t xml:space="preserve">复。</w:t>
      </w:r>
      <w:r>
        <w:rPr>
          <w:rFonts w:hint="eastAsia" w:ascii="宋体" w:hAnsi="宋体" w:eastAsia="宋体" w:cs="宋体"/>
          <w:color w:val="000000"/>
          <w:sz w:val="24"/>
          <w:szCs w:val="24"/>
          <w:highlight w:val="none"/>
          <w:lang w:eastAsia="zh-CN"/>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（二）诊疗操作规范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诊疗过程中，医护人员需充分尊重被监管人员的隐私。进行身体检查、治疗等操作时，应设置独立的诊疗空间，必要时使用隔帘、屏风等进行遮挡，避免无关人员观看。在询问病史、病情时，应注意保护被监管人员的隐私信息，避免在公共场合大声讨论敏感内容。对于女性被监管人员，涉及隐私部位的检查、治疗等操作，应由</w:t>
      </w:r>
      <w:r>
        <w:rPr>
          <w:rFonts w:hint="eastAsia" w:ascii="宋体" w:hAnsi="宋体" w:eastAsia="宋体" w:cs="宋体"/>
          <w:color w:val="000000"/>
          <w:sz w:val="24"/>
          <w:szCs w:val="24"/>
          <w:highlight w:val="none"/>
          <w:lang w:eastAsia="zh-CN"/>
        </w:rPr>
        <w:t xml:space="preserve">女</w:t>
      </w:r>
      <w:r>
        <w:rPr>
          <w:rFonts w:hint="eastAsia" w:ascii="宋体" w:hAnsi="宋体" w:eastAsia="宋体" w:cs="宋体"/>
          <w:color w:val="000000"/>
          <w:sz w:val="24"/>
          <w:szCs w:val="24"/>
          <w:highlight w:val="none"/>
        </w:rPr>
        <w:t xml:space="preserve">性医护人员进行，特殊情况需有女性监管人员陪同，并做好记录。​</w:t>
      </w:r>
      <w:r>
        <w:rPr>
          <w:rFonts w:hint="eastAsia" w:ascii="宋体" w:hAnsi="宋体" w:eastAsia="宋体" w:cs="宋体"/>
          <w:color w:val="000000"/>
          <w:sz w:val="24"/>
          <w:szCs w:val="24"/>
          <w:highlight w:val="none"/>
        </w:rPr>
      </w:r>
      <w:r/>
    </w:p>
    <w:p>
      <w:pPr>
        <w:pStyle w:val="108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人员培训管理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8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定期组织医护人员、监管人员开展隐私保护专题培训，强化隐私保护意识，使其熟悉隐私保护相关法律法规和操作规范。培训内容应包括如何正确处理医疗隐私数据、在诊疗过程中如何保护被监管人员隐私等。培训后进行考核，考核合格者方可上岗，对于违反隐私保护规定的人员，依法依规严肃处理，并记录在个人工作档案中。​</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8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（四）第三方合作管理。</w:t>
      </w:r>
      <w:r>
        <w:rPr>
          <w:rFonts w:hint="eastAsia" w:ascii="宋体" w:hAnsi="宋体" w:eastAsia="宋体" w:cs="宋体"/>
          <w:color w:val="000000"/>
          <w:sz w:val="24"/>
          <w:szCs w:val="24"/>
          <w:highlight w:val="none"/>
          <w:lang w:eastAsia="zh-CN"/>
        </w:rPr>
      </w:r>
      <w:r/>
    </w:p>
    <w:p>
      <w:pPr>
        <w:pStyle w:val="1084"/>
        <w:numPr>
          <w:ilvl w:val="0"/>
          <w:numId w:val="0"/>
        </w:numPr>
        <w:keepLines w:val="0"/>
        <w:keepNext w:val="0"/>
        <w:pageBreakBefore w:val="0"/>
        <w:spacing w:line="360" w:lineRule="auto"/>
        <w:widowControl w:val="off"/>
        <w:rPr>
          <w:rFonts w:hint="eastAsia" w:ascii="宋体" w:hAnsi="宋体" w:eastAsia="宋体" w:cs="宋体"/>
          <w:bCs/>
          <w:iCs/>
          <w:color w:val="000000"/>
          <w:sz w:val="24"/>
          <w:szCs w:val="24"/>
          <w:highlight w:val="none"/>
        </w:rP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rPr>
        <w:t xml:space="preserve">若涉及与第三方机构合作，如医疗设备供应商、软件服务商等，需在合同中明确第三方机构的隐私保护责任和义务。要求第三方机构遵守相关法律法规，采取必要的技术和管理措施保护被监管人员的隐私数据。定期对第三方机构的隐私保护工作进行监督和检查，发现问题及时要求整改，若第三方机构违反隐私保护规定，应立即终止合作，并追究其法律责任</w:t>
      </w:r>
      <w:r>
        <w:rPr>
          <w:rFonts w:hint="eastAsia" w:ascii="宋体" w:hAnsi="宋体" w:eastAsia="宋体" w:cs="宋体"/>
          <w:bCs/>
          <w:iCs/>
          <w:color w:val="000000"/>
          <w:sz w:val="24"/>
          <w:szCs w:val="24"/>
          <w:highlight w:val="none"/>
        </w:rPr>
        <w:t xml:space="preserve">。</w:t>
      </w:r>
      <w:r>
        <w:rPr>
          <w:rFonts w:hint="eastAsia" w:ascii="宋体" w:hAnsi="宋体" w:eastAsia="宋体" w:cs="宋体"/>
          <w:bCs/>
          <w:iCs/>
          <w:color w:val="000000"/>
          <w:sz w:val="24"/>
          <w:szCs w:val="24"/>
          <w:highlight w:val="none"/>
        </w:rPr>
      </w:r>
      <w:r/>
    </w:p>
    <w:p>
      <w:pPr>
        <w:pStyle w:val="108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七、其他要求</w:t>
      </w:r>
      <w:r>
        <w:rPr>
          <w:rFonts w:hint="eastAsia" w:ascii="宋体" w:hAnsi="宋体" w:eastAsia="宋体" w:cs="宋体"/>
          <w:b/>
          <w:bCs/>
          <w:color w:val="000000"/>
          <w:sz w:val="24"/>
          <w:szCs w:val="24"/>
          <w:highlight w:val="none"/>
          <w:lang w:eastAsia="zh-CN"/>
        </w:rPr>
      </w:r>
      <w:r/>
    </w:p>
    <w:p>
      <w:pPr>
        <w:pStyle w:val="1084"/>
        <w:ind w:firstLine="420"/>
        <w:keepLines w:val="0"/>
        <w:keepNext w:val="0"/>
        <w:pageBreakBefore w:val="0"/>
        <w:spacing w:line="360" w:lineRule="auto"/>
        <w:widowControl w:val="off"/>
        <w:rPr>
          <w:rFonts w:hint="eastAsia" w:ascii="宋体" w:hAnsi="宋体" w:eastAsia="宋体" w:cs="宋体"/>
          <w:b w:val="0"/>
          <w:bCs/>
          <w:i/>
          <w:iCs/>
          <w:color w:val="00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iCs/>
          <w:color w:val="000000"/>
          <w:sz w:val="24"/>
          <w:szCs w:val="24"/>
          <w:highlight w:val="none"/>
          <w:u w:val="single"/>
          <w:lang w:val="en-US" w:eastAsia="zh-CN" w:bidi="ar-SA"/>
        </w:rPr>
        <w:t xml:space="preserve">（一）供应商与从业人员自行签订用工合同，与采购人无关，供应商负责按照政策缴纳各 项费用并且依法纳税。供应商从业人员的经济责任和安全责任等所有可能产生的一切风险均由供应商自行承担。</w:t>
      </w:r>
      <w:r>
        <w:rPr>
          <w:rFonts w:hint="eastAsia" w:ascii="宋体" w:hAnsi="宋体" w:eastAsia="宋体" w:cs="宋体"/>
          <w:b/>
          <w:bCs w:val="0"/>
          <w:i/>
          <w:iCs/>
          <w:color w:val="000000"/>
          <w:sz w:val="24"/>
          <w:szCs w:val="24"/>
          <w:highlight w:val="none"/>
          <w:u w:val="single"/>
          <w:lang w:val="en-US" w:eastAsia="zh-CN" w:bidi="ar-SA"/>
        </w:rPr>
        <w:t xml:space="preserve">（提供承诺函，格式自拟，系统上传，未按要求提供视为无效响应）</w:t>
      </w:r>
      <w:r>
        <w:rPr>
          <w:rFonts w:hint="eastAsia" w:ascii="宋体" w:hAnsi="宋体" w:eastAsia="宋体" w:cs="宋体"/>
          <w:b w:val="0"/>
          <w:bCs/>
          <w:i/>
          <w:iCs/>
          <w:color w:val="000000"/>
          <w:sz w:val="24"/>
          <w:szCs w:val="24"/>
          <w:highlight w:val="none"/>
          <w:u w:val="single"/>
          <w:lang w:val="en-US" w:eastAsia="zh-CN" w:bidi="ar-SA"/>
        </w:rPr>
      </w:r>
      <w:r/>
    </w:p>
    <w:p>
      <w:pPr>
        <w:pStyle w:val="108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iCs/>
          <w:color w:val="000000"/>
          <w:sz w:val="24"/>
          <w:szCs w:val="24"/>
          <w:highlight w:val="none"/>
          <w:u w:val="single"/>
          <w:lang w:val="en-US" w:eastAsia="zh-CN" w:bidi="ar-SA"/>
        </w:rPr>
        <w:t xml:space="preserve">（二）供应商必须在合同签订前，按照本项目人员岗位配备要求将所有派入服务人员花名册及人员相应的资质条件提供给采购人，为保持工作的连续性，拟派人员轮换时间原则上不低于6个月，如遇特殊情况需轮换，应经过采购人的认可。</w:t>
      </w:r>
      <w:r>
        <w:rPr>
          <w:rFonts w:hint="eastAsia" w:ascii="宋体" w:hAnsi="宋体" w:eastAsia="宋体" w:cs="宋体"/>
          <w:b/>
          <w:bCs w:val="0"/>
          <w:i/>
          <w:iCs/>
          <w:color w:val="000000"/>
          <w:sz w:val="24"/>
          <w:szCs w:val="24"/>
          <w:highlight w:val="none"/>
          <w:u w:val="single"/>
          <w:lang w:val="en-US" w:eastAsia="zh-CN" w:bidi="ar-SA"/>
        </w:rPr>
        <w:t xml:space="preserve">（提供承诺函，格式自拟，系统上传，未按要求提供视为无效响应）</w:t>
      </w:r>
      <w:r>
        <w:rPr>
          <w:rFonts w:hint="eastAsia" w:ascii="宋体" w:hAnsi="宋体" w:eastAsia="宋体" w:cs="宋体"/>
          <w:sz w:val="24"/>
          <w:szCs w:val="24"/>
          <w:highlight w:val="none"/>
          <w:lang w:val="en-US" w:eastAsia="zh-CN"/>
        </w:rPr>
      </w:r>
      <w:r/>
    </w:p>
    <w:p>
      <w:pPr>
        <w:pStyle w:val="1084"/>
        <w:rPr>
          <w:rFonts w:hint="eastAsia"/>
          <w:highlight w:val="none"/>
        </w:rPr>
      </w:pPr>
      <w:r>
        <w:rPr>
          <w:rFonts w:hint="eastAsia"/>
          <w:highlight w:val="none"/>
        </w:rPr>
      </w:r>
      <w:r/>
    </w:p>
    <w:p>
      <w:pPr>
        <w:pStyle w:val="108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lang w:eastAsia="zh-CN"/>
        </w:rPr>
        <w:t xml:space="preserve">、政府采购中实施本国产品标准及相关政策</w:t>
      </w:r>
      <w:r>
        <w:rPr>
          <w:rFonts w:hint="eastAsia" w:ascii="宋体" w:hAnsi="宋体" w:eastAsia="宋体" w:cs="宋体"/>
          <w:b/>
          <w:bCs/>
          <w:color w:val="000000"/>
          <w:sz w:val="24"/>
          <w:szCs w:val="24"/>
          <w:highlight w:val="none"/>
          <w:lang w:eastAsia="zh-CN"/>
        </w:rPr>
      </w:r>
      <w:r/>
    </w:p>
    <w:p>
      <w:pPr>
        <w:pStyle w:val="1166"/>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1.本项目对采购本国产品给予政策支持，具体内容见招标文件“第五章 评审方法与评审标准”。</w:t>
      </w:r>
      <w:r>
        <w:rPr>
          <w:rFonts w:hint="eastAsia" w:hAnsi="宋体" w:eastAsia="宋体" w:cs="宋体"/>
          <w:color w:val="000000"/>
          <w:sz w:val="24"/>
          <w:szCs w:val="24"/>
          <w:highlight w:val="none"/>
        </w:rPr>
      </w:r>
      <w:r/>
    </w:p>
    <w:p>
      <w:pPr>
        <w:pStyle w:val="1166"/>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hAnsi="宋体" w:eastAsia="宋体" w:cs="宋体"/>
          <w:color w:val="000000"/>
          <w:sz w:val="24"/>
          <w:szCs w:val="24"/>
          <w:highlight w:val="none"/>
        </w:rPr>
      </w:r>
      <w:r/>
    </w:p>
    <w:p>
      <w:pPr>
        <w:pStyle w:val="1166"/>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eastAsia="宋体" w:cs="宋体"/>
          <w:color w:val="000000"/>
          <w:sz w:val="24"/>
          <w:szCs w:val="24"/>
          <w:highlight w:val="none"/>
        </w:rPr>
      </w:r>
      <w:r/>
    </w:p>
    <w:p>
      <w:pPr>
        <w:pStyle w:val="1171"/>
        <w:rPr>
          <w:rFonts w:hint="eastAsia"/>
          <w:sz w:val="24"/>
          <w:szCs w:val="24"/>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sz w:val="24"/>
          <w:szCs w:val="24"/>
          <w:highlight w:val="none"/>
        </w:rPr>
      </w:r>
      <w:r/>
    </w:p>
    <w:p>
      <w:pPr>
        <w:pStyle w:val="1085"/>
        <w:jc w:val="center"/>
        <w:spacing w:line="360" w:lineRule="auto"/>
        <w:rPr>
          <w:rFonts w:hint="eastAsia" w:ascii="宋体" w:hAnsi="宋体"/>
          <w:color w:val="000000"/>
          <w:highlight w:val="none"/>
        </w:rPr>
      </w:pPr>
      <w:r>
        <w:rPr>
          <w:rFonts w:hint="eastAsia" w:ascii="宋体" w:hAnsi="宋体"/>
          <w:color w:val="000000"/>
          <w:highlight w:val="none"/>
        </w:rPr>
        <w:t xml:space="preserve">第五章 </w:t>
      </w:r>
      <w:bookmarkEnd w:id="1"/>
      <w:r/>
      <w:bookmarkEnd w:id="15"/>
      <w:r>
        <w:rPr>
          <w:rFonts w:hint="eastAsia"/>
          <w:highlight w:val="none"/>
        </w:rPr>
        <w:t xml:space="preserve">评标方法与评标标准</w:t>
      </w:r>
      <w:r>
        <w:rPr>
          <w:rFonts w:hint="eastAsia" w:ascii="宋体" w:hAnsi="宋体"/>
          <w:color w:val="000000"/>
          <w:highlight w:val="none"/>
        </w:rPr>
      </w:r>
      <w:r/>
    </w:p>
    <w:p>
      <w:pPr>
        <w:pStyle w:val="1084"/>
        <w:ind w:firstLine="439"/>
        <w:jc w:val="left"/>
        <w:spacing w:before="120" w:after="120" w:line="360" w:lineRule="auto"/>
        <w:rPr>
          <w:rFonts w:ascii="宋体" w:hAnsi="宋体" w:eastAsia="宋体" w:cs="Times New Roman"/>
          <w:b/>
          <w:bCs/>
          <w:sz w:val="24"/>
          <w:szCs w:val="24"/>
          <w:highlight w:val="none"/>
          <w:lang w:val="en-US" w:eastAsia="zh-CN"/>
        </w:rPr>
      </w:pPr>
      <w:r/>
      <w:bookmarkStart w:id="16" w:name="_Toc449017024"/>
      <w:r/>
      <w:bookmarkStart w:id="17" w:name="_Toc449016388"/>
      <w:r>
        <w:rPr>
          <w:rFonts w:hint="eastAsia" w:ascii="宋体" w:hAnsi="宋体" w:eastAsia="宋体" w:cs="Times New Roman"/>
          <w:b/>
          <w:bCs/>
          <w:sz w:val="24"/>
          <w:szCs w:val="24"/>
          <w:highlight w:val="none"/>
          <w:lang w:val="en-US" w:eastAsia="zh-CN"/>
        </w:rPr>
        <w:t xml:space="preserve">一、评标方法</w:t>
      </w:r>
      <w:r>
        <w:rPr>
          <w:rFonts w:ascii="宋体" w:hAnsi="宋体" w:eastAsia="宋体" w:cs="Times New Roman"/>
          <w:b/>
          <w:bCs/>
          <w:sz w:val="24"/>
          <w:szCs w:val="24"/>
          <w:highlight w:val="none"/>
          <w:lang w:val="en-US" w:eastAsia="zh-CN"/>
        </w:rPr>
      </w:r>
      <w:r/>
    </w:p>
    <w:p>
      <w:pPr>
        <w:pStyle w:val="1084"/>
        <w:ind w:firstLine="439"/>
        <w:jc w:val="left"/>
        <w:spacing w:before="120" w:after="120" w:line="360" w:lineRule="auto"/>
        <w:rPr>
          <w:rFonts w:ascii="宋体" w:hAnsi="宋体"/>
          <w:sz w:val="24"/>
          <w:szCs w:val="24"/>
          <w:highlight w:val="none"/>
        </w:rPr>
      </w:pPr>
      <w:r>
        <w:rPr>
          <w:rFonts w:hint="eastAsia" w:ascii="宋体" w:hAnsi="宋体"/>
          <w:sz w:val="24"/>
          <w:szCs w:val="24"/>
          <w:highlight w:val="none"/>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的中标候选人。</w:t>
      </w:r>
      <w:r>
        <w:rPr>
          <w:rFonts w:hint="eastAsia" w:ascii="Arial" w:hAnsi="Arial" w:cs="Arial"/>
          <w:color w:val="000000"/>
          <w:sz w:val="24"/>
          <w:szCs w:val="24"/>
          <w:highlight w:val="none"/>
        </w:rPr>
        <w:t xml:space="preserve">本项</w:t>
      </w:r>
      <w:r>
        <w:rPr>
          <w:rFonts w:hint="eastAsia" w:ascii="宋体" w:hAnsi="宋体" w:eastAsia="宋体" w:cs="宋体"/>
          <w:color w:val="000000"/>
          <w:sz w:val="24"/>
          <w:szCs w:val="24"/>
          <w:highlight w:val="none"/>
        </w:rPr>
        <w:t xml:space="preserve">目选取3名中标</w:t>
      </w:r>
      <w:r>
        <w:rPr>
          <w:rFonts w:hint="eastAsia" w:ascii="Arial" w:hAnsi="Arial" w:cs="Arial"/>
          <w:color w:val="000000"/>
          <w:sz w:val="24"/>
          <w:szCs w:val="24"/>
          <w:highlight w:val="none"/>
        </w:rPr>
        <w:t xml:space="preserve">候选人。</w:t>
      </w:r>
      <w:r>
        <w:rPr>
          <w:rFonts w:ascii="宋体" w:hAnsi="宋体"/>
          <w:sz w:val="24"/>
          <w:szCs w:val="24"/>
          <w:highlight w:val="none"/>
        </w:rPr>
      </w:r>
      <w:r/>
    </w:p>
    <w:p>
      <w:pPr>
        <w:pStyle w:val="1084"/>
        <w:ind w:firstLine="241"/>
        <w:jc w:val="left"/>
        <w:spacing w:before="120" w:after="120" w:line="360" w:lineRule="auto"/>
        <w:rPr>
          <w:rFonts w:hint="eastAsia" w:ascii="宋体" w:hAnsi="宋体" w:eastAsia="宋体" w:cs="Times New Roman"/>
          <w:b/>
          <w:bCs/>
          <w:sz w:val="24"/>
          <w:szCs w:val="24"/>
          <w:highlight w:val="none"/>
          <w:lang w:val="en-US" w:eastAsia="zh-CN"/>
        </w:rPr>
      </w:pPr>
      <w:r/>
      <w:bookmarkEnd w:id="16"/>
      <w:r/>
      <w:bookmarkEnd w:id="17"/>
      <w:r>
        <w:rPr>
          <w:rFonts w:hint="eastAsia" w:ascii="宋体" w:hAnsi="宋体" w:eastAsia="宋体" w:cs="Times New Roman"/>
          <w:b/>
          <w:bCs/>
          <w:sz w:val="24"/>
          <w:szCs w:val="24"/>
          <w:highlight w:val="none"/>
          <w:lang w:val="en-US" w:eastAsia="zh-CN"/>
        </w:rPr>
        <w:t xml:space="preserve">二、政府采购政策功能落实</w:t>
      </w:r>
      <w:r>
        <w:rPr>
          <w:rFonts w:hint="eastAsia" w:ascii="宋体" w:hAnsi="宋体" w:eastAsia="宋体" w:cs="Times New Roman"/>
          <w:b/>
          <w:bCs/>
          <w:sz w:val="24"/>
          <w:szCs w:val="24"/>
          <w:highlight w:val="none"/>
          <w:lang w:val="en-US" w:eastAsia="zh-CN"/>
        </w:rPr>
      </w:r>
      <w:r/>
    </w:p>
    <w:p>
      <w:pPr>
        <w:pStyle w:val="1140"/>
        <w:rPr>
          <w:rFonts w:hint="eastAsia" w:ascii="宋体" w:hAnsi="宋体" w:eastAsia="宋体" w:cs="宋体"/>
          <w:color w:val="000000"/>
          <w:sz w:val="24"/>
          <w:szCs w:val="24"/>
          <w:highlight w:val="none"/>
        </w:rPr>
      </w:pPr>
      <w:r>
        <w:rPr>
          <w:rFonts w:hint="eastAsia" w:ascii="宋体" w:hAnsi="宋体" w:eastAsia="宋体" w:cs="宋体"/>
          <w:b/>
          <w:sz w:val="24"/>
          <w:szCs w:val="24"/>
          <w:highlight w:val="none"/>
        </w:rPr>
        <w:t xml:space="preserve">本项目</w:t>
      </w:r>
      <w:r>
        <w:rPr>
          <w:rFonts w:hint="eastAsia" w:ascii="宋体" w:hAnsi="宋体" w:eastAsia="宋体" w:cs="宋体"/>
          <w:b/>
          <w:sz w:val="24"/>
          <w:szCs w:val="24"/>
          <w:highlight w:val="none"/>
          <w:lang w:val="en-US" w:eastAsia="zh-CN"/>
        </w:rPr>
        <w:t xml:space="preserve">不</w:t>
      </w:r>
      <w:r>
        <w:rPr>
          <w:rFonts w:hint="eastAsia" w:ascii="宋体" w:hAnsi="宋体" w:eastAsia="宋体" w:cs="宋体"/>
          <w:b/>
          <w:sz w:val="24"/>
          <w:szCs w:val="24"/>
          <w:highlight w:val="none"/>
        </w:rPr>
        <w:t xml:space="preserve">专门面向中小企业采购</w:t>
      </w:r>
      <w:r>
        <w:rPr>
          <w:rFonts w:hint="eastAsia" w:ascii="宋体" w:hAnsi="宋体" w:eastAsia="宋体" w:cs="宋体"/>
          <w:color w:val="000000"/>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1、小微型企业价格扣除</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（1）本项目对小型和微型企业提供的服务给予</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的扣除价格，用扣除后的价格参与评审。</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（2）供应商需按照采购文件的要求提供相应的《小微企业声明函》。</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2、残疾人福利单位价格扣除</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（1）本项目对残疾人福利性单位视同小型、微型企业，给予</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（2）残疾人福利单位需按照采购文件的要求提供《残疾人福利性单位声明函》。</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3、监狱和戒毒企业价格扣除</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（1）本项目对监狱和戒毒企业（简称监狱企业）视同小型、微型企业，给予</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（3）监狱企业标准请参照《关于政府采购支持监狱企业发展有关问题的通知》（财库[2014]68号）。</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4、残疾人福利单位、监狱企业属于小型、微型企业的，不重复享受政策。</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6、联合体各方均为小型、微型企业（残疾人福利单位、监狱企业）的，联合体享受</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价格扣除，用扣除后的价格参与评审。</w:t>
      </w:r>
      <w:r>
        <w:rPr>
          <w:rFonts w:hint="eastAsia" w:ascii="宋体" w:hAnsi="宋体" w:eastAsia="宋体" w:cs="宋体"/>
          <w:sz w:val="24"/>
          <w:szCs w:val="24"/>
          <w:highlight w:val="none"/>
        </w:rPr>
      </w:r>
      <w:r/>
    </w:p>
    <w:p>
      <w:pPr>
        <w:pStyle w:val="114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7、采购本国产品的支持政策</w:t>
      </w:r>
      <w:r>
        <w:rPr>
          <w:rFonts w:hint="eastAsia" w:ascii="宋体" w:hAnsi="宋体" w:eastAsia="宋体" w:cs="宋体"/>
          <w:sz w:val="24"/>
          <w:szCs w:val="24"/>
          <w:highlight w:val="none"/>
        </w:rPr>
      </w:r>
      <w:r/>
    </w:p>
    <w:p>
      <w:pPr>
        <w:pStyle w:val="114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4"/>
          <w:szCs w:val="24"/>
          <w:highlight w:val="none"/>
        </w:rPr>
      </w:r>
      <w:r/>
    </w:p>
    <w:p>
      <w:pPr>
        <w:pStyle w:val="114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sz w:val="24"/>
          <w:szCs w:val="24"/>
          <w:highlight w:val="none"/>
        </w:rPr>
      </w:r>
      <w:r/>
    </w:p>
    <w:p>
      <w:pPr>
        <w:pStyle w:val="114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 供应商需按照招标文件的要求提供《关于符合本国产品标准的声明函》（以下简称《声明函》），如不提供将不享受本国产品价格评审优惠。</w:t>
      </w:r>
      <w:r>
        <w:rPr>
          <w:rFonts w:hint="eastAsia" w:ascii="宋体" w:hAnsi="宋体" w:eastAsia="宋体" w:cs="宋体"/>
          <w:sz w:val="24"/>
          <w:szCs w:val="24"/>
          <w:highlight w:val="none"/>
        </w:rPr>
      </w:r>
      <w:r/>
    </w:p>
    <w:p>
      <w:pPr>
        <w:pStyle w:val="114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sz w:val="24"/>
          <w:szCs w:val="24"/>
          <w:highlight w:val="none"/>
        </w:rPr>
      </w:r>
      <w:r/>
    </w:p>
    <w:p>
      <w:pPr>
        <w:pStyle w:val="114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 w:val="24"/>
          <w:szCs w:val="24"/>
          <w:highlight w:val="none"/>
        </w:rPr>
      </w:r>
      <w:r/>
    </w:p>
    <w:p>
      <w:pPr>
        <w:pStyle w:val="1084"/>
        <w:ind w:firstLine="0"/>
        <w:jc w:val="left"/>
        <w:spacing w:line="240"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三、评标标准</w:t>
      </w:r>
      <w:r>
        <w:rPr>
          <w:rFonts w:hint="eastAsia" w:ascii="宋体" w:hAnsi="宋体" w:eastAsia="宋体" w:cs="Times New Roman"/>
          <w:b/>
          <w:bCs/>
          <w:sz w:val="24"/>
          <w:szCs w:val="24"/>
          <w:highlight w:val="none"/>
          <w:lang w:val="en-US" w:eastAsia="zh-CN"/>
        </w:rPr>
      </w:r>
      <w:r/>
    </w:p>
    <w:p>
      <w:pPr>
        <w:pStyle w:val="1084"/>
        <w:ind w:firstLine="0"/>
        <w:jc w:val="left"/>
        <w:spacing w:line="240"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tbl>
      <w:tblPr>
        <w:tblW w:w="8625" w:type="dxa"/>
        <w:tblInd w:w="-1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305"/>
        <w:gridCol w:w="930"/>
        <w:gridCol w:w="5655"/>
      </w:tblGrid>
      <w:tr>
        <w:trPr>
          <w:trHeight w:val="23"/>
        </w:trPr>
        <w:tc>
          <w:tcPr>
            <w:tcW w:w="735" w:type="dxa"/>
            <w:vAlign w:val="center"/>
            <w:textDirection w:val="lrTb"/>
            <w:noWrap w:val="false"/>
          </w:tcPr>
          <w:p>
            <w:pPr>
              <w:pStyle w:val="1084"/>
              <w:jc w:val="center"/>
              <w:rPr>
                <w:rFonts w:hint="eastAsia" w:ascii="宋体" w:hAnsi="宋体" w:eastAsia="宋体" w:cs="宋体"/>
                <w:b/>
                <w:bCs/>
                <w:color w:val="000000"/>
                <w:sz w:val="24"/>
                <w:szCs w:val="24"/>
                <w:highlight w:val="none"/>
              </w:rPr>
            </w:pPr>
            <w:r/>
            <w:bookmarkStart w:id="18" w:name="_Toc109304976"/>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1305" w:type="dxa"/>
            <w:vAlign w:val="center"/>
            <w:textDirection w:val="lrTb"/>
            <w:noWrap w:val="false"/>
          </w:tcPr>
          <w:p>
            <w:pPr>
              <w:pStyle w:val="1084"/>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评分因素</w:t>
            </w:r>
            <w:r>
              <w:rPr>
                <w:rFonts w:hint="eastAsia" w:ascii="宋体" w:hAnsi="宋体" w:eastAsia="宋体" w:cs="宋体"/>
                <w:b/>
                <w:bCs/>
                <w:color w:val="000000"/>
                <w:sz w:val="24"/>
                <w:szCs w:val="24"/>
                <w:highlight w:val="none"/>
              </w:rPr>
            </w:r>
            <w:r/>
          </w:p>
        </w:tc>
        <w:tc>
          <w:tcPr>
            <w:tcW w:w="930" w:type="dxa"/>
            <w:vAlign w:val="center"/>
            <w:textDirection w:val="lrTb"/>
            <w:noWrap w:val="false"/>
          </w:tcPr>
          <w:p>
            <w:pPr>
              <w:pStyle w:val="1084"/>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5655" w:type="dxa"/>
            <w:vAlign w:val="center"/>
            <w:textDirection w:val="lrTb"/>
            <w:noWrap w:val="false"/>
          </w:tcPr>
          <w:p>
            <w:pPr>
              <w:pStyle w:val="1084"/>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评分标准</w:t>
            </w:r>
            <w:r>
              <w:rPr>
                <w:rFonts w:hint="eastAsia" w:ascii="宋体" w:hAnsi="宋体" w:eastAsia="宋体" w:cs="宋体"/>
                <w:b/>
                <w:bCs/>
                <w:color w:val="000000"/>
                <w:sz w:val="24"/>
                <w:szCs w:val="24"/>
                <w:highlight w:val="none"/>
              </w:rPr>
            </w:r>
            <w:r/>
          </w:p>
        </w:tc>
      </w:tr>
      <w:tr>
        <w:trPr>
          <w:trHeight w:val="23"/>
        </w:trPr>
        <w:tc>
          <w:tcPr>
            <w:tcW w:w="735" w:type="dxa"/>
            <w:vAlign w:val="center"/>
            <w:textDirection w:val="lrTb"/>
            <w:noWrap w:val="false"/>
          </w:tcPr>
          <w:p>
            <w:pPr>
              <w:pStyle w:val="108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305" w:type="dxa"/>
            <w:vAlign w:val="center"/>
            <w:textDirection w:val="lrTb"/>
            <w:noWrap w:val="false"/>
          </w:tcPr>
          <w:p>
            <w:pPr>
              <w:pStyle w:val="1084"/>
              <w:jc w:val="center"/>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投标报价</w:t>
            </w:r>
            <w:r>
              <w:rPr>
                <w:rFonts w:hint="eastAsia" w:ascii="宋体" w:hAnsi="宋体" w:eastAsia="宋体" w:cs="宋体"/>
                <w:color w:val="000000"/>
                <w:sz w:val="24"/>
                <w:szCs w:val="24"/>
                <w:highlight w:val="none"/>
                <w:lang w:eastAsia="en-US"/>
              </w:rPr>
            </w:r>
            <w:r/>
          </w:p>
        </w:tc>
        <w:tc>
          <w:tcPr>
            <w:tcW w:w="930" w:type="dxa"/>
            <w:vAlign w:val="center"/>
            <w:textDirection w:val="lrTb"/>
            <w:noWrap w:val="false"/>
          </w:tcPr>
          <w:p>
            <w:pPr>
              <w:pStyle w:val="1084"/>
              <w:jc w:val="center"/>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en-US"/>
              </w:rPr>
              <w:t xml:space="preserve">分</w:t>
            </w:r>
            <w:r>
              <w:rPr>
                <w:rFonts w:hint="eastAsia" w:ascii="宋体" w:hAnsi="宋体" w:eastAsia="宋体" w:cs="宋体"/>
                <w:color w:val="000000"/>
                <w:sz w:val="24"/>
                <w:szCs w:val="24"/>
                <w:highlight w:val="none"/>
                <w:lang w:eastAsia="en-US"/>
              </w:rPr>
            </w:r>
            <w:r/>
          </w:p>
        </w:tc>
        <w:tc>
          <w:tcPr>
            <w:tcMar>
              <w:left w:w="108" w:type="dxa"/>
              <w:top w:w="0" w:type="dxa"/>
              <w:right w:w="108" w:type="dxa"/>
              <w:bottom w:w="0" w:type="dxa"/>
            </w:tcMar>
            <w:tcW w:w="5655" w:type="dxa"/>
            <w:vAlign w:val="center"/>
            <w:textDirection w:val="lrTb"/>
            <w:noWrap w:val="false"/>
          </w:tcPr>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1.采用低价优先法，即满足</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文件要求且价格最低的有效</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报价为评标基准价，其价格分为满分</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2.其他</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的价格分统一按下列公式计算：</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报价得分＝（评标基准价/</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×100%（四舍五入后保留小数点后两位）。</w:t>
            </w:r>
            <w:r>
              <w:rPr>
                <w:rFonts w:hint="eastAsia" w:ascii="宋体" w:hAnsi="宋体" w:eastAsia="宋体" w:cs="宋体"/>
                <w:color w:val="000000"/>
                <w:sz w:val="24"/>
                <w:szCs w:val="24"/>
                <w:highlight w:val="none"/>
              </w:rPr>
            </w:r>
            <w:r/>
          </w:p>
        </w:tc>
      </w:tr>
      <w:tr>
        <w:trPr>
          <w:trHeight w:val="23"/>
        </w:trPr>
        <w:tc>
          <w:tcPr>
            <w:tcW w:w="735" w:type="dxa"/>
            <w:vAlign w:val="center"/>
            <w:textDirection w:val="lrTb"/>
            <w:noWrap w:val="false"/>
          </w:tcPr>
          <w:p>
            <w:pPr>
              <w:pStyle w:val="108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305" w:type="dxa"/>
            <w:vAlign w:val="center"/>
            <w:textDirection w:val="lrTb"/>
            <w:noWrap w:val="false"/>
          </w:tcPr>
          <w:p>
            <w:pPr>
              <w:pStyle w:val="108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人员资质</w:t>
            </w:r>
            <w:r>
              <w:rPr>
                <w:rFonts w:hint="eastAsia" w:ascii="宋体" w:hAnsi="宋体" w:eastAsia="宋体" w:cs="宋体"/>
                <w:color w:val="000000"/>
                <w:sz w:val="24"/>
                <w:szCs w:val="24"/>
                <w:highlight w:val="none"/>
              </w:rPr>
            </w:r>
            <w:r/>
          </w:p>
        </w:tc>
        <w:tc>
          <w:tcPr>
            <w:tcW w:w="930" w:type="dxa"/>
            <w:vAlign w:val="center"/>
            <w:textDirection w:val="lrTb"/>
            <w:noWrap w:val="false"/>
          </w:tcPr>
          <w:p>
            <w:pPr>
              <w:pStyle w:val="108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655" w:type="dxa"/>
            <w:vAlign w:val="center"/>
            <w:textDirection w:val="lrTb"/>
            <w:noWrap w:val="false"/>
          </w:tcPr>
          <w:p>
            <w:pPr>
              <w:pStyle w:val="1084"/>
              <w:jc w:val="left"/>
              <w:spacing w:line="360" w:lineRule="exact"/>
              <w:widowControl/>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1.学历（满分5分）</w:t>
            </w:r>
            <w:r>
              <w:rPr>
                <w:rFonts w:hint="eastAsia" w:ascii="宋体" w:hAnsi="宋体" w:eastAsia="宋体" w:cs="宋体"/>
                <w:color w:val="000000"/>
                <w:spacing w:val="-3"/>
                <w:sz w:val="24"/>
                <w:szCs w:val="24"/>
                <w:highlight w:val="none"/>
              </w:rPr>
            </w:r>
            <w:r/>
          </w:p>
          <w:p>
            <w:pPr>
              <w:pStyle w:val="1084"/>
              <w:jc w:val="left"/>
              <w:spacing w:line="360" w:lineRule="exact"/>
              <w:widowControl/>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拟派人员具有硕士及以上学历，每有一名得2分；具有本科学历，每有一名得1分，具有大专学历，每有一名得0.5分；具有大专以下学历不得分。</w:t>
            </w:r>
            <w:r>
              <w:rPr>
                <w:rFonts w:hint="eastAsia" w:ascii="宋体" w:hAnsi="宋体" w:eastAsia="宋体" w:cs="宋体"/>
                <w:color w:val="000000"/>
                <w:spacing w:val="-3"/>
                <w:sz w:val="24"/>
                <w:szCs w:val="24"/>
                <w:highlight w:val="none"/>
              </w:rPr>
            </w:r>
            <w:r/>
          </w:p>
          <w:p>
            <w:pPr>
              <w:pStyle w:val="1084"/>
              <w:jc w:val="left"/>
              <w:spacing w:line="360" w:lineRule="exact"/>
              <w:widowControl/>
              <w:rPr>
                <w:rFonts w:hint="eastAsia" w:ascii="宋体" w:hAnsi="宋体" w:eastAsia="宋体" w:cs="宋体"/>
                <w:color w:val="000000"/>
                <w:spacing w:val="-3"/>
                <w:sz w:val="24"/>
                <w:szCs w:val="24"/>
                <w:highlight w:val="none"/>
              </w:rPr>
            </w:pPr>
            <w:r>
              <w:rPr>
                <w:rFonts w:hint="eastAsia" w:ascii="宋体" w:hAnsi="宋体" w:eastAsia="宋体" w:cs="宋体"/>
                <w:b/>
                <w:bCs/>
                <w:color w:val="000000"/>
                <w:spacing w:val="-3"/>
                <w:sz w:val="24"/>
                <w:szCs w:val="24"/>
                <w:highlight w:val="none"/>
              </w:rPr>
              <w:t xml:space="preserve">（提供拟派人员的毕业证书原件扫描上传，</w:t>
            </w:r>
            <w:r>
              <w:rPr>
                <w:rFonts w:hint="eastAsia" w:ascii="宋体" w:hAnsi="宋体" w:eastAsia="宋体" w:cs="宋体"/>
                <w:b/>
                <w:bCs/>
                <w:color w:val="000000"/>
                <w:sz w:val="24"/>
                <w:szCs w:val="24"/>
                <w:highlight w:val="none"/>
              </w:rPr>
              <w:t xml:space="preserve">一人记一次</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以较高级计分，</w:t>
            </w:r>
            <w:r>
              <w:rPr>
                <w:rFonts w:hint="eastAsia" w:ascii="宋体" w:hAnsi="宋体" w:eastAsia="宋体" w:cs="宋体"/>
                <w:b/>
                <w:bCs/>
                <w:color w:val="000000"/>
                <w:spacing w:val="-3"/>
                <w:sz w:val="24"/>
                <w:szCs w:val="24"/>
                <w:highlight w:val="none"/>
              </w:rPr>
              <w:t xml:space="preserve">未按要求提供不得分）</w:t>
            </w:r>
            <w:r>
              <w:rPr>
                <w:rFonts w:hint="eastAsia" w:ascii="宋体" w:hAnsi="宋体" w:eastAsia="宋体" w:cs="宋体"/>
                <w:color w:val="000000"/>
                <w:spacing w:val="-3"/>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2.临床医师执业范围（满分10分）</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（1）拟派人员中有全科、</w:t>
            </w:r>
            <w:r>
              <w:rPr>
                <w:rFonts w:hint="eastAsia" w:ascii="宋体" w:hAnsi="宋体" w:eastAsia="宋体" w:cs="宋体"/>
                <w:color w:val="000000"/>
                <w:sz w:val="24"/>
                <w:szCs w:val="24"/>
                <w:highlight w:val="none"/>
                <w:lang w:eastAsia="zh-CN"/>
              </w:rPr>
              <w:t xml:space="preserve">或</w:t>
            </w:r>
            <w:r>
              <w:rPr>
                <w:rFonts w:hint="eastAsia" w:ascii="宋体" w:hAnsi="宋体" w:eastAsia="宋体" w:cs="宋体"/>
                <w:color w:val="000000"/>
                <w:sz w:val="24"/>
                <w:szCs w:val="24"/>
                <w:highlight w:val="none"/>
              </w:rPr>
              <w:t xml:space="preserve">急诊科、</w:t>
            </w:r>
            <w:r>
              <w:rPr>
                <w:rFonts w:hint="eastAsia" w:ascii="宋体" w:hAnsi="宋体" w:eastAsia="宋体" w:cs="宋体"/>
                <w:color w:val="000000"/>
                <w:sz w:val="24"/>
                <w:szCs w:val="24"/>
                <w:highlight w:val="none"/>
                <w:lang w:eastAsia="zh-CN"/>
              </w:rPr>
              <w:t xml:space="preserve">或</w:t>
            </w:r>
            <w:r>
              <w:rPr>
                <w:rFonts w:hint="eastAsia" w:ascii="宋体" w:hAnsi="宋体" w:eastAsia="宋体" w:cs="宋体"/>
                <w:color w:val="000000"/>
                <w:sz w:val="24"/>
                <w:szCs w:val="24"/>
                <w:highlight w:val="none"/>
              </w:rPr>
              <w:t xml:space="preserve">重症医学科、</w:t>
            </w:r>
            <w:r>
              <w:rPr>
                <w:rFonts w:hint="eastAsia" w:ascii="宋体" w:hAnsi="宋体" w:eastAsia="宋体" w:cs="宋体"/>
                <w:color w:val="000000"/>
                <w:sz w:val="24"/>
                <w:szCs w:val="24"/>
                <w:highlight w:val="none"/>
                <w:lang w:eastAsia="zh-CN"/>
              </w:rPr>
              <w:t xml:space="preserve">或</w:t>
            </w:r>
            <w:r>
              <w:rPr>
                <w:rFonts w:hint="eastAsia" w:ascii="宋体" w:hAnsi="宋体" w:eastAsia="宋体" w:cs="宋体"/>
                <w:color w:val="000000"/>
                <w:sz w:val="24"/>
                <w:szCs w:val="24"/>
                <w:highlight w:val="none"/>
              </w:rPr>
              <w:t xml:space="preserve">心内科</w:t>
            </w:r>
            <w:r>
              <w:rPr>
                <w:rFonts w:hint="eastAsia" w:ascii="宋体" w:hAnsi="宋体" w:eastAsia="宋体" w:cs="宋体"/>
                <w:color w:val="000000"/>
                <w:sz w:val="24"/>
                <w:szCs w:val="24"/>
                <w:highlight w:val="none"/>
                <w:lang w:eastAsia="zh-CN"/>
              </w:rPr>
              <w:t xml:space="preserve">、或神经内科</w:t>
            </w:r>
            <w:r>
              <w:rPr>
                <w:rFonts w:hint="eastAsia" w:ascii="宋体" w:hAnsi="宋体" w:eastAsia="宋体" w:cs="宋体"/>
                <w:color w:val="000000"/>
                <w:sz w:val="24"/>
                <w:szCs w:val="24"/>
                <w:highlight w:val="none"/>
              </w:rPr>
              <w:t xml:space="preserve">医师，每有1名得</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分，满分5分；</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（2）拟派人员中有其他内科、外科等医师，每有1名得1分，满分5分。</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（本项一人记一次，提供有效的医师执业证，如证书不能反映执业范围，需要提供相关补充证明，原件扫描上传系统，不提供或提供不全不得分）</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3.职称（满分10分）</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拟派人员具有</w:t>
            </w:r>
            <w:r>
              <w:rPr>
                <w:rFonts w:hint="eastAsia" w:ascii="宋体" w:hAnsi="宋体" w:eastAsia="宋体" w:cs="宋体"/>
                <w:color w:val="000000"/>
                <w:sz w:val="24"/>
                <w:szCs w:val="24"/>
                <w:highlight w:val="none"/>
                <w:lang w:val="en-US" w:eastAsia="zh-CN"/>
              </w:rPr>
              <w:t xml:space="preserve">副主任医师</w:t>
            </w:r>
            <w:r>
              <w:rPr>
                <w:rFonts w:hint="eastAsia" w:ascii="宋体" w:hAnsi="宋体" w:eastAsia="宋体" w:cs="宋体"/>
                <w:color w:val="000000"/>
                <w:sz w:val="24"/>
                <w:szCs w:val="24"/>
                <w:highlight w:val="none"/>
              </w:rPr>
              <w:t xml:space="preserve">及以上职称，每有一名得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pacing w:val="-3"/>
                <w:sz w:val="24"/>
                <w:szCs w:val="24"/>
                <w:highlight w:val="none"/>
              </w:rPr>
              <w:t xml:space="preserve">具有</w:t>
            </w:r>
            <w:r>
              <w:rPr>
                <w:rFonts w:hint="eastAsia" w:ascii="宋体" w:hAnsi="宋体" w:eastAsia="宋体" w:cs="宋体"/>
                <w:color w:val="000000"/>
                <w:sz w:val="24"/>
                <w:szCs w:val="24"/>
                <w:highlight w:val="none"/>
                <w:lang w:val="en-US" w:eastAsia="zh-CN"/>
              </w:rPr>
              <w:t xml:space="preserve">主治医生</w:t>
            </w:r>
            <w:r>
              <w:rPr>
                <w:rFonts w:hint="eastAsia" w:ascii="宋体" w:hAnsi="宋体" w:eastAsia="宋体" w:cs="宋体"/>
                <w:color w:val="000000"/>
                <w:sz w:val="24"/>
                <w:szCs w:val="24"/>
                <w:highlight w:val="none"/>
              </w:rPr>
              <w:t xml:space="preserve">职称，每有一名得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pacing w:val="-3"/>
                <w:sz w:val="24"/>
                <w:szCs w:val="24"/>
                <w:highlight w:val="none"/>
              </w:rPr>
              <w:t xml:space="preserve">（提供拟派人员的职称证书，一人记一次，</w:t>
            </w:r>
            <w:r>
              <w:rPr>
                <w:rFonts w:hint="eastAsia" w:ascii="宋体" w:hAnsi="宋体" w:eastAsia="宋体" w:cs="宋体"/>
                <w:b/>
                <w:bCs/>
                <w:color w:val="000000"/>
                <w:sz w:val="24"/>
                <w:szCs w:val="24"/>
                <w:highlight w:val="none"/>
                <w:lang w:val="en-US" w:eastAsia="zh-CN"/>
              </w:rPr>
              <w:t xml:space="preserve">以较高级计分，</w:t>
            </w:r>
            <w:r>
              <w:rPr>
                <w:rFonts w:hint="eastAsia" w:ascii="宋体" w:hAnsi="宋体" w:eastAsia="宋体" w:cs="宋体"/>
                <w:b/>
                <w:bCs/>
                <w:color w:val="000000"/>
                <w:sz w:val="24"/>
                <w:szCs w:val="24"/>
                <w:highlight w:val="none"/>
              </w:rPr>
              <w:t xml:space="preserve">原件扫描上传系统，</w:t>
            </w:r>
            <w:r>
              <w:rPr>
                <w:rFonts w:hint="eastAsia" w:ascii="宋体" w:hAnsi="宋体" w:eastAsia="宋体" w:cs="宋体"/>
                <w:b/>
                <w:bCs/>
                <w:color w:val="000000"/>
                <w:spacing w:val="-3"/>
                <w:sz w:val="24"/>
                <w:szCs w:val="24"/>
                <w:highlight w:val="none"/>
              </w:rPr>
              <w:t xml:space="preserve">不提供不得分）</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4.年龄（满分</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（1）临床医师（满分</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拟派医师年龄在60周岁（含）以下，每有一人得1分；年龄在60周岁（不含）-65周岁（含），每有一人得0.5分；年龄在65周岁（不含）以上，不得分。</w:t>
            </w:r>
            <w:r>
              <w:rPr>
                <w:rFonts w:hint="eastAsia" w:ascii="宋体" w:hAnsi="宋体" w:eastAsia="宋体" w:cs="宋体"/>
                <w:b/>
                <w:bCs/>
                <w:color w:val="000000"/>
                <w:sz w:val="24"/>
                <w:szCs w:val="24"/>
                <w:highlight w:val="none"/>
              </w:rPr>
              <w:t xml:space="preserve">（提供拟派人员的身份证正反面，原件扫描上传系统，不提供或提供不全不得分）</w:t>
            </w:r>
            <w:r>
              <w:rPr>
                <w:rFonts w:hint="eastAsia" w:ascii="宋体" w:hAnsi="宋体" w:eastAsia="宋体" w:cs="宋体"/>
                <w:color w:val="000000"/>
                <w:sz w:val="24"/>
                <w:szCs w:val="24"/>
                <w:highlight w:val="none"/>
              </w:rPr>
            </w:r>
            <w:r/>
          </w:p>
          <w:p>
            <w:pPr>
              <w:pStyle w:val="1084"/>
              <w:numPr>
                <w:ilvl w:val="0"/>
                <w:numId w:val="2"/>
              </w:numPr>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其他医务人员（满分</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拟派</w:t>
            </w:r>
            <w:r>
              <w:rPr>
                <w:rFonts w:hint="eastAsia" w:ascii="宋体" w:hAnsi="宋体" w:eastAsia="宋体" w:cs="宋体"/>
                <w:color w:val="000000"/>
                <w:sz w:val="24"/>
                <w:szCs w:val="24"/>
                <w:highlight w:val="none"/>
              </w:rPr>
              <w:t xml:space="preserve">其他医务人员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护士、超声医师及放射技师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年龄在60周岁（含）以下，每有一人得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分，最多得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szCs w:val="24"/>
                <w:highlight w:val="none"/>
              </w:rPr>
              <w:t xml:space="preserve">（提供拟派人员的身份证正反面，原件扫描上传系统，不提供或提供不全不得分）</w:t>
            </w:r>
            <w:r>
              <w:rPr>
                <w:rFonts w:hint="eastAsia" w:ascii="宋体" w:hAnsi="宋体" w:eastAsia="宋体" w:cs="宋体"/>
                <w:color w:val="000000"/>
                <w:sz w:val="24"/>
                <w:szCs w:val="24"/>
                <w:highlight w:val="none"/>
              </w:rPr>
            </w:r>
            <w:r/>
          </w:p>
        </w:tc>
      </w:tr>
      <w:tr>
        <w:trPr>
          <w:trHeight w:val="23"/>
        </w:trPr>
        <w:tc>
          <w:tcPr>
            <w:tcW w:w="735" w:type="dxa"/>
            <w:vAlign w:val="center"/>
            <w:textDirection w:val="lrTb"/>
            <w:noWrap w:val="false"/>
          </w:tcPr>
          <w:p>
            <w:pPr>
              <w:pStyle w:val="108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305" w:type="dxa"/>
            <w:vAlign w:val="center"/>
            <w:textDirection w:val="lrTb"/>
            <w:noWrap w:val="false"/>
          </w:tcPr>
          <w:p>
            <w:pPr>
              <w:pStyle w:val="108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医疗保障</w:t>
            </w:r>
            <w:r>
              <w:rPr>
                <w:rFonts w:hint="eastAsia" w:ascii="宋体" w:hAnsi="宋体" w:eastAsia="宋体" w:cs="宋体"/>
                <w:color w:val="000000"/>
                <w:sz w:val="24"/>
                <w:szCs w:val="24"/>
                <w:highlight w:val="none"/>
              </w:rPr>
            </w:r>
            <w:r/>
          </w:p>
          <w:p>
            <w:pPr>
              <w:pStyle w:val="108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实施方案</w:t>
            </w:r>
            <w:r>
              <w:rPr>
                <w:rFonts w:hint="eastAsia" w:ascii="宋体" w:hAnsi="宋体" w:eastAsia="宋体" w:cs="宋体"/>
                <w:color w:val="000000"/>
                <w:sz w:val="24"/>
                <w:szCs w:val="24"/>
                <w:highlight w:val="none"/>
              </w:rPr>
            </w:r>
            <w:r/>
          </w:p>
        </w:tc>
        <w:tc>
          <w:tcPr>
            <w:tcW w:w="930" w:type="dxa"/>
            <w:vAlign w:val="center"/>
            <w:textDirection w:val="lrTb"/>
            <w:noWrap w:val="false"/>
          </w:tcPr>
          <w:p>
            <w:pPr>
              <w:pStyle w:val="108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655" w:type="dxa"/>
            <w:vAlign w:val="center"/>
            <w:textDirection w:val="lrTb"/>
            <w:noWrap w:val="false"/>
          </w:tcPr>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评标委员会根据</w:t>
            </w:r>
            <w:r>
              <w:rPr>
                <w:rFonts w:hint="eastAsia" w:ascii="宋体" w:hAnsi="宋体" w:eastAsia="宋体" w:cs="宋体"/>
                <w:color w:val="000000"/>
                <w:spacing w:val="-3"/>
                <w:sz w:val="24"/>
                <w:szCs w:val="24"/>
                <w:highlight w:val="none"/>
              </w:rPr>
              <w:t xml:space="preserve">供应商</w:t>
            </w:r>
            <w:r>
              <w:rPr>
                <w:rFonts w:hint="eastAsia" w:ascii="宋体" w:hAnsi="宋体" w:eastAsia="宋体" w:cs="宋体"/>
                <w:color w:val="000000"/>
                <w:sz w:val="24"/>
                <w:szCs w:val="24"/>
                <w:highlight w:val="none"/>
              </w:rPr>
              <w:t xml:space="preserve">针对本项目提供的项目实施及运行方案进行评分。内容包括：①医疗保障方案科学性、合理性；②医疗事件应急处置流程；③医疗质量内控制度。</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1.供应商提供完整的、可行的医疗保障方案，满分10分。</w:t>
            </w:r>
            <w:r>
              <w:rPr>
                <w:rFonts w:hint="eastAsia" w:ascii="宋体" w:hAnsi="宋体" w:eastAsia="宋体" w:cs="宋体"/>
                <w:b/>
                <w:bCs/>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方案科学、严密、合理，描述详细且具有针对性的得10分；</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方案较合理、严密、描述较为详细，具有一定的针对性的得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方案合理性一般、描述一般、存在可操作性得4分；</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方案基本合理、描述略欠缺的得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96"/>
              <w:ind w:left="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方案不合理或未提供不得分。</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2.供应商提供乙方技术能力水平</w:t>
            </w:r>
            <w:r>
              <w:rPr>
                <w:rFonts w:hint="eastAsia" w:ascii="宋体" w:hAnsi="宋体" w:eastAsia="宋体" w:cs="宋体"/>
                <w:b/>
                <w:iCs/>
                <w:color w:val="000000"/>
                <w:sz w:val="24"/>
                <w:szCs w:val="24"/>
                <w:highlight w:val="none"/>
              </w:rPr>
              <w:t xml:space="preserve">承诺函</w:t>
            </w:r>
            <w:r>
              <w:rPr>
                <w:rFonts w:hint="eastAsia" w:ascii="宋体" w:hAnsi="宋体" w:eastAsia="宋体" w:cs="宋体"/>
                <w:b/>
                <w:iCs/>
                <w:color w:val="000000"/>
                <w:sz w:val="24"/>
                <w:szCs w:val="24"/>
                <w:highlight w:val="none"/>
                <w:lang w:val="en-US" w:eastAsia="zh-CN"/>
              </w:rPr>
              <w:t xml:space="preserve">和</w:t>
            </w:r>
            <w:r>
              <w:rPr>
                <w:rFonts w:hint="eastAsia" w:ascii="宋体" w:hAnsi="宋体" w:eastAsia="宋体" w:cs="宋体"/>
                <w:b/>
                <w:bCs w:val="0"/>
                <w:color w:val="000000"/>
                <w:sz w:val="24"/>
                <w:szCs w:val="24"/>
                <w:highlight w:val="none"/>
                <w:lang w:val="en-US" w:eastAsia="zh-CN"/>
              </w:rPr>
              <w:t xml:space="preserve">证明材料，</w:t>
            </w:r>
            <w:r>
              <w:rPr>
                <w:rFonts w:hint="eastAsia" w:ascii="宋体" w:hAnsi="宋体" w:eastAsia="宋体" w:cs="宋体"/>
                <w:b/>
                <w:bCs w:val="0"/>
                <w:color w:val="000000"/>
                <w:sz w:val="24"/>
                <w:szCs w:val="24"/>
                <w:highlight w:val="none"/>
              </w:rPr>
              <w:t xml:space="preserve">满分</w:t>
            </w:r>
            <w:r>
              <w:rPr>
                <w:rFonts w:hint="eastAsia" w:ascii="宋体" w:hAnsi="宋体" w:eastAsia="宋体" w:cs="宋体"/>
                <w:b/>
                <w:bCs w:val="0"/>
                <w:color w:val="000000"/>
                <w:sz w:val="24"/>
                <w:szCs w:val="24"/>
                <w:highlight w:val="none"/>
                <w:lang w:val="en-US" w:eastAsia="zh-CN"/>
              </w:rPr>
              <w:t xml:space="preserve">15</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lang w:val="en-US" w:eastAsia="zh-CN"/>
              </w:rPr>
            </w:r>
            <w:r/>
          </w:p>
          <w:p>
            <w:pPr>
              <w:pStyle w:val="1084"/>
              <w:jc w:val="left"/>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需具备高水平的危急重症患者救治技术能力，包括且不限于急诊情况下的心血管介入手术、冠脉搭桥手术、心脏大血管手术、神经介入手术、综合介入手术、ECMO治疗技术等。</w:t>
            </w:r>
            <w:r>
              <w:rPr>
                <w:rFonts w:hint="eastAsia" w:ascii="宋体" w:hAnsi="宋体" w:eastAsia="宋体" w:cs="宋体"/>
                <w:b/>
                <w:bCs/>
                <w:iCs/>
                <w:color w:val="000000"/>
                <w:sz w:val="24"/>
                <w:szCs w:val="24"/>
                <w:highlight w:val="none"/>
              </w:rPr>
              <w:t xml:space="preserve">（</w:t>
            </w:r>
            <w:r>
              <w:rPr>
                <w:rFonts w:hint="eastAsia" w:ascii="宋体" w:hAnsi="宋体" w:eastAsia="宋体" w:cs="宋体"/>
                <w:b/>
                <w:iCs/>
                <w:color w:val="000000"/>
                <w:sz w:val="24"/>
                <w:szCs w:val="24"/>
                <w:highlight w:val="none"/>
              </w:rPr>
              <w:t xml:space="preserve">提供承诺函</w:t>
            </w:r>
            <w:r>
              <w:rPr>
                <w:rFonts w:hint="eastAsia" w:ascii="宋体" w:hAnsi="宋体" w:eastAsia="宋体" w:cs="宋体"/>
                <w:b/>
                <w:iCs/>
                <w:color w:val="000000"/>
                <w:sz w:val="24"/>
                <w:szCs w:val="24"/>
                <w:highlight w:val="none"/>
                <w:lang w:val="en-US" w:eastAsia="zh-CN"/>
              </w:rPr>
              <w:t xml:space="preserve">和证明材料</w:t>
            </w:r>
            <w:r>
              <w:rPr>
                <w:rFonts w:hint="eastAsia" w:ascii="宋体" w:hAnsi="宋体" w:eastAsia="宋体" w:cs="宋体"/>
                <w:b/>
                <w:iCs/>
                <w:color w:val="000000"/>
                <w:sz w:val="24"/>
                <w:szCs w:val="24"/>
                <w:highlight w:val="none"/>
              </w:rPr>
              <w:t xml:space="preserve">，格式自拟，系统上传，未按要求提供不得分）</w:t>
            </w:r>
            <w:r>
              <w:rPr>
                <w:rFonts w:hint="eastAsia" w:ascii="宋体" w:hAnsi="宋体" w:eastAsia="宋体" w:cs="宋体"/>
                <w:b/>
                <w:bCs/>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.供应商提供完整的、可行的突发医疗事件应急预案，满分</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方案科学、严密、合理，描述详细且具有针对性的得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方案较合理、严密、描述较为详细，具有一定的针对性的得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方案合理性一般、描述一般、存在可操作性得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方案基本合理、描述略欠缺的得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96"/>
              <w:ind w:left="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方案不合理或未提供不得分。</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.供应商提供完整的、可行监区医疗质量内控制度，满分</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方案科学、严密、合理，描述详细且具有针对性的得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方案较合理、严密、描述较为详细，具有一定的针对性的得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方案合理性一般、描述一般、存在可操作性得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84"/>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方案基本合理、描述略欠缺的得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96"/>
              <w:ind w:left="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方案不合理或未提供不得分。</w:t>
            </w:r>
            <w:r>
              <w:rPr>
                <w:rFonts w:hint="eastAsia" w:ascii="宋体" w:hAnsi="宋体" w:eastAsia="宋体" w:cs="宋体"/>
                <w:color w:val="000000"/>
                <w:sz w:val="24"/>
                <w:szCs w:val="24"/>
                <w:highlight w:val="none"/>
              </w:rPr>
            </w:r>
            <w:r/>
          </w:p>
        </w:tc>
      </w:tr>
      <w:tr>
        <w:trPr>
          <w:trHeight w:val="23"/>
        </w:trPr>
        <w:tc>
          <w:tcPr>
            <w:tcW w:w="735" w:type="dxa"/>
            <w:vAlign w:val="center"/>
            <w:textDirection w:val="lrTb"/>
            <w:noWrap w:val="false"/>
          </w:tcPr>
          <w:p>
            <w:pPr>
              <w:pStyle w:val="108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305" w:type="dxa"/>
            <w:vAlign w:val="center"/>
            <w:textDirection w:val="lrTb"/>
            <w:noWrap w:val="false"/>
          </w:tcPr>
          <w:p>
            <w:pPr>
              <w:pStyle w:val="1084"/>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lang w:eastAsia="zh-CN"/>
              </w:rPr>
            </w:r>
            <w:r/>
          </w:p>
        </w:tc>
        <w:tc>
          <w:tcPr>
            <w:tcW w:w="930" w:type="dxa"/>
            <w:vAlign w:val="center"/>
            <w:textDirection w:val="lrTb"/>
            <w:noWrap w:val="false"/>
          </w:tcPr>
          <w:p>
            <w:pPr>
              <w:pStyle w:val="108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5655" w:type="dxa"/>
            <w:vAlign w:val="center"/>
            <w:textDirection w:val="lrTb"/>
            <w:noWrap w:val="false"/>
          </w:tcPr>
          <w:p>
            <w:pPr>
              <w:pStyle w:val="1084"/>
              <w:spacing w:line="360" w:lineRule="auto"/>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月1日</w:t>
            </w:r>
            <w:r>
              <w:rPr>
                <w:rFonts w:hint="eastAsia" w:ascii="宋体" w:hAnsi="宋体" w:eastAsia="宋体" w:cs="宋体"/>
                <w:color w:val="000000"/>
                <w:sz w:val="24"/>
                <w:szCs w:val="24"/>
                <w:highlight w:val="none"/>
                <w:lang w:val="en-US" w:eastAsia="zh-CN"/>
              </w:rPr>
              <w:t xml:space="preserve">以来，承担过类似业绩的，每有一个得5分，满分5分。（提供合同原件扫描上传，时间以合同签订日期为准）</w:t>
            </w:r>
            <w:r>
              <w:rPr>
                <w:rFonts w:ascii="宋体" w:hAnsi="宋体" w:eastAsia="宋体" w:cs="宋体"/>
                <w:color w:val="000000"/>
                <w:sz w:val="24"/>
                <w:szCs w:val="24"/>
                <w:highlight w:val="none"/>
                <w:lang w:val="en-US" w:eastAsia="zh-CN"/>
              </w:rPr>
            </w:r>
            <w:r/>
          </w:p>
        </w:tc>
      </w:tr>
    </w:tbl>
    <w:p>
      <w:pPr>
        <w:pStyle w:val="1085"/>
        <w:jc w:val="center"/>
        <w:spacing w:line="360" w:lineRule="auto"/>
        <w:rPr>
          <w:rFonts w:hint="eastAsia" w:ascii="宋体" w:hAnsi="宋体"/>
          <w:color w:val="000000"/>
          <w:highlight w:val="none"/>
        </w:rPr>
        <w:sectPr>
          <w:headerReference w:type="default" r:id="rId11"/>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highlight w:val="none"/>
        </w:rPr>
      </w:r>
      <w:r/>
    </w:p>
    <w:p>
      <w:pPr>
        <w:pStyle w:val="1085"/>
        <w:jc w:val="both"/>
        <w:spacing w:line="360" w:lineRule="auto"/>
        <w:rPr>
          <w:rFonts w:hint="eastAsia" w:ascii="宋体" w:hAnsi="宋体"/>
          <w:color w:val="000000"/>
          <w:highlight w:val="none"/>
        </w:rPr>
      </w:pPr>
      <w:r>
        <w:rPr>
          <w:rFonts w:hint="eastAsia" w:ascii="宋体" w:hAnsi="宋体"/>
          <w:color w:val="000000"/>
          <w:highlight w:val="none"/>
        </w:rPr>
      </w:r>
      <w:r/>
    </w:p>
    <w:p>
      <w:pPr>
        <w:pStyle w:val="1085"/>
        <w:jc w:val="center"/>
        <w:spacing w:line="360" w:lineRule="auto"/>
        <w:rPr>
          <w:rFonts w:hint="eastAsia" w:ascii="宋体" w:hAnsi="宋体"/>
          <w:color w:val="000000"/>
          <w:sz w:val="52"/>
          <w:highlight w:val="none"/>
        </w:rPr>
      </w:pPr>
      <w:r>
        <w:rPr>
          <w:rFonts w:hint="eastAsia" w:ascii="宋体" w:hAnsi="宋体"/>
          <w:color w:val="000000"/>
          <w:highlight w:val="none"/>
        </w:rPr>
        <w:t xml:space="preserve">第六章 </w:t>
      </w:r>
      <w:r>
        <w:rPr>
          <w:rFonts w:hint="eastAsia" w:ascii="宋体" w:hAnsi="宋体"/>
          <w:color w:val="000000"/>
          <w:highlight w:val="none"/>
          <w:lang w:val="en-US" w:eastAsia="zh-CN"/>
        </w:rPr>
        <w:t xml:space="preserve">投标</w:t>
      </w:r>
      <w:r>
        <w:rPr>
          <w:rFonts w:hint="eastAsia" w:ascii="宋体" w:hAnsi="宋体"/>
          <w:color w:val="000000"/>
          <w:highlight w:val="none"/>
        </w:rPr>
        <w:t xml:space="preserve">文件格式</w:t>
      </w:r>
      <w:bookmarkEnd w:id="2"/>
      <w:r/>
      <w:bookmarkEnd w:id="18"/>
      <w:r>
        <w:rPr>
          <w:rFonts w:hint="eastAsia" w:ascii="宋体" w:hAnsi="宋体"/>
          <w:color w:val="000000"/>
          <w:sz w:val="52"/>
          <w:highlight w:val="none"/>
        </w:rPr>
      </w:r>
      <w:r/>
    </w:p>
    <w:p>
      <w:pPr>
        <w:pStyle w:val="1084"/>
        <w:jc w:val="center"/>
        <w:spacing w:line="360" w:lineRule="auto"/>
        <w:rPr>
          <w:rFonts w:hint="eastAsia" w:ascii="宋体" w:hAnsi="宋体"/>
          <w:b/>
          <w:color w:val="000000"/>
          <w:sz w:val="22"/>
          <w:highlight w:val="none"/>
        </w:rPr>
      </w:pPr>
      <w:r>
        <w:rPr>
          <w:rFonts w:hint="eastAsia" w:ascii="宋体" w:hAnsi="宋体"/>
          <w:b/>
          <w:color w:val="000000"/>
          <w:sz w:val="22"/>
          <w:highlight w:val="none"/>
        </w:rPr>
      </w:r>
      <w:r/>
    </w:p>
    <w:p>
      <w:pPr>
        <w:pStyle w:val="1084"/>
        <w:jc w:val="center"/>
        <w:spacing w:line="360" w:lineRule="auto"/>
        <w:rPr>
          <w:rFonts w:hint="eastAsia" w:ascii="宋体" w:hAnsi="宋体" w:cs="Arial"/>
          <w:b/>
          <w:bCs/>
          <w:color w:val="000000"/>
          <w:sz w:val="72"/>
          <w:szCs w:val="72"/>
          <w:highlight w:val="none"/>
        </w:rPr>
      </w:pPr>
      <w:r>
        <w:rPr>
          <w:rFonts w:hint="eastAsia" w:ascii="宋体" w:hAnsi="宋体" w:cs="Arial"/>
          <w:b/>
          <w:bCs/>
          <w:color w:val="000000"/>
          <w:sz w:val="72"/>
          <w:szCs w:val="72"/>
          <w:highlight w:val="none"/>
          <w:lang w:val="en-US" w:eastAsia="zh-CN"/>
        </w:rPr>
        <w:t xml:space="preserve">投</w:t>
      </w:r>
      <w:r>
        <w:rPr>
          <w:rFonts w:hint="eastAsia" w:ascii="宋体" w:hAnsi="宋体" w:cs="Arial"/>
          <w:b/>
          <w:bCs/>
          <w:color w:val="000000"/>
          <w:sz w:val="72"/>
          <w:szCs w:val="72"/>
          <w:highlight w:val="none"/>
          <w:lang w:val="en-US" w:eastAsia="zh-CN"/>
        </w:rPr>
        <w:t xml:space="preserve"> </w:t>
      </w:r>
      <w:r>
        <w:rPr>
          <w:rFonts w:hint="eastAsia" w:ascii="宋体" w:hAnsi="宋体" w:cs="Arial"/>
          <w:b/>
          <w:bCs/>
          <w:color w:val="000000"/>
          <w:sz w:val="72"/>
          <w:szCs w:val="72"/>
          <w:highlight w:val="none"/>
          <w:lang w:val="en-US" w:eastAsia="zh-CN"/>
        </w:rPr>
        <w:t xml:space="preserve">标</w:t>
      </w:r>
      <w:r>
        <w:rPr>
          <w:rFonts w:hint="eastAsia" w:ascii="宋体" w:hAnsi="宋体" w:cs="Arial"/>
          <w:b/>
          <w:bCs/>
          <w:color w:val="000000"/>
          <w:sz w:val="72"/>
          <w:szCs w:val="72"/>
          <w:highlight w:val="none"/>
          <w:lang w:val="en-US" w:eastAsia="zh-CN"/>
        </w:rPr>
        <w:t xml:space="preserve"> </w:t>
      </w:r>
      <w:r>
        <w:rPr>
          <w:rFonts w:hint="eastAsia" w:ascii="宋体" w:hAnsi="宋体" w:cs="Arial"/>
          <w:b/>
          <w:bCs/>
          <w:color w:val="000000"/>
          <w:sz w:val="72"/>
          <w:szCs w:val="72"/>
          <w:highlight w:val="none"/>
        </w:rPr>
        <w:t xml:space="preserve">文</w:t>
      </w:r>
      <w:r>
        <w:rPr>
          <w:rFonts w:hint="eastAsia" w:ascii="宋体" w:hAnsi="宋体" w:cs="Arial"/>
          <w:b/>
          <w:bCs/>
          <w:color w:val="000000"/>
          <w:sz w:val="72"/>
          <w:szCs w:val="72"/>
          <w:highlight w:val="none"/>
          <w:lang w:val="en-US" w:eastAsia="zh-CN"/>
        </w:rPr>
        <w:t xml:space="preserve"> </w:t>
      </w:r>
      <w:r>
        <w:rPr>
          <w:rFonts w:hint="eastAsia" w:ascii="宋体" w:hAnsi="宋体" w:cs="Arial"/>
          <w:b/>
          <w:bCs/>
          <w:color w:val="000000"/>
          <w:sz w:val="72"/>
          <w:szCs w:val="72"/>
          <w:highlight w:val="none"/>
        </w:rPr>
        <w:t xml:space="preserve">件</w:t>
      </w:r>
      <w:r>
        <w:rPr>
          <w:rFonts w:hint="eastAsia" w:ascii="宋体" w:hAnsi="宋体" w:cs="Arial"/>
          <w:b/>
          <w:bCs/>
          <w:color w:val="000000"/>
          <w:sz w:val="72"/>
          <w:szCs w:val="72"/>
          <w:highlight w:val="none"/>
        </w:rPr>
      </w:r>
      <w:r/>
    </w:p>
    <w:p>
      <w:pPr>
        <w:pStyle w:val="1084"/>
        <w:jc w:val="center"/>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84"/>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84"/>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84"/>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84"/>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1084"/>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1084"/>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1084"/>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w:t>
      </w:r>
      <w:r>
        <w:rPr>
          <w:rFonts w:hint="eastAsia" w:ascii="宋体" w:hAnsi="宋体"/>
          <w:b/>
          <w:color w:val="000000"/>
          <w:sz w:val="36"/>
          <w:highlight w:val="none"/>
          <w:lang w:val="en-US" w:eastAsia="zh-CN"/>
        </w:rPr>
        <w:t xml:space="preserve">投标人</w:t>
      </w:r>
      <w:r>
        <w:rPr>
          <w:rFonts w:hint="eastAsia" w:ascii="宋体" w:hAnsi="宋体"/>
          <w:b/>
          <w:color w:val="000000"/>
          <w:sz w:val="36"/>
          <w:highlight w:val="none"/>
        </w:rPr>
        <w:t xml:space="preserve">名称 ：</w:t>
      </w:r>
      <w:r>
        <w:rPr>
          <w:rFonts w:hint="eastAsia" w:ascii="宋体" w:hAnsi="宋体"/>
          <w:b/>
          <w:color w:val="000000"/>
          <w:sz w:val="36"/>
          <w:highlight w:val="none"/>
          <w:u w:val="single"/>
        </w:rPr>
        <w:t xml:space="preserve">（加盖CA电子公章）</w:t>
      </w:r>
      <w:r>
        <w:rPr>
          <w:rFonts w:hint="eastAsia" w:ascii="宋体" w:hAnsi="宋体"/>
          <w:b/>
          <w:color w:val="000000"/>
          <w:sz w:val="36"/>
          <w:highlight w:val="none"/>
          <w:u w:val="single"/>
          <w:lang w:val="en-US" w:eastAsia="zh-CN"/>
        </w:rPr>
        <w:t xml:space="preserve">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084"/>
        <w:jc w:val="center"/>
        <w:spacing w:line="360" w:lineRule="auto"/>
        <w:rPr>
          <w:rFonts w:hint="eastAsia"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lang w:val="en-US" w:eastAsia="zh-CN"/>
        </w:rPr>
        <w:t xml:space="preserve">投标</w:t>
      </w:r>
      <w:r>
        <w:rPr>
          <w:rFonts w:hint="eastAsia" w:ascii="宋体" w:hAnsi="宋体"/>
          <w:b/>
          <w:bCs/>
          <w:color w:val="000000"/>
          <w:sz w:val="32"/>
          <w:szCs w:val="32"/>
          <w:highlight w:val="none"/>
        </w:rPr>
        <w:t xml:space="preserve">文件目录</w:t>
      </w:r>
      <w:r>
        <w:rPr>
          <w:rFonts w:hint="eastAsia" w:ascii="宋体" w:hAnsi="宋体"/>
          <w:b/>
          <w:bCs/>
          <w:color w:val="000000"/>
          <w:sz w:val="32"/>
          <w:szCs w:val="32"/>
          <w:highlight w:val="none"/>
        </w:rPr>
      </w:r>
      <w:r/>
    </w:p>
    <w:p>
      <w:pPr>
        <w:pStyle w:val="1084"/>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84"/>
        <w:ind w:left="480"/>
        <w:rPr>
          <w:rFonts w:hint="eastAsia" w:ascii="宋体" w:hAnsi="宋体"/>
          <w:i/>
          <w:color w:val="000000"/>
          <w:sz w:val="24"/>
          <w:highlight w:val="none"/>
          <w:u w:val="single"/>
        </w:rPr>
      </w:pPr>
      <w:r>
        <w:rPr>
          <w:rFonts w:hint="eastAsia" w:ascii="宋体" w:hAnsi="宋体"/>
          <w:i/>
          <w:color w:val="000000"/>
          <w:sz w:val="24"/>
          <w:highlight w:val="none"/>
          <w:u w:val="single"/>
        </w:rPr>
        <w:t xml:space="preserve">一、法人或者其他组织的营业执照等证明文件，自然人的身份证明</w:t>
      </w:r>
      <w:r>
        <w:rPr>
          <w:rFonts w:hint="eastAsia" w:ascii="宋体" w:hAnsi="宋体"/>
          <w:i/>
          <w:color w:val="000000"/>
          <w:sz w:val="24"/>
          <w:highlight w:val="none"/>
          <w:u w:val="single"/>
        </w:rPr>
      </w:r>
      <w:r/>
    </w:p>
    <w:p>
      <w:pPr>
        <w:pStyle w:val="1084"/>
        <w:ind w:left="480"/>
        <w:rPr>
          <w:rFonts w:hint="eastAsia" w:ascii="宋体" w:hAnsi="宋体"/>
          <w:i/>
          <w:color w:val="000000"/>
          <w:sz w:val="24"/>
          <w:highlight w:val="none"/>
          <w:u w:val="single"/>
        </w:rPr>
      </w:pPr>
      <w:r>
        <w:rPr>
          <w:rFonts w:hint="eastAsia" w:ascii="宋体" w:hAnsi="宋体"/>
          <w:i/>
          <w:color w:val="000000"/>
          <w:sz w:val="24"/>
          <w:highlight w:val="none"/>
          <w:u w:val="single"/>
        </w:rPr>
        <w:t xml:space="preserve">二、</w:t>
      </w:r>
      <w:r>
        <w:rPr>
          <w:rFonts w:hint="eastAsia" w:ascii="宋体" w:hAnsi="宋体"/>
          <w:i/>
          <w:color w:val="000000"/>
          <w:sz w:val="24"/>
          <w:highlight w:val="none"/>
          <w:u w:val="single"/>
          <w:lang w:eastAsia="zh-CN"/>
        </w:rPr>
        <w:t xml:space="preserve">上一年度（2025年度）的财务状况报告</w:t>
      </w:r>
      <w:r>
        <w:rPr>
          <w:rFonts w:hint="eastAsia" w:ascii="宋体" w:hAnsi="宋体"/>
          <w:i/>
          <w:color w:val="000000"/>
          <w:sz w:val="24"/>
          <w:highlight w:val="none"/>
          <w:u w:val="single"/>
        </w:rPr>
        <w:t xml:space="preserve">（投标人成立不满一年无需提供）</w:t>
      </w:r>
      <w:r>
        <w:rPr>
          <w:rFonts w:hint="eastAsia" w:ascii="宋体" w:hAnsi="宋体"/>
          <w:i/>
          <w:color w:val="000000"/>
          <w:sz w:val="24"/>
          <w:highlight w:val="none"/>
          <w:u w:val="single"/>
        </w:rPr>
      </w:r>
      <w:r/>
    </w:p>
    <w:p>
      <w:pPr>
        <w:pStyle w:val="1084"/>
        <w:ind w:left="480"/>
        <w:rPr>
          <w:rFonts w:hint="eastAsia" w:ascii="宋体" w:hAnsi="宋体"/>
          <w:i/>
          <w:color w:val="000000"/>
          <w:sz w:val="24"/>
          <w:highlight w:val="none"/>
          <w:u w:val="single"/>
        </w:rPr>
      </w:pPr>
      <w:r>
        <w:rPr>
          <w:rFonts w:hint="eastAsia" w:ascii="宋体" w:hAnsi="宋体"/>
          <w:i/>
          <w:color w:val="000000"/>
          <w:sz w:val="24"/>
          <w:highlight w:val="none"/>
          <w:u w:val="single"/>
        </w:rPr>
        <w:t xml:space="preserve">三、依法缴纳税收和社会保障资金的相关材料（提供提交投标文件截止时间前一年内</w:t>
      </w:r>
      <w:r>
        <w:rPr>
          <w:rFonts w:hint="eastAsia" w:ascii="宋体" w:hAnsi="宋体"/>
          <w:i/>
          <w:color w:val="000000"/>
          <w:sz w:val="24"/>
          <w:highlight w:val="none"/>
          <w:u w:val="single"/>
          <w:lang w:eastAsia="zh-CN"/>
        </w:rPr>
        <w:t xml:space="preserve">任意</w:t>
      </w:r>
      <w:r>
        <w:rPr>
          <w:rFonts w:hint="eastAsia" w:ascii="宋体" w:hAnsi="宋体"/>
          <w:i/>
          <w:color w:val="000000"/>
          <w:sz w:val="24"/>
          <w:highlight w:val="none"/>
          <w:u w:val="single"/>
        </w:rPr>
        <w:t xml:space="preserve">一个月依法缴纳税收及缴纳社会保障资金的证明材料。投标人依法享受缓缴、免缴税收、社会保障资金的提供证明材料）</w:t>
      </w:r>
      <w:r>
        <w:rPr>
          <w:rFonts w:hint="eastAsia" w:ascii="宋体" w:hAnsi="宋体"/>
          <w:i/>
          <w:color w:val="000000"/>
          <w:sz w:val="24"/>
          <w:highlight w:val="none"/>
          <w:u w:val="single"/>
        </w:rPr>
      </w:r>
      <w:r/>
    </w:p>
    <w:p>
      <w:pPr>
        <w:pStyle w:val="1084"/>
        <w:ind w:left="480"/>
        <w:rPr>
          <w:rFonts w:hint="eastAsia" w:ascii="宋体" w:hAnsi="宋体"/>
          <w:i/>
          <w:color w:val="000000"/>
          <w:sz w:val="24"/>
          <w:highlight w:val="none"/>
          <w:u w:val="single"/>
        </w:rPr>
      </w:pPr>
      <w:r>
        <w:rPr>
          <w:rFonts w:hint="eastAsia" w:ascii="宋体" w:hAnsi="宋体"/>
          <w:i/>
          <w:color w:val="000000"/>
          <w:sz w:val="24"/>
          <w:highlight w:val="none"/>
          <w:u w:val="single"/>
        </w:rPr>
        <w:t xml:space="preserve">四、具备履行合同所必需的设备和专业技术能力的书面声明</w:t>
      </w:r>
      <w:r>
        <w:rPr>
          <w:rFonts w:hint="eastAsia" w:ascii="宋体" w:hAnsi="宋体"/>
          <w:i/>
          <w:color w:val="000000"/>
          <w:sz w:val="24"/>
          <w:highlight w:val="none"/>
          <w:u w:val="single"/>
        </w:rPr>
      </w:r>
      <w:r/>
    </w:p>
    <w:p>
      <w:pPr>
        <w:pStyle w:val="1084"/>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五、参加政府采购活动前 3 年内在经营活动中没有重大违法记录的书面声明</w:t>
      </w:r>
      <w:r>
        <w:rPr>
          <w:rFonts w:hint="eastAsia" w:ascii="宋体" w:hAnsi="宋体"/>
          <w:i/>
          <w:color w:val="000000"/>
          <w:sz w:val="24"/>
          <w:highlight w:val="none"/>
          <w:u w:val="single"/>
        </w:rPr>
      </w:r>
      <w:r/>
    </w:p>
    <w:p>
      <w:pPr>
        <w:pStyle w:val="1084"/>
        <w:ind w:firstLine="480"/>
        <w:spacing w:line="440" w:lineRule="exact"/>
        <w:rPr>
          <w:rFonts w:ascii="宋体" w:hAnsi="宋体"/>
          <w:i/>
          <w:color w:val="000000"/>
          <w:sz w:val="24"/>
          <w:highlight w:val="none"/>
          <w:u w:val="single"/>
        </w:rPr>
      </w:pPr>
      <w:r>
        <w:rPr>
          <w:rFonts w:hint="eastAsia" w:ascii="宋体" w:hAnsi="宋体"/>
          <w:i/>
          <w:color w:val="000000"/>
          <w:sz w:val="24"/>
          <w:highlight w:val="none"/>
          <w:u w:val="single"/>
        </w:rPr>
        <w:t xml:space="preserve">六、</w:t>
      </w:r>
      <w:r>
        <w:rPr>
          <w:rFonts w:hint="eastAsia" w:ascii="宋体" w:hAnsi="宋体"/>
          <w:i/>
          <w:color w:val="000000"/>
          <w:sz w:val="24"/>
          <w:highlight w:val="none"/>
          <w:u w:val="single"/>
          <w:lang w:eastAsia="zh-CN"/>
        </w:rPr>
        <w:t xml:space="preserve">投标人</w:t>
      </w:r>
      <w:r>
        <w:rPr>
          <w:rFonts w:hint="eastAsia" w:ascii="宋体" w:hAnsi="宋体"/>
          <w:i/>
          <w:color w:val="000000"/>
          <w:sz w:val="24"/>
          <w:highlight w:val="none"/>
          <w:u w:val="single"/>
        </w:rPr>
        <w:t xml:space="preserve">信用承诺函</w:t>
      </w:r>
      <w:r>
        <w:rPr>
          <w:rFonts w:ascii="宋体" w:hAnsi="宋体"/>
          <w:i/>
          <w:color w:val="000000"/>
          <w:sz w:val="24"/>
          <w:highlight w:val="none"/>
          <w:u w:val="single"/>
        </w:rPr>
      </w:r>
      <w:r/>
    </w:p>
    <w:p>
      <w:pPr>
        <w:pStyle w:val="1084"/>
        <w:ind w:firstLine="480"/>
        <w:spacing w:line="440" w:lineRule="exact"/>
        <w:rPr>
          <w:rFonts w:ascii="宋体" w:hAnsi="宋体"/>
          <w:i/>
          <w:sz w:val="24"/>
          <w:highlight w:val="none"/>
          <w:u w:val="single"/>
        </w:rPr>
      </w:pPr>
      <w:r>
        <w:rPr>
          <w:rFonts w:hint="eastAsia" w:ascii="宋体" w:hAnsi="宋体"/>
          <w:i/>
          <w:sz w:val="24"/>
          <w:highlight w:val="none"/>
          <w:u w:val="single"/>
        </w:rPr>
        <w:t xml:space="preserve">七、特定资格要求的证明文件（如果本项目设置特定资格要求，则需要提供）</w:t>
      </w:r>
      <w:r>
        <w:rPr>
          <w:rFonts w:ascii="宋体" w:hAnsi="宋体"/>
          <w:i/>
          <w:sz w:val="24"/>
          <w:highlight w:val="none"/>
          <w:u w:val="single"/>
        </w:rPr>
      </w:r>
      <w:r/>
    </w:p>
    <w:p>
      <w:pPr>
        <w:pStyle w:val="1084"/>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八、法人授权书</w:t>
      </w:r>
      <w:r>
        <w:rPr>
          <w:rFonts w:hint="eastAsia" w:ascii="宋体" w:hAnsi="宋体"/>
          <w:i/>
          <w:color w:val="000000"/>
          <w:sz w:val="24"/>
          <w:highlight w:val="none"/>
          <w:u w:val="single"/>
        </w:rPr>
      </w:r>
      <w:r/>
    </w:p>
    <w:p>
      <w:pPr>
        <w:pStyle w:val="1084"/>
        <w:ind w:firstLine="480"/>
        <w:spacing w:line="440" w:lineRule="exact"/>
        <w:rPr>
          <w:rFonts w:ascii="宋体" w:hAnsi="宋体"/>
          <w:i/>
          <w:sz w:val="24"/>
          <w:highlight w:val="none"/>
          <w:u w:val="single"/>
        </w:rPr>
      </w:pPr>
      <w:r>
        <w:rPr>
          <w:rFonts w:hint="eastAsia" w:ascii="宋体" w:hAnsi="宋体"/>
          <w:i/>
          <w:sz w:val="24"/>
          <w:highlight w:val="none"/>
          <w:u w:val="single"/>
        </w:rPr>
        <w:t xml:space="preserve">九、投标函</w:t>
      </w:r>
      <w:r>
        <w:rPr>
          <w:rFonts w:ascii="宋体" w:hAnsi="宋体"/>
          <w:i/>
          <w:sz w:val="24"/>
          <w:highlight w:val="none"/>
          <w:u w:val="single"/>
        </w:rPr>
      </w:r>
      <w:r/>
    </w:p>
    <w:p>
      <w:pPr>
        <w:pStyle w:val="1084"/>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十、企业报价折扣证明（中小企业声明函、残疾人福利性单位声明函）</w:t>
      </w:r>
      <w:r>
        <w:rPr>
          <w:rFonts w:hint="eastAsia" w:ascii="宋体" w:hAnsi="宋体"/>
          <w:color w:val="000000"/>
          <w:sz w:val="24"/>
          <w:highlight w:val="none"/>
        </w:rPr>
      </w:r>
      <w:r/>
    </w:p>
    <w:p>
      <w:pPr>
        <w:pStyle w:val="1084"/>
        <w:ind w:firstLine="480"/>
        <w:spacing w:line="440" w:lineRule="exact"/>
        <w:rPr>
          <w:rFonts w:ascii="宋体" w:hAnsi="宋体"/>
          <w:sz w:val="24"/>
          <w:highlight w:val="none"/>
        </w:rPr>
      </w:pPr>
      <w:r>
        <w:rPr>
          <w:rFonts w:hint="eastAsia" w:ascii="宋体" w:hAnsi="宋体"/>
          <w:sz w:val="24"/>
          <w:highlight w:val="none"/>
        </w:rPr>
        <w:t xml:space="preserve">十一、联合体协议</w:t>
      </w:r>
      <w:r>
        <w:rPr>
          <w:rFonts w:ascii="宋体" w:hAnsi="宋体"/>
          <w:sz w:val="24"/>
          <w:highlight w:val="none"/>
        </w:rPr>
      </w:r>
      <w:r/>
    </w:p>
    <w:p>
      <w:pPr>
        <w:pStyle w:val="108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十</w:t>
      </w:r>
      <w:r>
        <w:rPr>
          <w:rFonts w:hint="eastAsia" w:ascii="宋体" w:hAnsi="宋体"/>
          <w:color w:val="000000"/>
          <w:sz w:val="24"/>
          <w:highlight w:val="none"/>
          <w:lang w:val="en-US" w:eastAsia="zh-CN"/>
        </w:rPr>
        <w:t xml:space="preserve">二</w:t>
      </w:r>
      <w:r>
        <w:rPr>
          <w:rFonts w:hint="eastAsia" w:ascii="宋体" w:hAnsi="宋体"/>
          <w:color w:val="000000"/>
          <w:sz w:val="24"/>
          <w:highlight w:val="none"/>
        </w:rPr>
        <w:t xml:space="preserve">、投标分项报价表   </w:t>
      </w:r>
      <w:r>
        <w:rPr>
          <w:rFonts w:ascii="宋体" w:hAnsi="宋体"/>
          <w:color w:val="000000"/>
          <w:sz w:val="24"/>
          <w:highlight w:val="none"/>
        </w:rPr>
      </w:r>
      <w:r/>
    </w:p>
    <w:p>
      <w:pPr>
        <w:pStyle w:val="1084"/>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十</w:t>
      </w:r>
      <w:r>
        <w:rPr>
          <w:rFonts w:hint="eastAsia" w:ascii="宋体" w:hAnsi="宋体"/>
          <w:color w:val="000000"/>
          <w:sz w:val="24"/>
          <w:highlight w:val="none"/>
          <w:lang w:val="en-US" w:eastAsia="zh-CN"/>
        </w:rPr>
        <w:t xml:space="preserve">三</w:t>
      </w:r>
      <w:r>
        <w:rPr>
          <w:rFonts w:hint="eastAsia" w:ascii="宋体" w:hAnsi="宋体"/>
          <w:color w:val="000000"/>
          <w:sz w:val="24"/>
          <w:highlight w:val="none"/>
        </w:rPr>
        <w:t xml:space="preserve">、技术要求响应及偏离表</w:t>
      </w:r>
      <w:r>
        <w:rPr>
          <w:rFonts w:hint="eastAsia" w:ascii="宋体" w:hAnsi="宋体"/>
          <w:color w:val="000000"/>
          <w:sz w:val="24"/>
          <w:highlight w:val="none"/>
        </w:rPr>
      </w:r>
      <w:r/>
    </w:p>
    <w:p>
      <w:pPr>
        <w:pStyle w:val="1084"/>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十</w:t>
      </w:r>
      <w:r>
        <w:rPr>
          <w:rFonts w:hint="eastAsia" w:ascii="宋体" w:hAnsi="宋体"/>
          <w:color w:val="000000"/>
          <w:sz w:val="24"/>
          <w:highlight w:val="none"/>
          <w:lang w:val="en-US" w:eastAsia="zh-CN"/>
        </w:rPr>
        <w:t xml:space="preserve">四</w:t>
      </w:r>
      <w:r>
        <w:rPr>
          <w:rFonts w:hint="eastAsia" w:ascii="宋体" w:hAnsi="宋体"/>
          <w:color w:val="000000"/>
          <w:sz w:val="24"/>
          <w:highlight w:val="none"/>
        </w:rPr>
        <w:t xml:space="preserve">、商务要求响应及偏离表</w:t>
      </w:r>
      <w:r>
        <w:rPr>
          <w:rFonts w:hint="eastAsia" w:ascii="宋体" w:hAnsi="宋体"/>
          <w:color w:val="000000"/>
          <w:sz w:val="24"/>
          <w:highlight w:val="none"/>
        </w:rPr>
      </w:r>
      <w:r/>
    </w:p>
    <w:p>
      <w:pPr>
        <w:pStyle w:val="1084"/>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十五、开标一览表</w:t>
      </w:r>
      <w:r>
        <w:rPr>
          <w:rFonts w:hint="eastAsia" w:ascii="宋体" w:hAnsi="宋体"/>
          <w:i/>
          <w:sz w:val="24"/>
          <w:highlight w:val="none"/>
          <w:u w:val="single"/>
        </w:rPr>
      </w:r>
      <w:r/>
    </w:p>
    <w:p>
      <w:pPr>
        <w:pStyle w:val="1084"/>
        <w:ind w:firstLine="480"/>
        <w:spacing w:line="440" w:lineRule="exact"/>
        <w:rPr>
          <w:rFonts w:ascii="宋体" w:hAnsi="宋体"/>
          <w:iCs/>
          <w:sz w:val="24"/>
          <w:highlight w:val="none"/>
        </w:rPr>
      </w:pPr>
      <w:r>
        <w:rPr>
          <w:rFonts w:hint="eastAsia" w:ascii="宋体" w:hAnsi="宋体"/>
          <w:iCs/>
          <w:sz w:val="24"/>
          <w:highlight w:val="none"/>
        </w:rPr>
        <w:t xml:space="preserve">十六、主要标的信息</w:t>
      </w:r>
      <w:r>
        <w:rPr>
          <w:rFonts w:ascii="宋体" w:hAnsi="宋体"/>
          <w:iCs/>
          <w:sz w:val="24"/>
          <w:highlight w:val="none"/>
        </w:rPr>
      </w:r>
      <w:r/>
    </w:p>
    <w:p>
      <w:pPr>
        <w:pStyle w:val="1084"/>
        <w:rPr>
          <w:rFonts w:hint="eastAsia" w:ascii="黑体" w:hAnsi="黑体" w:eastAsia="黑体"/>
          <w:i/>
          <w:color w:val="000000"/>
          <w:sz w:val="32"/>
          <w:szCs w:val="32"/>
          <w:highlight w:val="none"/>
          <w:u w:val="single"/>
        </w:rPr>
      </w:pPr>
      <w:r>
        <w:rPr>
          <w:rFonts w:ascii="宋体" w:hAnsi="宋体"/>
          <w:b/>
          <w:color w:val="000000"/>
          <w:sz w:val="32"/>
          <w:szCs w:val="32"/>
          <w:highlight w:val="none"/>
        </w:rPr>
        <w:br w:type="page" w:clear="all"/>
      </w:r>
      <w:r>
        <w:rPr>
          <w:rFonts w:hint="eastAsia" w:ascii="黑体" w:hAnsi="黑体" w:eastAsia="黑体"/>
          <w:i/>
          <w:color w:val="000000"/>
          <w:sz w:val="32"/>
          <w:szCs w:val="32"/>
          <w:highlight w:val="none"/>
          <w:u w:val="single"/>
        </w:rPr>
        <w:t xml:space="preserve">一、法人或者其他组织的营业执照等证明文件，自然人的身份证明</w:t>
      </w:r>
      <w:r>
        <w:rPr>
          <w:rFonts w:hint="eastAsia" w:ascii="黑体" w:hAnsi="黑体" w:eastAsia="黑体"/>
          <w:i/>
          <w:color w:val="000000"/>
          <w:sz w:val="32"/>
          <w:szCs w:val="32"/>
          <w:highlight w:val="none"/>
          <w:u w:val="single"/>
        </w:rPr>
      </w:r>
      <w:r/>
    </w:p>
    <w:p>
      <w:pPr>
        <w:pStyle w:val="1084"/>
        <w:ind w:firstLine="480"/>
        <w:spacing w:line="440" w:lineRule="exact"/>
        <w:rPr>
          <w:rFonts w:ascii="宋体" w:hAnsi="宋体"/>
          <w:color w:val="000000"/>
          <w:sz w:val="24"/>
          <w:highlight w:val="none"/>
        </w:rPr>
      </w:pPr>
      <w:r>
        <w:rPr>
          <w:rFonts w:ascii="宋体" w:hAnsi="宋体"/>
          <w:color w:val="000000"/>
          <w:sz w:val="24"/>
          <w:highlight w:val="none"/>
        </w:rPr>
      </w:r>
      <w:r/>
    </w:p>
    <w:p>
      <w:pPr>
        <w:pStyle w:val="1084"/>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rPr>
        <w:t xml:space="preserve">二、</w:t>
      </w:r>
      <w:r>
        <w:rPr>
          <w:rFonts w:hint="eastAsia" w:ascii="黑体" w:hAnsi="黑体" w:eastAsia="黑体"/>
          <w:i/>
          <w:color w:val="000000"/>
          <w:sz w:val="32"/>
          <w:szCs w:val="32"/>
          <w:highlight w:val="none"/>
          <w:u w:val="single"/>
          <w:lang w:eastAsia="zh-CN"/>
        </w:rPr>
        <w:t xml:space="preserve">上一年度（2025年度）的财务状况报告</w:t>
      </w:r>
      <w:r>
        <w:rPr>
          <w:rFonts w:hint="eastAsia" w:ascii="黑体" w:hAnsi="黑体" w:eastAsia="黑体"/>
          <w:i/>
          <w:color w:val="000000"/>
          <w:sz w:val="32"/>
          <w:szCs w:val="32"/>
          <w:highlight w:val="none"/>
          <w:u w:val="single"/>
          <w:lang w:eastAsia="zh-CN"/>
        </w:rPr>
      </w:r>
      <w:r/>
    </w:p>
    <w:p>
      <w:pPr>
        <w:pStyle w:val="1084"/>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投标人成立不满一年不需提供</w:t>
      </w:r>
      <w:r>
        <w:rPr>
          <w:rFonts w:ascii="宋体" w:hAnsi="宋体"/>
          <w:bCs/>
          <w:color w:val="000000"/>
          <w:sz w:val="24"/>
          <w:highlight w:val="none"/>
        </w:rPr>
      </w:r>
      <w:r/>
    </w:p>
    <w:p>
      <w:pPr>
        <w:pStyle w:val="1084"/>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84"/>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三、依法缴纳税收和社会保障资金的相关材料</w:t>
      </w:r>
      <w:r>
        <w:rPr>
          <w:rFonts w:hint="eastAsia" w:ascii="黑体" w:hAnsi="黑体" w:eastAsia="黑体"/>
          <w:i/>
          <w:color w:val="000000"/>
          <w:sz w:val="32"/>
          <w:szCs w:val="32"/>
          <w:highlight w:val="none"/>
          <w:u w:val="single"/>
        </w:rPr>
      </w:r>
      <w:r/>
    </w:p>
    <w:p>
      <w:pPr>
        <w:pStyle w:val="1084"/>
        <w:ind w:firstLine="480"/>
        <w:rPr>
          <w:rFonts w:hint="eastAsia" w:ascii="宋体" w:hAnsi="宋体"/>
          <w:bCs/>
          <w:color w:val="000000"/>
          <w:sz w:val="24"/>
          <w:highlight w:val="none"/>
        </w:rPr>
      </w:pPr>
      <w:r>
        <w:rPr>
          <w:rFonts w:hint="eastAsia" w:ascii="宋体" w:hAnsi="宋体"/>
          <w:bCs/>
          <w:color w:val="000000"/>
          <w:sz w:val="24"/>
          <w:highlight w:val="none"/>
        </w:rPr>
        <w:t xml:space="preserve">提供提交投标文件截止时间前一年内</w:t>
      </w:r>
      <w:r>
        <w:rPr>
          <w:rFonts w:hint="eastAsia" w:ascii="宋体" w:hAnsi="宋体"/>
          <w:bCs/>
          <w:color w:val="000000"/>
          <w:sz w:val="24"/>
          <w:highlight w:val="none"/>
          <w:lang w:eastAsia="zh-CN"/>
        </w:rPr>
        <w:t xml:space="preserve">任意</w:t>
      </w:r>
      <w:r>
        <w:rPr>
          <w:rFonts w:hint="eastAsia" w:ascii="宋体" w:hAnsi="宋体"/>
          <w:bCs/>
          <w:color w:val="000000"/>
          <w:sz w:val="24"/>
          <w:highlight w:val="none"/>
        </w:rPr>
        <w:t xml:space="preserve">一个月依法缴纳税收及缴纳社会保障资金的证明材料。投标人依法享受缓缴、免缴税收、社会保障资金的提供证明材料。</w:t>
      </w:r>
      <w:r>
        <w:rPr>
          <w:rFonts w:hint="eastAsia" w:ascii="宋体" w:hAnsi="宋体"/>
          <w:bCs/>
          <w:color w:val="000000"/>
          <w:sz w:val="24"/>
          <w:highlight w:val="none"/>
        </w:rPr>
      </w:r>
      <w:r/>
    </w:p>
    <w:p>
      <w:pPr>
        <w:pStyle w:val="1084"/>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84"/>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四、具备履行合同所必需的设备和专业技术能力的书面声明</w:t>
      </w:r>
      <w:r>
        <w:rPr>
          <w:rFonts w:hint="eastAsia" w:ascii="黑体" w:hAnsi="黑体" w:eastAsia="黑体"/>
          <w:i/>
          <w:color w:val="000000"/>
          <w:sz w:val="32"/>
          <w:szCs w:val="32"/>
          <w:highlight w:val="none"/>
          <w:u w:val="single"/>
        </w:rPr>
      </w:r>
      <w:r/>
    </w:p>
    <w:p>
      <w:pPr>
        <w:pStyle w:val="1084"/>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1084"/>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1084"/>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1084"/>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151"/>
        <w:rPr>
          <w:rFonts w:hint="eastAsia"/>
          <w:color w:val="000000"/>
          <w:highlight w:val="none"/>
        </w:rPr>
      </w:pPr>
      <w:r>
        <w:rPr>
          <w:rFonts w:hint="eastAsia"/>
          <w:color w:val="000000"/>
          <w:highlight w:val="none"/>
        </w:rPr>
      </w:r>
      <w:r/>
    </w:p>
    <w:p>
      <w:pPr>
        <w:pStyle w:val="1084"/>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五、参加政府采购活动前 3 年内在经营活动中没有重大违法记录的书面声明</w:t>
      </w:r>
      <w:r>
        <w:rPr>
          <w:rFonts w:hint="eastAsia" w:ascii="黑体" w:hAnsi="黑体" w:eastAsia="黑体"/>
          <w:i/>
          <w:color w:val="000000"/>
          <w:sz w:val="32"/>
          <w:szCs w:val="32"/>
          <w:highlight w:val="none"/>
          <w:u w:val="single"/>
        </w:rPr>
      </w:r>
      <w:r/>
    </w:p>
    <w:p>
      <w:pPr>
        <w:pStyle w:val="1084"/>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1084"/>
        <w:spacing w:line="460" w:lineRule="exact"/>
        <w:rPr>
          <w:rFonts w:hint="eastAsia" w:ascii="宋体" w:hAnsi="宋体"/>
          <w:bCs/>
          <w:color w:val="000000"/>
          <w:sz w:val="24"/>
          <w:highlight w:val="none"/>
        </w:rPr>
      </w:pPr>
      <w:r>
        <w:rPr>
          <w:rFonts w:hint="eastAsia" w:ascii="宋体" w:hAnsi="宋体"/>
          <w:b/>
          <w:bCs/>
          <w:color w:val="000000"/>
          <w:sz w:val="24"/>
          <w:highlight w:val="none"/>
        </w:rPr>
        <w:t xml:space="preserve">    </w:t>
      </w:r>
      <w:r>
        <w:rPr>
          <w:rFonts w:hint="eastAsia" w:ascii="宋体" w:hAnsi="宋体"/>
          <w:bCs/>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highlight w:val="none"/>
        </w:rPr>
      </w:r>
      <w:r/>
    </w:p>
    <w:p>
      <w:pPr>
        <w:pStyle w:val="1084"/>
        <w:spacing w:before="120" w:after="120" w:line="360" w:lineRule="auto"/>
        <w:rPr>
          <w:rFonts w:hint="eastAsia" w:ascii="宋体" w:hAnsi="宋体"/>
          <w:b/>
          <w:bCs/>
          <w:color w:val="000000"/>
          <w:highlight w:val="none"/>
        </w:rPr>
      </w:pPr>
      <w:r>
        <w:rPr>
          <w:rFonts w:hint="eastAsia" w:ascii="宋体" w:hAnsi="宋体"/>
          <w:b/>
          <w:bCs/>
          <w:color w:val="000000"/>
          <w:highlight w:val="none"/>
        </w:rPr>
      </w:r>
      <w:r/>
    </w:p>
    <w:p>
      <w:pPr>
        <w:pStyle w:val="1084"/>
        <w:jc w:val="center"/>
        <w:spacing w:before="120" w:after="120" w:line="360" w:lineRule="auto"/>
        <w:rPr>
          <w:rFonts w:hint="eastAsia" w:ascii="宋体" w:hAnsi="宋体"/>
          <w:b/>
          <w:bCs/>
          <w:color w:val="000000"/>
          <w:highlight w:val="none"/>
        </w:rPr>
      </w:pPr>
      <w:r>
        <w:rPr>
          <w:rFonts w:hint="eastAsia" w:ascii="宋体" w:hAnsi="宋体"/>
          <w:b/>
          <w:bCs/>
          <w:color w:val="000000"/>
          <w:highlight w:val="none"/>
        </w:rPr>
      </w:r>
      <w:r/>
    </w:p>
    <w:p>
      <w:pPr>
        <w:pStyle w:val="1084"/>
        <w:jc w:val="center"/>
        <w:spacing w:before="120" w:after="120" w:line="360" w:lineRule="auto"/>
        <w:rPr>
          <w:rFonts w:hint="eastAsia" w:ascii="宋体" w:hAnsi="宋体"/>
          <w:b/>
          <w:bCs/>
          <w:color w:val="000000"/>
          <w:highlight w:val="none"/>
        </w:rPr>
        <w:sectPr>
          <w:footerReference w:type="defaul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highlight w:val="none"/>
        </w:rPr>
      </w:r>
      <w:r/>
    </w:p>
    <w:p>
      <w:pPr>
        <w:pStyle w:val="1084"/>
        <w:jc w:val="center"/>
        <w:spacing w:before="120" w:after="120" w:line="360" w:lineRule="auto"/>
        <w:rPr>
          <w:rFonts w:hint="eastAsia" w:ascii="宋体" w:hAnsi="宋体"/>
          <w:b/>
          <w:bCs/>
          <w:color w:val="000000"/>
          <w:highlight w:val="none"/>
        </w:rPr>
      </w:pPr>
      <w:r>
        <w:rPr>
          <w:rFonts w:hint="eastAsia" w:ascii="宋体" w:hAnsi="宋体"/>
          <w:b/>
          <w:bCs/>
          <w:color w:val="000000"/>
          <w:highlight w:val="none"/>
        </w:rPr>
      </w:r>
      <w:r/>
    </w:p>
    <w:p>
      <w:pPr>
        <w:pStyle w:val="1084"/>
        <w:numPr>
          <w:ilvl w:val="0"/>
          <w:numId w:val="3"/>
        </w:numPr>
        <w:rPr>
          <w:rFonts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lang w:eastAsia="zh-CN"/>
        </w:rPr>
        <w:t xml:space="preserve">投标人</w:t>
      </w:r>
      <w:r>
        <w:rPr>
          <w:rFonts w:hint="eastAsia" w:ascii="黑体" w:hAnsi="黑体" w:eastAsia="黑体"/>
          <w:i/>
          <w:color w:val="000000"/>
          <w:sz w:val="32"/>
          <w:szCs w:val="32"/>
          <w:highlight w:val="none"/>
          <w:u w:val="single"/>
        </w:rPr>
        <w:t xml:space="preserve">信用承诺函</w:t>
      </w:r>
      <w:r>
        <w:rPr>
          <w:rFonts w:ascii="黑体" w:hAnsi="黑体" w:eastAsia="黑体"/>
          <w:i/>
          <w:color w:val="000000"/>
          <w:sz w:val="32"/>
          <w:szCs w:val="32"/>
          <w:highlight w:val="none"/>
          <w:u w:val="single"/>
        </w:rPr>
      </w:r>
      <w:r/>
    </w:p>
    <w:p>
      <w:pPr>
        <w:pStyle w:val="1084"/>
        <w:jc w:val="center"/>
        <w:spacing w:line="500" w:lineRule="exact"/>
        <w:rPr>
          <w:rFonts w:ascii="宋体" w:hAnsi="宋体" w:eastAsia="等线"/>
          <w:b/>
          <w:color w:val="000000"/>
          <w:sz w:val="24"/>
          <w:szCs w:val="24"/>
          <w:highlight w:val="none"/>
        </w:rPr>
      </w:pPr>
      <w:r>
        <w:rPr>
          <w:rFonts w:hint="eastAsia" w:ascii="宋体" w:hAnsi="宋体" w:eastAsia="等线"/>
          <w:b/>
          <w:color w:val="000000"/>
          <w:sz w:val="24"/>
          <w:szCs w:val="24"/>
          <w:highlight w:val="none"/>
          <w:lang w:eastAsia="zh-CN"/>
        </w:rPr>
        <w:t xml:space="preserve">投标人</w:t>
      </w:r>
      <w:r>
        <w:rPr>
          <w:rFonts w:hint="eastAsia" w:ascii="宋体" w:hAnsi="宋体" w:eastAsia="等线"/>
          <w:b/>
          <w:color w:val="000000"/>
          <w:sz w:val="24"/>
          <w:szCs w:val="24"/>
          <w:highlight w:val="none"/>
        </w:rPr>
        <w:t xml:space="preserve">信用承诺函</w:t>
      </w:r>
      <w:r>
        <w:rPr>
          <w:rFonts w:ascii="宋体" w:hAnsi="宋体" w:eastAsia="等线"/>
          <w:b/>
          <w:color w:val="000000"/>
          <w:sz w:val="24"/>
          <w:szCs w:val="24"/>
          <w:highlight w:val="none"/>
        </w:rPr>
      </w:r>
      <w:r/>
    </w:p>
    <w:p>
      <w:pPr>
        <w:pStyle w:val="1084"/>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承诺主体名称：</w:t>
      </w:r>
      <w:r>
        <w:rPr>
          <w:rFonts w:ascii="宋体" w:hAnsi="宋体" w:cs="宋体"/>
          <w:color w:val="000000"/>
          <w:sz w:val="22"/>
          <w:highlight w:val="none"/>
        </w:rPr>
      </w:r>
      <w:r/>
    </w:p>
    <w:p>
      <w:pPr>
        <w:pStyle w:val="1084"/>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统一社会信用代码：</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sz w:val="22"/>
          <w:highlight w:val="none"/>
          <w:lang w:eastAsia="zh-CN"/>
        </w:rPr>
        <w:t xml:space="preserve">：</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一、对提供给注册登记部门、行业管理部门、司法部门、行业组织以及在政府采购活动中提交的所有资料的合法性、真实性、准确性和有效性负责；</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 w:val="22"/>
          <w:highlight w:val="none"/>
          <w:lang w:eastAsia="zh-CN"/>
        </w:rPr>
        <w:t xml:space="preserve">；</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三、严格依法开展生产经营活动，主动接受行业监管，自愿接受依法开展的日常检查；违法失信经营后将自愿接受约束和惩戒，并依法承担相应责任；</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四、自觉接受行政管理部门、行业组织、社会公众、新闻舆论的监督；</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五、自觉做到自我约束、自我管理，不制假售假、商标侵权、虚假宣传、违约毁约、恶意逃债、偷税漏税、垄断和不正当竞争，维护经营者、消费者的合法权益；</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六、提出政府采购质疑和投诉坚持依法依规、诚实信用原则，在全国范围12个月内没有三次以上查无实据的政府采购投诉；</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七、严格遵守信用信息公示相关规定，向社会公示信用信息；</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八、在“信用中国”和“中国政府采购网”网站中无违法违规、较重或严重失信记录；</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十、本承诺书自签订之日起生效。</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 （注：法定代表人或负责人、主体名称发生变更的应当重新做出承诺。）</w:t>
      </w:r>
      <w:r>
        <w:rPr>
          <w:rFonts w:ascii="宋体" w:hAnsi="宋体" w:cs="宋体"/>
          <w:color w:val="000000"/>
          <w:sz w:val="22"/>
          <w:highlight w:val="none"/>
        </w:rPr>
      </w:r>
      <w:r/>
    </w:p>
    <w:p>
      <w:pPr>
        <w:pStyle w:val="1084"/>
        <w:spacing w:line="56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1084"/>
        <w:jc w:val="left"/>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承诺单位（加盖CA电子公章）：           </w:t>
      </w:r>
      <w:r>
        <w:rPr>
          <w:rFonts w:ascii="宋体" w:hAnsi="宋体" w:cs="宋体"/>
          <w:color w:val="000000"/>
          <w:sz w:val="24"/>
          <w:szCs w:val="24"/>
          <w:highlight w:val="none"/>
        </w:rPr>
      </w:r>
      <w:r/>
    </w:p>
    <w:p>
      <w:pPr>
        <w:pStyle w:val="1084"/>
        <w:jc w:val="center"/>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年    月    日</w:t>
      </w:r>
      <w:r>
        <w:rPr>
          <w:rFonts w:ascii="宋体" w:hAnsi="宋体" w:cs="宋体"/>
          <w:color w:val="000000"/>
          <w:sz w:val="24"/>
          <w:szCs w:val="24"/>
          <w:highlight w:val="none"/>
        </w:rPr>
      </w:r>
      <w:r/>
    </w:p>
    <w:p>
      <w:pPr>
        <w:pStyle w:val="1161"/>
        <w:rPr>
          <w:rFonts w:hint="eastAsia" w:ascii="宋体" w:hAnsi="宋体"/>
          <w:b/>
          <w:bCs/>
          <w:color w:val="000000"/>
          <w:highlight w:val="none"/>
        </w:rPr>
      </w:pPr>
      <w:r>
        <w:rPr>
          <w:rFonts w:hint="eastAsia" w:ascii="宋体" w:hAnsi="宋体"/>
          <w:b/>
          <w:bCs/>
          <w:color w:val="000000"/>
          <w:highlight w:val="none"/>
        </w:rPr>
      </w:r>
      <w:r/>
    </w:p>
    <w:p>
      <w:pPr>
        <w:pStyle w:val="1161"/>
        <w:rPr>
          <w:rFonts w:hint="eastAsia" w:ascii="宋体" w:hAnsi="宋体"/>
          <w:b/>
          <w:bCs/>
          <w:color w:val="000000"/>
          <w:highlight w:val="none"/>
        </w:rPr>
      </w:pPr>
      <w:r>
        <w:rPr>
          <w:rFonts w:hint="eastAsia" w:ascii="宋体" w:hAnsi="宋体"/>
          <w:b/>
          <w:bCs/>
          <w:color w:val="000000"/>
          <w:highlight w:val="none"/>
        </w:rPr>
      </w:r>
      <w:r/>
    </w:p>
    <w:p>
      <w:pPr>
        <w:pStyle w:val="1084"/>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84"/>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七、特定资格要求的证明文件</w:t>
      </w:r>
      <w:r>
        <w:rPr>
          <w:rFonts w:hint="eastAsia" w:ascii="黑体" w:hAnsi="黑体" w:eastAsia="黑体"/>
          <w:i/>
          <w:color w:val="000000"/>
          <w:sz w:val="32"/>
          <w:szCs w:val="32"/>
          <w:highlight w:val="none"/>
          <w:u w:val="single"/>
        </w:rPr>
      </w:r>
      <w:r/>
    </w:p>
    <w:p>
      <w:pPr>
        <w:pStyle w:val="1084"/>
        <w:spacing w:line="460" w:lineRule="exact"/>
        <w:rPr>
          <w:rFonts w:hint="eastAsia" w:ascii="宋体" w:hAnsi="宋体"/>
          <w:bCs/>
          <w:color w:val="000000"/>
          <w:sz w:val="24"/>
          <w:highlight w:val="none"/>
        </w:rPr>
      </w:pPr>
      <w:r>
        <w:rPr>
          <w:rFonts w:hint="eastAsia" w:ascii="宋体" w:hAnsi="宋体"/>
          <w:color w:val="000000"/>
          <w:sz w:val="24"/>
          <w:highlight w:val="none"/>
        </w:rPr>
        <w:t xml:space="preserve">    如果本项目申请人的特定资格要求中要求提供的，必须提供。</w:t>
      </w:r>
      <w:r>
        <w:rPr>
          <w:rFonts w:hint="eastAsia" w:ascii="宋体" w:hAnsi="宋体"/>
          <w:bCs/>
          <w:color w:val="000000"/>
          <w:sz w:val="24"/>
          <w:highlight w:val="none"/>
        </w:rPr>
      </w:r>
      <w:r/>
    </w:p>
    <w:p>
      <w:pPr>
        <w:pStyle w:val="1161"/>
        <w:rPr>
          <w:rFonts w:hint="eastAsia" w:ascii="宋体" w:hAnsi="宋体"/>
          <w:b/>
          <w:bCs/>
          <w:color w:val="000000"/>
          <w:highlight w:val="none"/>
        </w:rPr>
      </w:pPr>
      <w:r>
        <w:rPr>
          <w:rFonts w:hint="eastAsia" w:ascii="宋体" w:hAnsi="宋体"/>
          <w:b/>
          <w:bCs/>
          <w:color w:val="000000"/>
          <w:highlight w:val="none"/>
        </w:rPr>
      </w:r>
      <w:r/>
    </w:p>
    <w:p>
      <w:pPr>
        <w:pStyle w:val="1161"/>
        <w:rPr>
          <w:rFonts w:hint="eastAsia" w:ascii="宋体" w:hAnsi="宋体"/>
          <w:b/>
          <w:bCs/>
          <w:color w:val="000000"/>
          <w:highlight w:val="none"/>
        </w:rPr>
      </w:pPr>
      <w:r>
        <w:rPr>
          <w:rFonts w:hint="eastAsia" w:ascii="宋体" w:hAnsi="宋体"/>
          <w:b/>
          <w:bCs/>
          <w:color w:val="000000"/>
          <w:highlight w:val="none"/>
        </w:rPr>
      </w:r>
      <w:r/>
    </w:p>
    <w:p>
      <w:pPr>
        <w:pStyle w:val="1084"/>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84"/>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八、法人授权书</w:t>
      </w:r>
      <w:r>
        <w:rPr>
          <w:rFonts w:hint="eastAsia" w:ascii="黑体" w:hAnsi="黑体" w:eastAsia="黑体"/>
          <w:i/>
          <w:color w:val="000000"/>
          <w:sz w:val="32"/>
          <w:szCs w:val="32"/>
          <w:highlight w:val="none"/>
          <w:u w:val="single"/>
        </w:rPr>
      </w:r>
      <w:r/>
    </w:p>
    <w:p>
      <w:pPr>
        <w:pStyle w:val="114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w:t>
      </w:r>
      <w:r>
        <w:rPr>
          <w:rFonts w:hint="eastAsia"/>
          <w:color w:val="000000"/>
          <w:sz w:val="24"/>
          <w:szCs w:val="24"/>
          <w:highlight w:val="none"/>
          <w:u w:val="single"/>
        </w:rPr>
        <w:t xml:space="preserve">         </w:t>
      </w:r>
      <w:r>
        <w:rPr>
          <w:rFonts w:hint="eastAsia"/>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r>
      <w:r/>
    </w:p>
    <w:p>
      <w:pPr>
        <w:pStyle w:val="114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w:t>
      </w:r>
      <w:r>
        <w:rPr>
          <w:rFonts w:hint="eastAsia"/>
          <w:color w:val="000000"/>
          <w:sz w:val="24"/>
          <w:szCs w:val="24"/>
          <w:highlight w:val="none"/>
          <w:u w:val="single"/>
        </w:rPr>
        <w:t xml:space="preserve"> </w:t>
      </w:r>
      <w:r>
        <w:rPr>
          <w:rFonts w:hint="eastAsia"/>
          <w:color w:val="000000"/>
          <w:sz w:val="24"/>
          <w:szCs w:val="24"/>
          <w:highlight w:val="none"/>
        </w:rPr>
        <w:t xml:space="preserve">_年____月____日起生效，特此声明。</w:t>
      </w:r>
      <w:r>
        <w:rPr>
          <w:rFonts w:hint="eastAsia"/>
          <w:color w:val="000000"/>
          <w:sz w:val="24"/>
          <w:szCs w:val="24"/>
          <w:highlight w:val="none"/>
        </w:rPr>
      </w:r>
      <w:r/>
    </w:p>
    <w:p>
      <w:pPr>
        <w:pStyle w:val="1145"/>
        <w:ind w:firstLine="480"/>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145"/>
        <w:ind w:firstLine="480"/>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145"/>
        <w:ind w:firstLine="480"/>
        <w:tabs>
          <w:tab w:val="left" w:pos="360" w:leader="none"/>
        </w:tabs>
        <w:rPr>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                 </w:t>
      </w:r>
      <w:r>
        <w:rPr>
          <w:color w:val="000000"/>
          <w:sz w:val="24"/>
          <w:szCs w:val="24"/>
          <w:highlight w:val="none"/>
        </w:rPr>
      </w:r>
      <w:r/>
    </w:p>
    <w:p>
      <w:pPr>
        <w:pStyle w:val="1145"/>
        <w:ind w:firstLine="480"/>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14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      日期：</w:t>
      </w:r>
      <w:bookmarkStart w:id="19" w:name="_Hlt26671380"/>
      <w:r/>
      <w:bookmarkEnd w:id="19"/>
      <w:r/>
      <w:bookmarkStart w:id="20" w:name="_格式3__银行出具的资信证明"/>
      <w:r/>
      <w:bookmarkEnd w:id="20"/>
      <w:r/>
      <w:bookmarkStart w:id="21" w:name="_Hlt26955070"/>
      <w:r/>
      <w:bookmarkEnd w:id="21"/>
      <w:r>
        <w:rPr>
          <w:rFonts w:hint="eastAsia"/>
          <w:color w:val="000000"/>
          <w:sz w:val="24"/>
          <w:szCs w:val="24"/>
          <w:highlight w:val="none"/>
          <w:u w:val="single"/>
        </w:rPr>
        <w:t xml:space="preserve">                                             </w:t>
      </w:r>
      <w:r>
        <w:rPr>
          <w:rFonts w:hint="eastAsia"/>
          <w:color w:val="000000"/>
          <w:sz w:val="24"/>
          <w:szCs w:val="24"/>
          <w:highlight w:val="none"/>
        </w:rPr>
      </w:r>
      <w:r/>
    </w:p>
    <w:p>
      <w:pPr>
        <w:pStyle w:val="1161"/>
        <w:rPr>
          <w:rFonts w:hint="eastAsia" w:ascii="宋体" w:hAnsi="宋体"/>
          <w:b/>
          <w:bCs/>
          <w:color w:val="000000"/>
          <w:highlight w:val="none"/>
        </w:rPr>
      </w:pPr>
      <w:r>
        <w:rPr>
          <w:rFonts w:hint="eastAsia" w:ascii="宋体" w:hAnsi="宋体"/>
          <w:b/>
          <w:bCs/>
          <w:color w:val="000000"/>
          <w:highlight w:val="none"/>
        </w:rPr>
      </w:r>
      <w:r/>
    </w:p>
    <w:p>
      <w:pPr>
        <w:pStyle w:val="1084"/>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84"/>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1084"/>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1084"/>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1084"/>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1084"/>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1084"/>
        <w:jc w:val="center"/>
        <w:rPr>
          <w:rFonts w:hint="eastAsia" w:ascii="黑体" w:hAnsi="黑体" w:eastAsia="黑体"/>
          <w:i/>
          <w:color w:val="000000"/>
          <w:sz w:val="32"/>
          <w:szCs w:val="32"/>
          <w:highlight w:val="none"/>
          <w:u w:val="singl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i/>
          <w:color w:val="000000"/>
          <w:sz w:val="32"/>
          <w:szCs w:val="32"/>
          <w:highlight w:val="none"/>
          <w:u w:val="single"/>
        </w:rPr>
      </w:r>
      <w:r/>
    </w:p>
    <w:p>
      <w:pPr>
        <w:pStyle w:val="1084"/>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九、</w:t>
      </w:r>
      <w:r>
        <w:rPr>
          <w:rFonts w:hint="eastAsia" w:ascii="黑体" w:hAnsi="黑体" w:eastAsia="黑体"/>
          <w:i/>
          <w:color w:val="000000"/>
          <w:sz w:val="32"/>
          <w:szCs w:val="32"/>
          <w:highlight w:val="none"/>
          <w:u w:val="single"/>
          <w:lang w:val="en-US" w:eastAsia="zh-CN"/>
        </w:rPr>
        <w:t xml:space="preserve">投标</w:t>
      </w:r>
      <w:r>
        <w:rPr>
          <w:rFonts w:hint="eastAsia" w:ascii="黑体" w:hAnsi="黑体" w:eastAsia="黑体"/>
          <w:i/>
          <w:color w:val="000000"/>
          <w:sz w:val="32"/>
          <w:szCs w:val="32"/>
          <w:highlight w:val="none"/>
          <w:u w:val="single"/>
        </w:rPr>
        <w:t xml:space="preserve">函</w:t>
      </w:r>
      <w:r>
        <w:rPr>
          <w:rFonts w:hint="eastAsia" w:ascii="黑体" w:hAnsi="黑体" w:eastAsia="黑体"/>
          <w:i/>
          <w:color w:val="000000"/>
          <w:sz w:val="32"/>
          <w:szCs w:val="32"/>
          <w:highlight w:val="none"/>
          <w:u w:val="single"/>
        </w:rPr>
      </w:r>
      <w:r/>
    </w:p>
    <w:p>
      <w:pPr>
        <w:pStyle w:val="1145"/>
        <w:ind w:firstLine="42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致：（扬州筑苑工程招标咨询有限公司）</w:t>
      </w:r>
      <w:r>
        <w:rPr>
          <w:rFonts w:hint="eastAsia" w:ascii="宋体" w:hAnsi="宋体" w:eastAsia="宋体" w:cs="宋体"/>
          <w:color w:val="000000"/>
          <w:sz w:val="24"/>
          <w:szCs w:val="24"/>
          <w:highlight w:val="none"/>
        </w:rPr>
      </w:r>
      <w:r/>
    </w:p>
    <w:p>
      <w:pPr>
        <w:pStyle w:val="114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号招标文件，正式授权下述签字人______(姓名)代表我方______________（投标人的名称），全权处理本次项目投标的有关事宜。</w:t>
      </w:r>
      <w:r>
        <w:rPr>
          <w:rFonts w:hint="eastAsia" w:ascii="宋体" w:hAnsi="宋体" w:eastAsia="宋体" w:cs="宋体"/>
          <w:sz w:val="24"/>
          <w:szCs w:val="24"/>
          <w:highlight w:val="none"/>
        </w:rPr>
      </w:r>
      <w:r/>
    </w:p>
    <w:p>
      <w:pPr>
        <w:pStyle w:val="1145"/>
        <w:ind w:firstLine="42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据此函，__________签字人兹宣布同意如下：</w:t>
      </w:r>
      <w:r>
        <w:rPr>
          <w:rFonts w:hint="eastAsia" w:ascii="宋体" w:hAnsi="宋体" w:eastAsia="宋体" w:cs="宋体"/>
          <w:sz w:val="24"/>
          <w:szCs w:val="24"/>
          <w:highlight w:val="none"/>
        </w:rPr>
      </w:r>
      <w:r/>
    </w:p>
    <w:p>
      <w:pPr>
        <w:pStyle w:val="114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1.按招标文件规定的各项要求，向买方提供所需服务（包含与服务相关的货物）。</w:t>
      </w:r>
      <w:r>
        <w:rPr>
          <w:rFonts w:hint="eastAsia" w:ascii="宋体" w:hAnsi="宋体" w:eastAsia="宋体" w:cs="宋体"/>
          <w:sz w:val="24"/>
          <w:szCs w:val="24"/>
          <w:highlight w:val="none"/>
        </w:rPr>
      </w:r>
      <w:r/>
    </w:p>
    <w:p>
      <w:pPr>
        <w:pStyle w:val="114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2.我们完全理解贵方不一定将合同授予最低报价的投标人。</w:t>
      </w:r>
      <w:r>
        <w:rPr>
          <w:rFonts w:hint="eastAsia" w:ascii="宋体" w:hAnsi="宋体" w:eastAsia="宋体" w:cs="宋体"/>
          <w:sz w:val="24"/>
          <w:szCs w:val="24"/>
          <w:highlight w:val="none"/>
        </w:rPr>
      </w:r>
      <w:r/>
    </w:p>
    <w:p>
      <w:pPr>
        <w:pStyle w:val="114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3.我们已详细审核全部招标文件及其有效补充文件，我们知道必须放弃提出含糊不清或误解问题的权利。</w:t>
      </w:r>
      <w:r>
        <w:rPr>
          <w:rFonts w:hint="eastAsia" w:ascii="宋体" w:hAnsi="宋体" w:eastAsia="宋体" w:cs="宋体"/>
          <w:sz w:val="24"/>
          <w:szCs w:val="24"/>
          <w:highlight w:val="none"/>
        </w:rPr>
      </w:r>
      <w:r/>
    </w:p>
    <w:p>
      <w:pPr>
        <w:pStyle w:val="114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4.我们同意从规定的开标日期起遵循本投标文件，并在规定的投标有效期期满之前均具有约束力。</w:t>
      </w:r>
      <w:r>
        <w:rPr>
          <w:rFonts w:hint="eastAsia" w:ascii="宋体" w:hAnsi="宋体" w:eastAsia="宋体" w:cs="宋体"/>
          <w:sz w:val="24"/>
          <w:szCs w:val="24"/>
          <w:highlight w:val="none"/>
        </w:rPr>
      </w:r>
      <w:r/>
    </w:p>
    <w:p>
      <w:pPr>
        <w:pStyle w:val="114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sz w:val="24"/>
          <w:szCs w:val="24"/>
          <w:highlight w:val="none"/>
        </w:rPr>
      </w:r>
      <w:r/>
    </w:p>
    <w:p>
      <w:pPr>
        <w:pStyle w:val="114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6.一旦我方中标</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我方将根据招标文件的规定，严格履行合同的责任和义务</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并保证在招标文件规定的时间完成项目，交付买方验收、使用。</w:t>
      </w:r>
      <w:r>
        <w:rPr>
          <w:rFonts w:hint="eastAsia" w:ascii="宋体" w:hAnsi="宋体" w:eastAsia="宋体" w:cs="宋体"/>
          <w:sz w:val="24"/>
          <w:szCs w:val="24"/>
          <w:highlight w:val="none"/>
        </w:rPr>
      </w:r>
      <w:r/>
    </w:p>
    <w:p>
      <w:pPr>
        <w:pStyle w:val="114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7.与本投标有关的正式通讯地址为：</w:t>
      </w:r>
      <w:r>
        <w:rPr>
          <w:rFonts w:hint="eastAsia" w:ascii="宋体" w:hAnsi="宋体" w:eastAsia="宋体" w:cs="宋体"/>
          <w:sz w:val="24"/>
          <w:szCs w:val="24"/>
          <w:highlight w:val="none"/>
        </w:rPr>
      </w:r>
      <w:r/>
    </w:p>
    <w:p>
      <w:pPr>
        <w:pStyle w:val="1140"/>
        <w:ind w:left="42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rPr>
      </w:r>
      <w:r/>
    </w:p>
    <w:p>
      <w:pPr>
        <w:pStyle w:val="1140"/>
        <w:ind w:left="42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          编：</w:t>
      </w:r>
      <w:r>
        <w:rPr>
          <w:rFonts w:hint="eastAsia" w:ascii="宋体" w:hAnsi="宋体" w:eastAsia="宋体" w:cs="宋体"/>
          <w:sz w:val="24"/>
          <w:szCs w:val="24"/>
          <w:highlight w:val="none"/>
        </w:rPr>
      </w:r>
      <w:r/>
    </w:p>
    <w:p>
      <w:pPr>
        <w:pStyle w:val="1140"/>
        <w:ind w:left="42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rPr>
      </w:r>
      <w:r/>
    </w:p>
    <w:p>
      <w:pPr>
        <w:pStyle w:val="1140"/>
        <w:ind w:left="42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          真：</w:t>
      </w:r>
      <w:r>
        <w:rPr>
          <w:rFonts w:hint="eastAsia" w:ascii="宋体" w:hAnsi="宋体" w:eastAsia="宋体" w:cs="宋体"/>
          <w:sz w:val="24"/>
          <w:szCs w:val="24"/>
          <w:highlight w:val="none"/>
        </w:rPr>
      </w:r>
      <w:r/>
    </w:p>
    <w:p>
      <w:pPr>
        <w:pStyle w:val="1140"/>
        <w:ind w:left="42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投标人开户行：</w:t>
      </w:r>
      <w:r>
        <w:rPr>
          <w:rFonts w:hint="eastAsia" w:ascii="宋体" w:hAnsi="宋体" w:eastAsia="宋体" w:cs="宋体"/>
          <w:sz w:val="24"/>
          <w:szCs w:val="24"/>
          <w:highlight w:val="none"/>
        </w:rPr>
      </w:r>
      <w:r/>
    </w:p>
    <w:p>
      <w:pPr>
        <w:pStyle w:val="1140"/>
        <w:ind w:left="42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          号： </w:t>
      </w:r>
      <w:r>
        <w:rPr>
          <w:rFonts w:hint="eastAsia" w:ascii="宋体" w:hAnsi="宋体" w:eastAsia="宋体" w:cs="宋体"/>
          <w:sz w:val="24"/>
          <w:szCs w:val="24"/>
          <w:highlight w:val="none"/>
        </w:rPr>
      </w:r>
      <w:r/>
    </w:p>
    <w:p>
      <w:pPr>
        <w:pStyle w:val="1140"/>
        <w:ind w:left="42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期：________年____月____日</w:t>
      </w:r>
      <w:r>
        <w:rPr>
          <w:rFonts w:hint="eastAsia" w:ascii="宋体" w:hAnsi="宋体" w:eastAsia="宋体" w:cs="宋体"/>
          <w:sz w:val="24"/>
          <w:szCs w:val="24"/>
          <w:highlight w:val="none"/>
        </w:rPr>
      </w:r>
      <w:r/>
    </w:p>
    <w:p>
      <w:pPr>
        <w:pStyle w:val="1084"/>
        <w:jc w:val="center"/>
        <w:spacing w:before="312" w:after="312" w:line="360" w:lineRule="auto"/>
        <w:rPr>
          <w:rFonts w:hint="eastAsia" w:ascii="黑体" w:hAnsi="黑体" w:eastAsia="黑体" w:cs="Times New Roman"/>
          <w:i/>
          <w:color w:val="000000"/>
          <w:sz w:val="32"/>
          <w:szCs w:val="32"/>
          <w:highlight w:val="none"/>
          <w:u w:val="single"/>
        </w:rPr>
      </w:pPr>
      <w:r>
        <w:rPr>
          <w:rFonts w:ascii="宋体" w:hAnsi="宋体"/>
          <w:b/>
          <w:color w:val="000000"/>
          <w:szCs w:val="21"/>
          <w:highlight w:val="none"/>
        </w:rPr>
        <w:br w:type="page" w:clear="all"/>
      </w:r>
      <w:r>
        <w:rPr>
          <w:rFonts w:hint="eastAsia" w:ascii="黑体" w:hAnsi="黑体" w:eastAsia="黑体"/>
          <w:i/>
          <w:color w:val="000000"/>
          <w:sz w:val="32"/>
          <w:szCs w:val="32"/>
          <w:highlight w:val="none"/>
          <w:u w:val="single"/>
        </w:rPr>
        <w:t xml:space="preserve">十</w:t>
      </w:r>
      <w:r>
        <w:rPr>
          <w:rFonts w:hint="eastAsia" w:ascii="黑体" w:hAnsi="黑体" w:eastAsia="黑体" w:cs="Times New Roman"/>
          <w:i/>
          <w:color w:val="000000"/>
          <w:sz w:val="32"/>
          <w:szCs w:val="32"/>
          <w:highlight w:val="none"/>
          <w:u w:val="single"/>
        </w:rPr>
        <w:t xml:space="preserve">、中小微企业声明函（服务类项目）（采购包号：**）</w:t>
      </w:r>
      <w:r>
        <w:rPr>
          <w:rFonts w:hint="eastAsia" w:ascii="黑体" w:hAnsi="黑体" w:eastAsia="黑体" w:cs="Times New Roman"/>
          <w:i/>
          <w:color w:val="000000"/>
          <w:sz w:val="32"/>
          <w:szCs w:val="32"/>
          <w:highlight w:val="none"/>
          <w:u w:val="single"/>
        </w:rPr>
      </w:r>
      <w:r/>
    </w:p>
    <w:p>
      <w:pPr>
        <w:pStyle w:val="1116"/>
        <w:ind w:left="0" w:righ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sz w:val="24"/>
          <w:szCs w:val="24"/>
          <w:highlight w:val="none"/>
        </w:rPr>
        <w:t xml:space="preserve">   </w:t>
      </w: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1116"/>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116"/>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116"/>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1116"/>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116"/>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1116"/>
        <w:ind w:right="7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116"/>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1116"/>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111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11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11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1116"/>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084"/>
        <w:ind w:right="720" w:firstLine="480"/>
        <w:spacing w:line="560" w:lineRule="exact"/>
        <w:rPr>
          <w:rFonts w:ascii="宋体" w:hAnsi="宋体"/>
          <w:sz w:val="24"/>
          <w:szCs w:val="24"/>
          <w:highlight w:val="none"/>
        </w:rPr>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ascii="宋体" w:hAnsi="宋体"/>
          <w:sz w:val="24"/>
          <w:szCs w:val="24"/>
          <w:highlight w:val="none"/>
        </w:rPr>
      </w:r>
      <w:r/>
    </w:p>
    <w:p>
      <w:pPr>
        <w:pStyle w:val="1162"/>
        <w:jc w:val="both"/>
        <w:spacing w:before="300" w:after="300" w:line="360" w:lineRule="auto"/>
        <w:widowControl/>
        <w:rPr>
          <w:rFonts w:hint="eastAsia" w:ascii="宋体" w:hAnsi="宋体" w:cs="微软雅黑"/>
          <w:bCs w:val="0"/>
          <w:color w:val="000000"/>
          <w:sz w:val="21"/>
          <w:szCs w:val="21"/>
          <w:highlight w:val="none"/>
        </w:rPr>
      </w:pPr>
      <w:r>
        <w:rPr>
          <w:rFonts w:hint="eastAsia" w:ascii="宋体" w:hAnsi="宋体" w:cs="微软雅黑"/>
          <w:bCs w:val="0"/>
          <w:color w:val="000000"/>
          <w:sz w:val="21"/>
          <w:szCs w:val="21"/>
          <w:highlight w:val="none"/>
        </w:rPr>
      </w:r>
      <w:r/>
    </w:p>
    <w:p>
      <w:pPr>
        <w:pStyle w:val="1151"/>
        <w:ind w:left="0" w:firstLine="0"/>
        <w:jc w:val="left"/>
        <w:rPr>
          <w:rFonts w:hint="eastAsia"/>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highlight w:val="none"/>
        </w:rPr>
      </w:r>
      <w:r/>
    </w:p>
    <w:p>
      <w:pPr>
        <w:pStyle w:val="1086"/>
        <w:jc w:val="center"/>
        <w:spacing w:before="300" w:after="300" w:line="360" w:lineRule="auto"/>
        <w:widowControl/>
        <w:rPr>
          <w:rFonts w:ascii="宋体" w:hAnsi="宋体"/>
          <w:color w:val="000000"/>
          <w:sz w:val="21"/>
          <w:szCs w:val="21"/>
          <w:highlight w:val="none"/>
        </w:rPr>
      </w:pPr>
      <w:r/>
      <w:bookmarkStart w:id="22" w:name="_Toc109304977"/>
      <w:r>
        <w:rPr>
          <w:rFonts w:hint="eastAsia" w:ascii="宋体" w:hAnsi="宋体" w:cs="微软雅黑"/>
          <w:bCs w:val="0"/>
          <w:color w:val="000000"/>
          <w:sz w:val="21"/>
          <w:szCs w:val="21"/>
          <w:highlight w:val="none"/>
        </w:rPr>
        <w:t xml:space="preserve">中小微企业划型标准</w:t>
      </w:r>
      <w:bookmarkEnd w:id="22"/>
      <w:r>
        <w:rPr>
          <w:rFonts w:hint="eastAsia" w:ascii="宋体" w:hAnsi="宋体" w:cs="微软雅黑"/>
          <w:bCs w:val="0"/>
          <w:color w:val="000000"/>
          <w:sz w:val="21"/>
          <w:szCs w:val="21"/>
          <w:highlight w:val="none"/>
        </w:rPr>
        <w:t xml:space="preserve"> </w:t>
      </w:r>
      <w:r>
        <w:rPr>
          <w:rFonts w:ascii="宋体" w:hAnsi="宋体"/>
          <w:color w:val="000000"/>
          <w:sz w:val="21"/>
          <w:szCs w:val="21"/>
          <w:highlight w:val="none"/>
        </w:rPr>
      </w:r>
      <w:r/>
    </w:p>
    <w:p>
      <w:pPr>
        <w:pStyle w:val="1116"/>
        <w:spacing w:before="300" w:after="452" w:line="360" w:lineRule="auto"/>
        <w:widowControl/>
        <w:rPr>
          <w:rStyle w:val="1119"/>
          <w:rFonts w:hint="eastAsia" w:ascii="宋体" w:hAnsi="宋体" w:cs="仿宋"/>
          <w:color w:val="000000"/>
          <w:sz w:val="21"/>
          <w:szCs w:val="21"/>
          <w:highlight w:val="none"/>
        </w:rPr>
      </w:pPr>
      <w:r>
        <w:rPr>
          <w:rStyle w:val="1119"/>
          <w:rFonts w:hint="eastAsia" w:ascii="宋体" w:hAnsi="宋体" w:cs="仿宋"/>
          <w:color w:val="000000"/>
          <w:sz w:val="21"/>
          <w:szCs w:val="21"/>
          <w:highlight w:val="none"/>
        </w:rPr>
        <w:t xml:space="preserve">中小微企业划型标准如下：</w:t>
      </w:r>
      <w:r>
        <w:rPr>
          <w:rStyle w:val="1119"/>
          <w:rFonts w:hint="eastAsia" w:ascii="宋体" w:hAnsi="宋体" w:cs="仿宋"/>
          <w:color w:val="000000"/>
          <w:sz w:val="21"/>
          <w:szCs w:val="21"/>
          <w:highlight w:val="none"/>
        </w:rPr>
      </w:r>
      <w:r/>
    </w:p>
    <w:tbl>
      <w:tblPr>
        <w:tblW w:w="8988" w:type="dxa"/>
        <w:tblCellSpacing w:w="15" w:type="dxa"/>
        <w:tblInd w:w="-2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147"/>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行业名称</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指标名称</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计量单位</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中型</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小型</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微型</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农、林、牧、渔</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500≤Y＜20000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50≤Y＜500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Y＜50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工业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300≤X＜1000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20≤X＜300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X＜20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2000≤Y＜40000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300≤Y＜2000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Y＜300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建筑业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6000≤Y＜80000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300≤Y＜6000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Y＜300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资产总额（Z）</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5000≤Z＜80000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300≤Z＜5000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Z＜300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批发业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20≤X＜200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5≤X＜20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X＜5</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5000≤Y＜40000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1000≤Y＜5000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Y＜1000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零售业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50≤X＜300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10≤X＜50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X＜10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500≤Y＜20000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100≤Y＜500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Y＜100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交通运输业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300≤X＜1000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20≤X＜300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X＜20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3000≤Y＜30000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200≤Y＜3000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Y＜200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仓储业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100≤X＜200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20≤X＜100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X＜20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1000≤Y＜30000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100≤Y＜1000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Y＜100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邮政业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300≤X＜1000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20≤X＜300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X＜20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2000≤Y＜30000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100≤Y＜2000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Y＜100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住宿业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100≤X＜300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ind w:firstLine="420"/>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10≤X＜100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X＜10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2000≤Y＜10000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100≤Y＜2000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Y＜100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餐饮业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100≤X＜300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10≤X＜100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X＜10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2000≤Y＜10000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100≤Y＜2000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Y＜100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信息传输业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100≤X＜2000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10≤X＜100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X＜10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1000≤Y＜100000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100≤Y＜1000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Y＜100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软件和信息技术服务业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100≤X＜300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10≤X＜100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X＜10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1000≤Y＜10000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50≤Y＜1000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Y＜50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房地产开发经营</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1000≤Y＜200000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100≤X＜1000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X＜100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资产总额（Z）</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5000≤Z＜10000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2000≤Y＜5000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Y＜2000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物业管理</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300≤X＜1000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100≤X＜300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X＜100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1000≤Y＜5000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500≤Y＜1000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Y＜500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租赁和商务服务业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100≤X＜300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10≤X＜100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X＜10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资产总额（Z）</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8000≤Z＜120000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100≤Z＜8000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Y＜100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其他未列明行业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100≤X＜300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10≤X＜100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X＜10</w:t>
            </w:r>
            <w:r>
              <w:rPr>
                <w:rFonts w:ascii="Times New Roman" w:hAnsi="Times New Roman"/>
                <w:color w:val="000000"/>
                <w:sz w:val="21"/>
                <w:szCs w:val="21"/>
                <w:highlight w:val="none"/>
              </w:rPr>
            </w:r>
            <w:r/>
          </w:p>
        </w:tc>
      </w:tr>
    </w:tbl>
    <w:p>
      <w:pPr>
        <w:pStyle w:val="1116"/>
        <w:spacing w:before="300" w:after="452" w:line="360" w:lineRule="auto"/>
        <w:widowControl/>
        <w:rPr>
          <w:rStyle w:val="1119"/>
          <w:rFonts w:ascii="宋体" w:hAnsi="宋体" w:cs="仿宋"/>
          <w:color w:val="000000"/>
          <w:sz w:val="21"/>
          <w:szCs w:val="21"/>
          <w:highlight w:val="none"/>
        </w:rPr>
      </w:pPr>
      <w:r>
        <w:rPr>
          <w:rStyle w:val="1119"/>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w:t>
      </w:r>
      <w:r>
        <w:rPr>
          <w:rStyle w:val="1119"/>
          <w:rFonts w:hint="eastAsia" w:ascii="宋体" w:hAnsi="宋体" w:cs="仿宋"/>
          <w:color w:val="000000"/>
          <w:sz w:val="21"/>
          <w:szCs w:val="21"/>
          <w:highlight w:val="none"/>
          <w:lang w:eastAsia="zh-CN"/>
        </w:rPr>
        <w:t xml:space="preserve">只需</w:t>
      </w:r>
      <w:r>
        <w:rPr>
          <w:rStyle w:val="1119"/>
          <w:rFonts w:hint="eastAsia" w:ascii="宋体" w:hAnsi="宋体" w:cs="仿宋"/>
          <w:color w:val="000000"/>
          <w:sz w:val="21"/>
          <w:szCs w:val="21"/>
          <w:highlight w:val="none"/>
        </w:rPr>
        <w:t xml:space="preserve">满足所列指标中的一项即可。</w:t>
      </w:r>
      <w:r>
        <w:rPr>
          <w:rStyle w:val="1119"/>
          <w:rFonts w:ascii="宋体" w:hAnsi="宋体" w:cs="仿宋"/>
          <w:color w:val="000000"/>
          <w:sz w:val="21"/>
          <w:szCs w:val="21"/>
          <w:highlight w:val="none"/>
        </w:rPr>
      </w:r>
      <w:r/>
    </w:p>
    <w:p>
      <w:pPr>
        <w:pStyle w:val="1084"/>
        <w:jc w:val="center"/>
        <w:spacing w:line="360" w:lineRule="auto"/>
        <w:rPr>
          <w:rFonts w:hint="eastAsia" w:ascii="黑体" w:hAnsi="黑体" w:eastAsia="黑体" w:cs="Times New Roman"/>
          <w:iCs/>
          <w:color w:val="000000"/>
          <w:sz w:val="32"/>
          <w:szCs w:val="32"/>
          <w:highlight w:val="none"/>
        </w:rPr>
      </w:pPr>
      <w:r>
        <w:rPr>
          <w:rStyle w:val="1119"/>
          <w:rFonts w:ascii="宋体" w:hAnsi="宋体" w:cs="仿宋"/>
          <w:color w:val="000000"/>
          <w:szCs w:val="21"/>
          <w:highlight w:val="none"/>
        </w:rPr>
        <w:br w:type="page" w:clear="all"/>
      </w:r>
      <w:r>
        <w:rPr>
          <w:rFonts w:hint="eastAsia" w:ascii="黑体" w:hAnsi="黑体" w:eastAsia="黑体"/>
          <w:iCs/>
          <w:color w:val="000000"/>
          <w:sz w:val="32"/>
          <w:szCs w:val="32"/>
          <w:highlight w:val="none"/>
        </w:rPr>
        <w:t xml:space="preserve">十</w:t>
      </w:r>
      <w:r>
        <w:rPr>
          <w:rFonts w:hint="eastAsia" w:ascii="黑体" w:hAnsi="黑体" w:eastAsia="黑体" w:cs="Times New Roman"/>
          <w:iCs/>
          <w:color w:val="000000"/>
          <w:sz w:val="32"/>
          <w:szCs w:val="32"/>
          <w:highlight w:val="none"/>
        </w:rPr>
        <w:t xml:space="preserve">、残疾人福利性单位声明函（服务类项目）（采购包号：**）</w:t>
      </w:r>
      <w:r>
        <w:rPr>
          <w:rFonts w:hint="eastAsia" w:ascii="黑体" w:hAnsi="黑体" w:eastAsia="黑体" w:cs="Times New Roman"/>
          <w:iCs/>
          <w:color w:val="000000"/>
          <w:sz w:val="32"/>
          <w:szCs w:val="32"/>
          <w:highlight w:val="none"/>
        </w:rPr>
      </w:r>
      <w:r/>
    </w:p>
    <w:p>
      <w:pPr>
        <w:pStyle w:val="1116"/>
        <w:ind w:left="0" w:righ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1116"/>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1116"/>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116"/>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116"/>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1116"/>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1116"/>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1116"/>
        <w:ind w:left="0" w:firstLine="624"/>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116"/>
        <w:ind w:left="0" w:right="1559" w:firstLine="624"/>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1084"/>
        <w:jc w:val="center"/>
        <w:spacing w:line="360" w:lineRule="auto"/>
        <w:rPr>
          <w:rFonts w:hint="eastAsia"/>
          <w:color w:val="000000"/>
          <w:highlight w:val="none"/>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w:t>
      </w:r>
      <w:r>
        <w:rPr>
          <w:rFonts w:hint="eastAsia"/>
          <w:color w:val="000000"/>
          <w:highlight w:val="none"/>
        </w:rPr>
      </w:r>
      <w:r/>
    </w:p>
    <w:p>
      <w:pPr>
        <w:pStyle w:val="1084"/>
        <w:ind w:firstLine="624"/>
        <w:spacing w:line="360" w:lineRule="auto"/>
        <w:rPr>
          <w:rFonts w:hint="eastAsia" w:ascii="仿宋_GB2312" w:eastAsia="仿宋_GB2312"/>
          <w:color w:val="000000"/>
          <w:spacing w:val="6"/>
          <w:sz w:val="30"/>
          <w:szCs w:val="30"/>
          <w:highlight w:val="none"/>
        </w:rPr>
      </w:pPr>
      <w:r>
        <w:rPr>
          <w:rFonts w:hint="eastAsia" w:ascii="仿宋_GB2312" w:eastAsia="仿宋_GB2312"/>
          <w:color w:val="000000"/>
          <w:spacing w:val="6"/>
          <w:sz w:val="30"/>
          <w:szCs w:val="30"/>
          <w:highlight w:val="none"/>
        </w:rPr>
      </w:r>
      <w:r/>
    </w:p>
    <w:p>
      <w:pPr>
        <w:pStyle w:val="1084"/>
        <w:ind w:right="1560" w:firstLine="420"/>
        <w:jc w:val="center"/>
        <w:spacing w:line="360" w:lineRule="auto"/>
        <w:tabs>
          <w:tab w:val="left" w:pos="4860" w:leader="none"/>
        </w:tabs>
        <w:rPr>
          <w:rFonts w:ascii="宋体" w:hAnsi="宋体"/>
          <w:color w:val="000000"/>
          <w:szCs w:val="21"/>
          <w:highlight w:val="none"/>
        </w:rPr>
      </w:pPr>
      <w:r>
        <w:rPr>
          <w:rFonts w:ascii="宋体" w:hAnsi="宋体"/>
          <w:color w:val="000000"/>
          <w:szCs w:val="21"/>
          <w:highlight w:val="none"/>
        </w:rPr>
      </w:r>
      <w:r/>
    </w:p>
    <w:p>
      <w:pPr>
        <w:pStyle w:val="1084"/>
        <w:jc w:val="center"/>
        <w:spacing w:line="560" w:lineRule="exact"/>
        <w:rPr>
          <w:rFonts w:ascii="黑体" w:hAnsi="黑体" w:eastAsia="黑体"/>
          <w:b/>
          <w:sz w:val="32"/>
          <w:szCs w:val="32"/>
          <w:highlight w:val="none"/>
        </w:rPr>
      </w:pPr>
      <w:r>
        <w:rPr>
          <w:rFonts w:ascii="宋体" w:hAnsi="宋体"/>
          <w:b/>
          <w:bCs/>
          <w:color w:val="000000"/>
          <w:highlight w:val="none"/>
        </w:rPr>
        <w:br w:type="page" w:clear="all"/>
      </w:r>
      <w:r>
        <w:rPr>
          <w:rFonts w:hint="eastAsia" w:ascii="黑体" w:hAnsi="黑体" w:eastAsia="黑体"/>
          <w:b/>
          <w:sz w:val="32"/>
          <w:szCs w:val="32"/>
          <w:highlight w:val="none"/>
        </w:rPr>
        <w:t xml:space="preserve">十一、联合体协议（参考格式）</w:t>
      </w:r>
      <w:r>
        <w:rPr>
          <w:rFonts w:ascii="黑体" w:hAnsi="黑体" w:eastAsia="黑体"/>
          <w:b/>
          <w:sz w:val="32"/>
          <w:szCs w:val="32"/>
          <w:highlight w:val="none"/>
        </w:rPr>
      </w:r>
      <w:r/>
    </w:p>
    <w:p>
      <w:pPr>
        <w:pStyle w:val="1084"/>
        <w:spacing w:line="560" w:lineRule="exact"/>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1084"/>
        <w:ind w:firstLine="645"/>
        <w:spacing w:line="560" w:lineRule="exact"/>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自愿组成联合体，参加扬州市公共资源交易中心组织的采购编号为</w:t>
      </w:r>
      <w:r>
        <w:rPr>
          <w:rFonts w:hint="eastAsia" w:ascii="宋体" w:hAnsi="宋体"/>
          <w:sz w:val="24"/>
          <w:highlight w:val="none"/>
          <w:u w:val="single"/>
        </w:rPr>
        <w:t xml:space="preserve">（编号全称），（项目全称）</w:t>
      </w:r>
      <w:r>
        <w:rPr>
          <w:rFonts w:hint="eastAsia" w:ascii="宋体" w:hAnsi="宋体"/>
          <w:sz w:val="24"/>
          <w:highlight w:val="none"/>
        </w:rPr>
        <w:t xml:space="preserve">项目（分包号：**）的政府采购活动，我联合体指定</w:t>
      </w:r>
      <w:r>
        <w:rPr>
          <w:rFonts w:hint="eastAsia" w:ascii="宋体" w:hAnsi="宋体"/>
          <w:sz w:val="24"/>
          <w:highlight w:val="none"/>
          <w:u w:val="single"/>
        </w:rPr>
        <w:t xml:space="preserve">（</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w:t>
      </w:r>
      <w:r>
        <w:rPr>
          <w:rFonts w:hint="eastAsia" w:ascii="宋体" w:hAnsi="宋体"/>
          <w:sz w:val="24"/>
          <w:highlight w:val="none"/>
        </w:rPr>
        <w:t xml:space="preserve">为牵头单位（牵头单位必须为联合体成员）。</w:t>
      </w:r>
      <w:r>
        <w:rPr>
          <w:rFonts w:ascii="宋体" w:hAnsi="宋体"/>
          <w:sz w:val="24"/>
          <w:highlight w:val="none"/>
        </w:rPr>
      </w:r>
      <w:r/>
    </w:p>
    <w:p>
      <w:pPr>
        <w:pStyle w:val="1084"/>
        <w:ind w:firstLine="645"/>
        <w:spacing w:line="56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、若我们联合中标、成交，（</w:t>
      </w:r>
      <w:r>
        <w:rPr>
          <w:rFonts w:hint="eastAsia" w:ascii="宋体" w:hAnsi="宋体"/>
          <w:sz w:val="24"/>
          <w:highlight w:val="none"/>
          <w:lang w:eastAsia="zh-CN"/>
        </w:rPr>
        <w:t xml:space="preserve">投标人</w:t>
      </w:r>
      <w:r>
        <w:rPr>
          <w:rFonts w:hint="eastAsia" w:ascii="宋体" w:hAnsi="宋体"/>
          <w:sz w:val="24"/>
          <w:highlight w:val="none"/>
        </w:rPr>
        <w:t xml:space="preserve">单位</w:t>
      </w:r>
      <w:r>
        <w:rPr>
          <w:rFonts w:ascii="宋体" w:hAnsi="宋体"/>
          <w:sz w:val="24"/>
          <w:highlight w:val="none"/>
        </w:rPr>
        <w:t xml:space="preserve">1</w:t>
      </w:r>
      <w:r>
        <w:rPr>
          <w:rFonts w:hint="eastAsia" w:ascii="宋体" w:hAnsi="宋体"/>
          <w:sz w:val="24"/>
          <w:highlight w:val="none"/>
        </w:rPr>
        <w:t xml:space="preserve">全称）实施项目中（工作内容）部分工作，并承担相应的责任。（</w:t>
      </w:r>
      <w:r>
        <w:rPr>
          <w:rFonts w:hint="eastAsia" w:ascii="宋体" w:hAnsi="宋体"/>
          <w:sz w:val="24"/>
          <w:highlight w:val="none"/>
          <w:lang w:eastAsia="zh-CN"/>
        </w:rPr>
        <w:t xml:space="preserve">投标人</w:t>
      </w:r>
      <w:r>
        <w:rPr>
          <w:rFonts w:hint="eastAsia" w:ascii="宋体" w:hAnsi="宋体"/>
          <w:sz w:val="24"/>
          <w:highlight w:val="none"/>
        </w:rPr>
        <w:t xml:space="preserve">单位</w:t>
      </w:r>
      <w:r>
        <w:rPr>
          <w:rFonts w:ascii="宋体" w:hAnsi="宋体"/>
          <w:sz w:val="24"/>
          <w:highlight w:val="none"/>
        </w:rPr>
        <w:t xml:space="preserve">2</w:t>
      </w:r>
      <w:r>
        <w:rPr>
          <w:rFonts w:hint="eastAsia" w:ascii="宋体" w:hAnsi="宋体"/>
          <w:sz w:val="24"/>
          <w:highlight w:val="none"/>
        </w:rPr>
        <w:t xml:space="preserve">全称）实施项目中（工作内容）部分工作，并承担相应的责任……。（注：联合体中各</w:t>
      </w:r>
      <w:r>
        <w:rPr>
          <w:rFonts w:hint="eastAsia" w:ascii="宋体" w:hAnsi="宋体"/>
          <w:sz w:val="24"/>
          <w:highlight w:val="none"/>
          <w:lang w:eastAsia="zh-CN"/>
        </w:rPr>
        <w:t xml:space="preserve">投标人</w:t>
      </w:r>
      <w:r>
        <w:rPr>
          <w:rFonts w:hint="eastAsia" w:ascii="宋体" w:hAnsi="宋体"/>
          <w:sz w:val="24"/>
          <w:highlight w:val="none"/>
        </w:rPr>
        <w:t xml:space="preserve">都应明示所承担的工作和相应的责任）。</w:t>
      </w:r>
      <w:r>
        <w:rPr>
          <w:rFonts w:ascii="宋体" w:hAnsi="宋体"/>
          <w:sz w:val="24"/>
          <w:highlight w:val="none"/>
        </w:rPr>
      </w:r>
      <w:r/>
    </w:p>
    <w:p>
      <w:pPr>
        <w:pStyle w:val="1084"/>
        <w:ind w:firstLine="645"/>
        <w:spacing w:line="56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r>
        <w:rPr>
          <w:rFonts w:ascii="宋体" w:hAnsi="宋体"/>
          <w:sz w:val="24"/>
          <w:highlight w:val="none"/>
          <w:u w:val="single"/>
        </w:rPr>
        <w:t xml:space="preserve">      </w:t>
      </w:r>
      <w:r>
        <w:rPr>
          <w:rFonts w:hint="eastAsia" w:ascii="宋体" w:hAnsi="宋体"/>
          <w:sz w:val="24"/>
          <w:highlight w:val="none"/>
        </w:rPr>
        <w:t xml:space="preserve">（小型、微型企业/残疾人福利性单位/监狱企业全称）为</w:t>
      </w:r>
      <w:r>
        <w:rPr>
          <w:rFonts w:ascii="宋体" w:hAnsi="宋体"/>
          <w:sz w:val="24"/>
          <w:highlight w:val="none"/>
          <w:u w:val="single"/>
        </w:rPr>
        <w:t xml:space="preserve">    </w:t>
      </w:r>
      <w:r>
        <w:rPr>
          <w:rFonts w:hint="eastAsia" w:ascii="宋体" w:hAnsi="宋体"/>
          <w:sz w:val="24"/>
          <w:highlight w:val="none"/>
        </w:rPr>
        <w:t xml:space="preserve">（小型、微型企业/残疾人福利性单位/监狱企业）企业，且我们约定该公司/单位所承担的合同金额将占本项目合同总金额的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r>
      <w:r/>
    </w:p>
    <w:p>
      <w:pPr>
        <w:pStyle w:val="1084"/>
        <w:ind w:firstLine="645"/>
        <w:spacing w:line="560" w:lineRule="exact"/>
        <w:rPr>
          <w:rFonts w:ascii="宋体" w:hAnsi="宋体"/>
          <w:sz w:val="24"/>
          <w:highlight w:val="none"/>
        </w:rPr>
      </w:pPr>
      <w:r>
        <w:rPr>
          <w:rFonts w:ascii="宋体" w:hAnsi="宋体"/>
          <w:sz w:val="24"/>
          <w:highlight w:val="none"/>
        </w:rPr>
      </w:r>
      <w:r/>
    </w:p>
    <w:p>
      <w:pPr>
        <w:pStyle w:val="1084"/>
        <w:ind w:firstLine="645"/>
        <w:spacing w:line="560" w:lineRule="exact"/>
        <w:rPr>
          <w:rFonts w:ascii="宋体" w:hAnsi="宋体"/>
          <w:sz w:val="24"/>
          <w:highlight w:val="none"/>
        </w:rPr>
      </w:pPr>
      <w:r>
        <w:rPr>
          <w:rFonts w:hint="eastAsia" w:ascii="宋体" w:hAnsi="宋体"/>
          <w:sz w:val="24"/>
          <w:highlight w:val="none"/>
        </w:rPr>
        <w:t xml:space="preserve">备注：本招标文件中要求加盖CA电子签章的地方，仅需加盖牵头单位的CA电子签章。</w:t>
      </w:r>
      <w:r>
        <w:rPr>
          <w:rFonts w:ascii="宋体" w:hAnsi="宋体"/>
          <w:sz w:val="24"/>
          <w:highlight w:val="none"/>
        </w:rPr>
      </w:r>
      <w:r/>
    </w:p>
    <w:p>
      <w:pPr>
        <w:pStyle w:val="1084"/>
        <w:ind w:firstLine="645"/>
        <w:spacing w:line="560" w:lineRule="exact"/>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r>
      <w:r/>
    </w:p>
    <w:p>
      <w:pPr>
        <w:pStyle w:val="1084"/>
        <w:ind w:firstLine="645"/>
        <w:jc w:val="right"/>
        <w:spacing w:line="560" w:lineRule="exact"/>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全称（公章）：</w:t>
      </w:r>
      <w:r>
        <w:rPr>
          <w:rFonts w:ascii="宋体" w:hAnsi="宋体"/>
          <w:sz w:val="24"/>
          <w:highlight w:val="none"/>
        </w:rPr>
        <w:t xml:space="preserve">     </w:t>
      </w:r>
      <w:r>
        <w:rPr>
          <w:rFonts w:ascii="宋体" w:hAnsi="宋体"/>
          <w:sz w:val="24"/>
          <w:highlight w:val="none"/>
        </w:rPr>
      </w:r>
      <w:r/>
    </w:p>
    <w:p>
      <w:pPr>
        <w:pStyle w:val="1084"/>
        <w:ind w:firstLine="645"/>
        <w:spacing w:line="560" w:lineRule="exact"/>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日</w:t>
      </w:r>
      <w:r>
        <w:rPr>
          <w:rFonts w:hint="eastAsia" w:ascii="宋体" w:hAnsi="宋体"/>
          <w:sz w:val="24"/>
          <w:highlight w:val="none"/>
          <w:lang w:val="en-US" w:eastAsia="zh-CN"/>
        </w:rPr>
        <w:t xml:space="preserve">  </w:t>
      </w:r>
      <w:r>
        <w:rPr>
          <w:rFonts w:hint="eastAsia" w:ascii="宋体" w:hAnsi="宋体"/>
          <w:sz w:val="24"/>
          <w:highlight w:val="none"/>
        </w:rPr>
        <w:t xml:space="preserve">期：</w:t>
      </w:r>
      <w:r>
        <w:rPr>
          <w:rFonts w:ascii="宋体" w:hAnsi="宋体"/>
          <w:sz w:val="24"/>
          <w:highlight w:val="none"/>
        </w:rPr>
      </w:r>
      <w:r/>
    </w:p>
    <w:p>
      <w:pPr>
        <w:pStyle w:val="1163"/>
        <w:jc w:val="center"/>
        <w:spacing w:line="360" w:lineRule="auto"/>
        <w:rPr>
          <w:rFonts w:ascii="宋体" w:hAnsi="宋体"/>
          <w:b w:val="0"/>
          <w:bCs w:val="0"/>
          <w:color w:val="000000"/>
          <w:highlight w:val="none"/>
        </w:rPr>
      </w:pPr>
      <w:r>
        <w:rPr>
          <w:rFonts w:ascii="宋体" w:hAnsi="宋体"/>
          <w:b w:val="0"/>
          <w:bCs w:val="0"/>
          <w:color w:val="000000"/>
          <w:highlight w:val="none"/>
        </w:rPr>
      </w:r>
      <w:r/>
    </w:p>
    <w:p>
      <w:pPr>
        <w:pStyle w:val="1163"/>
        <w:jc w:val="center"/>
        <w:spacing w:line="360" w:lineRule="auto"/>
        <w:rPr>
          <w:rFonts w:hint="eastAsia" w:ascii="黑体" w:hAnsi="黑体" w:eastAsia="黑体"/>
          <w:b w:val="0"/>
          <w:bCs w:val="0"/>
          <w:i/>
          <w:color w:val="000000"/>
          <w:highlight w:val="none"/>
          <w:u w:val="single"/>
        </w:rPr>
        <w:sectPr>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b w:val="0"/>
          <w:bCs w:val="0"/>
          <w:i/>
          <w:color w:val="000000"/>
          <w:highlight w:val="none"/>
          <w:u w:val="single"/>
        </w:rPr>
      </w:r>
      <w:r/>
    </w:p>
    <w:p>
      <w:pPr>
        <w:pStyle w:val="1163"/>
        <w:jc w:val="center"/>
        <w:spacing w:line="360" w:lineRule="auto"/>
        <w:rPr>
          <w:rFonts w:hint="eastAsia" w:ascii="黑体" w:hAnsi="黑体" w:eastAsia="黑体"/>
          <w:b w:val="0"/>
          <w:bCs w:val="0"/>
          <w:i/>
          <w:color w:val="000000"/>
          <w:highlight w:val="none"/>
          <w:u w:val="single"/>
        </w:rPr>
      </w:pPr>
      <w:r>
        <w:rPr>
          <w:rFonts w:hint="eastAsia" w:ascii="黑体" w:hAnsi="黑体" w:eastAsia="黑体"/>
          <w:b w:val="0"/>
          <w:bCs w:val="0"/>
          <w:i/>
          <w:color w:val="000000"/>
          <w:highlight w:val="none"/>
          <w:u w:val="single"/>
        </w:rPr>
        <w:t xml:space="preserve">十</w:t>
      </w:r>
      <w:r>
        <w:rPr>
          <w:rFonts w:hint="eastAsia" w:ascii="黑体" w:hAnsi="黑体" w:eastAsia="黑体"/>
          <w:b w:val="0"/>
          <w:bCs w:val="0"/>
          <w:i/>
          <w:color w:val="000000"/>
          <w:highlight w:val="none"/>
          <w:u w:val="single"/>
          <w:lang w:val="en-US" w:eastAsia="zh-CN"/>
        </w:rPr>
        <w:t xml:space="preserve">二</w:t>
      </w:r>
      <w:r>
        <w:rPr>
          <w:rFonts w:hint="eastAsia" w:ascii="黑体" w:hAnsi="黑体" w:eastAsia="黑体"/>
          <w:b w:val="0"/>
          <w:bCs w:val="0"/>
          <w:i/>
          <w:color w:val="000000"/>
          <w:highlight w:val="none"/>
          <w:u w:val="single"/>
        </w:rPr>
        <w:t xml:space="preserve">、投标分项报价表</w:t>
      </w:r>
      <w:r>
        <w:rPr>
          <w:rFonts w:hint="eastAsia" w:ascii="黑体" w:hAnsi="黑体" w:eastAsia="黑体"/>
          <w:b w:val="0"/>
          <w:bCs w:val="0"/>
          <w:i/>
          <w:color w:val="000000"/>
          <w:highlight w:val="none"/>
          <w:u w:val="single"/>
        </w:rPr>
      </w:r>
      <w:r/>
    </w:p>
    <w:tbl>
      <w:tblPr>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1084"/>
              <w:jc w:val="center"/>
              <w:spacing w:line="0" w:lineRule="atLeast"/>
              <w:rPr>
                <w:rFonts w:ascii="宋体" w:hAnsi="宋体"/>
                <w:sz w:val="24"/>
                <w:szCs w:val="24"/>
                <w:highlight w:val="none"/>
              </w:rPr>
            </w:pPr>
            <w:r/>
            <w:bookmarkStart w:id="23" w:name="_Toc109304978"/>
            <w:r>
              <w:rPr>
                <w:rFonts w:hint="eastAsia" w:ascii="宋体" w:hAnsi="宋体"/>
                <w:sz w:val="24"/>
                <w:szCs w:val="24"/>
                <w:highlight w:val="none"/>
              </w:rPr>
              <w:t xml:space="preserve">序号</w:t>
            </w:r>
            <w:r>
              <w:rPr>
                <w:rFonts w:ascii="宋体" w:hAnsi="宋体"/>
                <w:sz w:val="24"/>
                <w:szCs w:val="24"/>
                <w:highlight w:val="none"/>
              </w:rPr>
            </w:r>
            <w:r/>
          </w:p>
        </w:tc>
        <w:tc>
          <w:tcPr>
            <w:tcW w:w="1274"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1288"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r>
            <w:r/>
          </w:p>
        </w:tc>
        <w:tc>
          <w:tcPr>
            <w:tcW w:w="924"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r>
            <w:r/>
          </w:p>
        </w:tc>
        <w:tc>
          <w:tcPr>
            <w:tcW w:w="1203"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r>
            <w:r/>
          </w:p>
        </w:tc>
        <w:tc>
          <w:tcPr>
            <w:tcW w:w="1618"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r>
            <w:r/>
          </w:p>
        </w:tc>
        <w:tc>
          <w:tcPr>
            <w:tcW w:w="1798"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6</w:t>
            </w:r>
            <w:r>
              <w:rPr>
                <w:rFonts w:ascii="宋体" w:hAnsi="宋体"/>
                <w:sz w:val="24"/>
                <w:szCs w:val="24"/>
                <w:highlight w:val="none"/>
              </w:rPr>
            </w:r>
            <w:r/>
          </w:p>
        </w:tc>
      </w:tr>
      <w:tr>
        <w:trPr>
          <w:cantSplit/>
          <w:trHeight w:val="294"/>
        </w:trPr>
        <w:tc>
          <w:tcPr>
            <w:tcW w:w="948" w:type="dxa"/>
            <w:vAlign w:val="center"/>
            <w:vMerge w:val="continue"/>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1274"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分项服务名称</w:t>
            </w:r>
            <w:r>
              <w:rPr>
                <w:rFonts w:ascii="宋体" w:hAnsi="宋体"/>
                <w:sz w:val="24"/>
                <w:szCs w:val="24"/>
                <w:highlight w:val="none"/>
              </w:rPr>
            </w:r>
            <w:r/>
          </w:p>
        </w:tc>
        <w:tc>
          <w:tcPr>
            <w:tcW w:w="1288"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交付期</w:t>
            </w:r>
            <w:r>
              <w:rPr>
                <w:rFonts w:ascii="宋体" w:hAnsi="宋体"/>
                <w:sz w:val="24"/>
                <w:szCs w:val="24"/>
                <w:highlight w:val="none"/>
              </w:rPr>
            </w:r>
            <w:r/>
          </w:p>
        </w:tc>
        <w:tc>
          <w:tcPr>
            <w:tcW w:w="924"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分项单位</w:t>
            </w:r>
            <w:r>
              <w:rPr>
                <w:rFonts w:ascii="宋体" w:hAnsi="宋体"/>
                <w:sz w:val="24"/>
                <w:szCs w:val="24"/>
                <w:highlight w:val="none"/>
              </w:rPr>
            </w:r>
            <w:r/>
          </w:p>
        </w:tc>
        <w:tc>
          <w:tcPr>
            <w:tcW w:w="1203"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数量</w:t>
            </w:r>
            <w:r>
              <w:rPr>
                <w:rFonts w:ascii="宋体" w:hAnsi="宋体"/>
                <w:sz w:val="24"/>
                <w:szCs w:val="24"/>
                <w:highlight w:val="none"/>
              </w:rPr>
            </w:r>
            <w:r/>
          </w:p>
        </w:tc>
        <w:tc>
          <w:tcPr>
            <w:tcW w:w="1618"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rPr>
                <w:rFonts w:ascii="宋体" w:hAnsi="宋体"/>
                <w:sz w:val="24"/>
                <w:szCs w:val="24"/>
                <w:highlight w:val="none"/>
              </w:rPr>
            </w:r>
            <w:r/>
          </w:p>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单价</w:t>
            </w:r>
            <w:r>
              <w:rPr>
                <w:rFonts w:ascii="宋体" w:hAnsi="宋体"/>
                <w:sz w:val="24"/>
                <w:szCs w:val="24"/>
                <w:highlight w:val="none"/>
              </w:rPr>
            </w:r>
            <w:r/>
          </w:p>
        </w:tc>
        <w:tc>
          <w:tcPr>
            <w:tcW w:w="1798"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rPr>
                <w:rFonts w:ascii="宋体" w:hAnsi="宋体"/>
                <w:sz w:val="24"/>
                <w:szCs w:val="24"/>
                <w:highlight w:val="none"/>
              </w:rPr>
            </w:r>
            <w:r/>
          </w:p>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总价</w:t>
            </w:r>
            <w:r>
              <w:rPr>
                <w:rFonts w:ascii="宋体" w:hAnsi="宋体"/>
                <w:sz w:val="24"/>
                <w:szCs w:val="24"/>
                <w:highlight w:val="none"/>
              </w:rPr>
            </w:r>
            <w:r/>
          </w:p>
        </w:tc>
      </w:tr>
      <w:tr>
        <w:trPr>
          <w:cantSplit/>
          <w:trHeight w:val="654"/>
        </w:trPr>
        <w:tc>
          <w:tcPr>
            <w:tcW w:w="948"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1274"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1288"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1203"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1618"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1798"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54"/>
        </w:trPr>
        <w:tc>
          <w:tcPr>
            <w:tcW w:w="948"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r>
            <w:r/>
          </w:p>
        </w:tc>
        <w:tc>
          <w:tcPr>
            <w:tcW w:w="1274"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1288"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1203"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1618"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1798"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54"/>
        </w:trPr>
        <w:tc>
          <w:tcPr>
            <w:tcW w:w="948"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r>
            <w:r/>
          </w:p>
        </w:tc>
        <w:tc>
          <w:tcPr>
            <w:tcW w:w="1274"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1288"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1203"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1618"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1798"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54"/>
        </w:trPr>
        <w:tc>
          <w:tcPr>
            <w:tcW w:w="948"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t xml:space="preserve">……</w:t>
            </w:r>
            <w:r>
              <w:rPr>
                <w:rFonts w:ascii="宋体" w:hAnsi="宋体"/>
                <w:sz w:val="24"/>
                <w:szCs w:val="24"/>
                <w:highlight w:val="none"/>
              </w:rPr>
            </w:r>
            <w:r/>
          </w:p>
        </w:tc>
        <w:tc>
          <w:tcPr>
            <w:tcW w:w="1274"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t xml:space="preserve">……</w:t>
            </w:r>
            <w:r>
              <w:rPr>
                <w:rFonts w:ascii="宋体" w:hAnsi="宋体"/>
                <w:sz w:val="24"/>
                <w:szCs w:val="24"/>
                <w:highlight w:val="none"/>
              </w:rPr>
            </w:r>
            <w:r/>
          </w:p>
        </w:tc>
        <w:tc>
          <w:tcPr>
            <w:tcW w:w="1288"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1203"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1618"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1798"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487"/>
        </w:trPr>
        <w:tc>
          <w:tcPr>
            <w:gridSpan w:val="6"/>
            <w:tcW w:w="7255"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投标总报价（人民币：元）</w:t>
            </w:r>
            <w:r>
              <w:rPr>
                <w:rFonts w:ascii="宋体" w:hAnsi="宋体"/>
                <w:sz w:val="24"/>
                <w:szCs w:val="24"/>
                <w:highlight w:val="none"/>
              </w:rPr>
            </w:r>
            <w:r/>
          </w:p>
        </w:tc>
        <w:tc>
          <w:tcPr>
            <w:tcW w:w="1798" w:type="dxa"/>
            <w:vAlign w:val="top"/>
            <w:textDirection w:val="lrTb"/>
            <w:noWrap w:val="false"/>
          </w:tcPr>
          <w:p>
            <w:pPr>
              <w:pStyle w:val="1084"/>
              <w:spacing w:line="0" w:lineRule="atLeast"/>
              <w:rPr>
                <w:rFonts w:ascii="宋体" w:hAnsi="宋体"/>
                <w:sz w:val="24"/>
                <w:szCs w:val="24"/>
                <w:highlight w:val="none"/>
              </w:rPr>
            </w:pPr>
            <w:r>
              <w:rPr>
                <w:rFonts w:ascii="宋体" w:hAnsi="宋体"/>
                <w:sz w:val="24"/>
                <w:szCs w:val="24"/>
                <w:highlight w:val="none"/>
              </w:rPr>
            </w:r>
            <w:r/>
          </w:p>
        </w:tc>
      </w:tr>
    </w:tbl>
    <w:p>
      <w:pPr>
        <w:pStyle w:val="1084"/>
        <w:rPr>
          <w:rFonts w:hint="eastAsia" w:ascii="宋体" w:hAnsi="宋体"/>
          <w:sz w:val="24"/>
          <w:szCs w:val="24"/>
          <w:highlight w:val="none"/>
        </w:rPr>
      </w:pPr>
      <w:r>
        <w:rPr>
          <w:rFonts w:hint="eastAsia" w:ascii="宋体" w:hAnsi="宋体"/>
          <w:sz w:val="24"/>
          <w:szCs w:val="24"/>
          <w:highlight w:val="none"/>
        </w:rPr>
        <w:t xml:space="preserve">备注：1.投标报价应包括所有的费用：人员工资并充分考虑在服务期间国家对人员工资的调整因素和自然增长因素、法定的社会养老保险、住房公积金、节假日福利费、加班费、服装费、工具折旧费、日常耗材费、法定税费、管理费、办公费、培训费、宣传服务费、配件费和维修费等（含为完成采购文件规定的服务工作所涉及到的一切相关费用）。</w:t>
      </w:r>
      <w:r>
        <w:rPr>
          <w:rFonts w:hint="eastAsia" w:ascii="宋体" w:hAnsi="宋体"/>
          <w:sz w:val="24"/>
          <w:szCs w:val="24"/>
          <w:highlight w:val="none"/>
        </w:rPr>
      </w:r>
      <w:r/>
    </w:p>
    <w:p>
      <w:pPr>
        <w:pStyle w:val="1084"/>
        <w:rPr>
          <w:rFonts w:hint="eastAsia" w:ascii="宋体" w:hAnsi="宋体"/>
          <w:sz w:val="24"/>
          <w:szCs w:val="24"/>
          <w:highlight w:val="none"/>
        </w:rPr>
      </w:pPr>
      <w:r>
        <w:rPr>
          <w:rFonts w:hint="eastAsia" w:ascii="宋体" w:hAnsi="宋体"/>
          <w:sz w:val="24"/>
          <w:szCs w:val="24"/>
          <w:highlight w:val="none"/>
        </w:rPr>
        <w:t xml:space="preserve">2. </w:t>
      </w:r>
      <w:r>
        <w:rPr>
          <w:rFonts w:hint="eastAsia" w:ascii="宋体" w:hAnsi="宋体" w:eastAsia="宋体" w:cs="宋体"/>
          <w:color w:val="000000"/>
          <w:sz w:val="24"/>
          <w:szCs w:val="24"/>
          <w:highlight w:val="none"/>
          <w:lang w:eastAsia="zh-CN"/>
        </w:rPr>
        <w:t xml:space="preserve">代理服务费包含在</w:t>
      </w:r>
      <w:r>
        <w:rPr>
          <w:rFonts w:hint="eastAsia"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eastAsia="zh-CN"/>
        </w:rPr>
        <w:t xml:space="preserve">总价中。</w:t>
      </w:r>
      <w:r>
        <w:rPr>
          <w:rFonts w:hint="eastAsia" w:ascii="宋体" w:hAnsi="宋体"/>
          <w:sz w:val="24"/>
          <w:szCs w:val="24"/>
          <w:highlight w:val="none"/>
        </w:rPr>
      </w:r>
      <w:r/>
    </w:p>
    <w:p>
      <w:pPr>
        <w:pStyle w:val="1084"/>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“投标分项报价表”中“投标总报价”数额应当与“开标一览表”中“投标总报价”数额一致。</w:t>
      </w:r>
      <w:r>
        <w:rPr>
          <w:rFonts w:hint="eastAsia" w:ascii="宋体" w:hAnsi="宋体"/>
          <w:sz w:val="24"/>
          <w:szCs w:val="24"/>
          <w:highlight w:val="none"/>
        </w:rPr>
      </w:r>
      <w:r/>
    </w:p>
    <w:p>
      <w:pPr>
        <w:pStyle w:val="1084"/>
        <w:ind w:firstLine="420"/>
        <w:spacing w:line="360" w:lineRule="auto"/>
        <w:rPr>
          <w:rFonts w:hint="eastAsia" w:ascii="黑体" w:hAnsi="黑体" w:eastAsia="黑体"/>
          <w:b/>
          <w:bCs/>
          <w:i/>
          <w:color w:val="000000"/>
          <w:highlight w:val="none"/>
          <w:u w:val="single"/>
        </w:rPr>
      </w:pPr>
      <w:r>
        <w:rPr>
          <w:rFonts w:hint="eastAsia" w:ascii="宋体" w:hAnsi="宋体" w:eastAsia="宋体" w:cs="Times New Roman"/>
          <w:color w:val="000000"/>
          <w:szCs w:val="21"/>
          <w:highlight w:val="none"/>
        </w:rPr>
        <w:br w:type="page" w:clear="all"/>
      </w:r>
      <w:r>
        <w:rPr>
          <w:rFonts w:hint="eastAsia" w:ascii="黑体" w:hAnsi="黑体" w:eastAsia="黑体"/>
          <w:b/>
          <w:bCs/>
          <w:i/>
          <w:color w:val="000000"/>
          <w:highlight w:val="none"/>
          <w:u w:val="single"/>
        </w:rPr>
        <w:t xml:space="preserve">十</w:t>
      </w:r>
      <w:r>
        <w:rPr>
          <w:rFonts w:hint="eastAsia" w:ascii="黑体" w:hAnsi="黑体" w:eastAsia="黑体"/>
          <w:b/>
          <w:bCs/>
          <w:i/>
          <w:color w:val="000000"/>
          <w:highlight w:val="none"/>
          <w:u w:val="single"/>
          <w:lang w:val="en-US" w:eastAsia="zh-CN"/>
        </w:rPr>
        <w:t xml:space="preserve">三</w:t>
      </w:r>
      <w:r>
        <w:rPr>
          <w:rFonts w:hint="eastAsia" w:ascii="黑体" w:hAnsi="黑体" w:eastAsia="黑体"/>
          <w:b/>
          <w:bCs/>
          <w:i/>
          <w:color w:val="000000"/>
          <w:highlight w:val="none"/>
          <w:u w:val="single"/>
        </w:rPr>
        <w:t xml:space="preserve">、技术要求响应及偏离表</w:t>
      </w:r>
      <w:r>
        <w:rPr>
          <w:rFonts w:hint="eastAsia" w:ascii="黑体" w:hAnsi="黑体" w:eastAsia="黑体"/>
          <w:b/>
          <w:bCs/>
          <w:i/>
          <w:color w:val="000000"/>
          <w:highlight w:val="none"/>
          <w:u w:val="single"/>
        </w:rPr>
      </w:r>
      <w:r/>
    </w:p>
    <w:p>
      <w:pPr>
        <w:pStyle w:val="1086"/>
        <w:jc w:val="center"/>
        <w:spacing w:line="360" w:lineRule="auto"/>
        <w:rPr>
          <w:rFonts w:hint="eastAsia" w:ascii="宋体" w:hAnsi="宋体"/>
          <w:bCs w:val="0"/>
          <w:color w:val="000000"/>
          <w:highlight w:val="none"/>
        </w:rPr>
      </w:pPr>
      <w:r/>
      <w:bookmarkEnd w:id="23"/>
      <w:r>
        <w:rPr>
          <w:rFonts w:hint="eastAsia" w:ascii="宋体" w:hAnsi="宋体"/>
          <w:bCs w:val="0"/>
          <w:color w:val="000000"/>
          <w:highlight w:val="none"/>
        </w:rPr>
      </w:r>
      <w:r/>
    </w:p>
    <w:tbl>
      <w:tblPr>
        <w:tblW w:w="88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2409" w:type="dxa"/>
            <w:vAlign w:val="center"/>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采购要求</w:t>
            </w:r>
            <w:r>
              <w:rPr>
                <w:rFonts w:hint="eastAsia" w:ascii="宋体" w:hAnsi="宋体"/>
                <w:color w:val="000000"/>
                <w:szCs w:val="21"/>
                <w:highlight w:val="none"/>
              </w:rPr>
            </w:r>
            <w:r/>
          </w:p>
        </w:tc>
        <w:tc>
          <w:tcPr>
            <w:tcW w:w="2284" w:type="dxa"/>
            <w:vAlign w:val="center"/>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磋商响应</w:t>
            </w:r>
            <w:r>
              <w:rPr>
                <w:rFonts w:hint="eastAsia" w:ascii="宋体" w:hAnsi="宋体"/>
                <w:color w:val="000000"/>
                <w:szCs w:val="21"/>
                <w:highlight w:val="none"/>
              </w:rPr>
            </w:r>
            <w:r/>
          </w:p>
        </w:tc>
        <w:tc>
          <w:tcPr>
            <w:tcW w:w="2016" w:type="dxa"/>
            <w:vAlign w:val="center"/>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超出、符合或偏离</w:t>
            </w:r>
            <w:r>
              <w:rPr>
                <w:rFonts w:hint="eastAsia" w:ascii="宋体" w:hAnsi="宋体"/>
                <w:color w:val="000000"/>
                <w:szCs w:val="21"/>
                <w:highlight w:val="none"/>
              </w:rPr>
            </w:r>
            <w:r/>
          </w:p>
        </w:tc>
        <w:tc>
          <w:tcPr>
            <w:tcW w:w="1137" w:type="dxa"/>
            <w:vAlign w:val="center"/>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证明材料</w:t>
            </w: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108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84"/>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hint="eastAsia" w:ascii="宋体" w:hAnsi="宋体"/>
          <w:color w:val="000000"/>
          <w:szCs w:val="21"/>
          <w:highlight w:val="none"/>
        </w:rPr>
      </w:r>
      <w:r/>
    </w:p>
    <w:p>
      <w:pPr>
        <w:pStyle w:val="108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2、行数不够，可自行添加。</w:t>
      </w:r>
      <w:r>
        <w:rPr>
          <w:rFonts w:hint="eastAsia" w:ascii="宋体" w:hAnsi="宋体"/>
          <w:color w:val="000000"/>
          <w:szCs w:val="21"/>
          <w:highlight w:val="none"/>
        </w:rPr>
      </w:r>
      <w:r/>
    </w:p>
    <w:p>
      <w:pPr>
        <w:pStyle w:val="1162"/>
        <w:jc w:val="center"/>
        <w:spacing w:line="360" w:lineRule="auto"/>
        <w:rPr>
          <w:rFonts w:hint="eastAsia" w:ascii="黑体" w:hAnsi="黑体" w:eastAsia="黑体"/>
          <w:b w:val="0"/>
          <w:bCs w:val="0"/>
          <w:i/>
          <w:color w:val="000000"/>
          <w:highlight w:val="none"/>
          <w:u w:val="single"/>
        </w:rPr>
      </w:pPr>
      <w:r/>
      <w:bookmarkStart w:id="24" w:name="_Hlt26955054"/>
      <w:r/>
      <w:bookmarkEnd w:id="24"/>
      <w:r/>
      <w:bookmarkStart w:id="25" w:name="_Toc109304979"/>
      <w:r>
        <w:rPr>
          <w:rFonts w:ascii="宋体" w:hAnsi="宋体"/>
          <w:bCs w:val="0"/>
          <w:color w:val="000000"/>
          <w:highlight w:val="none"/>
        </w:rPr>
        <w:br w:type="page" w:clear="all"/>
      </w:r>
      <w:r>
        <w:rPr>
          <w:rFonts w:hint="eastAsia" w:ascii="黑体" w:hAnsi="黑体" w:eastAsia="黑体"/>
          <w:b w:val="0"/>
          <w:bCs w:val="0"/>
          <w:i/>
          <w:color w:val="000000"/>
          <w:highlight w:val="none"/>
          <w:u w:val="single"/>
        </w:rPr>
        <w:t xml:space="preserve">十</w:t>
      </w:r>
      <w:r>
        <w:rPr>
          <w:rFonts w:hint="eastAsia" w:ascii="黑体" w:hAnsi="黑体" w:eastAsia="黑体"/>
          <w:b w:val="0"/>
          <w:bCs w:val="0"/>
          <w:i/>
          <w:color w:val="000000"/>
          <w:highlight w:val="none"/>
          <w:u w:val="single"/>
          <w:lang w:val="en-US" w:eastAsia="zh-CN"/>
        </w:rPr>
        <w:t xml:space="preserve">四</w:t>
      </w:r>
      <w:r>
        <w:rPr>
          <w:rFonts w:hint="eastAsia" w:ascii="黑体" w:hAnsi="黑体" w:eastAsia="黑体"/>
          <w:b w:val="0"/>
          <w:bCs w:val="0"/>
          <w:i/>
          <w:color w:val="000000"/>
          <w:highlight w:val="none"/>
          <w:u w:val="single"/>
        </w:rPr>
        <w:t xml:space="preserve">、商务要求响应及偏离表</w:t>
      </w:r>
      <w:r>
        <w:rPr>
          <w:rFonts w:hint="eastAsia" w:ascii="黑体" w:hAnsi="黑体" w:eastAsia="黑体"/>
          <w:b w:val="0"/>
          <w:bCs w:val="0"/>
          <w:i/>
          <w:color w:val="000000"/>
          <w:highlight w:val="none"/>
          <w:u w:val="single"/>
        </w:rPr>
      </w:r>
      <w:r/>
    </w:p>
    <w:p>
      <w:pPr>
        <w:pStyle w:val="1086"/>
        <w:jc w:val="center"/>
        <w:spacing w:line="360" w:lineRule="auto"/>
        <w:rPr>
          <w:rFonts w:hint="eastAsia" w:ascii="宋体" w:hAnsi="宋体"/>
          <w:bCs w:val="0"/>
          <w:color w:val="000000"/>
          <w:highlight w:val="none"/>
        </w:rPr>
      </w:pPr>
      <w:r/>
      <w:bookmarkEnd w:id="25"/>
      <w:r>
        <w:rPr>
          <w:rFonts w:hint="eastAsia" w:ascii="宋体" w:hAnsi="宋体"/>
          <w:bCs w:val="0"/>
          <w:color w:val="000000"/>
          <w:highlight w:val="none"/>
        </w:rPr>
      </w:r>
      <w:r/>
    </w:p>
    <w:tbl>
      <w:tblPr>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rPr>
                <w:rFonts w:ascii="仿宋_GB2312" w:hAnsi="宋体" w:eastAsia="仿宋_GB2312"/>
                <w:color w:val="000000"/>
                <w:szCs w:val="21"/>
                <w:highlight w:val="none"/>
              </w:rPr>
            </w:r>
            <w:r/>
          </w:p>
        </w:tc>
        <w:tc>
          <w:tcPr>
            <w:tcW w:w="1837"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563"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lang w:eastAsia="zh-CN"/>
              </w:rPr>
              <w:t xml:space="preserve">投标人</w:t>
            </w:r>
            <w:r>
              <w:rPr>
                <w:rFonts w:hint="eastAsia" w:ascii="仿宋_GB2312" w:hAnsi="宋体"/>
                <w:color w:val="000000"/>
                <w:szCs w:val="21"/>
                <w:highlight w:val="none"/>
              </w:rPr>
              <w:t xml:space="preserve">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hint="eastAsia"/>
                <w:color w:val="000000"/>
                <w:szCs w:val="21"/>
                <w:highlight w:val="none"/>
              </w:rPr>
              <w:t xml:space="preserve">服务时间</w:t>
            </w:r>
            <w:r>
              <w:rPr>
                <w:rFonts w:ascii="仿宋_GB2312" w:hAnsi="宋体" w:eastAsia="仿宋_GB2312"/>
                <w:color w:val="000000"/>
                <w:szCs w:val="21"/>
                <w:highlight w:val="none"/>
              </w:rPr>
            </w:r>
            <w:r/>
          </w:p>
        </w:tc>
        <w:tc>
          <w:tcPr>
            <w:tcW w:w="2502"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108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08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1084"/>
              <w:jc w:val="center"/>
              <w:spacing w:before="156" w:line="360" w:lineRule="auto"/>
              <w:rPr>
                <w:rFonts w:hint="eastAsia" w:ascii="仿宋_GB2312"/>
                <w:color w:val="000000"/>
                <w:szCs w:val="21"/>
                <w:highlight w:val="none"/>
              </w:rPr>
            </w:pPr>
            <w:r>
              <w:rPr>
                <w:rFonts w:hint="eastAsia"/>
                <w:color w:val="000000"/>
                <w:szCs w:val="21"/>
                <w:highlight w:val="none"/>
              </w:rPr>
              <w:t xml:space="preserve">服务方式</w:t>
            </w:r>
            <w:r>
              <w:rPr>
                <w:rFonts w:hint="eastAsia" w:ascii="仿宋_GB2312"/>
                <w:color w:val="000000"/>
                <w:szCs w:val="21"/>
                <w:highlight w:val="none"/>
              </w:rPr>
            </w:r>
            <w:r/>
          </w:p>
        </w:tc>
        <w:tc>
          <w:tcPr>
            <w:tcW w:w="2502" w:type="dxa"/>
            <w:vAlign w:val="top"/>
            <w:textDirection w:val="lrTb"/>
            <w:noWrap w:val="false"/>
          </w:tcPr>
          <w:p>
            <w:pPr>
              <w:pStyle w:val="1084"/>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108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08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1084"/>
              <w:jc w:val="center"/>
              <w:spacing w:before="156" w:line="360" w:lineRule="auto"/>
              <w:rPr>
                <w:rFonts w:hint="eastAsia" w:ascii="仿宋_GB2312"/>
                <w:color w:val="000000"/>
                <w:szCs w:val="21"/>
                <w:highlight w:val="none"/>
              </w:rPr>
            </w:pPr>
            <w:r>
              <w:rPr>
                <w:rFonts w:hint="eastAsia"/>
                <w:color w:val="000000"/>
                <w:szCs w:val="21"/>
                <w:highlight w:val="none"/>
              </w:rPr>
              <w:t xml:space="preserve">服务地点</w:t>
            </w:r>
            <w:r>
              <w:rPr>
                <w:rFonts w:hint="eastAsia" w:ascii="仿宋_GB2312"/>
                <w:color w:val="000000"/>
                <w:szCs w:val="21"/>
                <w:highlight w:val="none"/>
              </w:rPr>
            </w:r>
            <w:r/>
          </w:p>
        </w:tc>
        <w:tc>
          <w:tcPr>
            <w:tcW w:w="2502" w:type="dxa"/>
            <w:vAlign w:val="top"/>
            <w:textDirection w:val="lrTb"/>
            <w:noWrap w:val="false"/>
          </w:tcPr>
          <w:p>
            <w:pPr>
              <w:pStyle w:val="1084"/>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108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08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1084"/>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1084"/>
        <w:jc w:val="center"/>
        <w:rPr>
          <w:rFonts w:ascii="黑体" w:hAnsi="黑体" w:eastAsia="黑体"/>
          <w:b/>
          <w:i/>
          <w:sz w:val="32"/>
          <w:szCs w:val="32"/>
          <w:highlight w:val="none"/>
          <w:u w:val="single"/>
        </w:rPr>
      </w:pPr>
      <w:r/>
      <w:bookmarkStart w:id="26" w:name="_Hlt26955064"/>
      <w:r/>
      <w:bookmarkEnd w:id="26"/>
      <w:r/>
      <w:bookmarkStart w:id="27" w:name="_Hlt26955056"/>
      <w:r/>
      <w:bookmarkEnd w:id="27"/>
      <w:r/>
      <w:bookmarkStart w:id="28" w:name="_Hlt24879081"/>
      <w:r/>
      <w:bookmarkEnd w:id="28"/>
      <w:r/>
      <w:bookmarkStart w:id="29" w:name="_Hlt26671343"/>
      <w:r/>
      <w:bookmarkEnd w:id="29"/>
      <w:r/>
      <w:bookmarkStart w:id="30" w:name="_Hlt26671372"/>
      <w:r/>
      <w:bookmarkEnd w:id="30"/>
      <w:r/>
      <w:bookmarkStart w:id="31" w:name="_Hlt26580838"/>
      <w:r/>
      <w:bookmarkEnd w:id="31"/>
      <w:r/>
      <w:bookmarkStart w:id="32" w:name="_Hlt26609391"/>
      <w:r/>
      <w:bookmarkEnd w:id="32"/>
      <w:r/>
      <w:bookmarkStart w:id="33" w:name="_Hlt26782999"/>
      <w:r/>
      <w:bookmarkEnd w:id="33"/>
      <w:r>
        <w:rPr>
          <w:rFonts w:ascii="宋体" w:hAnsi="宋体"/>
          <w:b/>
          <w:color w:val="000000"/>
          <w:highlight w:val="none"/>
        </w:rPr>
        <w:br w:type="page" w:clear="all"/>
      </w:r>
      <w:r>
        <w:rPr>
          <w:rFonts w:hint="eastAsia" w:ascii="黑体" w:hAnsi="黑体" w:eastAsia="黑体"/>
          <w:b/>
          <w:i/>
          <w:sz w:val="32"/>
          <w:szCs w:val="32"/>
          <w:highlight w:val="none"/>
          <w:u w:val="single"/>
        </w:rPr>
        <w:t xml:space="preserve">十五、开标一览表</w:t>
      </w:r>
      <w:r>
        <w:rPr>
          <w:rFonts w:ascii="黑体" w:hAnsi="黑体" w:eastAsia="黑体"/>
          <w:b/>
          <w:i/>
          <w:sz w:val="32"/>
          <w:szCs w:val="32"/>
          <w:highlight w:val="none"/>
          <w:u w:val="single"/>
        </w:rPr>
      </w:r>
      <w:r/>
    </w:p>
    <w:p>
      <w:pPr>
        <w:pStyle w:val="1084"/>
        <w:jc w:val="center"/>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84"/>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1084"/>
        <w:ind w:firstLine="480"/>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1084"/>
        <w:ind w:firstLine="480"/>
        <w:rPr>
          <w:rFonts w:ascii="宋体" w:hAnsi="宋体"/>
          <w:color w:val="000000"/>
          <w:sz w:val="24"/>
          <w:szCs w:val="24"/>
          <w:highlight w:val="none"/>
        </w:rPr>
      </w:pPr>
      <w:r>
        <w:rPr>
          <w:rFonts w:hint="eastAsia" w:ascii="宋体" w:hAnsi="宋体"/>
          <w:color w:val="000000"/>
          <w:sz w:val="24"/>
          <w:szCs w:val="24"/>
          <w:highlight w:val="none"/>
        </w:rPr>
        <w:t xml:space="preserve">招标编号：                                  </w:t>
      </w:r>
      <w:r>
        <w:rPr>
          <w:rFonts w:ascii="宋体" w:hAnsi="宋体"/>
          <w:color w:val="000000"/>
          <w:sz w:val="24"/>
          <w:szCs w:val="24"/>
          <w:highlight w:val="none"/>
        </w:rPr>
      </w:r>
      <w:r/>
    </w:p>
    <w:p>
      <w:pPr>
        <w:pStyle w:val="1084"/>
        <w:spacing w:line="360" w:lineRule="auto"/>
        <w:rPr>
          <w:rFonts w:hint="eastAsia" w:ascii="宋体" w:hAnsi="宋体"/>
          <w:color w:val="000000"/>
          <w:szCs w:val="21"/>
          <w:highlight w:val="none"/>
        </w:rPr>
      </w:pPr>
      <w:r>
        <w:rPr>
          <w:rFonts w:hint="eastAsia" w:ascii="宋体" w:hAnsi="宋体"/>
          <w:color w:val="000000"/>
          <w:highlight w:val="none"/>
        </w:rPr>
        <w:t xml:space="preserve">                                                   </w:t>
      </w:r>
      <w:r>
        <w:rPr>
          <w:rFonts w:hint="eastAsia" w:ascii="宋体" w:hAnsi="宋体"/>
          <w:color w:val="000000"/>
          <w:szCs w:val="21"/>
          <w:highlight w:val="none"/>
        </w:rPr>
      </w:r>
      <w:r/>
    </w:p>
    <w:tbl>
      <w:tblPr>
        <w:tblW w:w="77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0"/>
      </w:tblGrid>
      <w:tr>
        <w:trPr>
          <w:cantSplit/>
          <w:trHeight w:val="724"/>
        </w:trPr>
        <w:tc>
          <w:tcPr>
            <w:tcW w:w="7740" w:type="dxa"/>
            <w:vAlign w:val="center"/>
            <w:textDirection w:val="lrTb"/>
            <w:noWrap w:val="false"/>
          </w:tcPr>
          <w:p>
            <w:pPr>
              <w:pStyle w:val="1084"/>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投标总报价</w:t>
            </w:r>
            <w:r>
              <w:rPr>
                <w:rFonts w:ascii="宋体" w:hAnsi="宋体"/>
                <w:sz w:val="24"/>
                <w:szCs w:val="24"/>
                <w:highlight w:val="none"/>
              </w:rPr>
            </w:r>
            <w:r/>
          </w:p>
        </w:tc>
      </w:tr>
      <w:tr>
        <w:trPr>
          <w:trHeight w:val="613"/>
        </w:trPr>
        <w:tc>
          <w:tcPr>
            <w:tcW w:w="7740" w:type="dxa"/>
            <w:vAlign w:val="center"/>
            <w:vMerge w:val="restart"/>
            <w:textDirection w:val="lrTb"/>
            <w:noWrap w:val="false"/>
          </w:tcPr>
          <w:p>
            <w:pPr>
              <w:pStyle w:val="1140"/>
              <w:ind w:firstLine="0"/>
              <w:spacing w:before="0" w:after="0" w:line="500" w:lineRule="exact"/>
              <w:rPr>
                <w:rFonts w:ascii="宋体" w:hAnsi="宋体" w:cs="宋体"/>
                <w:highlight w:val="none"/>
              </w:rPr>
            </w:pPr>
            <w:r>
              <w:rPr>
                <w:rFonts w:hint="eastAsia" w:ascii="宋体" w:hAnsi="宋体" w:cs="宋体"/>
                <w:highlight w:val="none"/>
              </w:rPr>
              <w:t xml:space="preserve">大写：                            </w:t>
            </w:r>
            <w:r>
              <w:rPr>
                <w:rFonts w:hint="eastAsia" w:ascii="宋体" w:hAnsi="宋体" w:cs="宋体"/>
                <w:highlight w:val="none"/>
              </w:rPr>
              <w:t xml:space="preserve">（人民币：元）</w:t>
            </w:r>
            <w:r>
              <w:rPr>
                <w:rFonts w:ascii="宋体" w:hAnsi="宋体" w:cs="宋体"/>
                <w:highlight w:val="none"/>
              </w:rPr>
            </w:r>
            <w:r/>
          </w:p>
        </w:tc>
      </w:tr>
      <w:tr>
        <w:trPr>
          <w:cantSplit/>
          <w:trHeight w:val="623"/>
        </w:trPr>
        <w:tc>
          <w:tcPr>
            <w:tcW w:w="7740" w:type="dxa"/>
            <w:vAlign w:val="center"/>
            <w:textDirection w:val="lrTb"/>
            <w:noWrap w:val="false"/>
          </w:tcPr>
          <w:p>
            <w:pPr>
              <w:pStyle w:val="1140"/>
              <w:ind w:firstLine="0"/>
              <w:spacing w:before="0" w:after="0" w:line="500" w:lineRule="exact"/>
              <w:rPr>
                <w:rFonts w:ascii="宋体" w:hAnsi="宋体"/>
                <w:szCs w:val="21"/>
                <w:highlight w:val="none"/>
              </w:rPr>
            </w:pPr>
            <w:r>
              <w:rPr>
                <w:rFonts w:hint="eastAsia" w:ascii="宋体" w:hAnsi="宋体" w:cs="宋体"/>
                <w:highlight w:val="none"/>
              </w:rPr>
              <w:t xml:space="preserve">小写：                             </w:t>
            </w:r>
            <w:r>
              <w:rPr>
                <w:rFonts w:hint="eastAsia" w:ascii="宋体" w:hAnsi="宋体" w:cs="宋体"/>
                <w:highlight w:val="none"/>
              </w:rPr>
              <w:t xml:space="preserve"> （人民币：圆）</w:t>
            </w:r>
            <w:r>
              <w:rPr>
                <w:rFonts w:ascii="宋体" w:hAnsi="宋体"/>
                <w:szCs w:val="21"/>
                <w:highlight w:val="none"/>
              </w:rPr>
            </w:r>
            <w:r/>
          </w:p>
        </w:tc>
      </w:tr>
    </w:tbl>
    <w:p>
      <w:pPr>
        <w:pStyle w:val="1084"/>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1084"/>
        <w:jc w:val="right"/>
        <w:spacing w:line="360" w:lineRule="auto"/>
        <w:rPr>
          <w:rFonts w:hint="eastAsia" w:ascii="宋体" w:hAnsi="宋体"/>
          <w:color w:val="000000"/>
          <w:highlight w:val="none"/>
        </w:rPr>
      </w:pPr>
      <w:r>
        <w:rPr>
          <w:rFonts w:hint="eastAsia" w:ascii="宋体" w:hAnsi="宋体"/>
          <w:color w:val="000000"/>
          <w:highlight w:val="none"/>
        </w:rPr>
        <w:t xml:space="preserve">日期：    年   月    日</w:t>
      </w:r>
      <w:r>
        <w:rPr>
          <w:rFonts w:hint="eastAsia" w:ascii="宋体" w:hAnsi="宋体"/>
          <w:color w:val="000000"/>
          <w:highlight w:val="none"/>
        </w:rPr>
      </w:r>
      <w:r/>
    </w:p>
    <w:p>
      <w:pPr>
        <w:pStyle w:val="1084"/>
        <w:jc w:val="left"/>
        <w:spacing w:line="360" w:lineRule="auto"/>
        <w:widowControl/>
        <w:rPr>
          <w:rFonts w:ascii="宋体" w:hAnsi="宋体"/>
          <w:b/>
          <w:color w:val="000000"/>
          <w:highlight w:val="none"/>
        </w:rPr>
      </w:pPr>
      <w:r>
        <w:rPr>
          <w:rFonts w:ascii="宋体" w:hAnsi="宋体"/>
          <w:b/>
          <w:color w:val="000000"/>
          <w:highlight w:val="none"/>
        </w:rPr>
      </w:r>
      <w:r/>
    </w:p>
    <w:p>
      <w:pPr>
        <w:pStyle w:val="1084"/>
        <w:jc w:val="center"/>
        <w:spacing w:before="312" w:line="360" w:lineRule="auto"/>
        <w:rPr>
          <w:rFonts w:hint="eastAsia" w:ascii="宋体" w:hAnsi="宋体"/>
          <w:b/>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color w:val="000000"/>
          <w:highlight w:val="none"/>
        </w:rPr>
      </w:r>
      <w:r/>
    </w:p>
    <w:p>
      <w:pPr>
        <w:pStyle w:val="1084"/>
        <w:jc w:val="center"/>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十</w:t>
      </w:r>
      <w:r>
        <w:rPr>
          <w:rFonts w:hint="eastAsia" w:ascii="黑体" w:hAnsi="黑体" w:eastAsia="黑体"/>
          <w:i/>
          <w:color w:val="000000"/>
          <w:sz w:val="32"/>
          <w:szCs w:val="32"/>
          <w:highlight w:val="none"/>
          <w:u w:val="single"/>
          <w:lang w:val="en-US" w:eastAsia="zh-CN"/>
        </w:rPr>
        <w:t xml:space="preserve">六</w:t>
      </w:r>
      <w:r>
        <w:rPr>
          <w:rFonts w:hint="eastAsia" w:ascii="黑体" w:hAnsi="黑体" w:eastAsia="黑体"/>
          <w:i/>
          <w:color w:val="000000"/>
          <w:sz w:val="32"/>
          <w:szCs w:val="32"/>
          <w:highlight w:val="none"/>
          <w:u w:val="single"/>
        </w:rPr>
        <w:t xml:space="preserve">、主要标的信息</w:t>
      </w:r>
      <w:r>
        <w:rPr>
          <w:rFonts w:hint="eastAsia" w:ascii="黑体" w:hAnsi="黑体" w:eastAsia="黑体"/>
          <w:i/>
          <w:color w:val="000000"/>
          <w:sz w:val="32"/>
          <w:szCs w:val="32"/>
          <w:highlight w:val="none"/>
          <w:u w:val="single"/>
        </w:rPr>
      </w:r>
      <w:r/>
    </w:p>
    <w:p>
      <w:pPr>
        <w:pStyle w:val="1084"/>
        <w:jc w:val="center"/>
        <w:spacing w:before="312" w:line="360" w:lineRule="auto"/>
        <w:rPr>
          <w:rFonts w:ascii="宋体" w:hAnsi="宋体"/>
          <w:b/>
          <w:highlight w:val="none"/>
        </w:rPr>
      </w:pPr>
      <w:r>
        <w:rPr>
          <w:rFonts w:hint="eastAsia" w:ascii="宋体" w:hAnsi="宋体"/>
          <w:b/>
          <w:highlight w:val="none"/>
        </w:rPr>
        <w:t xml:space="preserve">主要标的信息（中标后将公示）</w:t>
      </w:r>
      <w:r>
        <w:rPr>
          <w:rFonts w:ascii="宋体" w:hAnsi="宋体"/>
          <w:b/>
          <w:highlight w:val="none"/>
        </w:rPr>
      </w:r>
      <w:r/>
    </w:p>
    <w:p>
      <w:pPr>
        <w:pStyle w:val="1084"/>
        <w:spacing w:after="312" w:line="360" w:lineRule="auto"/>
        <w:rPr>
          <w:rFonts w:hint="eastAsia" w:ascii="宋体" w:hAnsi="宋体"/>
          <w:b/>
          <w:color w:val="000000"/>
          <w:highlight w:val="none"/>
        </w:rPr>
      </w:pP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全称：</w:t>
      </w:r>
      <w:r>
        <w:rPr>
          <w:rFonts w:hint="eastAsia" w:ascii="宋体" w:hAnsi="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0"/>
      </w:tblGrid>
      <w:tr>
        <w:trPr>
          <w:trHeight w:val="503"/>
        </w:trPr>
        <w:tc>
          <w:tcPr>
            <w:tcW w:w="7820" w:type="dxa"/>
            <w:vAlign w:val="top"/>
            <w:textDirection w:val="lrTb"/>
            <w:noWrap w:val="false"/>
          </w:tcPr>
          <w:p>
            <w:pPr>
              <w:pStyle w:val="1084"/>
              <w:jc w:val="center"/>
              <w:spacing w:line="360" w:lineRule="auto"/>
              <w:rPr>
                <w:rFonts w:ascii="宋体" w:hAnsi="宋体" w:cs="宋体"/>
                <w:color w:val="000000"/>
                <w:highlight w:val="none"/>
              </w:rPr>
            </w:pPr>
            <w:r>
              <w:rPr>
                <w:rFonts w:hint="eastAsia" w:ascii="宋体" w:hAnsi="宋体" w:cs="宋体"/>
                <w:b/>
                <w:bCs/>
                <w:color w:val="000000"/>
                <w:highlight w:val="none"/>
              </w:rPr>
              <w:t xml:space="preserve">服务类</w:t>
            </w:r>
            <w:r>
              <w:rPr>
                <w:rFonts w:ascii="宋体" w:hAnsi="宋体" w:cs="宋体"/>
                <w:color w:val="000000"/>
                <w:highlight w:val="none"/>
              </w:rPr>
            </w:r>
            <w:r/>
          </w:p>
        </w:tc>
      </w:tr>
      <w:tr>
        <w:trPr>
          <w:trHeight w:val="4032"/>
        </w:trPr>
        <w:tc>
          <w:tcPr>
            <w:tcW w:w="7820" w:type="dxa"/>
            <w:vAlign w:val="top"/>
            <w:textDirection w:val="lrTb"/>
            <w:noWrap w:val="false"/>
          </w:tcPr>
          <w:p>
            <w:pPr>
              <w:pStyle w:val="1084"/>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1084"/>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1084"/>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1084"/>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1084"/>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1084"/>
        <w:spacing w:line="400" w:lineRule="atLeast"/>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br w:type="page" w:clear="all"/>
      </w:r>
      <w:r>
        <w:rPr>
          <w:rFonts w:ascii="宋体" w:hAnsi="宋体" w:cs="宋体"/>
          <w:b/>
          <w:bCs/>
          <w:color w:val="000000"/>
          <w:sz w:val="24"/>
          <w:szCs w:val="24"/>
          <w:highlight w:val="none"/>
        </w:rPr>
        <w:t xml:space="preserve">关于符合本国产品标准的声明函（采购包号：**）</w:t>
      </w:r>
      <w:r>
        <w:rPr>
          <w:rFonts w:hint="eastAsia" w:ascii="宋体" w:hAnsi="宋体" w:cs="宋体"/>
          <w:b/>
          <w:bCs/>
          <w:color w:val="000000"/>
          <w:sz w:val="24"/>
          <w:szCs w:val="24"/>
          <w:highlight w:val="none"/>
        </w:rPr>
      </w:r>
      <w:r/>
    </w:p>
    <w:p>
      <w:pPr>
        <w:pStyle w:val="1084"/>
        <w:ind w:firstLine="480"/>
        <w:spacing w:line="400" w:lineRule="atLeast"/>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rFonts w:hint="eastAsia" w:ascii="宋体" w:hAnsi="宋体" w:cs="宋体"/>
          <w:color w:val="000000"/>
          <w:szCs w:val="24"/>
          <w:highlight w:val="none"/>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pStyle w:val="1084"/>
        <w:ind w:firstLine="0"/>
        <w:spacing w:line="400" w:lineRule="atLeast"/>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rPr>
          <w:rFonts w:hint="eastAsia" w:ascii="宋体" w:hAnsi="宋体" w:cs="宋体"/>
          <w:color w:val="000000"/>
          <w:szCs w:val="24"/>
          <w:highlight w:val="none"/>
        </w:rPr>
      </w:r>
      <w:r/>
    </w:p>
    <w:p>
      <w:pPr>
        <w:pStyle w:val="1084"/>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1084"/>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1084"/>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84"/>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84"/>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84"/>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84"/>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84"/>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1084"/>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w:t>
      </w:r>
      <w:r>
        <w:rPr>
          <w:rFonts w:hint="eastAsia" w:ascii="宋体" w:hAnsi="宋体" w:cs="仿宋"/>
          <w:bCs/>
          <w:color w:val="000000"/>
          <w:sz w:val="24"/>
          <w:szCs w:val="24"/>
          <w:highlight w:val="none"/>
          <w:lang w:eastAsia="zh-CN"/>
        </w:rPr>
        <w:t xml:space="preserve">投标人</w:t>
      </w:r>
      <w:r>
        <w:rPr>
          <w:rFonts w:hint="eastAsia" w:ascii="宋体" w:hAnsi="宋体" w:cs="仿宋"/>
          <w:bCs/>
          <w:color w:val="000000"/>
          <w:sz w:val="24"/>
          <w:szCs w:val="24"/>
          <w:highlight w:val="none"/>
        </w:rPr>
        <w:t xml:space="preserve">基本信息</w:t>
      </w:r>
      <w:r>
        <w:rPr>
          <w:rFonts w:ascii="宋体" w:hAnsi="宋体" w:cs="仿宋"/>
          <w:bCs/>
          <w:color w:val="000000"/>
          <w:sz w:val="24"/>
          <w:szCs w:val="24"/>
          <w:highlight w:val="none"/>
        </w:rPr>
      </w:r>
      <w:r/>
    </w:p>
    <w:p>
      <w:pPr>
        <w:pStyle w:val="108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w:t>
      </w:r>
      <w:r>
        <w:rPr>
          <w:rFonts w:hint="eastAsia" w:ascii="宋体" w:hAnsi="宋体" w:cs="仿宋"/>
          <w:color w:val="000000"/>
          <w:sz w:val="24"/>
          <w:szCs w:val="24"/>
          <w:highlight w:val="none"/>
          <w:lang w:eastAsia="zh-CN"/>
        </w:rPr>
        <w:t xml:space="preserve">投标人</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8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8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8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8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8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8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108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8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8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8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8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108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8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8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8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8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8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108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108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108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84"/>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1084"/>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1084"/>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108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提出质疑时，应提交质疑函和必要的证明材料。</w:t>
      </w:r>
      <w:r>
        <w:rPr>
          <w:rFonts w:ascii="宋体" w:hAnsi="宋体"/>
          <w:color w:val="000000"/>
          <w:sz w:val="24"/>
          <w:szCs w:val="24"/>
          <w:highlight w:val="none"/>
        </w:rPr>
      </w:r>
      <w:r/>
    </w:p>
    <w:p>
      <w:pPr>
        <w:pStyle w:val="108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若委托代理人进行质疑的，质疑函应按要求列明“授权代表”的有关内容，并在附件中提交由质疑</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签署的授权委托书。授权委托书应载明代理人的姓名或者名称、代理事项、具体权限、期限和相关事项。</w:t>
      </w:r>
      <w:r>
        <w:rPr>
          <w:rFonts w:ascii="宋体" w:hAnsi="宋体"/>
          <w:color w:val="000000"/>
          <w:sz w:val="24"/>
          <w:szCs w:val="24"/>
          <w:highlight w:val="none"/>
        </w:rPr>
      </w:r>
      <w:r/>
    </w:p>
    <w:p>
      <w:pPr>
        <w:pStyle w:val="108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若对项目的某一分包进行质疑，质疑函中应列明具体分包号。</w:t>
      </w:r>
      <w:r>
        <w:rPr>
          <w:rFonts w:ascii="宋体" w:hAnsi="宋体"/>
          <w:color w:val="000000"/>
          <w:sz w:val="24"/>
          <w:szCs w:val="24"/>
          <w:highlight w:val="none"/>
        </w:rPr>
      </w:r>
      <w:r/>
    </w:p>
    <w:p>
      <w:pPr>
        <w:pStyle w:val="108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108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108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为自然人的，质疑函应由本人签字；质疑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为法人或者其他组织的，质疑函应由法定代表人、主要负责人，或者其授权代表签字或者盖章，并加盖公章。</w:t>
      </w:r>
      <w:r>
        <w:rPr>
          <w:rFonts w:ascii="宋体" w:hAnsi="宋体"/>
          <w:color w:val="000000"/>
          <w:sz w:val="24"/>
          <w:szCs w:val="24"/>
          <w:highlight w:val="none"/>
        </w:rPr>
      </w:r>
      <w:r/>
    </w:p>
    <w:p>
      <w:pPr>
        <w:pStyle w:val="1095"/>
        <w:ind w:firstLine="480"/>
        <w:rPr>
          <w:color w:val="000000"/>
          <w:sz w:val="24"/>
          <w:szCs w:val="24"/>
          <w:highlight w:val="none"/>
        </w:rPr>
      </w:pPr>
      <w:r>
        <w:rPr>
          <w:color w:val="000000"/>
          <w:sz w:val="24"/>
          <w:szCs w:val="24"/>
          <w:highlight w:val="none"/>
        </w:rPr>
      </w:r>
      <w:r/>
    </w:p>
    <w:p>
      <w:pPr>
        <w:pStyle w:val="1095"/>
        <w:ind w:firstLine="480"/>
        <w:rPr>
          <w:color w:val="000000"/>
          <w:sz w:val="24"/>
          <w:szCs w:val="24"/>
          <w:highlight w:val="none"/>
        </w:rPr>
      </w:pPr>
      <w:r>
        <w:rPr>
          <w:color w:val="000000"/>
          <w:sz w:val="24"/>
          <w:szCs w:val="24"/>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center" w:pos="4153" w:leader="none"/>
        <w:tab w:val="right" w:pos="8306" w:leader="none"/>
      </w:tabs>
    </w:pPr>
    <w:r/>
    <w:r/>
  </w:p>
  <w:p>
    <w:pPr>
      <w:pStyle w:val="110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84"/>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84"/>
                    </w:pPr>
                    <w:r/>
                    <w:r/>
                  </w:p>
                </w:txbxContent>
              </v:textbox>
            </v:shape>
          </w:pict>
        </mc:Fallback>
      </mc:AlternateContent>
    </w:r>
    <w:r/>
  </w:p>
  <w:p>
    <w:pPr>
      <w:pStyle w:val="110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84"/>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84"/>
                    </w:pPr>
                    <w:r/>
                    <w:r/>
                  </w:p>
                </w:txbxContent>
              </v:textbox>
            </v:shape>
          </w:pict>
        </mc:Fallback>
      </mc:AlternateContent>
    </w:r>
    <w:r/>
  </w:p>
  <w:p>
    <w:pPr>
      <w:pStyle w:val="110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84"/>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84"/>
                    </w:pPr>
                    <w:r/>
                    <w:r/>
                  </w:p>
                </w:txbxContent>
              </v:textbox>
            </v:shape>
          </w:pict>
        </mc:Fallback>
      </mc:AlternateContent>
    </w:r>
    <w:r/>
  </w:p>
  <w:p>
    <w:pPr>
      <w:pStyle w:val="110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84"/>
                          </w:pPr>
                          <w:r/>
                          <w:r/>
                        </w:p>
                        <w:p>
                          <w:pPr>
                            <w:pStyle w:val="1084"/>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84"/>
                    </w:pPr>
                    <w:r/>
                    <w:r/>
                  </w:p>
                  <w:p>
                    <w:pPr>
                      <w:pStyle w:val="1084"/>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84"/>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84"/>
                    </w:pPr>
                    <w:r/>
                    <w:r/>
                  </w:p>
                </w:txbxContent>
              </v:textbox>
            </v:shape>
          </w:pict>
        </mc:Fallback>
      </mc:AlternateContent>
    </w:r>
    <w:r/>
  </w:p>
  <w:p>
    <w:pPr>
      <w:pStyle w:val="110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both"/>
      <w:tabs>
        <w:tab w:val="center" w:pos="4153" w:leader="none"/>
        <w:tab w:val="right" w:pos="8306" w:leader="none"/>
      </w:tabs>
      <w:rPr>
        <w:szCs w:val="22"/>
      </w:rPr>
      <w:pBdr>
        <w:bottom w:val="none" w:color="000000" w:sz="0" w:space="1"/>
      </w:pBdr>
    </w:pPr>
    <w:r/>
    <w:bookmarkStart w:id="34" w:name="_Hlk69393956"/>
    <w:r/>
    <w:bookmarkStart w:id="35" w:name="_Hlk69393955"/>
    <w:r>
      <w:t xml:space="preserve">      </w:t>
    </w:r>
    <w:bookmarkEnd w:id="34"/>
    <w:r/>
    <w:bookmarkEnd w:id="35"/>
    <w:r>
      <w:rPr>
        <w:rFonts w:hint="eastAsia"/>
      </w:rPr>
      <w:t xml:space="preserve">        </w:t>
    </w:r>
    <w:r>
      <w:rPr>
        <w:szCs w:val="2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both"/>
      <w:tabs>
        <w:tab w:val="center" w:pos="4153" w:leader="none"/>
        <w:tab w:val="right" w:pos="8306" w:leader="none"/>
      </w:tabs>
      <w:rPr>
        <w:szCs w:val="22"/>
      </w:rPr>
      <w:pBdr>
        <w:bottom w:val="none" w:color="000000" w:sz="0" w:space="1"/>
      </w:pBdr>
    </w:pPr>
    <w:r>
      <w:t xml:space="preserve">      </w:t>
    </w:r>
    <w:r>
      <w:rPr>
        <w:rFonts w:hint="eastAsia"/>
      </w:rPr>
      <w:t xml:space="preserve">        </w:t>
    </w:r>
    <w:r>
      <w:rPr>
        <w:szCs w:val="2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both"/>
      <w:tabs>
        <w:tab w:val="center" w:pos="4153" w:leader="none"/>
        <w:tab w:val="right" w:pos="8306" w:leader="none"/>
      </w:tabs>
      <w:rPr>
        <w:szCs w:val="22"/>
      </w:rPr>
      <w:pBdr>
        <w:bottom w:val="none" w:color="000000" w:sz="0" w:space="1"/>
      </w:pBdr>
    </w:pPr>
    <w:r>
      <w:t xml:space="preserve">      </w:t>
    </w:r>
    <w:r>
      <w:rPr>
        <w:rFonts w:hint="eastAsia"/>
      </w:rPr>
      <w:t xml:space="preserve">        </w:t>
    </w:r>
    <w:r>
      <w:rPr>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0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22"/>
      <w:isLgl w:val="false"/>
      <w:suff w:val="tab"/>
      <w:lvlText w:val=""/>
      <w:lvlJc w:val="left"/>
      <w:pPr>
        <w:pStyle w:val="1084"/>
        <w:ind w:left="780" w:hanging="360"/>
        <w:tabs>
          <w:tab w:val="num" w:pos="780" w:leader="none"/>
        </w:tabs>
      </w:pPr>
      <w:rPr>
        <w:rFonts w:ascii="Wingdings" w:hAnsi="Wingdings"/>
      </w:rPr>
    </w:lvl>
    <w:lvl w:ilvl="1">
      <w:start w:val="1"/>
      <w:numFmt w:val="bullet"/>
      <w:isLgl w:val="false"/>
      <w:suff w:val="tab"/>
      <w:lvlText w:val="o"/>
      <w:lvlJc w:val="left"/>
      <w:pPr>
        <w:pStyle w:val="1084"/>
        <w:ind w:left="1440" w:hanging="360"/>
      </w:pPr>
      <w:rPr>
        <w:rFonts w:ascii="Courier New" w:hAnsi="Courier New" w:eastAsia="Courier New" w:cs="Courier New"/>
      </w:rPr>
    </w:lvl>
    <w:lvl w:ilvl="2">
      <w:start w:val="1"/>
      <w:numFmt w:val="bullet"/>
      <w:isLgl w:val="false"/>
      <w:suff w:val="tab"/>
      <w:lvlText w:val="§"/>
      <w:lvlJc w:val="left"/>
      <w:pPr>
        <w:pStyle w:val="1084"/>
        <w:ind w:left="2160" w:hanging="360"/>
      </w:pPr>
      <w:rPr>
        <w:rFonts w:ascii="Wingdings" w:hAnsi="Wingdings" w:eastAsia="Wingdings" w:cs="Wingdings"/>
      </w:rPr>
    </w:lvl>
    <w:lvl w:ilvl="3">
      <w:start w:val="1"/>
      <w:numFmt w:val="bullet"/>
      <w:isLgl w:val="false"/>
      <w:suff w:val="tab"/>
      <w:lvlText w:val="·"/>
      <w:lvlJc w:val="left"/>
      <w:pPr>
        <w:pStyle w:val="1084"/>
        <w:ind w:left="2880" w:hanging="360"/>
      </w:pPr>
      <w:rPr>
        <w:rFonts w:ascii="Symbol" w:hAnsi="Symbol" w:eastAsia="Symbol" w:cs="Symbol"/>
      </w:rPr>
    </w:lvl>
    <w:lvl w:ilvl="4">
      <w:start w:val="1"/>
      <w:numFmt w:val="bullet"/>
      <w:isLgl w:val="false"/>
      <w:suff w:val="tab"/>
      <w:lvlText w:val="o"/>
      <w:lvlJc w:val="left"/>
      <w:pPr>
        <w:pStyle w:val="1084"/>
        <w:ind w:left="3600" w:hanging="360"/>
      </w:pPr>
      <w:rPr>
        <w:rFonts w:ascii="Courier New" w:hAnsi="Courier New" w:eastAsia="Courier New" w:cs="Courier New"/>
      </w:rPr>
    </w:lvl>
    <w:lvl w:ilvl="5">
      <w:start w:val="1"/>
      <w:numFmt w:val="bullet"/>
      <w:isLgl w:val="false"/>
      <w:suff w:val="tab"/>
      <w:lvlText w:val="§"/>
      <w:lvlJc w:val="left"/>
      <w:pPr>
        <w:pStyle w:val="1084"/>
        <w:ind w:left="4320" w:hanging="360"/>
      </w:pPr>
      <w:rPr>
        <w:rFonts w:ascii="Wingdings" w:hAnsi="Wingdings" w:eastAsia="Wingdings" w:cs="Wingdings"/>
      </w:rPr>
    </w:lvl>
    <w:lvl w:ilvl="6">
      <w:start w:val="1"/>
      <w:numFmt w:val="bullet"/>
      <w:isLgl w:val="false"/>
      <w:suff w:val="tab"/>
      <w:lvlText w:val="·"/>
      <w:lvlJc w:val="left"/>
      <w:pPr>
        <w:pStyle w:val="1084"/>
        <w:ind w:left="5040" w:hanging="360"/>
      </w:pPr>
      <w:rPr>
        <w:rFonts w:ascii="Symbol" w:hAnsi="Symbol" w:eastAsia="Symbol" w:cs="Symbol"/>
      </w:rPr>
    </w:lvl>
    <w:lvl w:ilvl="7">
      <w:start w:val="1"/>
      <w:numFmt w:val="bullet"/>
      <w:isLgl w:val="false"/>
      <w:suff w:val="tab"/>
      <w:lvlText w:val="o"/>
      <w:lvlJc w:val="left"/>
      <w:pPr>
        <w:pStyle w:val="1084"/>
        <w:ind w:left="5760" w:hanging="360"/>
      </w:pPr>
      <w:rPr>
        <w:rFonts w:ascii="Courier New" w:hAnsi="Courier New" w:eastAsia="Courier New" w:cs="Courier New"/>
      </w:rPr>
    </w:lvl>
    <w:lvl w:ilvl="8">
      <w:start w:val="1"/>
      <w:numFmt w:val="bullet"/>
      <w:isLgl w:val="false"/>
      <w:suff w:val="tab"/>
      <w:lvlText w:val="§"/>
      <w:lvlJc w:val="left"/>
      <w:pPr>
        <w:pStyle w:val="1084"/>
        <w:ind w:left="6480" w:hanging="360"/>
      </w:pPr>
      <w:rPr>
        <w:rFonts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1084"/>
      </w:pPr>
      <w:rPr>
        <w:rFonts w:hint="eastAsia"/>
      </w:rPr>
    </w:lvl>
    <w:lvl w:ilvl="1">
      <w:start w:val="1"/>
      <w:numFmt w:val="bullet"/>
      <w:isLgl w:val="false"/>
      <w:suff w:val="tab"/>
      <w:lvlText w:val="o"/>
      <w:lvlJc w:val="left"/>
      <w:pPr>
        <w:pStyle w:val="1084"/>
        <w:ind w:left="1440" w:hanging="360"/>
      </w:pPr>
      <w:rPr>
        <w:rFonts w:ascii="Courier New" w:hAnsi="Courier New" w:eastAsia="Courier New" w:cs="Courier New"/>
      </w:rPr>
    </w:lvl>
    <w:lvl w:ilvl="2">
      <w:start w:val="1"/>
      <w:numFmt w:val="bullet"/>
      <w:isLgl w:val="false"/>
      <w:suff w:val="tab"/>
      <w:lvlText w:val="§"/>
      <w:lvlJc w:val="left"/>
      <w:pPr>
        <w:pStyle w:val="1084"/>
        <w:ind w:left="2160" w:hanging="360"/>
      </w:pPr>
      <w:rPr>
        <w:rFonts w:ascii="Wingdings" w:hAnsi="Wingdings" w:eastAsia="Wingdings" w:cs="Wingdings"/>
      </w:rPr>
    </w:lvl>
    <w:lvl w:ilvl="3">
      <w:start w:val="1"/>
      <w:numFmt w:val="bullet"/>
      <w:isLgl w:val="false"/>
      <w:suff w:val="tab"/>
      <w:lvlText w:val="·"/>
      <w:lvlJc w:val="left"/>
      <w:pPr>
        <w:pStyle w:val="1084"/>
        <w:ind w:left="2880" w:hanging="360"/>
      </w:pPr>
      <w:rPr>
        <w:rFonts w:ascii="Symbol" w:hAnsi="Symbol" w:eastAsia="Symbol" w:cs="Symbol"/>
      </w:rPr>
    </w:lvl>
    <w:lvl w:ilvl="4">
      <w:start w:val="1"/>
      <w:numFmt w:val="bullet"/>
      <w:isLgl w:val="false"/>
      <w:suff w:val="tab"/>
      <w:lvlText w:val="o"/>
      <w:lvlJc w:val="left"/>
      <w:pPr>
        <w:pStyle w:val="1084"/>
        <w:ind w:left="3600" w:hanging="360"/>
      </w:pPr>
      <w:rPr>
        <w:rFonts w:ascii="Courier New" w:hAnsi="Courier New" w:eastAsia="Courier New" w:cs="Courier New"/>
      </w:rPr>
    </w:lvl>
    <w:lvl w:ilvl="5">
      <w:start w:val="1"/>
      <w:numFmt w:val="bullet"/>
      <w:isLgl w:val="false"/>
      <w:suff w:val="tab"/>
      <w:lvlText w:val="§"/>
      <w:lvlJc w:val="left"/>
      <w:pPr>
        <w:pStyle w:val="1084"/>
        <w:ind w:left="4320" w:hanging="360"/>
      </w:pPr>
      <w:rPr>
        <w:rFonts w:ascii="Wingdings" w:hAnsi="Wingdings" w:eastAsia="Wingdings" w:cs="Wingdings"/>
      </w:rPr>
    </w:lvl>
    <w:lvl w:ilvl="6">
      <w:start w:val="1"/>
      <w:numFmt w:val="bullet"/>
      <w:isLgl w:val="false"/>
      <w:suff w:val="tab"/>
      <w:lvlText w:val="·"/>
      <w:lvlJc w:val="left"/>
      <w:pPr>
        <w:pStyle w:val="1084"/>
        <w:ind w:left="5040" w:hanging="360"/>
      </w:pPr>
      <w:rPr>
        <w:rFonts w:ascii="Symbol" w:hAnsi="Symbol" w:eastAsia="Symbol" w:cs="Symbol"/>
      </w:rPr>
    </w:lvl>
    <w:lvl w:ilvl="7">
      <w:start w:val="1"/>
      <w:numFmt w:val="bullet"/>
      <w:isLgl w:val="false"/>
      <w:suff w:val="tab"/>
      <w:lvlText w:val="o"/>
      <w:lvlJc w:val="left"/>
      <w:pPr>
        <w:pStyle w:val="1084"/>
        <w:ind w:left="5760" w:hanging="360"/>
      </w:pPr>
      <w:rPr>
        <w:rFonts w:ascii="Courier New" w:hAnsi="Courier New" w:eastAsia="Courier New" w:cs="Courier New"/>
      </w:rPr>
    </w:lvl>
    <w:lvl w:ilvl="8">
      <w:start w:val="1"/>
      <w:numFmt w:val="bullet"/>
      <w:isLgl w:val="false"/>
      <w:suff w:val="tab"/>
      <w:lvlText w:val="§"/>
      <w:lvlJc w:val="left"/>
      <w:pPr>
        <w:pStyle w:val="1084"/>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7">
    <w:name w:val="Heading 1"/>
    <w:basedOn w:val="1084"/>
    <w:next w:val="1084"/>
    <w:link w:val="908"/>
    <w:uiPriority w:val="9"/>
    <w:qFormat/>
    <w:pPr>
      <w:keepLines/>
      <w:keepNext/>
      <w:spacing w:before="480" w:after="200"/>
      <w:outlineLvl w:val="0"/>
    </w:pPr>
    <w:rPr>
      <w:rFonts w:ascii="Arial" w:hAnsi="Arial" w:eastAsia="Arial" w:cs="Arial"/>
      <w:sz w:val="40"/>
      <w:szCs w:val="40"/>
    </w:rPr>
  </w:style>
  <w:style w:type="character" w:styleId="908">
    <w:name w:val="Heading 1 Char"/>
    <w:link w:val="907"/>
    <w:uiPriority w:val="9"/>
    <w:rPr>
      <w:rFonts w:ascii="Arial" w:hAnsi="Arial" w:eastAsia="Arial" w:cs="Arial"/>
      <w:sz w:val="40"/>
      <w:szCs w:val="40"/>
    </w:rPr>
  </w:style>
  <w:style w:type="paragraph" w:styleId="909">
    <w:name w:val="Heading 2"/>
    <w:basedOn w:val="1084"/>
    <w:next w:val="1084"/>
    <w:link w:val="910"/>
    <w:uiPriority w:val="9"/>
    <w:unhideWhenUsed/>
    <w:qFormat/>
    <w:pPr>
      <w:keepLines/>
      <w:keepNext/>
      <w:spacing w:before="360" w:after="200"/>
      <w:outlineLvl w:val="1"/>
    </w:pPr>
    <w:rPr>
      <w:rFonts w:ascii="Arial" w:hAnsi="Arial" w:eastAsia="Arial" w:cs="Arial"/>
      <w:sz w:val="34"/>
    </w:rPr>
  </w:style>
  <w:style w:type="character" w:styleId="910">
    <w:name w:val="Heading 2 Char"/>
    <w:link w:val="909"/>
    <w:uiPriority w:val="9"/>
    <w:rPr>
      <w:rFonts w:ascii="Arial" w:hAnsi="Arial" w:eastAsia="Arial" w:cs="Arial"/>
      <w:sz w:val="34"/>
    </w:rPr>
  </w:style>
  <w:style w:type="paragraph" w:styleId="911">
    <w:name w:val="Heading 3"/>
    <w:basedOn w:val="1084"/>
    <w:next w:val="1084"/>
    <w:link w:val="912"/>
    <w:uiPriority w:val="9"/>
    <w:unhideWhenUsed/>
    <w:qFormat/>
    <w:pPr>
      <w:keepLines/>
      <w:keepNext/>
      <w:spacing w:before="320" w:after="200"/>
      <w:outlineLvl w:val="2"/>
    </w:pPr>
    <w:rPr>
      <w:rFonts w:ascii="Arial" w:hAnsi="Arial" w:eastAsia="Arial" w:cs="Arial"/>
      <w:sz w:val="30"/>
      <w:szCs w:val="30"/>
    </w:rPr>
  </w:style>
  <w:style w:type="character" w:styleId="912">
    <w:name w:val="Heading 3 Char"/>
    <w:link w:val="911"/>
    <w:uiPriority w:val="9"/>
    <w:rPr>
      <w:rFonts w:ascii="Arial" w:hAnsi="Arial" w:eastAsia="Arial" w:cs="Arial"/>
      <w:sz w:val="30"/>
      <w:szCs w:val="30"/>
    </w:rPr>
  </w:style>
  <w:style w:type="character" w:styleId="913">
    <w:name w:val="Heading 4 Char"/>
    <w:link w:val="1171"/>
    <w:uiPriority w:val="9"/>
    <w:rPr>
      <w:rFonts w:ascii="Arial" w:hAnsi="Arial" w:eastAsia="Arial" w:cs="Arial"/>
      <w:b/>
      <w:bCs/>
      <w:sz w:val="26"/>
      <w:szCs w:val="26"/>
    </w:rPr>
  </w:style>
  <w:style w:type="paragraph" w:styleId="914">
    <w:name w:val="Heading 5"/>
    <w:basedOn w:val="1084"/>
    <w:next w:val="1084"/>
    <w:link w:val="915"/>
    <w:uiPriority w:val="9"/>
    <w:unhideWhenUsed/>
    <w:qFormat/>
    <w:pPr>
      <w:keepLines/>
      <w:keepNext/>
      <w:spacing w:before="320" w:after="200"/>
      <w:outlineLvl w:val="4"/>
    </w:pPr>
    <w:rPr>
      <w:rFonts w:ascii="Arial" w:hAnsi="Arial" w:eastAsia="Arial" w:cs="Arial"/>
      <w:b/>
      <w:bCs/>
      <w:sz w:val="24"/>
      <w:szCs w:val="24"/>
    </w:rPr>
  </w:style>
  <w:style w:type="character" w:styleId="915">
    <w:name w:val="Heading 5 Char"/>
    <w:link w:val="914"/>
    <w:uiPriority w:val="9"/>
    <w:rPr>
      <w:rFonts w:ascii="Arial" w:hAnsi="Arial" w:eastAsia="Arial" w:cs="Arial"/>
      <w:b/>
      <w:bCs/>
      <w:sz w:val="24"/>
      <w:szCs w:val="24"/>
    </w:rPr>
  </w:style>
  <w:style w:type="paragraph" w:styleId="916">
    <w:name w:val="Heading 6"/>
    <w:basedOn w:val="1084"/>
    <w:next w:val="1084"/>
    <w:link w:val="917"/>
    <w:uiPriority w:val="9"/>
    <w:unhideWhenUsed/>
    <w:qFormat/>
    <w:pPr>
      <w:keepLines/>
      <w:keepNext/>
      <w:spacing w:before="320" w:after="200"/>
      <w:outlineLvl w:val="5"/>
    </w:pPr>
    <w:rPr>
      <w:rFonts w:ascii="Arial" w:hAnsi="Arial" w:eastAsia="Arial" w:cs="Arial"/>
      <w:b/>
      <w:bCs/>
      <w:sz w:val="22"/>
      <w:szCs w:val="22"/>
    </w:rPr>
  </w:style>
  <w:style w:type="character" w:styleId="917">
    <w:name w:val="Heading 6 Char"/>
    <w:link w:val="916"/>
    <w:uiPriority w:val="9"/>
    <w:rPr>
      <w:rFonts w:ascii="Arial" w:hAnsi="Arial" w:eastAsia="Arial" w:cs="Arial"/>
      <w:b/>
      <w:bCs/>
      <w:sz w:val="22"/>
      <w:szCs w:val="22"/>
    </w:rPr>
  </w:style>
  <w:style w:type="paragraph" w:styleId="918">
    <w:name w:val="Heading 7"/>
    <w:basedOn w:val="1084"/>
    <w:next w:val="1084"/>
    <w:link w:val="919"/>
    <w:uiPriority w:val="9"/>
    <w:unhideWhenUsed/>
    <w:qFormat/>
    <w:pPr>
      <w:keepLines/>
      <w:keepNext/>
      <w:spacing w:before="320" w:after="200"/>
      <w:outlineLvl w:val="6"/>
    </w:pPr>
    <w:rPr>
      <w:rFonts w:ascii="Arial" w:hAnsi="Arial" w:eastAsia="Arial" w:cs="Arial"/>
      <w:b/>
      <w:bCs/>
      <w:i/>
      <w:iCs/>
      <w:sz w:val="22"/>
      <w:szCs w:val="22"/>
    </w:rPr>
  </w:style>
  <w:style w:type="character" w:styleId="919">
    <w:name w:val="Heading 7 Char"/>
    <w:link w:val="918"/>
    <w:uiPriority w:val="9"/>
    <w:rPr>
      <w:rFonts w:ascii="Arial" w:hAnsi="Arial" w:eastAsia="Arial" w:cs="Arial"/>
      <w:b/>
      <w:bCs/>
      <w:i/>
      <w:iCs/>
      <w:sz w:val="22"/>
      <w:szCs w:val="22"/>
    </w:rPr>
  </w:style>
  <w:style w:type="paragraph" w:styleId="920">
    <w:name w:val="Heading 8"/>
    <w:basedOn w:val="1084"/>
    <w:next w:val="1084"/>
    <w:link w:val="921"/>
    <w:uiPriority w:val="9"/>
    <w:unhideWhenUsed/>
    <w:qFormat/>
    <w:pPr>
      <w:keepLines/>
      <w:keepNext/>
      <w:spacing w:before="320" w:after="200"/>
      <w:outlineLvl w:val="7"/>
    </w:pPr>
    <w:rPr>
      <w:rFonts w:ascii="Arial" w:hAnsi="Arial" w:eastAsia="Arial" w:cs="Arial"/>
      <w:i/>
      <w:iCs/>
      <w:sz w:val="22"/>
      <w:szCs w:val="22"/>
    </w:rPr>
  </w:style>
  <w:style w:type="character" w:styleId="921">
    <w:name w:val="Heading 8 Char"/>
    <w:link w:val="920"/>
    <w:uiPriority w:val="9"/>
    <w:rPr>
      <w:rFonts w:ascii="Arial" w:hAnsi="Arial" w:eastAsia="Arial" w:cs="Arial"/>
      <w:i/>
      <w:iCs/>
      <w:sz w:val="22"/>
      <w:szCs w:val="22"/>
    </w:rPr>
  </w:style>
  <w:style w:type="paragraph" w:styleId="922">
    <w:name w:val="Heading 9"/>
    <w:basedOn w:val="1084"/>
    <w:next w:val="1084"/>
    <w:link w:val="923"/>
    <w:uiPriority w:val="9"/>
    <w:unhideWhenUsed/>
    <w:qFormat/>
    <w:pPr>
      <w:keepLines/>
      <w:keepNext/>
      <w:spacing w:before="320" w:after="200"/>
      <w:outlineLvl w:val="8"/>
    </w:pPr>
    <w:rPr>
      <w:rFonts w:ascii="Arial" w:hAnsi="Arial" w:eastAsia="Arial" w:cs="Arial"/>
      <w:i/>
      <w:iCs/>
      <w:sz w:val="21"/>
      <w:szCs w:val="21"/>
    </w:rPr>
  </w:style>
  <w:style w:type="character" w:styleId="923">
    <w:name w:val="Heading 9 Char"/>
    <w:link w:val="922"/>
    <w:uiPriority w:val="9"/>
    <w:rPr>
      <w:rFonts w:ascii="Arial" w:hAnsi="Arial" w:eastAsia="Arial" w:cs="Arial"/>
      <w:i/>
      <w:iCs/>
      <w:sz w:val="21"/>
      <w:szCs w:val="21"/>
    </w:rPr>
  </w:style>
  <w:style w:type="paragraph" w:styleId="924">
    <w:name w:val="List Paragraph"/>
    <w:basedOn w:val="1084"/>
    <w:uiPriority w:val="34"/>
    <w:qFormat/>
    <w:pPr>
      <w:contextualSpacing/>
      <w:ind w:left="720"/>
    </w:pPr>
  </w:style>
  <w:style w:type="paragraph" w:styleId="925">
    <w:name w:val="No Spacing"/>
    <w:uiPriority w:val="1"/>
    <w:qFormat/>
    <w:pPr>
      <w:spacing w:before="0" w:after="0" w:line="240" w:lineRule="auto"/>
    </w:pPr>
  </w:style>
  <w:style w:type="paragraph" w:styleId="926">
    <w:name w:val="Title"/>
    <w:basedOn w:val="1084"/>
    <w:next w:val="1084"/>
    <w:link w:val="927"/>
    <w:uiPriority w:val="10"/>
    <w:qFormat/>
    <w:pPr>
      <w:contextualSpacing/>
      <w:spacing w:before="300" w:after="200"/>
    </w:pPr>
    <w:rPr>
      <w:sz w:val="48"/>
      <w:szCs w:val="48"/>
    </w:rPr>
  </w:style>
  <w:style w:type="character" w:styleId="927">
    <w:name w:val="Title Char"/>
    <w:link w:val="926"/>
    <w:uiPriority w:val="10"/>
    <w:rPr>
      <w:sz w:val="48"/>
      <w:szCs w:val="48"/>
    </w:rPr>
  </w:style>
  <w:style w:type="paragraph" w:styleId="928">
    <w:name w:val="Subtitle"/>
    <w:basedOn w:val="1084"/>
    <w:next w:val="1084"/>
    <w:link w:val="929"/>
    <w:uiPriority w:val="11"/>
    <w:qFormat/>
    <w:pPr>
      <w:spacing w:before="200" w:after="200"/>
    </w:pPr>
    <w:rPr>
      <w:sz w:val="24"/>
      <w:szCs w:val="24"/>
    </w:rPr>
  </w:style>
  <w:style w:type="character" w:styleId="929">
    <w:name w:val="Subtitle Char"/>
    <w:link w:val="928"/>
    <w:uiPriority w:val="11"/>
    <w:rPr>
      <w:sz w:val="24"/>
      <w:szCs w:val="24"/>
    </w:rPr>
  </w:style>
  <w:style w:type="paragraph" w:styleId="930">
    <w:name w:val="Quote"/>
    <w:basedOn w:val="1084"/>
    <w:next w:val="1084"/>
    <w:link w:val="931"/>
    <w:uiPriority w:val="29"/>
    <w:qFormat/>
    <w:pPr>
      <w:ind w:left="720" w:right="720"/>
    </w:pPr>
    <w:rPr>
      <w:i/>
    </w:rPr>
  </w:style>
  <w:style w:type="character" w:styleId="931">
    <w:name w:val="Quote Char"/>
    <w:link w:val="930"/>
    <w:uiPriority w:val="29"/>
    <w:rPr>
      <w:i/>
    </w:rPr>
  </w:style>
  <w:style w:type="paragraph" w:styleId="932">
    <w:name w:val="Intense Quote"/>
    <w:basedOn w:val="1084"/>
    <w:next w:val="1084"/>
    <w:link w:val="9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name w:val="Intense Quote Char"/>
    <w:link w:val="932"/>
    <w:uiPriority w:val="30"/>
    <w:rPr>
      <w:i/>
    </w:rPr>
  </w:style>
  <w:style w:type="paragraph" w:styleId="934">
    <w:name w:val="Header"/>
    <w:basedOn w:val="1084"/>
    <w:link w:val="935"/>
    <w:uiPriority w:val="99"/>
    <w:unhideWhenUsed/>
    <w:pPr>
      <w:spacing w:after="0" w:line="240" w:lineRule="auto"/>
      <w:tabs>
        <w:tab w:val="center" w:pos="7143" w:leader="none"/>
        <w:tab w:val="right" w:pos="14287" w:leader="none"/>
      </w:tabs>
    </w:pPr>
  </w:style>
  <w:style w:type="character" w:styleId="935">
    <w:name w:val="Header Char"/>
    <w:link w:val="934"/>
    <w:uiPriority w:val="99"/>
  </w:style>
  <w:style w:type="paragraph" w:styleId="936">
    <w:name w:val="Footer"/>
    <w:basedOn w:val="1084"/>
    <w:link w:val="939"/>
    <w:uiPriority w:val="99"/>
    <w:unhideWhenUsed/>
    <w:pPr>
      <w:spacing w:after="0" w:line="240" w:lineRule="auto"/>
      <w:tabs>
        <w:tab w:val="center" w:pos="7143" w:leader="none"/>
        <w:tab w:val="right" w:pos="14287" w:leader="none"/>
      </w:tabs>
    </w:pPr>
  </w:style>
  <w:style w:type="character" w:styleId="937">
    <w:name w:val="Footer Char"/>
    <w:link w:val="936"/>
    <w:uiPriority w:val="99"/>
  </w:style>
  <w:style w:type="paragraph" w:styleId="938">
    <w:name w:val="Caption"/>
    <w:basedOn w:val="1084"/>
    <w:next w:val="1084"/>
    <w:uiPriority w:val="35"/>
    <w:semiHidden/>
    <w:unhideWhenUsed/>
    <w:qFormat/>
    <w:pPr>
      <w:spacing w:line="276" w:lineRule="auto"/>
    </w:pPr>
    <w:rPr>
      <w:b/>
      <w:bCs/>
      <w:color w:val="4f81bd" w:themeColor="accent1"/>
      <w:sz w:val="18"/>
      <w:szCs w:val="18"/>
    </w:rPr>
  </w:style>
  <w:style w:type="character" w:styleId="939">
    <w:name w:val="Caption Char"/>
    <w:basedOn w:val="938"/>
    <w:link w:val="936"/>
    <w:uiPriority w:val="99"/>
  </w:style>
  <w:style w:type="table" w:styleId="9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6">
    <w:name w:val="Hyperlink"/>
    <w:uiPriority w:val="99"/>
    <w:unhideWhenUsed/>
    <w:rPr>
      <w:color w:val="0000ff" w:themeColor="hyperlink"/>
      <w:u w:val="single"/>
    </w:rPr>
  </w:style>
  <w:style w:type="paragraph" w:styleId="1067">
    <w:name w:val="footnote text"/>
    <w:basedOn w:val="1084"/>
    <w:link w:val="1068"/>
    <w:uiPriority w:val="99"/>
    <w:semiHidden/>
    <w:unhideWhenUsed/>
    <w:pPr>
      <w:spacing w:after="40" w:line="240" w:lineRule="auto"/>
    </w:pPr>
    <w:rPr>
      <w:sz w:val="18"/>
    </w:rPr>
  </w:style>
  <w:style w:type="character" w:styleId="1068">
    <w:name w:val="Footnote Text Char"/>
    <w:link w:val="1067"/>
    <w:uiPriority w:val="99"/>
    <w:rPr>
      <w:sz w:val="18"/>
    </w:rPr>
  </w:style>
  <w:style w:type="character" w:styleId="1069">
    <w:name w:val="footnote reference"/>
    <w:uiPriority w:val="99"/>
    <w:unhideWhenUsed/>
    <w:rPr>
      <w:vertAlign w:val="superscript"/>
    </w:rPr>
  </w:style>
  <w:style w:type="paragraph" w:styleId="1070">
    <w:name w:val="endnote text"/>
    <w:basedOn w:val="1084"/>
    <w:link w:val="1071"/>
    <w:uiPriority w:val="99"/>
    <w:semiHidden/>
    <w:unhideWhenUsed/>
    <w:pPr>
      <w:spacing w:after="0" w:line="240" w:lineRule="auto"/>
    </w:pPr>
    <w:rPr>
      <w:sz w:val="20"/>
    </w:rPr>
  </w:style>
  <w:style w:type="character" w:styleId="1071">
    <w:name w:val="Endnote Text Char"/>
    <w:link w:val="1070"/>
    <w:uiPriority w:val="99"/>
    <w:rPr>
      <w:sz w:val="20"/>
    </w:rPr>
  </w:style>
  <w:style w:type="character" w:styleId="1072">
    <w:name w:val="endnote reference"/>
    <w:uiPriority w:val="99"/>
    <w:semiHidden/>
    <w:unhideWhenUsed/>
    <w:rPr>
      <w:vertAlign w:val="superscript"/>
    </w:rPr>
  </w:style>
  <w:style w:type="paragraph" w:styleId="1073">
    <w:name w:val="toc 1"/>
    <w:basedOn w:val="1084"/>
    <w:next w:val="1084"/>
    <w:uiPriority w:val="39"/>
    <w:unhideWhenUsed/>
    <w:pPr>
      <w:ind w:left="0" w:right="0" w:firstLine="0"/>
      <w:spacing w:after="57"/>
    </w:pPr>
  </w:style>
  <w:style w:type="paragraph" w:styleId="1074">
    <w:name w:val="toc 2"/>
    <w:basedOn w:val="1084"/>
    <w:next w:val="1084"/>
    <w:uiPriority w:val="39"/>
    <w:unhideWhenUsed/>
    <w:pPr>
      <w:ind w:left="283" w:right="0" w:firstLine="0"/>
      <w:spacing w:after="57"/>
    </w:pPr>
  </w:style>
  <w:style w:type="paragraph" w:styleId="1075">
    <w:name w:val="toc 3"/>
    <w:basedOn w:val="1084"/>
    <w:next w:val="1084"/>
    <w:uiPriority w:val="39"/>
    <w:unhideWhenUsed/>
    <w:pPr>
      <w:ind w:left="567" w:right="0" w:firstLine="0"/>
      <w:spacing w:after="57"/>
    </w:pPr>
  </w:style>
  <w:style w:type="paragraph" w:styleId="1076">
    <w:name w:val="toc 4"/>
    <w:basedOn w:val="1084"/>
    <w:next w:val="1084"/>
    <w:uiPriority w:val="39"/>
    <w:unhideWhenUsed/>
    <w:pPr>
      <w:ind w:left="850" w:right="0" w:firstLine="0"/>
      <w:spacing w:after="57"/>
    </w:pPr>
  </w:style>
  <w:style w:type="paragraph" w:styleId="1077">
    <w:name w:val="toc 5"/>
    <w:basedOn w:val="1084"/>
    <w:next w:val="1084"/>
    <w:uiPriority w:val="39"/>
    <w:unhideWhenUsed/>
    <w:pPr>
      <w:ind w:left="1134" w:right="0" w:firstLine="0"/>
      <w:spacing w:after="57"/>
    </w:pPr>
  </w:style>
  <w:style w:type="paragraph" w:styleId="1078">
    <w:name w:val="toc 6"/>
    <w:basedOn w:val="1084"/>
    <w:next w:val="1084"/>
    <w:uiPriority w:val="39"/>
    <w:unhideWhenUsed/>
    <w:pPr>
      <w:ind w:left="1417" w:right="0" w:firstLine="0"/>
      <w:spacing w:after="57"/>
    </w:pPr>
  </w:style>
  <w:style w:type="paragraph" w:styleId="1079">
    <w:name w:val="toc 7"/>
    <w:basedOn w:val="1084"/>
    <w:next w:val="1084"/>
    <w:uiPriority w:val="39"/>
    <w:unhideWhenUsed/>
    <w:pPr>
      <w:ind w:left="1701" w:right="0" w:firstLine="0"/>
      <w:spacing w:after="57"/>
    </w:pPr>
  </w:style>
  <w:style w:type="paragraph" w:styleId="1080">
    <w:name w:val="toc 8"/>
    <w:basedOn w:val="1084"/>
    <w:next w:val="1084"/>
    <w:uiPriority w:val="39"/>
    <w:unhideWhenUsed/>
    <w:pPr>
      <w:ind w:left="1984" w:right="0" w:firstLine="0"/>
      <w:spacing w:after="57"/>
    </w:pPr>
  </w:style>
  <w:style w:type="paragraph" w:styleId="1081">
    <w:name w:val="toc 9"/>
    <w:basedOn w:val="1084"/>
    <w:next w:val="1084"/>
    <w:uiPriority w:val="39"/>
    <w:unhideWhenUsed/>
    <w:pPr>
      <w:ind w:left="2268" w:right="0" w:firstLine="0"/>
      <w:spacing w:after="57"/>
    </w:pPr>
  </w:style>
  <w:style w:type="paragraph" w:styleId="1082">
    <w:name w:val="TOC Heading"/>
    <w:uiPriority w:val="39"/>
    <w:unhideWhenUsed/>
  </w:style>
  <w:style w:type="paragraph" w:styleId="1083">
    <w:name w:val="table of figures"/>
    <w:basedOn w:val="1084"/>
    <w:next w:val="1084"/>
    <w:uiPriority w:val="99"/>
    <w:unhideWhenUsed/>
    <w:pPr>
      <w:spacing w:after="0" w:afterAutospacing="0"/>
    </w:pPr>
  </w:style>
  <w:style w:type="paragraph" w:styleId="1084" w:default="1">
    <w:name w:val="Normal"/>
    <w:next w:val="1084"/>
    <w:link w:val="1084"/>
    <w:qFormat/>
    <w:pPr>
      <w:jc w:val="both"/>
      <w:widowControl w:val="off"/>
    </w:pPr>
    <w:rPr>
      <w:sz w:val="21"/>
      <w:szCs w:val="22"/>
      <w:lang w:val="en-US" w:eastAsia="zh-CN" w:bidi="ar-SA"/>
    </w:rPr>
  </w:style>
  <w:style w:type="paragraph" w:styleId="1085">
    <w:name w:val="标题 1"/>
    <w:basedOn w:val="1084"/>
    <w:next w:val="1084"/>
    <w:link w:val="1091"/>
    <w:uiPriority w:val="9"/>
    <w:qFormat/>
    <w:pPr>
      <w:keepLines/>
      <w:keepNext/>
      <w:spacing w:before="340" w:after="330" w:line="578" w:lineRule="auto"/>
      <w:outlineLvl w:val="0"/>
    </w:pPr>
    <w:rPr>
      <w:rFonts w:ascii="Calibri" w:hAnsi="Calibri"/>
      <w:b/>
      <w:bCs/>
      <w:sz w:val="44"/>
      <w:szCs w:val="44"/>
    </w:rPr>
  </w:style>
  <w:style w:type="paragraph" w:styleId="1086">
    <w:name w:val="标题 2"/>
    <w:basedOn w:val="1084"/>
    <w:next w:val="1084"/>
    <w:link w:val="1092"/>
    <w:uiPriority w:val="9"/>
    <w:qFormat/>
    <w:pPr>
      <w:keepLines/>
      <w:keepNext/>
      <w:spacing w:before="260" w:after="260" w:line="416" w:lineRule="auto"/>
      <w:outlineLvl w:val="1"/>
    </w:pPr>
    <w:rPr>
      <w:rFonts w:ascii="Cambria" w:hAnsi="Cambria"/>
      <w:b/>
      <w:bCs/>
      <w:sz w:val="32"/>
      <w:szCs w:val="32"/>
    </w:rPr>
  </w:style>
  <w:style w:type="paragraph" w:styleId="1087">
    <w:name w:val="标题 3"/>
    <w:basedOn w:val="1084"/>
    <w:next w:val="1084"/>
    <w:link w:val="1093"/>
    <w:qFormat/>
    <w:pPr>
      <w:keepLines/>
      <w:keepNext/>
      <w:spacing w:before="260" w:after="260" w:line="416" w:lineRule="auto"/>
      <w:outlineLvl w:val="2"/>
    </w:pPr>
    <w:rPr>
      <w:rFonts w:ascii="Calibri" w:hAnsi="Calibri"/>
      <w:b/>
      <w:bCs/>
      <w:sz w:val="32"/>
      <w:szCs w:val="32"/>
    </w:rPr>
  </w:style>
  <w:style w:type="paragraph" w:styleId="1088">
    <w:name w:val="标题 4"/>
    <w:basedOn w:val="1084"/>
    <w:next w:val="1095"/>
    <w:link w:val="1094"/>
    <w:qFormat/>
    <w:pPr>
      <w:spacing w:before="280" w:after="290" w:line="377" w:lineRule="auto"/>
      <w:outlineLvl w:val="3"/>
    </w:pPr>
    <w:rPr>
      <w:rFonts w:ascii="Arial" w:hAnsi="Arial" w:eastAsia="黑体"/>
      <w:b/>
      <w:bCs/>
      <w:sz w:val="28"/>
      <w:szCs w:val="28"/>
    </w:rPr>
  </w:style>
  <w:style w:type="character" w:styleId="1089">
    <w:name w:val="默认段落字体"/>
    <w:next w:val="1089"/>
    <w:link w:val="1084"/>
    <w:uiPriority w:val="1"/>
    <w:unhideWhenUsed/>
  </w:style>
  <w:style w:type="table" w:styleId="1090">
    <w:name w:val="普通表格"/>
    <w:next w:val="1090"/>
    <w:link w:val="1084"/>
    <w:uiPriority w:val="99"/>
    <w:unhideWhenUsed/>
    <w:tblPr/>
  </w:style>
  <w:style w:type="character" w:styleId="1091">
    <w:name w:val="标题 1 Char"/>
    <w:next w:val="1091"/>
    <w:link w:val="1085"/>
    <w:uiPriority w:val="9"/>
    <w:rPr>
      <w:rFonts w:ascii="Calibri" w:hAnsi="Calibri" w:eastAsia="宋体" w:cs="Times New Roman"/>
      <w:b/>
      <w:bCs/>
      <w:sz w:val="44"/>
      <w:szCs w:val="44"/>
    </w:rPr>
  </w:style>
  <w:style w:type="character" w:styleId="1092">
    <w:name w:val="标题 2 Char"/>
    <w:next w:val="1092"/>
    <w:link w:val="1086"/>
    <w:uiPriority w:val="9"/>
    <w:rPr>
      <w:rFonts w:ascii="Cambria" w:hAnsi="Cambria" w:eastAsia="宋体" w:cs="Times New Roman"/>
      <w:b/>
      <w:bCs/>
      <w:sz w:val="32"/>
      <w:szCs w:val="32"/>
    </w:rPr>
  </w:style>
  <w:style w:type="character" w:styleId="1093">
    <w:name w:val="标题 3 Char"/>
    <w:next w:val="1093"/>
    <w:link w:val="1087"/>
    <w:rPr>
      <w:rFonts w:ascii="Calibri" w:hAnsi="Calibri" w:eastAsia="宋体" w:cs="Times New Roman"/>
      <w:b/>
      <w:bCs/>
      <w:sz w:val="32"/>
      <w:szCs w:val="32"/>
    </w:rPr>
  </w:style>
  <w:style w:type="character" w:styleId="1094">
    <w:name w:val="标题 4 Char"/>
    <w:next w:val="1094"/>
    <w:link w:val="1088"/>
    <w:rPr>
      <w:rFonts w:ascii="Arial" w:hAnsi="Arial" w:eastAsia="黑体" w:cs="Times New Roman"/>
      <w:b/>
      <w:bCs/>
      <w:sz w:val="28"/>
      <w:szCs w:val="28"/>
    </w:rPr>
  </w:style>
  <w:style w:type="paragraph" w:styleId="1095">
    <w:name w:val="正文缩进"/>
    <w:basedOn w:val="1084"/>
    <w:next w:val="1095"/>
    <w:link w:val="1084"/>
    <w:unhideWhenUsed/>
    <w:pPr>
      <w:ind w:firstLine="420"/>
    </w:pPr>
    <w:rPr>
      <w:rFonts w:ascii="Calibri" w:hAnsi="Calibri" w:eastAsia="宋体" w:cs="Times New Roman"/>
    </w:rPr>
  </w:style>
  <w:style w:type="paragraph" w:styleId="1096">
    <w:name w:val="引文目录"/>
    <w:basedOn w:val="1084"/>
    <w:next w:val="1084"/>
    <w:link w:val="1084"/>
    <w:qFormat/>
    <w:pPr>
      <w:ind w:left="420"/>
    </w:pPr>
  </w:style>
  <w:style w:type="paragraph" w:styleId="1097">
    <w:name w:val="文档结构图"/>
    <w:basedOn w:val="1084"/>
    <w:next w:val="1097"/>
    <w:link w:val="1098"/>
    <w:uiPriority w:val="99"/>
    <w:unhideWhenUsed/>
    <w:rPr>
      <w:rFonts w:ascii="宋体"/>
      <w:sz w:val="18"/>
      <w:szCs w:val="18"/>
    </w:rPr>
  </w:style>
  <w:style w:type="character" w:styleId="1098">
    <w:name w:val="文档结构图 Char"/>
    <w:next w:val="1098"/>
    <w:link w:val="1097"/>
    <w:uiPriority w:val="99"/>
    <w:semiHidden/>
    <w:rPr>
      <w:rFonts w:ascii="宋体"/>
      <w:sz w:val="18"/>
      <w:szCs w:val="18"/>
    </w:rPr>
  </w:style>
  <w:style w:type="paragraph" w:styleId="1099">
    <w:name w:val="批注文字"/>
    <w:basedOn w:val="1084"/>
    <w:next w:val="1099"/>
    <w:link w:val="1084"/>
    <w:uiPriority w:val="99"/>
    <w:unhideWhenUsed/>
    <w:pPr>
      <w:jc w:val="left"/>
    </w:pPr>
  </w:style>
  <w:style w:type="paragraph" w:styleId="1100">
    <w:name w:val="正文文本"/>
    <w:basedOn w:val="1084"/>
    <w:next w:val="1095"/>
    <w:link w:val="1084"/>
    <w:rPr>
      <w:rFonts w:ascii="楷体_GB2312" w:hAnsi="Arial" w:eastAsia="楷体_GB2312"/>
      <w:sz w:val="28"/>
      <w:szCs w:val="20"/>
    </w:rPr>
  </w:style>
  <w:style w:type="paragraph" w:styleId="1101">
    <w:name w:val="正文文本缩进"/>
    <w:basedOn w:val="1084"/>
    <w:next w:val="1084"/>
    <w:link w:val="1084"/>
    <w:pPr>
      <w:ind w:firstLine="630"/>
    </w:pPr>
    <w:rPr>
      <w:rFonts w:ascii="楷体_GB2312" w:eastAsia="楷体_GB2312"/>
      <w:sz w:val="32"/>
      <w:szCs w:val="20"/>
    </w:rPr>
  </w:style>
  <w:style w:type="paragraph" w:styleId="1102">
    <w:name w:val="纯文本"/>
    <w:basedOn w:val="1084"/>
    <w:next w:val="1102"/>
    <w:link w:val="1103"/>
    <w:uiPriority w:val="99"/>
    <w:unhideWhenUsed/>
    <w:qFormat/>
    <w:rPr>
      <w:rFonts w:ascii="宋体" w:hAnsi="Courier New"/>
      <w:sz w:val="20"/>
      <w:szCs w:val="20"/>
    </w:rPr>
  </w:style>
  <w:style w:type="character" w:styleId="1103">
    <w:name w:val="纯文本 Char"/>
    <w:next w:val="1103"/>
    <w:link w:val="1102"/>
    <w:uiPriority w:val="99"/>
    <w:rPr>
      <w:rFonts w:ascii="宋体" w:hAnsi="Courier New"/>
    </w:rPr>
  </w:style>
  <w:style w:type="paragraph" w:styleId="1104">
    <w:name w:val="日期"/>
    <w:basedOn w:val="1084"/>
    <w:next w:val="1084"/>
    <w:link w:val="1105"/>
    <w:qFormat/>
    <w:rPr>
      <w:sz w:val="24"/>
      <w:szCs w:val="20"/>
    </w:rPr>
  </w:style>
  <w:style w:type="character" w:styleId="1105">
    <w:name w:val="日期 Char"/>
    <w:next w:val="1105"/>
    <w:link w:val="1104"/>
    <w:rPr>
      <w:rFonts w:ascii="Times New Roman" w:hAnsi="Times New Roman"/>
      <w:sz w:val="24"/>
    </w:rPr>
  </w:style>
  <w:style w:type="paragraph" w:styleId="1106">
    <w:name w:val="批注框文本"/>
    <w:basedOn w:val="1084"/>
    <w:next w:val="1106"/>
    <w:link w:val="1107"/>
    <w:uiPriority w:val="99"/>
    <w:unhideWhenUsed/>
    <w:rPr>
      <w:sz w:val="18"/>
      <w:szCs w:val="18"/>
    </w:rPr>
  </w:style>
  <w:style w:type="character" w:styleId="1107">
    <w:name w:val="批注框文本 Char"/>
    <w:next w:val="1107"/>
    <w:link w:val="1106"/>
    <w:uiPriority w:val="99"/>
    <w:semiHidden/>
    <w:rPr>
      <w:sz w:val="18"/>
      <w:szCs w:val="18"/>
    </w:rPr>
  </w:style>
  <w:style w:type="paragraph" w:styleId="1108">
    <w:name w:val="页脚"/>
    <w:basedOn w:val="1084"/>
    <w:next w:val="1108"/>
    <w:link w:val="1109"/>
    <w:uiPriority w:val="99"/>
    <w:unhideWhenUsed/>
    <w:pPr>
      <w:jc w:val="left"/>
      <w:tabs>
        <w:tab w:val="center" w:pos="4153" w:leader="none"/>
        <w:tab w:val="right" w:pos="8306" w:leader="none"/>
      </w:tabs>
    </w:pPr>
    <w:rPr>
      <w:sz w:val="18"/>
      <w:szCs w:val="18"/>
    </w:rPr>
  </w:style>
  <w:style w:type="character" w:styleId="1109">
    <w:name w:val="页脚 Char"/>
    <w:next w:val="1109"/>
    <w:link w:val="1108"/>
    <w:uiPriority w:val="99"/>
    <w:rPr>
      <w:sz w:val="18"/>
      <w:szCs w:val="18"/>
    </w:rPr>
  </w:style>
  <w:style w:type="paragraph" w:styleId="1110">
    <w:name w:val="页眉"/>
    <w:basedOn w:val="1084"/>
    <w:next w:val="1110"/>
    <w:link w:val="1111"/>
    <w:uiPriority w:val="99"/>
    <w:unhideWhenUsed/>
    <w:pPr>
      <w:jc w:val="center"/>
      <w:tabs>
        <w:tab w:val="center" w:pos="4153" w:leader="none"/>
        <w:tab w:val="right" w:pos="8306" w:leader="none"/>
      </w:tabs>
      <w:pBdr>
        <w:bottom w:val="single" w:color="000000" w:sz="6" w:space="1"/>
      </w:pBdr>
    </w:pPr>
    <w:rPr>
      <w:sz w:val="18"/>
      <w:szCs w:val="18"/>
    </w:rPr>
  </w:style>
  <w:style w:type="character" w:styleId="1111">
    <w:name w:val="页眉 Char"/>
    <w:next w:val="1111"/>
    <w:link w:val="1110"/>
    <w:uiPriority w:val="99"/>
    <w:rPr>
      <w:sz w:val="18"/>
      <w:szCs w:val="18"/>
    </w:rPr>
  </w:style>
  <w:style w:type="paragraph" w:styleId="1112">
    <w:name w:val="目录 1"/>
    <w:basedOn w:val="1084"/>
    <w:next w:val="1084"/>
    <w:link w:val="1084"/>
    <w:uiPriority w:val="39"/>
    <w:unhideWhenUsed/>
    <w:rPr>
      <w:rFonts w:ascii="Calibri" w:hAnsi="Calibri" w:eastAsia="宋体" w:cs="Times New Roman"/>
    </w:rPr>
  </w:style>
  <w:style w:type="paragraph" w:styleId="1113">
    <w:name w:val="目录 2"/>
    <w:basedOn w:val="1084"/>
    <w:next w:val="1084"/>
    <w:link w:val="1084"/>
    <w:uiPriority w:val="39"/>
    <w:unhideWhenUsed/>
    <w:pPr>
      <w:ind w:left="420"/>
    </w:pPr>
  </w:style>
  <w:style w:type="paragraph" w:styleId="1114">
    <w:name w:val="目录 9"/>
    <w:basedOn w:val="1084"/>
    <w:next w:val="1084"/>
    <w:link w:val="1084"/>
    <w:semiHidden/>
    <w:pPr>
      <w:ind w:left="3360"/>
    </w:pPr>
  </w:style>
  <w:style w:type="paragraph" w:styleId="1115">
    <w:name w:val="正文文本 2"/>
    <w:basedOn w:val="1084"/>
    <w:next w:val="1115"/>
    <w:link w:val="1084"/>
    <w:qFormat/>
    <w:pPr>
      <w:jc w:val="center"/>
    </w:pPr>
    <w:rPr>
      <w:rFonts w:ascii="仿宋_GB2312" w:eastAsia="仿宋_GB2312"/>
      <w:sz w:val="44"/>
    </w:rPr>
  </w:style>
  <w:style w:type="paragraph" w:styleId="1116">
    <w:name w:val="普通(网站)"/>
    <w:basedOn w:val="1084"/>
    <w:next w:val="1116"/>
    <w:link w:val="1084"/>
    <w:unhideWhenUsed/>
    <w:pPr>
      <w:jc w:val="left"/>
    </w:pPr>
    <w:rPr>
      <w:rFonts w:ascii="Calibri" w:hAnsi="Calibri" w:eastAsia="宋体" w:cs="Times New Roman"/>
      <w:sz w:val="24"/>
      <w:szCs w:val="24"/>
    </w:rPr>
  </w:style>
  <w:style w:type="paragraph" w:styleId="1117">
    <w:name w:val="正文首行缩进 2"/>
    <w:basedOn w:val="1101"/>
    <w:next w:val="1084"/>
    <w:link w:val="1084"/>
    <w:pPr>
      <w:ind w:left="420" w:firstLine="420"/>
      <w:spacing w:after="120"/>
      <w:widowControl/>
    </w:pPr>
    <w:rPr>
      <w:rFonts w:ascii="仿宋_GB2312" w:eastAsia="仿宋_GB2312"/>
      <w:color w:val="ff6600"/>
      <w:sz w:val="21"/>
    </w:rPr>
  </w:style>
  <w:style w:type="table" w:styleId="1118">
    <w:name w:val="网格型"/>
    <w:basedOn w:val="1090"/>
    <w:next w:val="1118"/>
    <w:link w:val="1084"/>
    <w:pPr>
      <w:jc w:val="both"/>
      <w:widowControl w:val="off"/>
    </w:pPr>
    <w:tblPr/>
  </w:style>
  <w:style w:type="character" w:styleId="1119">
    <w:name w:val="要点"/>
    <w:next w:val="1119"/>
    <w:link w:val="1084"/>
    <w:qFormat/>
    <w:rPr>
      <w:b/>
    </w:rPr>
  </w:style>
  <w:style w:type="character" w:styleId="1120">
    <w:name w:val="页码"/>
    <w:next w:val="1120"/>
    <w:link w:val="1084"/>
    <w:qFormat/>
  </w:style>
  <w:style w:type="paragraph" w:styleId="1121">
    <w:name w:val="Default"/>
    <w:next w:val="1084"/>
    <w:link w:val="1084"/>
    <w:qFormat/>
    <w:pPr>
      <w:widowControl w:val="off"/>
    </w:pPr>
    <w:rPr>
      <w:rFonts w:ascii="宋体" w:cs="宋体"/>
      <w:color w:val="000000"/>
      <w:sz w:val="24"/>
      <w:szCs w:val="24"/>
      <w:lang w:val="en-US" w:eastAsia="zh-CN" w:bidi="ar-SA"/>
    </w:rPr>
  </w:style>
  <w:style w:type="paragraph" w:styleId="1122">
    <w:name w:val="列表项目符号 21"/>
    <w:basedOn w:val="1084"/>
    <w:next w:val="1122"/>
    <w:link w:val="1084"/>
    <w:uiPriority w:val="99"/>
    <w:unhideWhenUsed/>
    <w:qFormat/>
    <w:pPr>
      <w:numPr>
        <w:ilvl w:val="0"/>
        <w:numId w:val="1"/>
      </w:numPr>
      <w:tabs>
        <w:tab w:val="left" w:pos="780" w:leader="none"/>
      </w:tabs>
    </w:pPr>
  </w:style>
  <w:style w:type="character" w:styleId="1123">
    <w:name w:val="要点1"/>
    <w:next w:val="1123"/>
    <w:link w:val="1084"/>
    <w:qFormat/>
    <w:rPr>
      <w:sz w:val="21"/>
      <w:szCs w:val="22"/>
      <w:lang w:val="en-US" w:eastAsia="zh-CN" w:bidi="ar-SA"/>
    </w:rPr>
  </w:style>
  <w:style w:type="paragraph" w:styleId="1124">
    <w:name w:val="正文（缩进）"/>
    <w:basedOn w:val="1084"/>
    <w:next w:val="1125"/>
    <w:link w:val="1084"/>
    <w:qFormat/>
    <w:pPr>
      <w:ind w:firstLine="480"/>
      <w:spacing w:line="360" w:lineRule="auto"/>
    </w:pPr>
    <w:rPr>
      <w:sz w:val="24"/>
      <w:szCs w:val="24"/>
    </w:rPr>
  </w:style>
  <w:style w:type="paragraph" w:styleId="1125">
    <w:name w:val="Char Char Char Char Char Char Char Char Char"/>
    <w:basedOn w:val="1084"/>
    <w:next w:val="1126"/>
    <w:link w:val="1084"/>
    <w:uiPriority w:val="99"/>
    <w:qFormat/>
    <w:pPr>
      <w:ind w:left="360" w:firstLine="5784"/>
    </w:pPr>
  </w:style>
  <w:style w:type="paragraph" w:styleId="1126">
    <w:name w:val="正文文本 21"/>
    <w:basedOn w:val="1084"/>
    <w:next w:val="1127"/>
    <w:link w:val="1084"/>
    <w:uiPriority w:val="99"/>
    <w:qFormat/>
    <w:pPr>
      <w:ind w:left="720" w:firstLine="5680"/>
      <w:widowControl/>
    </w:pPr>
  </w:style>
  <w:style w:type="paragraph" w:styleId="1127">
    <w:name w:val="默认段落字体 Para Char Char Char Char Char Char Char"/>
    <w:basedOn w:val="1084"/>
    <w:next w:val="1128"/>
    <w:link w:val="1084"/>
    <w:uiPriority w:val="99"/>
    <w:qFormat/>
    <w:pPr>
      <w:ind w:firstLine="200"/>
    </w:pPr>
    <w:rPr>
      <w:rFonts w:cs="Arial"/>
    </w:rPr>
  </w:style>
  <w:style w:type="paragraph" w:styleId="1128">
    <w:name w:val="样式 首行缩进:  2 字符"/>
    <w:basedOn w:val="1084"/>
    <w:next w:val="1129"/>
    <w:link w:val="1084"/>
    <w:uiPriority w:val="99"/>
    <w:qFormat/>
    <w:pPr>
      <w:ind w:left="480" w:firstLine="5856"/>
      <w:spacing w:line="360" w:lineRule="auto"/>
    </w:pPr>
  </w:style>
  <w:style w:type="paragraph" w:styleId="1129">
    <w:name w:val="样式 段后: 0.25 行"/>
    <w:basedOn w:val="1084"/>
    <w:next w:val="1130"/>
    <w:link w:val="1084"/>
    <w:uiPriority w:val="99"/>
    <w:qFormat/>
    <w:pPr>
      <w:ind w:left="420" w:firstLine="5796"/>
      <w:spacing w:line="300" w:lineRule="auto"/>
      <w:widowControl/>
    </w:pPr>
  </w:style>
  <w:style w:type="paragraph" w:styleId="1130">
    <w:name w:val="正文 New New New New New New New New New New New New New New"/>
    <w:next w:val="1114"/>
    <w:link w:val="1084"/>
    <w:uiPriority w:val="99"/>
    <w:qFormat/>
    <w:pPr>
      <w:ind w:firstLine="2048"/>
      <w:jc w:val="both"/>
      <w:widowControl w:val="off"/>
    </w:pPr>
    <w:rPr>
      <w:rFonts w:ascii="Calibri" w:hAnsi="Calibri"/>
      <w:lang w:val="en-US" w:eastAsia="zh-CN" w:bidi="ar-SA"/>
    </w:rPr>
  </w:style>
  <w:style w:type="paragraph" w:styleId="1131">
    <w:name w:val="正文1"/>
    <w:basedOn w:val="1084"/>
    <w:next w:val="1132"/>
    <w:link w:val="1084"/>
    <w:qFormat/>
    <w:pPr>
      <w:jc w:val="left"/>
      <w:spacing w:line="360" w:lineRule="atLeast"/>
    </w:pPr>
    <w:rPr>
      <w:rFonts w:ascii="宋体" w:hAnsi="Calibri" w:eastAsia="宋体" w:cs="Times New Roman"/>
      <w:sz w:val="24"/>
      <w:szCs w:val="20"/>
    </w:rPr>
  </w:style>
  <w:style w:type="paragraph" w:styleId="1132">
    <w:name w:val="正文文本1"/>
    <w:basedOn w:val="1131"/>
    <w:next w:val="1133"/>
    <w:link w:val="1084"/>
    <w:qFormat/>
    <w:pPr>
      <w:spacing w:after="120"/>
    </w:pPr>
    <w:rPr>
      <w:lang w:val="en-US" w:eastAsia="en-US"/>
    </w:rPr>
  </w:style>
  <w:style w:type="paragraph" w:styleId="1133">
    <w:name w:val="一级条标题"/>
    <w:basedOn w:val="1134"/>
    <w:next w:val="1135"/>
    <w:link w:val="108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34">
    <w:name w:val="章标题"/>
    <w:next w:val="1084"/>
    <w:link w:val="108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135">
    <w:name w:val="段"/>
    <w:basedOn w:val="1131"/>
    <w:next w:val="1084"/>
    <w:link w:val="1084"/>
    <w:qFormat/>
    <w:pPr>
      <w:ind w:firstLine="200"/>
      <w:widowControl/>
    </w:pPr>
    <w:rPr>
      <w:rFonts w:ascii="宋体"/>
      <w:sz w:val="20"/>
      <w:szCs w:val="20"/>
    </w:rPr>
  </w:style>
  <w:style w:type="character" w:styleId="1136">
    <w:name w:val="页脚 Char1"/>
    <w:next w:val="1136"/>
    <w:link w:val="1084"/>
    <w:uiPriority w:val="99"/>
    <w:semiHidden/>
    <w:rPr>
      <w:sz w:val="18"/>
      <w:szCs w:val="18"/>
    </w:rPr>
  </w:style>
  <w:style w:type="character" w:styleId="1137">
    <w:name w:val="日期 Char1"/>
    <w:next w:val="1137"/>
    <w:link w:val="1084"/>
    <w:uiPriority w:val="99"/>
    <w:semiHidden/>
  </w:style>
  <w:style w:type="character" w:styleId="1138">
    <w:name w:val="纯文本 Char1"/>
    <w:next w:val="1138"/>
    <w:link w:val="1084"/>
    <w:uiPriority w:val="99"/>
    <w:semiHidden/>
    <w:rPr>
      <w:rFonts w:ascii="宋体" w:hAnsi="Courier New" w:eastAsia="宋体" w:cs="Courier New"/>
      <w:szCs w:val="21"/>
    </w:rPr>
  </w:style>
  <w:style w:type="character" w:styleId="1139">
    <w:name w:val="页眉 Char1"/>
    <w:next w:val="1139"/>
    <w:link w:val="1084"/>
    <w:uiPriority w:val="99"/>
    <w:semiHidden/>
    <w:rPr>
      <w:sz w:val="18"/>
      <w:szCs w:val="18"/>
    </w:rPr>
  </w:style>
  <w:style w:type="paragraph" w:styleId="1140">
    <w:name w:val="普通正文"/>
    <w:basedOn w:val="1141"/>
    <w:next w:val="1140"/>
    <w:link w:val="1084"/>
    <w:pPr>
      <w:ind w:firstLine="480"/>
      <w:jc w:val="left"/>
      <w:spacing w:before="120" w:after="120" w:line="360" w:lineRule="auto"/>
    </w:pPr>
    <w:rPr>
      <w:rFonts w:ascii="Arial" w:hAnsi="Arial" w:eastAsia="宋体" w:cs="Times New Roman"/>
      <w:sz w:val="24"/>
      <w:szCs w:val="24"/>
    </w:rPr>
  </w:style>
  <w:style w:type="paragraph" w:styleId="1141">
    <w:name w:val="正文11"/>
    <w:next w:val="1142"/>
    <w:link w:val="1084"/>
    <w:qFormat/>
    <w:pPr>
      <w:jc w:val="both"/>
      <w:widowControl w:val="off"/>
    </w:pPr>
    <w:rPr>
      <w:rFonts w:ascii="Calibri" w:hAnsi="Calibri" w:eastAsia="宋体" w:cs="Times New Roman"/>
      <w:sz w:val="21"/>
      <w:szCs w:val="21"/>
      <w:lang w:val="en-US" w:eastAsia="zh-CN" w:bidi="ar-SA"/>
    </w:rPr>
  </w:style>
  <w:style w:type="paragraph" w:styleId="1142">
    <w:name w:val="正文首行缩进 21"/>
    <w:basedOn w:val="1143"/>
    <w:next w:val="1142"/>
    <w:link w:val="1084"/>
    <w:uiPriority w:val="99"/>
    <w:unhideWhenUsed/>
    <w:qFormat/>
    <w:pPr>
      <w:ind w:left="420" w:firstLine="420"/>
      <w:jc w:val="left"/>
      <w:widowControl/>
      <w:tabs>
        <w:tab w:val="left" w:pos="0" w:leader="none"/>
        <w:tab w:val="left" w:pos="993" w:leader="none"/>
        <w:tab w:val="left" w:pos="1134" w:leader="none"/>
      </w:tabs>
    </w:pPr>
    <w:rPr>
      <w:sz w:val="24"/>
    </w:rPr>
  </w:style>
  <w:style w:type="paragraph" w:styleId="1143">
    <w:name w:val="正文文本缩进1"/>
    <w:basedOn w:val="1084"/>
    <w:next w:val="1144"/>
    <w:link w:val="1084"/>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1144">
    <w:name w:val="寄信人地址1"/>
    <w:basedOn w:val="1084"/>
    <w:next w:val="1144"/>
    <w:link w:val="1084"/>
    <w:qFormat/>
    <w:rPr>
      <w:rFonts w:ascii="Arial" w:hAnsi="Arial"/>
    </w:rPr>
  </w:style>
  <w:style w:type="paragraph" w:styleId="1145">
    <w:name w:val="Char"/>
    <w:basedOn w:val="1084"/>
    <w:next w:val="1145"/>
    <w:link w:val="1084"/>
    <w:qFormat/>
    <w:pPr>
      <w:ind w:firstLine="200"/>
      <w:tabs>
        <w:tab w:val="left" w:pos="360" w:leader="none"/>
      </w:tabs>
    </w:pPr>
    <w:rPr>
      <w:rFonts w:ascii="Times New Roman" w:hAnsi="Times New Roman" w:eastAsia="宋体" w:cs="Times New Roman"/>
      <w:sz w:val="28"/>
      <w:szCs w:val="30"/>
    </w:rPr>
  </w:style>
  <w:style w:type="paragraph" w:styleId="1146">
    <w:name w:val="无间隔"/>
    <w:next w:val="1146"/>
    <w:link w:val="1084"/>
    <w:uiPriority w:val="99"/>
    <w:qFormat/>
    <w:pPr>
      <w:jc w:val="both"/>
      <w:widowControl w:val="off"/>
    </w:pPr>
    <w:rPr>
      <w:sz w:val="21"/>
      <w:szCs w:val="21"/>
      <w:lang w:val="en-US" w:eastAsia="zh-CN" w:bidi="ar-SA"/>
    </w:rPr>
  </w:style>
  <w:style w:type="paragraph" w:styleId="1147">
    <w:name w:val="普通(网站)1"/>
    <w:basedOn w:val="1084"/>
    <w:next w:val="1147"/>
    <w:link w:val="1084"/>
    <w:unhideWhenUsed/>
    <w:qFormat/>
    <w:pPr>
      <w:jc w:val="left"/>
    </w:pPr>
    <w:rPr>
      <w:rFonts w:ascii="Calibri" w:hAnsi="Calibri" w:eastAsia="宋体" w:cs="Times New Roman"/>
      <w:sz w:val="24"/>
      <w:szCs w:val="24"/>
    </w:rPr>
  </w:style>
  <w:style w:type="paragraph" w:styleId="1148">
    <w:name w:val="日期1"/>
    <w:basedOn w:val="1084"/>
    <w:next w:val="1084"/>
    <w:link w:val="1084"/>
    <w:qFormat/>
    <w:rPr>
      <w:sz w:val="24"/>
      <w:szCs w:val="20"/>
    </w:rPr>
  </w:style>
  <w:style w:type="paragraph" w:styleId="1149">
    <w:name w:val="Table Paragraph"/>
    <w:basedOn w:val="1084"/>
    <w:next w:val="1149"/>
    <w:link w:val="1084"/>
    <w:uiPriority w:val="1"/>
    <w:qFormat/>
  </w:style>
  <w:style w:type="paragraph" w:styleId="1150">
    <w:name w:val="列出段落1"/>
    <w:basedOn w:val="1084"/>
    <w:next w:val="1150"/>
    <w:link w:val="1084"/>
    <w:qFormat/>
    <w:pPr>
      <w:contextualSpacing/>
      <w:ind w:left="720"/>
      <w:jc w:val="left"/>
      <w:widowControl/>
    </w:pPr>
    <w:rPr>
      <w:rFonts w:ascii="Calibri" w:hAnsi="Calibri"/>
      <w:sz w:val="24"/>
      <w:lang w:eastAsia="en-US" w:bidi="en-US"/>
    </w:rPr>
  </w:style>
  <w:style w:type="paragraph" w:styleId="1151">
    <w:name w:val="正文缩进1"/>
    <w:basedOn w:val="1084"/>
    <w:next w:val="1151"/>
    <w:link w:val="1084"/>
    <w:uiPriority w:val="99"/>
    <w:qFormat/>
    <w:pPr>
      <w:ind w:firstLine="420"/>
    </w:pPr>
  </w:style>
  <w:style w:type="table" w:styleId="1152">
    <w:name w:val="Table Normal"/>
    <w:next w:val="1152"/>
    <w:link w:val="1084"/>
    <w:unhideWhenUsed/>
    <w:qFormat/>
    <w:rPr>
      <w:lang w:val="en-US" w:eastAsia="zh-CN" w:bidi="ar-SA"/>
    </w:rPr>
    <w:tblPr/>
  </w:style>
  <w:style w:type="paragraph" w:styleId="1153">
    <w:name w:val="正文_（居中）"/>
    <w:next w:val="1153"/>
    <w:link w:val="1084"/>
    <w:qFormat/>
    <w:pPr>
      <w:jc w:val="center"/>
      <w:widowControl w:val="off"/>
    </w:pPr>
    <w:rPr>
      <w:sz w:val="21"/>
      <w:szCs w:val="24"/>
      <w:lang w:val="en-US" w:eastAsia="zh-CN" w:bidi="ar-SA"/>
    </w:rPr>
  </w:style>
  <w:style w:type="paragraph" w:styleId="1154">
    <w:name w:val="正文_1_1"/>
    <w:next w:val="1154"/>
    <w:link w:val="1084"/>
    <w:qFormat/>
    <w:pPr>
      <w:jc w:val="both"/>
      <w:widowControl w:val="off"/>
    </w:pPr>
    <w:rPr>
      <w:sz w:val="21"/>
      <w:szCs w:val="24"/>
      <w:lang w:val="en-US" w:eastAsia="zh-CN" w:bidi="ar-SA"/>
    </w:rPr>
  </w:style>
  <w:style w:type="paragraph" w:styleId="1155">
    <w:name w:val="列出段落"/>
    <w:basedOn w:val="1084"/>
    <w:next w:val="1155"/>
    <w:link w:val="1084"/>
    <w:uiPriority w:val="99"/>
    <w:qFormat/>
    <w:pPr>
      <w:ind w:firstLine="420"/>
    </w:pPr>
  </w:style>
  <w:style w:type="paragraph" w:styleId="1156">
    <w:name w:val="纯文本11"/>
    <w:basedOn w:val="1084"/>
    <w:next w:val="1156"/>
    <w:link w:val="1084"/>
    <w:unhideWhenUsed/>
    <w:qFormat/>
    <w:rPr>
      <w:rFonts w:ascii="宋体" w:hAnsi="Courier New"/>
      <w:sz w:val="20"/>
      <w:szCs w:val="20"/>
    </w:rPr>
  </w:style>
  <w:style w:type="paragraph" w:styleId="1157">
    <w:name w:val="标题 11"/>
    <w:basedOn w:val="1084"/>
    <w:next w:val="1084"/>
    <w:link w:val="1084"/>
    <w:uiPriority w:val="99"/>
    <w:qFormat/>
    <w:pPr>
      <w:keepLines/>
      <w:keepNext/>
      <w:spacing w:before="340" w:after="330" w:line="578" w:lineRule="auto"/>
      <w:outlineLvl w:val="0"/>
    </w:pPr>
    <w:rPr>
      <w:rFonts w:ascii="Calibri" w:hAnsi="Calibri"/>
      <w:b/>
      <w:bCs/>
      <w:sz w:val="44"/>
      <w:szCs w:val="44"/>
    </w:rPr>
  </w:style>
  <w:style w:type="paragraph" w:styleId="1158">
    <w:name w:val="页眉11"/>
    <w:basedOn w:val="1084"/>
    <w:next w:val="1158"/>
    <w:link w:val="108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59">
    <w:name w:val="页脚11"/>
    <w:basedOn w:val="1084"/>
    <w:next w:val="1159"/>
    <w:link w:val="1084"/>
    <w:uiPriority w:val="99"/>
    <w:unhideWhenUsed/>
    <w:qFormat/>
    <w:pPr>
      <w:jc w:val="left"/>
      <w:tabs>
        <w:tab w:val="center" w:pos="4153" w:leader="none"/>
        <w:tab w:val="right" w:pos="8306" w:leader="none"/>
      </w:tabs>
    </w:pPr>
    <w:rPr>
      <w:sz w:val="18"/>
      <w:szCs w:val="18"/>
    </w:rPr>
  </w:style>
  <w:style w:type="paragraph" w:styleId="1160">
    <w:name w:val="纯文本111"/>
    <w:basedOn w:val="1084"/>
    <w:next w:val="1160"/>
    <w:link w:val="1084"/>
    <w:uiPriority w:val="99"/>
    <w:unhideWhenUsed/>
    <w:qFormat/>
    <w:rPr>
      <w:rFonts w:ascii="宋体" w:hAnsi="Courier New"/>
      <w:sz w:val="20"/>
      <w:szCs w:val="20"/>
    </w:rPr>
  </w:style>
  <w:style w:type="paragraph" w:styleId="1161">
    <w:name w:val="BodyText1"/>
    <w:basedOn w:val="1084"/>
    <w:next w:val="1161"/>
    <w:link w:val="1084"/>
    <w:qFormat/>
    <w:rPr>
      <w:rFonts w:ascii="楷体_GB2312" w:hAnsi="Arial" w:eastAsia="楷体_GB2312"/>
      <w:sz w:val="28"/>
      <w:szCs w:val="28"/>
    </w:rPr>
  </w:style>
  <w:style w:type="paragraph" w:styleId="1162">
    <w:name w:val="标题 21"/>
    <w:basedOn w:val="1084"/>
    <w:next w:val="1151"/>
    <w:link w:val="1084"/>
    <w:uiPriority w:val="9"/>
    <w:qFormat/>
    <w:pPr>
      <w:keepLines/>
      <w:keepNext/>
      <w:spacing w:before="260" w:after="260" w:line="416" w:lineRule="auto"/>
      <w:outlineLvl w:val="1"/>
    </w:pPr>
    <w:rPr>
      <w:rFonts w:ascii="Cambria" w:hAnsi="Cambria"/>
      <w:b/>
      <w:bCs/>
      <w:sz w:val="32"/>
      <w:szCs w:val="32"/>
    </w:rPr>
  </w:style>
  <w:style w:type="paragraph" w:styleId="1163">
    <w:name w:val="标题 311"/>
    <w:basedOn w:val="1084"/>
    <w:next w:val="1084"/>
    <w:link w:val="1084"/>
    <w:qFormat/>
    <w:pPr>
      <w:keepLines/>
      <w:keepNext/>
      <w:spacing w:before="260" w:after="260" w:line="416" w:lineRule="auto"/>
      <w:outlineLvl w:val="2"/>
    </w:pPr>
    <w:rPr>
      <w:rFonts w:ascii="Calibri" w:hAnsi="Calibri"/>
      <w:b/>
      <w:bCs/>
      <w:sz w:val="32"/>
      <w:szCs w:val="32"/>
    </w:rPr>
  </w:style>
  <w:style w:type="paragraph" w:styleId="1164">
    <w:name w:val="正文文本111"/>
    <w:basedOn w:val="1084"/>
    <w:next w:val="1084"/>
    <w:link w:val="1084"/>
    <w:qFormat/>
    <w:rPr>
      <w:rFonts w:ascii="楷体_GB2312" w:hAnsi="Arial" w:eastAsia="楷体_GB2312"/>
      <w:sz w:val="28"/>
      <w:szCs w:val="28"/>
    </w:rPr>
  </w:style>
  <w:style w:type="paragraph" w:styleId="1165">
    <w:name w:val="标题 41"/>
    <w:basedOn w:val="1084"/>
    <w:next w:val="1151"/>
    <w:link w:val="1084"/>
    <w:qFormat/>
    <w:pPr>
      <w:keepLines/>
      <w:keepNext/>
      <w:spacing w:before="280" w:after="290" w:line="376" w:lineRule="auto"/>
      <w:outlineLvl w:val="3"/>
    </w:pPr>
    <w:rPr>
      <w:rFonts w:ascii="Arial" w:hAnsi="Arial" w:eastAsia="黑体" w:cs="Arial"/>
      <w:b/>
      <w:bCs/>
      <w:sz w:val="28"/>
      <w:szCs w:val="28"/>
    </w:rPr>
  </w:style>
  <w:style w:type="paragraph" w:styleId="1166">
    <w:name w:val="纯文本1"/>
    <w:basedOn w:val="1167"/>
    <w:next w:val="1166"/>
    <w:link w:val="1084"/>
    <w:qFormat/>
    <w:rPr>
      <w:rFonts w:ascii="宋体" w:hAnsi="Courier New" w:cs="Courier New"/>
    </w:rPr>
  </w:style>
  <w:style w:type="paragraph" w:styleId="1167">
    <w:name w:val="正文111"/>
    <w:next w:val="1168"/>
    <w:link w:val="1084"/>
    <w:qFormat/>
    <w:pPr>
      <w:jc w:val="both"/>
      <w:widowControl w:val="off"/>
    </w:pPr>
    <w:rPr>
      <w:rFonts w:ascii="Calibri" w:hAnsi="Calibri" w:eastAsia="宋体" w:cs="Times New Roman"/>
      <w:sz w:val="21"/>
      <w:szCs w:val="24"/>
      <w:lang w:val="en-US" w:eastAsia="zh-CN" w:bidi="ar-SA"/>
    </w:rPr>
  </w:style>
  <w:style w:type="paragraph" w:styleId="1168">
    <w:name w:val="文本块1"/>
    <w:basedOn w:val="1167"/>
    <w:next w:val="1168"/>
    <w:link w:val="1084"/>
    <w:qFormat/>
    <w:pPr>
      <w:ind w:left="567" w:right="454" w:firstLine="498"/>
      <w:jc w:val="left"/>
      <w:widowControl/>
    </w:pPr>
    <w:rPr>
      <w:rFonts w:ascii="仿宋_GB2312" w:eastAsia="仿宋_GB2312"/>
      <w:sz w:val="30"/>
      <w:szCs w:val="20"/>
    </w:rPr>
  </w:style>
  <w:style w:type="paragraph" w:styleId="1169">
    <w:name w:val="标题 31"/>
    <w:basedOn w:val="1084"/>
    <w:next w:val="1084"/>
    <w:link w:val="1084"/>
    <w:qFormat/>
    <w:pPr>
      <w:keepLines/>
      <w:keepNext/>
      <w:spacing w:before="260" w:after="260" w:line="416" w:lineRule="auto"/>
      <w:outlineLvl w:val="2"/>
    </w:pPr>
    <w:rPr>
      <w:b/>
      <w:bCs/>
      <w:sz w:val="32"/>
      <w:szCs w:val="32"/>
    </w:rPr>
  </w:style>
  <w:style w:type="paragraph" w:styleId="1170">
    <w:name w:val="无间隔1"/>
    <w:next w:val="1170"/>
    <w:link w:val="1084"/>
    <w:uiPriority w:val="99"/>
    <w:qFormat/>
    <w:pPr>
      <w:jc w:val="both"/>
      <w:widowControl w:val="off"/>
    </w:pPr>
    <w:rPr>
      <w:rFonts w:ascii="Times New Roman" w:hAnsi="Times New Roman" w:eastAsia="宋体" w:cs="Times New Roman"/>
      <w:sz w:val="21"/>
      <w:szCs w:val="21"/>
    </w:rPr>
  </w:style>
  <w:style w:type="paragraph" w:styleId="1171">
    <w:name w:val="Heading 4"/>
    <w:basedOn w:val="1084"/>
    <w:next w:val="1084"/>
    <w:link w:val="1084"/>
    <w:uiPriority w:val="9"/>
    <w:unhideWhenUsed/>
    <w:qFormat/>
    <w:pPr>
      <w:keepLines/>
      <w:keepNext/>
      <w:spacing w:before="320" w:after="200"/>
      <w:outlineLvl w:val="3"/>
    </w:pPr>
    <w:rPr>
      <w:rFonts w:ascii="Arial" w:hAnsi="Arial" w:eastAsia="Arial" w:cs="Arial"/>
      <w:b/>
      <w:bCs/>
      <w:sz w:val="26"/>
      <w:szCs w:val="26"/>
    </w:rPr>
  </w:style>
  <w:style w:type="paragraph" w:styleId="1172">
    <w:name w:val="1"/>
    <w:basedOn w:val="1084"/>
    <w:next w:val="1102"/>
    <w:link w:val="1084"/>
    <w:rPr>
      <w:rFonts w:ascii="宋体" w:hAnsi="Courier New"/>
      <w:sz w:val="21"/>
    </w:rPr>
  </w:style>
  <w:style w:type="character" w:styleId="1173" w:default="1">
    <w:name w:val="Default Paragraph Font"/>
    <w:uiPriority w:val="1"/>
    <w:semiHidden/>
    <w:unhideWhenUsed/>
  </w:style>
  <w:style w:type="numbering" w:styleId="1174" w:default="1">
    <w:name w:val="No List"/>
    <w:uiPriority w:val="99"/>
    <w:semiHidden/>
    <w:unhideWhenUsed/>
  </w:style>
  <w:style w:type="table" w:styleId="11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花花花花</dc:creator>
  <cp:lastModifiedBy>薛梦宇</cp:lastModifiedBy>
  <cp:revision>5</cp:revision>
  <dcterms:created xsi:type="dcterms:W3CDTF">2024-07-17T08:29:00Z</dcterms:created>
  <dcterms:modified xsi:type="dcterms:W3CDTF">2026-06-04T06:56:49Z</dcterms:modified>
</cp:coreProperties>
</file>