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right"/>
        <w:pageBreakBefore w:val="0"/>
        <w:spacing w:line="360" w:lineRule="auto"/>
        <w:rPr>
          <w:rFonts w:hint="default" w:ascii="Times New Roman" w:hAnsi="Times New Roman" w:eastAsia="宋体"/>
          <w:b/>
          <w:bCs/>
          <w:color w:val="auto"/>
          <w:sz w:val="36"/>
          <w:highlight w:val="none"/>
          <w:lang w:val="en-US" w:eastAsia="zh-CN"/>
        </w:rPr>
      </w:pPr>
      <w:r>
        <w:rPr>
          <w:rFonts w:hint="eastAsia" w:ascii="Times New Roman" w:hAnsi="Times New Roman" w:eastAsia="宋体"/>
          <w:b/>
          <w:bCs/>
          <w:color w:val="auto"/>
          <w:sz w:val="36"/>
          <w:highlight w:val="none"/>
        </w:rPr>
        <w:t xml:space="preserve">编号：JSZC-321000-HCZX-G2026-0024</w: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hint="eastAsia" w:ascii="Times New Roman" w:hAnsi="Times New Roman" w:eastAsia="宋体"/>
          <w:b/>
          <w:bCs/>
          <w:color w:val="auto"/>
          <w:sz w:val="36"/>
          <w:highlight w:val="none"/>
          <w:lang w:eastAsia="zh-CN"/>
        </w:rPr>
      </w:pPr>
      <w:r>
        <w:rPr>
          <w:rFonts w:hint="eastAsia" w:ascii="Times New Roman" w:hAnsi="Times New Roman"/>
          <w:b/>
          <w:bCs/>
          <w:color w:val="auto"/>
          <w:sz w:val="36"/>
          <w:highlight w:val="none"/>
          <w:lang w:val="en-US" w:eastAsia="zh-CN"/>
        </w:rPr>
        <w:t xml:space="preserve">扬州市公安局2026年</w:t>
      </w:r>
      <w:r>
        <w:rPr>
          <w:rFonts w:hint="eastAsia" w:ascii="Times New Roman" w:hAnsi="Times New Roman" w:eastAsia="宋体"/>
          <w:b/>
          <w:bCs/>
          <w:color w:val="auto"/>
          <w:sz w:val="36"/>
          <w:highlight w:val="none"/>
          <w:lang w:eastAsia="zh-CN"/>
        </w:rPr>
        <w:t xml:space="preserve">城南快速通道交通协管力量</w:t>
      </w:r>
      <w:r/>
    </w:p>
    <w:p>
      <w:pPr>
        <w:jc w:val="center"/>
        <w:pageBreakBefore w:val="0"/>
        <w:spacing w:line="360" w:lineRule="auto"/>
        <w:rPr>
          <w:rFonts w:ascii="Times New Roman" w:hAnsi="Times New Roman" w:eastAsia="宋体"/>
          <w:b/>
          <w:bCs/>
          <w:color w:val="auto"/>
          <w:sz w:val="36"/>
          <w:highlight w:val="none"/>
        </w:rPr>
      </w:pPr>
      <w:r>
        <w:rPr>
          <w:rFonts w:hint="eastAsia" w:ascii="Times New Roman" w:hAnsi="Times New Roman" w:eastAsia="宋体"/>
          <w:b/>
          <w:bCs/>
          <w:color w:val="auto"/>
          <w:sz w:val="36"/>
          <w:highlight w:val="none"/>
          <w:lang w:eastAsia="zh-CN"/>
        </w:rPr>
        <w:t xml:space="preserve">购买服务</w:t>
      </w:r>
      <w:r>
        <w:rPr>
          <w:rFonts w:hint="eastAsia" w:ascii="Times New Roman" w:hAnsi="Times New Roman" w:eastAsia="宋体"/>
          <w:b/>
          <w:bCs/>
          <w:color w:val="auto"/>
          <w:sz w:val="36"/>
          <w:highlight w:val="none"/>
        </w:rPr>
        <w:t xml:space="preserve">公开招标文件</w: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color w:val="auto"/>
          <w:sz w:val="36"/>
          <w:highlight w:val="none"/>
        </w:rPr>
      </w:pPr>
      <w:r>
        <w:rPr>
          <w:rFonts w:hint="eastAsia" w:ascii="宋体" w:hAnsi="宋体" w:eastAsia="宋体" w:cs="宋体"/>
          <w:color w:val="auto"/>
          <w:sz w:val="36"/>
          <w:highlight w:val="none"/>
        </w:rPr>
        <mc:AlternateContent>
          <mc:Choice Requires="wpg">
            <w:drawing>
              <wp:inline xmlns:wp="http://schemas.openxmlformats.org/drawingml/2006/wordprocessingDrawing" distT="0" distB="0" distL="0" distR="0">
                <wp:extent cx="5571490" cy="3817620"/>
                <wp:effectExtent l="0" t="0" r="3810" b="5080"/>
                <wp:docPr id="2" name="图片 19" descr="微信图片_20180905155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微信图片_20180905155510"/>
                        <pic:cNvPicPr>
                          <a:picLocks noChangeAspect="1"/>
                        </pic:cNvPicPr>
                        <pic:nvPr/>
                      </pic:nvPicPr>
                      <pic:blipFill>
                        <a:blip r:embed="rId15"/>
                        <a:stretch/>
                      </pic:blipFill>
                      <pic:spPr bwMode="auto">
                        <a:xfrm>
                          <a:off x="0" y="0"/>
                          <a:ext cx="5571490" cy="3817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8.7pt;height:300.6pt;mso-wrap-distance-left:0.0pt;mso-wrap-distance-top:0.0pt;mso-wrap-distance-right:0.0pt;mso-wrap-distance-bottom:0.0pt;" stroked="f">
                <v:path textboxrect="0,0,0,0"/>
                <v:imagedata r:id="rId15" o:title=""/>
              </v:shape>
            </w:pict>
          </mc:Fallback>
        </mc:AlternateConten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hint="eastAsia" w:ascii="Times New Roman" w:hAnsi="Times New Roman" w:eastAsia="宋体"/>
          <w:b/>
          <w:bCs/>
          <w:color w:val="auto"/>
          <w:sz w:val="36"/>
          <w:highlight w:val="none"/>
          <w:lang w:eastAsia="zh-CN"/>
        </w:rPr>
      </w:pPr>
      <w:r>
        <w:rPr>
          <w:rFonts w:hint="eastAsia" w:ascii="Times New Roman" w:hAnsi="Times New Roman"/>
          <w:b/>
          <w:bCs/>
          <w:color w:val="auto"/>
          <w:sz w:val="36"/>
          <w:highlight w:val="none"/>
          <w:lang w:eastAsia="zh-CN"/>
        </w:rPr>
        <w:t xml:space="preserve">江苏汇诚投资咨询管理有限公司</w:t>
      </w:r>
      <w:r/>
    </w:p>
    <w:p>
      <w:pPr>
        <w:jc w:val="center"/>
        <w:pageBreakBefore w:val="0"/>
        <w:spacing w:line="360" w:lineRule="auto"/>
        <w:rPr>
          <w:rFonts w:ascii="Times New Roman" w:hAnsi="Times New Roman" w:eastAsia="宋体"/>
          <w:b/>
          <w:bCs/>
          <w:color w:val="auto"/>
          <w:sz w:val="36"/>
          <w:highlight w:val="none"/>
        </w:rPr>
      </w:pPr>
      <w:r>
        <w:rPr>
          <w:rFonts w:hint="eastAsia" w:ascii="Times New Roman" w:hAnsi="Times New Roman" w:eastAsia="宋体"/>
          <w:b/>
          <w:bCs/>
          <w:color w:val="auto"/>
          <w:sz w:val="36"/>
          <w:highlight w:val="none"/>
        </w:rPr>
        <w:t xml:space="preserve">2026年</w:t>
      </w:r>
      <w:r>
        <w:rPr>
          <w:rFonts w:hint="eastAsia" w:ascii="Times New Roman" w:hAnsi="Times New Roman" w:eastAsia="宋体"/>
          <w:b/>
          <w:bCs/>
          <w:color w:val="auto"/>
          <w:sz w:val="36"/>
          <w:highlight w:val="none"/>
          <w:lang w:val="en-US" w:eastAsia="zh-CN"/>
        </w:rPr>
        <w:t xml:space="preserve">0</w:t>
      </w:r>
      <w:r>
        <w:rPr>
          <w:rFonts w:hint="eastAsia" w:ascii="Times New Roman" w:hAnsi="Times New Roman"/>
          <w:b/>
          <w:bCs/>
          <w:color w:val="auto"/>
          <w:sz w:val="36"/>
          <w:highlight w:val="none"/>
          <w:lang w:val="en-US" w:eastAsia="zh-CN"/>
        </w:rPr>
        <w:t xml:space="preserve">6</w:t>
      </w:r>
      <w:r>
        <w:rPr>
          <w:rFonts w:hint="eastAsia" w:ascii="Times New Roman" w:hAnsi="Times New Roman" w:eastAsia="宋体"/>
          <w:b/>
          <w:bCs/>
          <w:color w:val="auto"/>
          <w:sz w:val="36"/>
          <w:highlight w:val="none"/>
        </w:rPr>
        <w:t xml:space="preserve">月</w:t>
      </w:r>
      <w:r>
        <w:rPr>
          <w:rFonts w:hint="eastAsia" w:ascii="Times New Roman" w:hAnsi="Times New Roman"/>
          <w:b/>
          <w:bCs/>
          <w:color w:val="auto"/>
          <w:sz w:val="36"/>
          <w:highlight w:val="none"/>
          <w:lang w:val="en-US" w:eastAsia="zh-CN"/>
        </w:rPr>
        <w:t xml:space="preserve">26</w:t>
      </w:r>
      <w:r>
        <w:rPr>
          <w:rFonts w:hint="eastAsia" w:ascii="Times New Roman" w:hAnsi="Times New Roman" w:eastAsia="宋体"/>
          <w:b/>
          <w:bCs/>
          <w:color w:val="auto"/>
          <w:sz w:val="36"/>
          <w:highlight w:val="none"/>
        </w:rPr>
        <w:t xml:space="preserve">日</w:t>
      </w:r>
      <w:r/>
    </w:p>
    <w:p>
      <w:pPr>
        <w:jc w:val="center"/>
        <w:pageBreakBefore w:val="0"/>
        <w:spacing w:line="360" w:lineRule="auto"/>
        <w:rPr>
          <w:rFonts w:ascii="Times New Roman" w:hAnsi="Times New Roman" w:eastAsia="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olor w:val="auto"/>
          <w:sz w:val="32"/>
          <w:highlight w:val="none"/>
        </w:rPr>
      </w:r>
      <w:r/>
    </w:p>
    <w:p>
      <w:pPr>
        <w:pStyle w:val="739"/>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jc w:val="center"/>
        <w:pageBreakBefore w:val="0"/>
        <w:spacing w:line="360" w:lineRule="auto"/>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目录</w:t>
      </w:r>
      <w:r/>
    </w:p>
    <w:p>
      <w:pPr>
        <w:pStyle w:val="742"/>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fldChar w:fldCharType="begin"/>
      </w:r>
      <w:r>
        <w:rPr>
          <w:rFonts w:hint="eastAsia" w:ascii="Times New Roman" w:hAnsi="Times New Roman" w:eastAsia="宋体"/>
          <w:color w:val="auto"/>
          <w:sz w:val="30"/>
          <w:szCs w:val="30"/>
          <w:highlight w:val="none"/>
        </w:rPr>
        <w:instrText xml:space="preserve"> TOC \o "1-3" \f </w:instrText>
      </w:r>
      <w:r>
        <w:rPr>
          <w:rFonts w:hint="eastAsia" w:ascii="Times New Roman" w:hAnsi="Times New Roman" w:eastAsia="宋体"/>
          <w:color w:val="auto"/>
          <w:sz w:val="30"/>
          <w:szCs w:val="30"/>
          <w:highlight w:val="none"/>
        </w:rPr>
        <w:fldChar w:fldCharType="separate"/>
      </w:r>
      <w:r>
        <w:rPr>
          <w:rFonts w:hint="eastAsia" w:ascii="Times New Roman" w:hAnsi="Times New Roman" w:eastAsia="宋体"/>
          <w:color w:val="auto"/>
          <w:sz w:val="30"/>
          <w:szCs w:val="30"/>
          <w:highlight w:val="none"/>
        </w:rPr>
        <w:t xml:space="preserve">第一章投标邀请</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_Toc29098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1</w:t>
      </w:r>
      <w:r>
        <w:rPr>
          <w:rFonts w:ascii="Times New Roman" w:hAnsi="Times New Roman" w:eastAsia="宋体"/>
          <w:color w:val="auto"/>
          <w:sz w:val="30"/>
          <w:szCs w:val="30"/>
          <w:highlight w:val="none"/>
        </w:rPr>
        <w:fldChar w:fldCharType="end"/>
      </w:r>
      <w:r/>
    </w:p>
    <w:p>
      <w:pPr>
        <w:pStyle w:val="742"/>
        <w:pageBreakBefore w:val="0"/>
        <w:spacing w:line="360" w:lineRule="auto"/>
        <w:tabs>
          <w:tab w:val="right" w:pos="8306" w:leader="dot"/>
        </w:tabs>
        <w:rPr>
          <w:rFonts w:hint="eastAsia" w:ascii="Times New Roman" w:hAnsi="Times New Roman" w:eastAsia="宋体"/>
          <w:color w:val="auto"/>
          <w:sz w:val="30"/>
          <w:szCs w:val="30"/>
          <w:highlight w:val="none"/>
          <w:lang w:eastAsia="zh-CN"/>
        </w:rPr>
      </w:pPr>
      <w:r>
        <w:rPr>
          <w:rFonts w:hint="eastAsia" w:ascii="Times New Roman" w:hAnsi="Times New Roman" w:eastAsia="宋体"/>
          <w:color w:val="auto"/>
          <w:sz w:val="30"/>
          <w:szCs w:val="30"/>
          <w:highlight w:val="none"/>
        </w:rPr>
        <w:t xml:space="preserve">第二章投标人须知</w:t>
      </w:r>
      <w:r>
        <w:rPr>
          <w:rFonts w:ascii="Times New Roman" w:hAnsi="Times New Roman" w:eastAsia="宋体"/>
          <w:color w:val="auto"/>
          <w:sz w:val="30"/>
          <w:szCs w:val="30"/>
          <w:highlight w:val="none"/>
        </w:rPr>
        <w:tab/>
      </w:r>
      <w:r>
        <w:rPr>
          <w:rFonts w:hint="eastAsia" w:ascii="Times New Roman" w:hAnsi="Times New Roman"/>
          <w:color w:val="auto"/>
          <w:sz w:val="30"/>
          <w:szCs w:val="30"/>
          <w:highlight w:val="none"/>
          <w:lang w:val="en-US" w:eastAsia="zh-CN"/>
        </w:rPr>
        <w:t xml:space="preserve">4</w:t>
      </w:r>
      <w:r/>
    </w:p>
    <w:p>
      <w:pPr>
        <w:pStyle w:val="742"/>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第三章合同条款及格式</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_Toc13939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1</w:t>
      </w:r>
      <w:r>
        <w:rPr>
          <w:rFonts w:hint="eastAsia" w:ascii="Times New Roman" w:hAnsi="Times New Roman"/>
          <w:color w:val="auto"/>
          <w:sz w:val="30"/>
          <w:szCs w:val="30"/>
          <w:highlight w:val="none"/>
          <w:lang w:val="en-US" w:eastAsia="zh-CN"/>
        </w:rPr>
        <w:t xml:space="preserve">5</w:t>
      </w:r>
      <w:r>
        <w:rPr>
          <w:rFonts w:ascii="Times New Roman" w:hAnsi="Times New Roman" w:eastAsia="宋体"/>
          <w:color w:val="auto"/>
          <w:sz w:val="30"/>
          <w:szCs w:val="30"/>
          <w:highlight w:val="none"/>
        </w:rPr>
        <w:fldChar w:fldCharType="end"/>
      </w:r>
      <w:r/>
    </w:p>
    <w:p>
      <w:pPr>
        <w:pStyle w:val="742"/>
        <w:pageBreakBefore w:val="0"/>
        <w:spacing w:line="360" w:lineRule="auto"/>
        <w:tabs>
          <w:tab w:val="right" w:pos="8306" w:leader="dot"/>
        </w:tabs>
        <w:rPr>
          <w:rFonts w:hint="default" w:ascii="Times New Roman" w:hAnsi="Times New Roman" w:eastAsia="宋体"/>
          <w:color w:val="auto"/>
          <w:sz w:val="30"/>
          <w:szCs w:val="30"/>
          <w:highlight w:val="none"/>
          <w:lang w:val="en-US" w:eastAsia="zh-CN"/>
        </w:rPr>
      </w:pPr>
      <w:r>
        <w:rPr>
          <w:rFonts w:hint="eastAsia" w:ascii="Times New Roman" w:hAnsi="Times New Roman" w:eastAsia="宋体"/>
          <w:color w:val="auto"/>
          <w:sz w:val="30"/>
          <w:szCs w:val="30"/>
          <w:highlight w:val="none"/>
        </w:rPr>
        <w:t xml:space="preserve">第四章项目需求</w:t>
      </w:r>
      <w:r>
        <w:rPr>
          <w:rFonts w:ascii="Times New Roman" w:hAnsi="Times New Roman" w:eastAsia="宋体"/>
          <w:color w:val="auto"/>
          <w:sz w:val="30"/>
          <w:szCs w:val="30"/>
          <w:highlight w:val="none"/>
        </w:rPr>
        <w:tab/>
      </w:r>
      <w:r>
        <w:rPr>
          <w:rFonts w:hint="eastAsia" w:ascii="Times New Roman" w:hAnsi="Times New Roman"/>
          <w:color w:val="auto"/>
          <w:sz w:val="30"/>
          <w:szCs w:val="30"/>
          <w:highlight w:val="none"/>
          <w:lang w:val="en-US" w:eastAsia="zh-CN"/>
        </w:rPr>
        <w:t xml:space="preserve">19</w:t>
      </w:r>
      <w:r/>
    </w:p>
    <w:p>
      <w:pPr>
        <w:pStyle w:val="742"/>
        <w:pageBreakBefore w:val="0"/>
        <w:spacing w:line="360" w:lineRule="auto"/>
        <w:tabs>
          <w:tab w:val="right" w:pos="8306" w:leader="dot"/>
        </w:tabs>
        <w:rPr>
          <w:rFonts w:hint="default" w:ascii="Times New Roman" w:hAnsi="Times New Roman" w:eastAsia="宋体"/>
          <w:color w:val="auto"/>
          <w:sz w:val="30"/>
          <w:szCs w:val="30"/>
          <w:highlight w:val="none"/>
          <w:lang w:val="en-US" w:eastAsia="zh-CN"/>
        </w:rPr>
      </w:pPr>
      <w:r>
        <w:rPr>
          <w:rFonts w:hint="eastAsia" w:ascii="Times New Roman" w:hAnsi="Times New Roman" w:eastAsia="宋体"/>
          <w:color w:val="auto"/>
          <w:sz w:val="30"/>
          <w:szCs w:val="30"/>
          <w:highlight w:val="none"/>
        </w:rPr>
        <w:t xml:space="preserve">第五章评标方法及评标标准</w:t>
      </w:r>
      <w:r>
        <w:rPr>
          <w:rFonts w:ascii="Times New Roman" w:hAnsi="Times New Roman" w:eastAsia="宋体"/>
          <w:color w:val="auto"/>
          <w:sz w:val="30"/>
          <w:szCs w:val="30"/>
          <w:highlight w:val="none"/>
        </w:rPr>
        <w:tab/>
      </w:r>
      <w:r>
        <w:rPr>
          <w:rFonts w:hint="eastAsia" w:ascii="Times New Roman" w:hAnsi="Times New Roman"/>
          <w:color w:val="auto"/>
          <w:sz w:val="30"/>
          <w:szCs w:val="30"/>
          <w:highlight w:val="none"/>
          <w:lang w:val="en-US" w:eastAsia="zh-CN"/>
        </w:rPr>
        <w:t xml:space="preserve">25</w:t>
      </w:r>
      <w:r/>
    </w:p>
    <w:p>
      <w:pPr>
        <w:pStyle w:val="742"/>
        <w:pageBreakBefore w:val="0"/>
        <w:spacing w:line="360" w:lineRule="auto"/>
        <w:tabs>
          <w:tab w:val="right" w:pos="8306" w:leader="dot"/>
        </w:tabs>
        <w:rPr>
          <w:rFonts w:hint="default" w:ascii="Times New Roman" w:hAnsi="Times New Roman" w:eastAsia="宋体"/>
          <w:color w:val="auto"/>
          <w:sz w:val="30"/>
          <w:szCs w:val="30"/>
          <w:highlight w:val="none"/>
          <w:lang w:val="en-US" w:eastAsia="zh-CN"/>
        </w:rPr>
      </w:pPr>
      <w:r>
        <w:rPr>
          <w:rFonts w:hint="eastAsia" w:ascii="Times New Roman" w:hAnsi="Times New Roman" w:eastAsia="宋体"/>
          <w:color w:val="auto"/>
          <w:sz w:val="30"/>
          <w:szCs w:val="30"/>
          <w:highlight w:val="none"/>
        </w:rPr>
        <w:t xml:space="preserve">第六章投标文件格式</w:t>
      </w:r>
      <w:r>
        <w:rPr>
          <w:rFonts w:ascii="Times New Roman" w:hAnsi="Times New Roman" w:eastAsia="宋体"/>
          <w:color w:val="auto"/>
          <w:sz w:val="30"/>
          <w:szCs w:val="30"/>
          <w:highlight w:val="none"/>
        </w:rPr>
        <w:tab/>
      </w:r>
      <w:r>
        <w:rPr>
          <w:rFonts w:hint="eastAsia" w:ascii="Times New Roman" w:hAnsi="Times New Roman"/>
          <w:color w:val="auto"/>
          <w:sz w:val="30"/>
          <w:szCs w:val="30"/>
          <w:highlight w:val="none"/>
          <w:lang w:val="en-US" w:eastAsia="zh-CN"/>
        </w:rPr>
        <w:t xml:space="preserve">29</w:t>
      </w:r>
      <w:r/>
    </w:p>
    <w:p>
      <w:pPr>
        <w:pageBreakBefore w:val="0"/>
        <w:spacing w:line="360" w:lineRule="auto"/>
        <w:rPr>
          <w:rFonts w:ascii="Times New Roman" w:hAnsi="Times New Roman" w:eastAsia="宋体"/>
          <w:color w:val="auto"/>
          <w:sz w:val="28"/>
          <w:highlight w:val="none"/>
        </w:rPr>
      </w:pPr>
      <w:r>
        <w:rPr>
          <w:rFonts w:hint="eastAsia" w:ascii="Times New Roman" w:hAnsi="Times New Roman" w:eastAsia="宋体"/>
          <w:color w:val="auto"/>
          <w:sz w:val="30"/>
          <w:szCs w:val="30"/>
          <w:highlight w:val="none"/>
        </w:rPr>
        <w:fldChar w:fldCharType="end"/>
      </w:r>
      <w:r/>
    </w:p>
    <w:p>
      <w:pPr>
        <w:pStyle w:val="715"/>
        <w:jc w:val="center"/>
        <w:pageBreakBefore w:val="0"/>
        <w:spacing w:before="0" w:after="0" w:line="360" w:lineRule="auto"/>
        <w:rPr>
          <w:rFonts w:ascii="Times New Roman" w:hAnsi="Times New Roman" w:eastAsia="宋体"/>
          <w:color w:val="auto"/>
          <w:sz w:val="36"/>
          <w:szCs w:val="36"/>
          <w:highlight w:val="none"/>
        </w:rPr>
        <w:sectPr>
          <w:footerReference w:type="default" r:id="rId11"/>
          <w:footnotePr/>
          <w:endnotePr/>
          <w:type w:val="nextPage"/>
          <w:pgSz w:w="11906" w:h="16838" w:orient="portrait"/>
          <w:pgMar w:top="1440" w:right="1800" w:bottom="1440" w:left="1800" w:header="851" w:footer="992" w:gutter="0"/>
          <w:pgNumType w:start="2"/>
          <w:cols w:num="1" w:sep="0" w:space="720" w:equalWidth="1"/>
          <w:docGrid w:linePitch="360"/>
        </w:sectPr>
      </w:pPr>
      <w:r/>
      <w:bookmarkStart w:id="0" w:name="_Toc55204177"/>
      <w:r/>
      <w:r/>
    </w:p>
    <w:p>
      <w:pPr>
        <w:pStyle w:val="715"/>
        <w:jc w:val="center"/>
        <w:pageBreakBefore w:val="0"/>
        <w:spacing w:before="0" w:after="0" w:line="360" w:lineRule="auto"/>
        <w:rPr>
          <w:rFonts w:ascii="Times New Roman" w:hAnsi="Times New Roman" w:eastAsia="宋体"/>
          <w:color w:val="auto"/>
          <w:sz w:val="36"/>
          <w:szCs w:val="36"/>
          <w:highlight w:val="none"/>
        </w:rPr>
      </w:pPr>
      <w:r/>
      <w:bookmarkStart w:id="1" w:name="_Toc29098"/>
      <w:r>
        <w:rPr>
          <w:rFonts w:hint="eastAsia" w:ascii="Times New Roman" w:hAnsi="Times New Roman" w:eastAsia="宋体"/>
          <w:color w:val="auto"/>
          <w:sz w:val="36"/>
          <w:szCs w:val="36"/>
          <w:highlight w:val="none"/>
        </w:rPr>
        <w:t xml:space="preserve">第一章</w:t>
      </w:r>
      <w:bookmarkEnd w:id="0"/>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投标邀请</w:t>
      </w:r>
      <w:bookmarkEnd w:id="1"/>
      <w:r/>
      <w:r/>
    </w:p>
    <w:p>
      <w:pPr>
        <w:ind w:firstLine="420"/>
        <w:jc w:val="left"/>
        <w:pageBreakBefore w:val="0"/>
        <w:spacing w:line="360" w:lineRule="auto"/>
        <w:tabs>
          <w:tab w:val="left" w:pos="266" w:leader="none"/>
        </w:tabs>
        <w:rPr>
          <w:rFonts w:ascii="Times New Roman" w:hAnsi="Times New Roman" w:eastAsia="宋体" w:cs="宋体"/>
          <w:color w:val="auto"/>
          <w:szCs w:val="21"/>
          <w:highlight w:val="none"/>
        </w:rPr>
      </w:pPr>
      <w:r>
        <w:rPr>
          <w:rFonts w:hint="eastAsia" w:ascii="Times New Roman" w:hAnsi="Times New Roman" w:eastAsia="宋体" w:cs="宋体"/>
          <w:color w:val="auto"/>
          <w:highlight w:val="none"/>
        </w:rPr>
        <w:t xml:space="preserve">受</w:t>
      </w:r>
      <w:r>
        <w:rPr>
          <w:rFonts w:hint="eastAsia" w:ascii="Times New Roman" w:hAnsi="Times New Roman" w:cs="宋体"/>
          <w:color w:val="auto"/>
          <w:highlight w:val="none"/>
          <w:lang w:eastAsia="zh-CN"/>
        </w:rPr>
        <w:t xml:space="preserve">扬州市公安局</w:t>
      </w:r>
      <w:r>
        <w:rPr>
          <w:rFonts w:hint="eastAsia" w:ascii="Times New Roman" w:hAnsi="Times New Roman" w:eastAsia="宋体" w:cs="宋体"/>
          <w:color w:val="auto"/>
          <w:highlight w:val="none"/>
        </w:rPr>
        <w:t xml:space="preserve">的委托，</w:t>
      </w:r>
      <w:r>
        <w:rPr>
          <w:rFonts w:hint="eastAsia" w:ascii="Times New Roman" w:hAnsi="Times New Roman" w:cs="宋体"/>
          <w:color w:val="auto"/>
          <w:highlight w:val="none"/>
          <w:lang w:eastAsia="zh-CN"/>
        </w:rPr>
        <w:t xml:space="preserve">江苏汇诚投资咨询管理有限公司</w:t>
      </w:r>
      <w:r>
        <w:rPr>
          <w:rFonts w:hint="eastAsia" w:ascii="Times New Roman" w:hAnsi="Times New Roman" w:eastAsia="宋体" w:cs="宋体"/>
          <w:color w:val="auto"/>
          <w:highlight w:val="none"/>
        </w:rPr>
        <w:t xml:space="preserve">就</w:t>
      </w:r>
      <w:r>
        <w:rPr>
          <w:rFonts w:hint="eastAsia" w:ascii="Times New Roman" w:hAnsi="Times New Roman"/>
          <w:color w:val="auto"/>
          <w:highlight w:val="none"/>
          <w:lang w:eastAsia="zh-CN"/>
        </w:rPr>
        <w:t xml:space="preserve">扬州市公安局</w:t>
      </w:r>
      <w:r>
        <w:rPr>
          <w:rFonts w:hint="eastAsia" w:ascii="Times New Roman" w:hAnsi="Times New Roman" w:eastAsia="宋体"/>
          <w:color w:val="auto"/>
          <w:highlight w:val="none"/>
          <w:lang w:eastAsia="zh-CN"/>
        </w:rPr>
        <w:t xml:space="preserve">2026年城南快速通道交通协管力量购买服务项目</w:t>
      </w:r>
      <w:r>
        <w:rPr>
          <w:rFonts w:hint="eastAsia" w:ascii="Times New Roman" w:hAnsi="Times New Roman" w:eastAsia="宋体" w:cs="宋体"/>
          <w:color w:val="auto"/>
          <w:highlight w:val="none"/>
        </w:rPr>
        <w:t xml:space="preserve">（JSZC-321000-HCZX-G2026-0024</w:t>
      </w:r>
      <w:r>
        <w:rPr>
          <w:rFonts w:hint="eastAsia" w:ascii="Times New Roman" w:hAnsi="Times New Roman" w:cs="宋体"/>
          <w:color w:val="auto"/>
          <w:highlight w:val="none"/>
          <w:lang w:val="en-US" w:eastAsia="zh-CN"/>
        </w:rPr>
        <w:t xml:space="preserve">号</w:t>
      </w:r>
      <w:r>
        <w:rPr>
          <w:rFonts w:hint="eastAsia" w:ascii="Times New Roman" w:hAnsi="Times New Roman" w:eastAsia="宋体" w:cs="宋体"/>
          <w:color w:val="auto"/>
          <w:highlight w:val="none"/>
        </w:rPr>
        <w:t xml:space="preserve">）进行公开招标采购，欢迎符合条件的供应商投标。</w:t>
      </w:r>
      <w:r/>
    </w:p>
    <w:p>
      <w:pPr>
        <w:ind w:firstLine="422"/>
        <w:pageBreakBefore w:val="0"/>
        <w:spacing w:line="360" w:lineRule="auto"/>
        <w:rPr>
          <w:rFonts w:ascii="Times New Roman" w:hAnsi="Times New Roman" w:eastAsia="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eastAsia="宋体" w:cs="宋体"/>
          <w:b/>
          <w:bCs/>
          <w:color w:val="auto"/>
          <w:highlight w:val="none"/>
        </w:rPr>
        <w:t xml:space="preserve">项目概况</w:t>
      </w:r>
      <w:r/>
    </w:p>
    <w:p>
      <w:pPr>
        <w:ind w:firstLine="420"/>
        <w:pageBreakBefore w:val="0"/>
        <w:spacing w:line="360" w:lineRule="auto"/>
        <w:rPr>
          <w:rFonts w:ascii="Times New Roman" w:hAnsi="Times New Roman" w:eastAsia="宋体" w:cs="宋体"/>
          <w:color w:val="auto"/>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color w:val="auto"/>
          <w:highlight w:val="none"/>
          <w:u w:val="single"/>
          <w:lang w:eastAsia="zh-CN"/>
        </w:rPr>
        <w:t xml:space="preserve">扬州市公安局2026年城南快速通道交通协管力量购买服务</w:t>
      </w:r>
      <w:r>
        <w:rPr>
          <w:rFonts w:hint="eastAsia" w:ascii="Times New Roman" w:hAnsi="Times New Roman" w:eastAsia="宋体" w:cs="宋体"/>
          <w:color w:val="auto"/>
          <w:highlight w:val="none"/>
        </w:rPr>
        <w:t xml:space="preserve">的潜在投标人可在</w:t>
      </w:r>
      <w:r>
        <w:rPr>
          <w:rFonts w:hint="eastAsia" w:ascii="Times New Roman" w:hAnsi="Times New Roman" w:eastAsia="宋体" w:cs="宋体"/>
          <w:color w:val="auto"/>
          <w:highlight w:val="none"/>
          <w:u w:val="single"/>
        </w:rPr>
        <w:t xml:space="preserve">“扬州市政府采购网”、“江苏省政府采购网”</w:t>
      </w:r>
      <w:r>
        <w:rPr>
          <w:rFonts w:hint="eastAsia" w:ascii="Times New Roman" w:hAnsi="Times New Roman" w:cs="宋体"/>
          <w:color w:val="auto"/>
          <w:highlight w:val="none"/>
          <w:u w:val="single"/>
          <w:lang w:val="en-US" w:eastAsia="zh-CN"/>
        </w:rPr>
        <w:t xml:space="preserve">  </w:t>
      </w:r>
      <w:r>
        <w:rPr>
          <w:rFonts w:hint="eastAsia" w:ascii="Times New Roman" w:hAnsi="Times New Roman" w:eastAsia="宋体" w:cs="宋体"/>
          <w:color w:val="auto"/>
          <w:highlight w:val="none"/>
          <w:u w:val="none"/>
        </w:rPr>
        <w:t xml:space="preserve">自行免费下载</w:t>
      </w:r>
      <w:r>
        <w:rPr>
          <w:rFonts w:hint="eastAsia" w:ascii="Times New Roman" w:hAnsi="Times New Roman" w:eastAsia="宋体" w:cs="宋体"/>
          <w:color w:val="auto"/>
          <w:highlight w:val="none"/>
        </w:rPr>
        <w:t xml:space="preserve">招标文件，并于</w:t>
      </w:r>
      <w:r>
        <w:rPr>
          <w:rFonts w:hint="eastAsia" w:ascii="Times New Roman" w:hAnsi="Times New Roman" w:eastAsia="宋体" w:cs="宋体"/>
          <w:bCs/>
          <w:color w:val="auto"/>
          <w:highlight w:val="none"/>
          <w:u w:val="single"/>
        </w:rPr>
        <w:t xml:space="preserve">2026年</w:t>
      </w:r>
      <w:r>
        <w:rPr>
          <w:rFonts w:hint="eastAsia" w:ascii="Times New Roman" w:hAnsi="Times New Roman" w:cs="宋体"/>
          <w:bCs/>
          <w:color w:val="auto"/>
          <w:highlight w:val="none"/>
          <w:u w:val="single"/>
          <w:lang w:val="en-US" w:eastAsia="zh-CN"/>
        </w:rPr>
        <w:t xml:space="preserve">7</w:t>
      </w:r>
      <w:r>
        <w:rPr>
          <w:rFonts w:hint="eastAsia" w:ascii="Times New Roman" w:hAnsi="Times New Roman" w:eastAsia="宋体" w:cs="宋体"/>
          <w:bCs/>
          <w:color w:val="auto"/>
          <w:highlight w:val="none"/>
          <w:u w:val="single"/>
        </w:rPr>
        <w:t xml:space="preserve">月</w:t>
      </w:r>
      <w:r>
        <w:rPr>
          <w:rFonts w:hint="eastAsia" w:ascii="Times New Roman" w:hAnsi="Times New Roman" w:cs="宋体"/>
          <w:bCs/>
          <w:color w:val="auto"/>
          <w:highlight w:val="none"/>
          <w:u w:val="single"/>
          <w:lang w:val="en-US" w:eastAsia="zh-CN"/>
        </w:rPr>
        <w:t xml:space="preserve">17</w:t>
      </w:r>
      <w:r>
        <w:rPr>
          <w:rFonts w:hint="eastAsia" w:ascii="Times New Roman" w:hAnsi="Times New Roman" w:eastAsia="宋体" w:cs="宋体"/>
          <w:bCs/>
          <w:color w:val="auto"/>
          <w:highlight w:val="none"/>
          <w:u w:val="single"/>
        </w:rPr>
        <w:t xml:space="preserve">日上午9:30</w:t>
      </w:r>
      <w:r>
        <w:rPr>
          <w:rFonts w:hint="eastAsia" w:ascii="Times New Roman" w:hAnsi="Times New Roman" w:eastAsia="宋体" w:cs="宋体"/>
          <w:bCs/>
          <w:color w:val="auto"/>
          <w:highlight w:val="none"/>
        </w:rPr>
        <w:t xml:space="preserve">（北京时间）前递交投标文件</w:t>
      </w:r>
      <w:r>
        <w:rPr>
          <w:rFonts w:hint="eastAsia" w:ascii="Times New Roman" w:hAnsi="Times New Roman" w:eastAsia="宋体" w:cs="宋体"/>
          <w:color w:val="auto"/>
          <w:highlight w:val="none"/>
        </w:rPr>
        <w:t xml:space="preserve">。</w:t>
      </w:r>
      <w:r/>
    </w:p>
    <w:p>
      <w:pPr>
        <w:pageBreakBefore w:val="0"/>
        <w:spacing w:line="360" w:lineRule="auto"/>
        <w:tabs>
          <w:tab w:val="left" w:pos="266" w:leader="none"/>
        </w:tabs>
        <w:rPr>
          <w:rFonts w:ascii="Times New Roman" w:hAnsi="Times New Roman" w:eastAsia="宋体" w:cs="宋体"/>
          <w:b/>
          <w:bCs/>
          <w:color w:val="auto"/>
          <w:highlight w:val="none"/>
        </w:rPr>
      </w:pPr>
      <w:r/>
      <w:bookmarkStart w:id="2" w:name="_Toc28359002"/>
      <w:r/>
      <w:bookmarkStart w:id="3" w:name="_Toc38985263"/>
      <w:r/>
      <w:bookmarkStart w:id="4" w:name="_Toc35393790"/>
      <w:r/>
      <w:bookmarkStart w:id="5" w:name="_Toc28359079"/>
      <w:r/>
      <w:bookmarkStart w:id="6" w:name="_Toc35393621"/>
      <w:r/>
      <w:bookmarkStart w:id="7" w:name="_Hlk24379207"/>
      <w:r>
        <w:rPr>
          <w:rFonts w:hint="eastAsia" w:ascii="Times New Roman" w:hAnsi="Times New Roman" w:eastAsia="宋体" w:cs="宋体"/>
          <w:b/>
          <w:bCs/>
          <w:color w:val="auto"/>
          <w:highlight w:val="none"/>
        </w:rPr>
        <w:t xml:space="preserve">一、项目基本情况</w:t>
      </w:r>
      <w:bookmarkEnd w:id="2"/>
      <w:r/>
      <w:bookmarkEnd w:id="3"/>
      <w:r/>
      <w:bookmarkEnd w:id="4"/>
      <w:r/>
      <w:bookmarkEnd w:id="5"/>
      <w:r/>
      <w:bookmarkEnd w:id="6"/>
      <w:r/>
      <w:r/>
    </w:p>
    <w:p>
      <w:pPr>
        <w:ind w:firstLine="420"/>
        <w:pageBreakBefore w:val="0"/>
        <w:spacing w:line="360" w:lineRule="auto"/>
        <w:rPr>
          <w:rFonts w:hint="eastAsia" w:ascii="Times New Roman" w:hAnsi="Times New Roman" w:eastAsia="宋体" w:cs="宋体"/>
          <w:color w:val="auto"/>
          <w:szCs w:val="21"/>
          <w:highlight w:val="none"/>
          <w:lang w:eastAsia="zh-CN"/>
        </w:rPr>
      </w:pPr>
      <w:r>
        <w:rPr>
          <w:rFonts w:hint="eastAsia" w:ascii="Times New Roman" w:hAnsi="Times New Roman" w:eastAsia="宋体" w:cs="宋体"/>
          <w:color w:val="auto"/>
          <w:highlight w:val="none"/>
        </w:rPr>
        <w:t xml:space="preserve">1.项目编号：JSZC-321000-HCZX-G2026-0024</w:t>
      </w:r>
      <w:r/>
    </w:p>
    <w:p>
      <w:pPr>
        <w:ind w:firstLine="420"/>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2.项目名称：</w:t>
      </w:r>
      <w:bookmarkEnd w:id="7"/>
      <w:r>
        <w:rPr>
          <w:rFonts w:hint="eastAsia" w:ascii="Times New Roman" w:hAnsi="Times New Roman" w:eastAsia="宋体" w:cs="宋体"/>
          <w:color w:val="auto"/>
          <w:highlight w:val="none"/>
          <w:lang w:eastAsia="zh-CN"/>
        </w:rPr>
        <w:t xml:space="preserve">扬州市公安局2026年城南快速通道交通协管力量购买服务</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3.预算金额：</w:t>
      </w:r>
      <w:r>
        <w:rPr>
          <w:rFonts w:hint="eastAsia" w:ascii="Times New Roman" w:hAnsi="Times New Roman" w:cs="宋体"/>
          <w:color w:val="auto"/>
          <w:highlight w:val="none"/>
          <w:lang w:val="en-US" w:eastAsia="zh-CN"/>
        </w:rPr>
        <w:t xml:space="preserve">416</w:t>
      </w:r>
      <w:r>
        <w:rPr>
          <w:rFonts w:hint="eastAsia" w:ascii="Times New Roman" w:hAnsi="Times New Roman" w:eastAsia="宋体" w:cs="宋体"/>
          <w:color w:val="auto"/>
          <w:highlight w:val="none"/>
          <w:lang w:val="en-US" w:eastAsia="zh-CN"/>
        </w:rPr>
        <w:t xml:space="preserve">万元</w:t>
      </w:r>
      <w:r>
        <w:rPr>
          <w:rFonts w:hint="eastAsia" w:ascii="Times New Roman" w:hAnsi="Times New Roman" w:eastAsia="宋体" w:cs="宋体"/>
          <w:color w:val="auto"/>
          <w:highlight w:val="none"/>
        </w:rPr>
        <w:t xml:space="preserve">。</w:t>
      </w:r>
      <w:r/>
    </w:p>
    <w:p>
      <w:pPr>
        <w:pStyle w:val="910"/>
        <w:ind w:firstLine="420"/>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4.本项目设置</w:t>
      </w:r>
      <w:r>
        <w:rPr>
          <w:rFonts w:hint="eastAsia" w:ascii="Times New Roman" w:hAnsi="Times New Roman" w:eastAsia="宋体" w:cs="宋体"/>
          <w:color w:val="auto"/>
          <w:sz w:val="21"/>
          <w:szCs w:val="22"/>
          <w:highlight w:val="none"/>
          <w:lang w:val="en-US" w:eastAsia="zh-CN" w:bidi="ar-SA"/>
        </w:rPr>
        <w:t xml:space="preserve">最高限价，最高限价同预算价，报价超过最高限价的为无效响应文件。</w:t>
      </w:r>
      <w:r/>
    </w:p>
    <w:p>
      <w:pPr>
        <w:ind w:firstLine="420"/>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5.采购需求：见招标文件第四章。</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6.合同履行期限：</w:t>
      </w:r>
      <w:r>
        <w:rPr>
          <w:rFonts w:hint="eastAsia" w:ascii="Times New Roman" w:hAnsi="Times New Roman" w:eastAsia="宋体" w:cs="宋体"/>
          <w:color w:val="auto"/>
          <w:highlight w:val="none"/>
          <w:lang w:val="en-US" w:eastAsia="zh-CN"/>
        </w:rPr>
        <w:t xml:space="preserve">自</w:t>
      </w:r>
      <w:r>
        <w:rPr>
          <w:rFonts w:hint="eastAsia" w:ascii="Times New Roman" w:hAnsi="Times New Roman" w:eastAsia="宋体" w:cs="宋体"/>
          <w:color w:val="auto"/>
          <w:szCs w:val="21"/>
          <w:highlight w:val="none"/>
        </w:rPr>
        <w:t xml:space="preserve">合同签订之日起</w:t>
      </w:r>
      <w:r>
        <w:rPr>
          <w:rFonts w:hint="eastAsia" w:ascii="Times New Roman" w:hAnsi="Times New Roman" w:cs="宋体"/>
          <w:color w:val="auto"/>
          <w:szCs w:val="21"/>
          <w:highlight w:val="none"/>
          <w:lang w:val="en-US" w:eastAsia="zh-CN"/>
        </w:rPr>
        <w:t xml:space="preserve">两</w:t>
      </w:r>
      <w:r>
        <w:rPr>
          <w:rFonts w:hint="eastAsia" w:ascii="Times New Roman" w:hAnsi="Times New Roman" w:eastAsia="宋体" w:cs="宋体"/>
          <w:color w:val="auto"/>
          <w:szCs w:val="21"/>
          <w:highlight w:val="none"/>
          <w:lang w:val="en-US" w:eastAsia="zh-CN"/>
        </w:rPr>
        <w:t xml:space="preserve">年</w:t>
      </w:r>
      <w:r>
        <w:rPr>
          <w:rFonts w:hint="eastAsia" w:ascii="Times New Roman" w:hAnsi="Times New Roman" w:eastAsia="宋体" w:cs="宋体"/>
          <w:color w:val="auto"/>
          <w:szCs w:val="21"/>
          <w:highlight w:val="none"/>
        </w:rPr>
        <w:t xml:space="preserve">。</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7.本项目</w:t>
      </w:r>
      <w:r>
        <w:rPr>
          <w:rFonts w:hint="eastAsia" w:ascii="Times New Roman" w:hAnsi="Times New Roman" w:eastAsia="宋体" w:cs="宋体"/>
          <w:i/>
          <w:iCs/>
          <w:color w:val="auto"/>
          <w:highlight w:val="none"/>
          <w:u w:val="single"/>
        </w:rPr>
        <w:t xml:space="preserve">不接受</w:t>
      </w:r>
      <w:r>
        <w:rPr>
          <w:rFonts w:hint="eastAsia" w:ascii="Times New Roman" w:hAnsi="Times New Roman" w:eastAsia="宋体" w:cs="宋体"/>
          <w:color w:val="auto"/>
          <w:highlight w:val="none"/>
        </w:rPr>
        <w:t xml:space="preserve">联合体投标。</w:t>
      </w:r>
      <w:r/>
    </w:p>
    <w:p>
      <w:pPr>
        <w:ind w:firstLine="42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8.本项目</w:t>
      </w:r>
      <w:r>
        <w:rPr>
          <w:rFonts w:hint="eastAsia" w:ascii="Times New Roman" w:hAnsi="Times New Roman" w:eastAsia="宋体" w:cs="宋体"/>
          <w:i/>
          <w:iCs/>
          <w:color w:val="auto"/>
          <w:highlight w:val="none"/>
          <w:u w:val="single"/>
        </w:rPr>
        <w:t xml:space="preserve">不接受</w:t>
      </w:r>
      <w:r>
        <w:rPr>
          <w:rFonts w:hint="eastAsia" w:ascii="Times New Roman" w:hAnsi="Times New Roman" w:eastAsia="宋体" w:cs="宋体"/>
          <w:color w:val="auto"/>
          <w:highlight w:val="none"/>
        </w:rPr>
        <w:t xml:space="preserve">进口产品投标。</w:t>
      </w:r>
      <w:r/>
    </w:p>
    <w:p>
      <w:pPr>
        <w:pageBreakBefore w:val="0"/>
        <w:spacing w:line="360" w:lineRule="auto"/>
        <w:tabs>
          <w:tab w:val="left" w:pos="266" w:leader="none"/>
        </w:tabs>
        <w:rPr>
          <w:rFonts w:ascii="Times New Roman" w:hAnsi="Times New Roman" w:eastAsia="宋体" w:cs="宋体"/>
          <w:b/>
          <w:bCs/>
          <w:color w:val="auto"/>
          <w:highlight w:val="none"/>
        </w:rPr>
      </w:pPr>
      <w:r/>
      <w:bookmarkStart w:id="8" w:name="_Toc28359080"/>
      <w:r/>
      <w:bookmarkStart w:id="9" w:name="_Toc28359003"/>
      <w:r/>
      <w:bookmarkStart w:id="10" w:name="_Toc38985264"/>
      <w:r/>
      <w:bookmarkStart w:id="11" w:name="_Toc35393622"/>
      <w:r/>
      <w:bookmarkStart w:id="12" w:name="_Toc35393791"/>
      <w:r>
        <w:rPr>
          <w:rFonts w:hint="eastAsia" w:ascii="Times New Roman" w:hAnsi="Times New Roman" w:eastAsia="宋体" w:cs="宋体"/>
          <w:b/>
          <w:bCs/>
          <w:color w:val="auto"/>
          <w:highlight w:val="none"/>
        </w:rPr>
        <w:t xml:space="preserve">二、申请人的资格要求：</w:t>
      </w:r>
      <w:bookmarkEnd w:id="8"/>
      <w:r/>
      <w:bookmarkEnd w:id="9"/>
      <w:r/>
      <w:bookmarkEnd w:id="10"/>
      <w:r/>
      <w:bookmarkEnd w:id="11"/>
      <w:r/>
      <w:bookmarkEnd w:id="12"/>
      <w:r/>
      <w:r/>
    </w:p>
    <w:p>
      <w:pPr>
        <w:ind w:firstLine="420"/>
        <w:pageBreakBefore w:val="0"/>
        <w:spacing w:line="360" w:lineRule="auto"/>
        <w:rPr>
          <w:rFonts w:ascii="Times New Roman" w:hAnsi="Times New Roman" w:eastAsia="宋体" w:cs="宋体"/>
          <w:color w:val="auto"/>
          <w:szCs w:val="21"/>
          <w:highlight w:val="none"/>
        </w:rPr>
      </w:pPr>
      <w:r/>
      <w:bookmarkStart w:id="13" w:name="_Toc38985265"/>
      <w:r/>
      <w:bookmarkStart w:id="14" w:name="_Toc35393792"/>
      <w:r/>
      <w:bookmarkStart w:id="15" w:name="_Toc28359081"/>
      <w:r/>
      <w:bookmarkStart w:id="16" w:name="_Toc35393623"/>
      <w:r/>
      <w:bookmarkStart w:id="17" w:name="_Toc28359004"/>
      <w:r>
        <w:rPr>
          <w:rFonts w:hint="eastAsia" w:ascii="Times New Roman" w:hAnsi="Times New Roman" w:eastAsia="宋体" w:cs="宋体"/>
          <w:color w:val="auto"/>
          <w:szCs w:val="21"/>
          <w:highlight w:val="none"/>
        </w:rPr>
        <w:t xml:space="preserve">1.满足《中华人民共和国政府采购法》第二十二条规定：</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1.1法人或者其他组织的营业执照等证明文件，自然人的身份证明</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1.2依法缴纳税收和社会保障资金的相关材料</w:t>
      </w:r>
      <w:r>
        <w:rPr>
          <w:rFonts w:hint="eastAsia" w:ascii="Times New Roman" w:hAnsi="Times New Roman" w:eastAsia="宋体" w:cs="宋体"/>
          <w:b/>
          <w:bCs/>
          <w:i/>
          <w:iCs/>
          <w:color w:val="auto"/>
          <w:szCs w:val="21"/>
          <w:highlight w:val="none"/>
          <w:u w:val="single"/>
        </w:rPr>
        <w:t xml:space="preserve">（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pageBreakBefore w:val="0"/>
        <w:spacing w:line="360" w:lineRule="auto"/>
        <w:rPr>
          <w:rFonts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1.3</w:t>
      </w:r>
      <w:r>
        <w:rPr>
          <w:rFonts w:hint="eastAsia" w:ascii="Times New Roman" w:hAnsi="Times New Roman" w:eastAsia="宋体" w:cs="宋体"/>
          <w:i/>
          <w:iCs/>
          <w:color w:val="auto"/>
          <w:szCs w:val="21"/>
          <w:highlight w:val="none"/>
          <w:u w:val="single"/>
          <w:lang w:val="en-US" w:eastAsia="zh-CN"/>
        </w:rPr>
        <w:t xml:space="preserve"> </w:t>
      </w:r>
      <w:r>
        <w:rPr>
          <w:rFonts w:hint="eastAsia" w:ascii="Times New Roman" w:hAnsi="Times New Roman" w:eastAsia="宋体" w:cs="宋体"/>
          <w:i/>
          <w:iCs/>
          <w:color w:val="auto"/>
          <w:szCs w:val="21"/>
          <w:highlight w:val="none"/>
          <w:u w:val="single"/>
          <w:lang w:eastAsia="zh-CN"/>
        </w:rPr>
        <w:t xml:space="preserve">2025年度</w:t>
      </w:r>
      <w:r>
        <w:rPr>
          <w:rFonts w:hint="eastAsia" w:ascii="Times New Roman" w:hAnsi="Times New Roman" w:eastAsia="宋体" w:cs="宋体"/>
          <w:i/>
          <w:iCs/>
          <w:color w:val="auto"/>
          <w:szCs w:val="21"/>
          <w:highlight w:val="none"/>
          <w:u w:val="single"/>
        </w:rPr>
        <w:t xml:space="preserve">的财务报告情况（</w:t>
      </w:r>
      <w:r>
        <w:rPr>
          <w:rFonts w:hint="eastAsia" w:ascii="Times New Roman" w:hAnsi="Times New Roman" w:eastAsia="宋体" w:cs="宋体"/>
          <w:b/>
          <w:bCs/>
          <w:i/>
          <w:iCs/>
          <w:color w:val="auto"/>
          <w:szCs w:val="21"/>
          <w:highlight w:val="none"/>
          <w:u w:val="single"/>
        </w:rPr>
        <w:t xml:space="preserve">成立不满一年不需提供）</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1.4具备履行合同所必需的设备和专业技术能力的证明材料</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1.5参加本次政府采购活动前3年内在经营活动中没有重大违法记录的书面声明</w:t>
      </w:r>
      <w:r/>
    </w:p>
    <w:p>
      <w:pPr>
        <w:ind w:firstLine="420"/>
        <w:pageBreakBefore w:val="0"/>
        <w:spacing w:line="360" w:lineRule="auto"/>
        <w:rPr>
          <w:rFonts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1.6未被“信用中国”网站（www.creditchina.gov.cn）、“中国政府采购网"（www.ccgp.gov.cn）列入失信被执行人、重大税收违法案件当事人名单、政府采购严重违法失信行为记录名单</w:t>
      </w:r>
      <w:r>
        <w:rPr>
          <w:rFonts w:hint="eastAsia" w:ascii="Times New Roman" w:hAnsi="Times New Roman" w:eastAsia="宋体" w:cs="宋体"/>
          <w:b/>
          <w:bCs/>
          <w:i/>
          <w:iCs/>
          <w:color w:val="auto"/>
          <w:szCs w:val="21"/>
          <w:highlight w:val="none"/>
          <w:u w:val="single"/>
        </w:rPr>
        <w:t xml:space="preserve">（投标文件中无需提供证明材料）</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1.7供应商信用承诺函</w:t>
      </w:r>
      <w:r/>
    </w:p>
    <w:p>
      <w:pPr>
        <w:ind w:firstLine="420"/>
        <w:pageBreakBefore w:val="0"/>
        <w:spacing w:line="360" w:lineRule="auto"/>
        <w:rPr>
          <w:rFonts w:hint="default"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rPr>
        <w:t xml:space="preserve">2.落实政府采购政策需满足的资格要求：</w:t>
      </w:r>
      <w:r>
        <w:rPr>
          <w:rFonts w:hint="eastAsia" w:ascii="Times New Roman" w:hAnsi="Times New Roman" w:eastAsia="宋体"/>
          <w:i/>
          <w:iCs/>
          <w:color w:val="auto"/>
          <w:szCs w:val="21"/>
          <w:highlight w:val="none"/>
          <w:u w:val="single"/>
          <w:lang w:val="en-US" w:eastAsia="zh-CN"/>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20"/>
        <w:pageBreakBefore w:val="0"/>
        <w:spacing w:line="360" w:lineRule="auto"/>
        <w:rPr>
          <w:rFonts w:hint="eastAsia" w:ascii="Times New Roman" w:hAnsi="Times New Roman" w:eastAsia="宋体" w:cs="宋体"/>
          <w:i/>
          <w:iCs/>
          <w:color w:val="auto"/>
          <w:szCs w:val="21"/>
          <w:highlight w:val="none"/>
          <w:u w:val="single"/>
          <w:lang w:val="en-US" w:eastAsia="zh-CN"/>
        </w:rPr>
      </w:pPr>
      <w:r>
        <w:rPr>
          <w:rFonts w:hint="eastAsia" w:ascii="Times New Roman" w:hAnsi="Times New Roman" w:eastAsia="宋体" w:cs="宋体"/>
          <w:color w:val="auto"/>
          <w:szCs w:val="21"/>
          <w:highlight w:val="none"/>
        </w:rPr>
        <w:t xml:space="preserve">3.本项目的特定资格要求：</w:t>
      </w:r>
      <w:r>
        <w:rPr>
          <w:rFonts w:hint="eastAsia" w:ascii="Times New Roman" w:hAnsi="Times New Roman" w:eastAsia="宋体" w:cs="宋体"/>
          <w:i/>
          <w:iCs/>
          <w:color w:val="auto"/>
          <w:sz w:val="21"/>
          <w:szCs w:val="21"/>
          <w:highlight w:val="none"/>
          <w:u w:val="single"/>
          <w:lang w:val="en-US" w:eastAsia="zh-CN" w:bidi="ar-SA"/>
        </w:rPr>
        <w:t xml:space="preserve">供应商</w:t>
      </w:r>
      <w:r>
        <w:rPr>
          <w:rFonts w:hint="eastAsia" w:ascii="宋体" w:hAnsi="宋体" w:cs="宋体"/>
          <w:i/>
          <w:szCs w:val="21"/>
          <w:highlight w:val="none"/>
          <w:u w:val="single"/>
          <w:lang w:val="en-US" w:eastAsia="zh-CN"/>
        </w:rPr>
        <w:t xml:space="preserve">须</w:t>
      </w:r>
      <w:r>
        <w:rPr>
          <w:rFonts w:hint="eastAsia" w:ascii="宋体" w:hAnsi="宋体" w:cs="宋体"/>
          <w:i/>
          <w:szCs w:val="21"/>
          <w:highlight w:val="none"/>
          <w:u w:val="single"/>
        </w:rPr>
        <w:t xml:space="preserve">持有《保安服务许可证》</w:t>
      </w:r>
      <w:r>
        <w:rPr>
          <w:rFonts w:hint="eastAsia" w:ascii="Times New Roman" w:hAnsi="Times New Roman" w:eastAsia="宋体" w:cs="宋体"/>
          <w:b/>
          <w:bCs/>
          <w:i/>
          <w:iCs/>
          <w:color w:val="auto"/>
          <w:sz w:val="21"/>
          <w:szCs w:val="21"/>
          <w:highlight w:val="none"/>
          <w:u w:val="single"/>
          <w:lang w:val="en-US" w:eastAsia="zh-CN" w:bidi="ar-SA"/>
        </w:rPr>
        <w:t xml:space="preserve">（原件扫描上传）</w:t>
      </w:r>
      <w:r/>
    </w:p>
    <w:p>
      <w:pPr>
        <w:ind w:firstLine="422"/>
        <w:pageBreakBefore w:val="0"/>
        <w:spacing w:line="360" w:lineRule="auto"/>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三、获取招标文件</w:t>
      </w:r>
      <w:bookmarkEnd w:id="13"/>
      <w:r/>
      <w:bookmarkEnd w:id="14"/>
      <w:r/>
      <w:bookmarkEnd w:id="15"/>
      <w:r/>
      <w:bookmarkEnd w:id="16"/>
      <w:r/>
      <w:bookmarkEnd w:id="17"/>
      <w:r/>
      <w:r/>
    </w:p>
    <w:p>
      <w:pPr>
        <w:ind w:firstLine="540"/>
        <w:pageBreakBefore w:val="0"/>
        <w:spacing w:line="360" w:lineRule="auto"/>
        <w:rPr>
          <w:rFonts w:ascii="Times New Roman" w:hAnsi="Times New Roman" w:eastAsia="宋体" w:cs="宋体"/>
          <w:color w:val="auto"/>
          <w:highlight w:val="none"/>
        </w:rPr>
      </w:pPr>
      <w:r/>
      <w:bookmarkStart w:id="18" w:name="_Toc28359005"/>
      <w:r/>
      <w:bookmarkStart w:id="19" w:name="_Toc28359082"/>
      <w:r/>
      <w:bookmarkStart w:id="20" w:name="_Toc35393624"/>
      <w:r/>
      <w:bookmarkStart w:id="21" w:name="_Toc38985266"/>
      <w:r/>
      <w:bookmarkStart w:id="22" w:name="_Toc35393793"/>
      <w:r>
        <w:rPr>
          <w:rFonts w:hint="eastAsia" w:ascii="Times New Roman" w:hAnsi="Times New Roman" w:eastAsia="宋体" w:cs="宋体"/>
          <w:color w:val="auto"/>
          <w:highlight w:val="none"/>
        </w:rPr>
        <w:t xml:space="preserve">1.时间：自招标文件公告发布之日起5个工作日。5个工作日后仍可下载招标文件，但不作为供应商权益受到损害的证明材料和依据。</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2.获取方式：本项目采用网上注册登记方式。</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3.潜在供应商访问政府采购管理交易系统（苏采云）的网络地址和方法：</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（3）“CA数字证书”的办理材料以及供应商操作手册详见：http：//zfcg.yangzhou.gov.cn/xzzx/art/2023/art_4d7de1f7865f4a2894fc22bc452f94d8.html。</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（4）潜在供应商访问“苏采云”系统的网络地址和方法：“苏采云”系统的网址：http：//jszfcg.jsczt.cn/。</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（6）招标代理机构（采购代理机构）将数据电文形式的采购文件加载至“苏采云”系统，供潜在供应商下载或者查阅。</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（7）苏采云系统使用谷歌浏览器参与不见面开标。</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四、提交投标文件</w:t>
      </w:r>
      <w:bookmarkEnd w:id="18"/>
      <w:r/>
      <w:bookmarkEnd w:id="19"/>
      <w:r>
        <w:rPr>
          <w:rFonts w:hint="eastAsia" w:ascii="Times New Roman" w:hAnsi="Times New Roman" w:eastAsia="宋体" w:cs="宋体"/>
          <w:b/>
          <w:bCs/>
          <w:color w:val="auto"/>
          <w:highlight w:val="none"/>
        </w:rPr>
        <w:t xml:space="preserve">截止时间、开标时间和地点</w:t>
      </w:r>
      <w:bookmarkEnd w:id="20"/>
      <w:r/>
      <w:bookmarkEnd w:id="21"/>
      <w:r/>
      <w:bookmarkEnd w:id="22"/>
      <w:r/>
      <w:r/>
    </w:p>
    <w:p>
      <w:pPr>
        <w:ind w:firstLine="420"/>
        <w:pageBreakBefore w:val="0"/>
        <w:spacing w:line="360" w:lineRule="auto"/>
        <w:rPr>
          <w:rFonts w:ascii="Times New Roman" w:hAnsi="Times New Roman" w:eastAsia="宋体" w:cs="宋体"/>
          <w:bCs/>
          <w:color w:val="auto"/>
          <w:szCs w:val="21"/>
          <w:highlight w:val="none"/>
          <w:u w:val="single"/>
        </w:rPr>
      </w:pPr>
      <w:r>
        <w:rPr>
          <w:rFonts w:hint="eastAsia" w:ascii="Times New Roman" w:hAnsi="Times New Roman" w:eastAsia="宋体" w:cs="宋体"/>
          <w:color w:val="auto"/>
          <w:highlight w:val="none"/>
        </w:rPr>
        <w:t xml:space="preserve">1.时间：2026年</w:t>
      </w:r>
      <w:r>
        <w:rPr>
          <w:rFonts w:hint="eastAsia" w:ascii="Times New Roman" w:hAnsi="Times New Roman" w:cs="宋体"/>
          <w:color w:val="auto"/>
          <w:highlight w:val="none"/>
          <w:lang w:val="en-US" w:eastAsia="zh-CN"/>
        </w:rPr>
        <w:t xml:space="preserve">7</w:t>
      </w:r>
      <w:r>
        <w:rPr>
          <w:rFonts w:hint="eastAsia" w:ascii="Times New Roman" w:hAnsi="Times New Roman" w:eastAsia="宋体" w:cs="宋体"/>
          <w:color w:val="auto"/>
          <w:highlight w:val="none"/>
        </w:rPr>
        <w:t xml:space="preserve">月</w:t>
      </w:r>
      <w:r>
        <w:rPr>
          <w:rFonts w:hint="eastAsia" w:ascii="Times New Roman" w:hAnsi="Times New Roman" w:cs="宋体"/>
          <w:color w:val="auto"/>
          <w:highlight w:val="none"/>
          <w:lang w:val="en-US" w:eastAsia="zh-CN"/>
        </w:rPr>
        <w:t xml:space="preserve">17</w:t>
      </w:r>
      <w:r>
        <w:rPr>
          <w:rFonts w:hint="eastAsia" w:ascii="Times New Roman" w:hAnsi="Times New Roman" w:eastAsia="宋体" w:cs="宋体"/>
          <w:color w:val="auto"/>
          <w:highlight w:val="none"/>
        </w:rPr>
        <w:t xml:space="preserve">日上午9:30</w:t>
      </w:r>
      <w:r>
        <w:rPr>
          <w:rFonts w:hint="eastAsia" w:ascii="Times New Roman" w:hAnsi="Times New Roman" w:eastAsia="宋体" w:cs="宋体"/>
          <w:bCs/>
          <w:color w:val="auto"/>
          <w:highlight w:val="none"/>
        </w:rPr>
        <w:t xml:space="preserve">（北京时间）</w:t>
      </w:r>
      <w:r/>
    </w:p>
    <w:p>
      <w:pPr>
        <w:ind w:firstLine="420"/>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color w:val="auto"/>
          <w:highlight w:val="none"/>
        </w:rPr>
        <w:t xml:space="preserve">2.开标地点：</w:t>
      </w:r>
      <w:r>
        <w:rPr>
          <w:rFonts w:hint="eastAsia" w:ascii="Times New Roman" w:hAnsi="Times New Roman" w:eastAsia="宋体" w:cs="宋体"/>
          <w:color w:val="auto"/>
          <w:szCs w:val="21"/>
          <w:highlight w:val="none"/>
        </w:rPr>
        <w:t xml:space="preserve">“苏采云”系统（网址：http：//jszfcg.jsczt.cn/）</w:t>
      </w:r>
      <w:r/>
    </w:p>
    <w:p>
      <w:pPr>
        <w:pageBreakBefore w:val="0"/>
        <w:spacing w:line="360" w:lineRule="auto"/>
        <w:tabs>
          <w:tab w:val="left" w:pos="266" w:leader="none"/>
        </w:tabs>
        <w:rPr>
          <w:rFonts w:ascii="Times New Roman" w:hAnsi="Times New Roman" w:eastAsia="宋体" w:cs="宋体"/>
          <w:b/>
          <w:bCs/>
          <w:color w:val="auto"/>
          <w:highlight w:val="none"/>
        </w:rPr>
      </w:pPr>
      <w:r/>
      <w:bookmarkStart w:id="23" w:name="_Toc35393625"/>
      <w:r/>
      <w:bookmarkStart w:id="24" w:name="_Toc28359084"/>
      <w:r/>
      <w:bookmarkStart w:id="25" w:name="_Toc28359007"/>
      <w:r/>
      <w:bookmarkStart w:id="26" w:name="_Toc38985267"/>
      <w:r/>
      <w:bookmarkStart w:id="27" w:name="_Toc35393794"/>
      <w:r>
        <w:rPr>
          <w:rFonts w:hint="eastAsia" w:ascii="Times New Roman" w:hAnsi="Times New Roman" w:eastAsia="宋体" w:cs="宋体"/>
          <w:b/>
          <w:bCs/>
          <w:color w:val="auto"/>
          <w:highlight w:val="none"/>
        </w:rPr>
        <w:t xml:space="preserve">五、公告期限</w:t>
      </w:r>
      <w:bookmarkEnd w:id="23"/>
      <w:r/>
      <w:bookmarkEnd w:id="24"/>
      <w:r/>
      <w:bookmarkEnd w:id="25"/>
      <w:r/>
      <w:bookmarkEnd w:id="26"/>
      <w:r/>
      <w:bookmarkEnd w:id="27"/>
      <w:r/>
      <w:r/>
    </w:p>
    <w:p>
      <w:pPr>
        <w:ind w:firstLine="420"/>
        <w:pageBreakBefore w:val="0"/>
        <w:spacing w:line="360" w:lineRule="auto"/>
        <w:rPr>
          <w:rFonts w:ascii="Times New Roman" w:hAnsi="Times New Roman" w:eastAsia="宋体" w:cs="宋体"/>
          <w:color w:val="auto"/>
          <w:highlight w:val="none"/>
        </w:rPr>
      </w:pPr>
      <w:r/>
      <w:bookmarkStart w:id="28" w:name="_Toc35393795"/>
      <w:r/>
      <w:bookmarkStart w:id="29" w:name="_Toc35393626"/>
      <w:r/>
      <w:bookmarkStart w:id="30" w:name="_Toc38985268"/>
      <w:r>
        <w:rPr>
          <w:rFonts w:hint="eastAsia" w:ascii="Times New Roman" w:hAnsi="Times New Roman" w:eastAsia="宋体" w:cs="宋体"/>
          <w:color w:val="auto"/>
          <w:highlight w:val="none"/>
        </w:rPr>
        <w:t xml:space="preserve">招标公告及招标文件公告期限为自本公告发布之日起5个工作日。</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六、其他补充事宜</w:t>
      </w:r>
      <w:bookmarkEnd w:id="28"/>
      <w:r/>
      <w:bookmarkEnd w:id="29"/>
      <w:r/>
      <w:bookmarkEnd w:id="30"/>
      <w:r/>
      <w:r/>
    </w:p>
    <w:p>
      <w:pPr>
        <w:ind w:firstLine="422"/>
        <w:pageBreakBefore w:val="0"/>
        <w:spacing w:line="360" w:lineRule="auto"/>
        <w:rPr>
          <w:rFonts w:ascii="Times New Roman" w:hAnsi="Times New Roman" w:eastAsia="宋体"/>
          <w:b/>
          <w:bCs/>
          <w:color w:val="auto"/>
          <w:highlight w:val="none"/>
        </w:rPr>
      </w:pPr>
      <w:r/>
      <w:bookmarkStart w:id="31" w:name="_Toc28359085"/>
      <w:r/>
      <w:bookmarkStart w:id="32" w:name="_Toc35393796"/>
      <w:r/>
      <w:bookmarkStart w:id="33" w:name="_Toc38985269"/>
      <w:r/>
      <w:bookmarkStart w:id="34" w:name="_Toc35393627"/>
      <w:r/>
      <w:bookmarkStart w:id="35" w:name="_Toc28359008"/>
      <w:r>
        <w:rPr>
          <w:rFonts w:hint="eastAsia" w:ascii="Times New Roman" w:hAnsi="Times New Roman" w:eastAsia="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pageBreakBefore w:val="0"/>
        <w:spacing w:line="360" w:lineRule="auto"/>
        <w:rPr>
          <w:rFonts w:ascii="Times New Roman" w:hAnsi="Times New Roman" w:eastAsia="宋体" w:cs="宋体"/>
          <w:bCs/>
          <w:color w:val="auto"/>
          <w:highlight w:val="none"/>
        </w:rPr>
      </w:pPr>
      <w:r>
        <w:rPr>
          <w:rFonts w:hint="eastAsia" w:ascii="Times New Roman" w:hAnsi="Times New Roman" w:eastAsia="宋体" w:cs="宋体"/>
          <w:bCs/>
          <w:color w:val="auto"/>
          <w:szCs w:val="21"/>
          <w:highlight w:val="none"/>
        </w:rPr>
        <w:t xml:space="preserve">3.</w:t>
      </w:r>
      <w:r>
        <w:rPr>
          <w:rFonts w:hint="eastAsia" w:ascii="Times New Roman" w:hAnsi="Times New Roman" w:eastAsia="宋体"/>
          <w:color w:val="auto"/>
          <w:highlight w:val="none"/>
        </w:rPr>
        <w:t xml:space="preserve">本次招标不收取投标保证金。</w:t>
      </w:r>
      <w:r/>
    </w:p>
    <w:p>
      <w:pPr>
        <w:ind w:firstLine="420"/>
        <w:pageBreakBefore w:val="0"/>
        <w:spacing w:line="360" w:lineRule="auto"/>
        <w:rPr>
          <w:rFonts w:ascii="Times New Roman" w:hAnsi="Times New Roman" w:eastAsia="宋体" w:cs="宋体"/>
          <w:bCs/>
          <w:color w:val="auto"/>
          <w:highlight w:val="none"/>
        </w:rPr>
      </w:pPr>
      <w:r>
        <w:rPr>
          <w:rFonts w:hint="eastAsia" w:ascii="Times New Roman" w:hAnsi="Times New Roman" w:eastAsia="宋体"/>
          <w:color w:val="auto"/>
          <w:szCs w:val="21"/>
          <w:highlight w:val="none"/>
        </w:rPr>
        <w:t xml:space="preserve">4.</w:t>
      </w:r>
      <w:r>
        <w:rPr>
          <w:rFonts w:hint="eastAsia" w:ascii="Times New Roman" w:hAnsi="Times New Roman" w:eastAsia="宋体" w:cs="宋体"/>
          <w:bCs/>
          <w:color w:val="auto"/>
          <w:highlight w:val="none"/>
        </w:rPr>
        <w:t xml:space="preserve">有关本次招标的事项若存在变动或修改，敬请及时关注</w:t>
      </w:r>
      <w:r>
        <w:rPr>
          <w:rFonts w:hint="eastAsia" w:ascii="Times New Roman" w:hAnsi="Times New Roman" w:eastAsia="宋体"/>
          <w:bCs/>
          <w:color w:val="auto"/>
          <w:szCs w:val="21"/>
          <w:highlight w:val="none"/>
        </w:rPr>
        <w:t xml:space="preserve">“扬州市政府采购网”、“江苏省政府采购网”</w:t>
      </w:r>
      <w:r>
        <w:rPr>
          <w:rFonts w:hint="eastAsia" w:ascii="Times New Roman" w:hAnsi="Times New Roman" w:eastAsia="宋体" w:cs="宋体"/>
          <w:bCs/>
          <w:color w:val="auto"/>
          <w:highlight w:val="none"/>
        </w:rPr>
        <w:t xml:space="preserve">发布的信息。</w:t>
      </w:r>
      <w:r/>
    </w:p>
    <w:p>
      <w:pPr>
        <w:ind w:firstLine="422"/>
        <w:pageBreakBefore w:val="0"/>
        <w:spacing w:line="360" w:lineRule="auto"/>
        <w:tabs>
          <w:tab w:val="left" w:pos="266" w:leader="none"/>
        </w:tabs>
        <w:rPr>
          <w:rFonts w:ascii="Times New Roman" w:hAnsi="Times New Roman" w:eastAsia="宋体" w:cs="宋体"/>
          <w:b/>
          <w:i/>
          <w:iCs/>
          <w:color w:val="auto"/>
          <w:highlight w:val="none"/>
          <w:u w:val="single"/>
        </w:rPr>
      </w:pPr>
      <w:r>
        <w:rPr>
          <w:rFonts w:hint="eastAsia" w:ascii="Times New Roman" w:hAnsi="Times New Roman" w:eastAsia="宋体" w:cs="宋体"/>
          <w:b/>
          <w:i/>
          <w:iCs/>
          <w:color w:val="auto"/>
          <w:highlight w:val="none"/>
          <w:u w:val="single"/>
        </w:rPr>
        <w:t xml:space="preserve">5.本项目招标文件中所有斜体下划线部分为实质性条款，如不满足，则为无效投标。</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6.如在开标时间发生系统崩溃等不可预见的情况，造成开评标活动无法正常进行的，将延迟开评标，具体开评标时间另行通知。</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7.为落实好政府采购履约资金扶持政策，中标/成交供应商可凭政府采购合同办理融资贷款，详见江苏政府采购网“政采贷”专栏。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8.本项目严格执行政府采购关于支持节能产品</w:t>
      </w:r>
      <w:r>
        <w:rPr>
          <w:rFonts w:hint="eastAsia" w:ascii="Times New Roman" w:hAnsi="Times New Roman" w:eastAsia="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60" w:lineRule="auto"/>
        <w:tabs>
          <w:tab w:val="left" w:pos="266" w:leader="none"/>
        </w:tabs>
        <w:rPr>
          <w:rFonts w:ascii="Times New Roman" w:hAnsi="Times New Roman" w:eastAsia="宋体" w:cs="宋体"/>
          <w:b/>
          <w:i/>
          <w:iCs/>
          <w:color w:val="auto"/>
          <w:highlight w:val="none"/>
          <w:u w:val="single"/>
        </w:rPr>
      </w:pPr>
      <w:r>
        <w:rPr>
          <w:rFonts w:hint="eastAsia" w:ascii="Times New Roman" w:hAnsi="Times New Roman" w:eastAsia="宋体" w:cs="宋体"/>
          <w:bCs/>
          <w:color w:val="auto"/>
          <w:highlight w:val="none"/>
        </w:rPr>
        <w:t xml:space="preserve">9.供应商对于所投产品的包装应按照“财办库〔2020〕123号《关于印发《商品包装政府采购需求标准（试行）》、《快递包装政府采购需求标准（试行）》的通知》”执行。</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七、本次招标联系方式</w:t>
      </w:r>
      <w:bookmarkEnd w:id="31"/>
      <w:r/>
      <w:bookmarkEnd w:id="32"/>
      <w:r/>
      <w:bookmarkEnd w:id="33"/>
      <w:r/>
      <w:bookmarkEnd w:id="34"/>
      <w:r/>
      <w:bookmarkEnd w:id="35"/>
      <w:r/>
      <w:r/>
    </w:p>
    <w:p>
      <w:pPr>
        <w:ind w:firstLine="420"/>
        <w:jc w:val="left"/>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highlight w:val="none"/>
        </w:rPr>
        <w:t xml:space="preserve">1.采购人信息</w:t>
      </w:r>
      <w:r/>
    </w:p>
    <w:p>
      <w:pPr>
        <w:ind w:firstLine="420"/>
        <w:jc w:val="left"/>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名称：</w:t>
      </w:r>
      <w:r>
        <w:rPr>
          <w:rFonts w:hint="eastAsia" w:ascii="Times New Roman" w:hAnsi="Times New Roman"/>
          <w:color w:val="auto"/>
          <w:szCs w:val="21"/>
          <w:highlight w:val="none"/>
          <w:lang w:eastAsia="zh-CN"/>
        </w:rPr>
        <w:t xml:space="preserve">扬州市公安局</w:t>
      </w:r>
      <w:r/>
    </w:p>
    <w:p>
      <w:pPr>
        <w:ind w:firstLine="420"/>
        <w:jc w:val="left"/>
        <w:pageBreakBefore w:val="0"/>
        <w:spacing w:line="360" w:lineRule="auto"/>
        <w:rPr>
          <w:rFonts w:hint="default" w:ascii="Times New Roman" w:hAnsi="Times New Roman" w:eastAsia="宋体"/>
          <w:color w:val="auto"/>
          <w:szCs w:val="21"/>
          <w:highlight w:val="none"/>
          <w:lang w:val="en-US" w:eastAsia="zh-CN"/>
        </w:rPr>
      </w:pPr>
      <w:r/>
      <w:bookmarkStart w:id="38" w:name="_Toc28359086"/>
      <w:r/>
      <w:bookmarkStart w:id="39" w:name="_Toc28359009"/>
      <w:r>
        <w:rPr>
          <w:rFonts w:hint="eastAsia" w:ascii="Times New Roman" w:hAnsi="Times New Roman" w:eastAsia="宋体" w:cs="宋体"/>
          <w:color w:val="auto"/>
          <w:highlight w:val="none"/>
        </w:rPr>
        <w:t xml:space="preserve">地址：扬州市邗江区润扬中路98号</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联系人：张鹏</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联系方式：13585241713</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2.采购代理机构信息</w:t>
      </w:r>
      <w:bookmarkEnd w:id="38"/>
      <w:r/>
      <w:bookmarkEnd w:id="39"/>
      <w:r/>
      <w:r/>
    </w:p>
    <w:p>
      <w:pPr>
        <w:ind w:firstLine="420"/>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名称：</w:t>
      </w:r>
      <w:r>
        <w:rPr>
          <w:rFonts w:hint="eastAsia" w:ascii="Times New Roman" w:hAnsi="Times New Roman"/>
          <w:color w:val="auto"/>
          <w:szCs w:val="21"/>
          <w:highlight w:val="none"/>
          <w:lang w:eastAsia="zh-CN"/>
        </w:rPr>
        <w:t xml:space="preserve">江苏汇诚投资咨询管理有限公司</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地址：扬州市邗江北路68号3楼</w:t>
      </w:r>
      <w:r/>
    </w:p>
    <w:p>
      <w:pPr>
        <w:ind w:firstLine="420"/>
        <w:pageBreakBefore w:val="0"/>
        <w:spacing w:line="360" w:lineRule="auto"/>
        <w:rPr>
          <w:rFonts w:hint="default" w:ascii="Times New Roman" w:hAnsi="Times New Roman" w:eastAsia="宋体" w:cs="宋体"/>
          <w:color w:val="auto"/>
          <w:highlight w:val="none"/>
          <w:lang w:val="en-US" w:eastAsia="zh-CN"/>
        </w:rPr>
      </w:pPr>
      <w:r>
        <w:rPr>
          <w:rFonts w:hint="eastAsia" w:ascii="Times New Roman" w:hAnsi="Times New Roman" w:eastAsia="宋体" w:cs="宋体"/>
          <w:color w:val="auto"/>
          <w:highlight w:val="none"/>
        </w:rPr>
        <w:t xml:space="preserve">联系人</w:t>
      </w:r>
      <w:r>
        <w:rPr>
          <w:rFonts w:hint="eastAsia" w:ascii="Times New Roman" w:hAnsi="Times New Roman" w:eastAsia="宋体" w:cs="宋体"/>
          <w:color w:val="auto"/>
          <w:highlight w:val="none"/>
          <w:lang w:eastAsia="zh-CN"/>
        </w:rPr>
        <w:t xml:space="preserve">：</w:t>
      </w:r>
      <w:r>
        <w:rPr>
          <w:rFonts w:hint="eastAsia" w:ascii="Times New Roman" w:hAnsi="Times New Roman" w:cs="宋体"/>
          <w:color w:val="auto"/>
          <w:highlight w:val="none"/>
          <w:lang w:val="en-US" w:eastAsia="zh-CN"/>
        </w:rPr>
        <w:t xml:space="preserve">秦扬、张琴</w:t>
      </w:r>
      <w:r/>
    </w:p>
    <w:p>
      <w:pPr>
        <w:ind w:firstLine="420"/>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联系方式：</w:t>
      </w:r>
      <w:r>
        <w:rPr>
          <w:rFonts w:ascii="Times New Roman" w:hAnsi="Times New Roman" w:eastAsia="Times New Roman" w:cs="Times New Roman"/>
          <w:color w:val="000000"/>
          <w:sz w:val="21"/>
        </w:rPr>
        <w:t xml:space="preserve">0514-89787280</w:t>
      </w:r>
      <w:r>
        <w:rPr>
          <w:rFonts w:hint="eastAsia" w:ascii="Times New Roman" w:hAnsi="Times New Roman" w:cs="宋体"/>
          <w:color w:val="auto"/>
          <w:highlight w:val="none"/>
          <w:lang w:val="en-US" w:eastAsia="zh-CN"/>
        </w:rPr>
        <w:t xml:space="preserve">、17361843750　　</w:t>
      </w:r>
      <w:r/>
    </w:p>
    <w:p>
      <w:pPr>
        <w:jc w:val="right"/>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pStyle w:val="715"/>
        <w:jc w:val="center"/>
        <w:pageBreakBefore w:val="0"/>
        <w:spacing w:before="0" w:after="0" w:line="360" w:lineRule="auto"/>
        <w:rPr>
          <w:rFonts w:ascii="Times New Roman" w:hAnsi="Times New Roman" w:eastAsia="宋体"/>
          <w:color w:val="auto"/>
          <w:sz w:val="36"/>
          <w:szCs w:val="36"/>
          <w:highlight w:val="none"/>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bookmarkStart w:id="40" w:name="_Toc55204178"/>
      <w:r/>
      <w:r/>
    </w:p>
    <w:p>
      <w:pPr>
        <w:pStyle w:val="715"/>
        <w:jc w:val="center"/>
        <w:pageBreakBefore w:val="0"/>
        <w:spacing w:before="0" w:after="0" w:line="360" w:lineRule="auto"/>
        <w:rPr>
          <w:rFonts w:ascii="Times New Roman" w:hAnsi="Times New Roman" w:eastAsia="宋体"/>
          <w:color w:val="auto"/>
          <w:sz w:val="36"/>
          <w:szCs w:val="36"/>
          <w:highlight w:val="none"/>
        </w:rPr>
      </w:pPr>
      <w:r/>
      <w:bookmarkStart w:id="41" w:name="_Toc4032"/>
      <w:r>
        <w:rPr>
          <w:rFonts w:hint="eastAsia" w:ascii="Times New Roman" w:hAnsi="Times New Roman" w:eastAsia="宋体"/>
          <w:color w:val="auto"/>
          <w:sz w:val="36"/>
          <w:szCs w:val="36"/>
          <w:highlight w:val="none"/>
        </w:rPr>
        <w:t xml:space="preserve">第二章投标人须知</w:t>
      </w:r>
      <w:bookmarkEnd w:id="40"/>
      <w:r/>
      <w:bookmarkEnd w:id="41"/>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1、招标方式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1.1本次招标采取公开招标方式，本招标文件仅适用于</w:t>
      </w:r>
      <w:r>
        <w:rPr>
          <w:rFonts w:hint="eastAsia" w:ascii="Times New Roman" w:hAnsi="Times New Roman" w:eastAsia="宋体" w:cs="宋体"/>
          <w:color w:val="auto"/>
          <w:highlight w:val="none"/>
        </w:rPr>
        <w:t xml:space="preserve">JSZC-321000-HCZX-G2026-0024</w:t>
      </w:r>
      <w:r>
        <w:rPr>
          <w:rFonts w:hint="eastAsia" w:ascii="Times New Roman" w:hAnsi="Times New Roman"/>
          <w:bCs/>
          <w:color w:val="auto"/>
          <w:szCs w:val="21"/>
          <w:highlight w:val="none"/>
          <w:lang w:eastAsia="zh-CN"/>
        </w:rPr>
        <w:t xml:space="preserve">号</w:t>
      </w:r>
      <w:r>
        <w:rPr>
          <w:rFonts w:hint="eastAsia" w:ascii="Times New Roman" w:hAnsi="Times New Roman" w:eastAsia="宋体"/>
          <w:bCs/>
          <w:color w:val="auto"/>
          <w:szCs w:val="21"/>
          <w:highlight w:val="none"/>
        </w:rPr>
        <w:t xml:space="preserve">项目。</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2、投标人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2.1本招标文件中“供应商”，即“投标人”，是指参加投标竞争，并符合招标文件规定资格条件的法人、其他组织或者自然人。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2.2合格的投标人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2.2.1满足招标公告中供应商的资格条件要求的规定。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2.2.2满足本文件实质性条款的规定。</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3、适用法律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3.1本次招标及由此产生的合同受中华人民共和国有关的法律法规制约和保护。</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3.2在本项目政府采购活动过程中，如果所执行的标准有更新的，按照最新标准执行。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4、投标费用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4.1投标人应自行承担所有与参加投标有关的费用，无论投标过程中的做法和结果如何，代理机构在任何情况下均无义务和责任承担这些费用。</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4.3本次采购由</w:t>
      </w:r>
      <w:r>
        <w:rPr>
          <w:rFonts w:hint="eastAsia" w:ascii="Times New Roman" w:hAnsi="Times New Roman"/>
          <w:b/>
          <w:bCs/>
          <w:color w:val="auto"/>
          <w:szCs w:val="21"/>
          <w:highlight w:val="none"/>
          <w:lang w:val="en-US" w:eastAsia="zh-CN"/>
        </w:rPr>
        <w:t xml:space="preserve">中标供应商</w:t>
      </w:r>
      <w:r>
        <w:rPr>
          <w:rFonts w:hint="eastAsia" w:ascii="Times New Roman" w:hAnsi="Times New Roman" w:eastAsia="宋体"/>
          <w:b/>
          <w:bCs/>
          <w:color w:val="auto"/>
          <w:szCs w:val="21"/>
          <w:highlight w:val="none"/>
        </w:rPr>
        <w:t xml:space="preserve">按照国家计委印发的《招标代理服务收费管理暂行办法》（计价格〔2002〕1980号文）服务类标准支付给招标代理机构代理服务费。</w:t>
      </w:r>
      <w:r/>
    </w:p>
    <w:p>
      <w:pPr>
        <w:ind w:firstLine="422"/>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b/>
          <w:bCs/>
          <w:color w:val="auto"/>
          <w:szCs w:val="21"/>
          <w:highlight w:val="none"/>
        </w:rPr>
        <w:t xml:space="preserve">4.4专家评审费按《扬州市财政局关于进一步规范扬州市政府采购专家评审费标准的通知》（扬财购〔2020〕40号）执行，由采购人支付。</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5、招标文件的约束力</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5.1投标人一旦参加本项目采购活动，即被认为接受了本招标文件的规定和约束。</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6、招标文件构成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6.1招标文件由以下部分组成：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（1）招标公告</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（2）投标人须知</w:t>
      </w:r>
      <w:r>
        <w:rPr>
          <w:rFonts w:hint="eastAsia" w:ascii="Times New Roman" w:hAnsi="Times New Roman" w:eastAsia="宋体"/>
          <w:bCs/>
          <w:color w:val="auto"/>
          <w:szCs w:val="21"/>
          <w:highlight w:val="none"/>
        </w:rPr>
        <w:tab/>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（3）合同条款及格式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（4）项目需求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（5）评标方法与评标标准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（6）投标文件格式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请仔细检查招标文件是否齐全，如有缺漏请立即与代理机构联系解决。</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6.2招标的最小单位是包。招标服务数量及技术要求中未分包的，供应商对要求提供的服务不得部分投标；招标服务数量及技术要求中已经分包的，应当以包为单位投标。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6.3招标文件如果要求供应商提交备选投标方案的，供应商可以提交备选方案；否则，备选方案将被拒绝。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7、招标文件的澄清</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7.1任何要求对招标文件进行澄清的投标人，应在投标截止日期的十日前按招标公告中的通讯地址，以书面形式通知代理机构。</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8、招标文件的修改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8.1在投标截止时间前，代理机构可以对招标文件进行修改。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8.2代理机构在招标文件要求提交投标文件截止时间前，有权按照法定要求推迟投标截止时间和开标时间。</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8.3招标文件的修改将在“扬州市政府采购网”、“江苏省政府采购网”公布，补充文件将作为招标文件的组成部分，并对投标人具有约束力。</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9、投标文件的语言、度量衡单位、货币</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9.1投标人提交的投标文件以及投标人与代理机构就有关投标的所有来往通知、函件和文件均应使用简体中文。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9.2除技术性能另有规定外，投标文件所使用的度量衡单位，均须采用国家法定计量单位。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9.3投标人应使用人民币报价。</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10、投标文件构成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10.1投标文件由以下部分组成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（1）资格审查响应对照表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（2）符合性审查响应对照表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（3）非实质性响应对照表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（5）分项报价表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（6）技术参数响应及偏离表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（7）商务条款响应及偏离表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（8）其他（投标人认为有必要提供的声明和文件，如有自拟并自行添加）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11、证明投标人资格及符合招标文件规定的文件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11.1投标人应按要求提交资格证明文件及符合招标文件规定的文件。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11.2投标人应提交证明其有资格参加投标和中标后有能力独立履行合同的文件。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11.3投标人除必须具有履行合同所需提供的产品或服务的能力外，还必须具备相应的财务、技术方面的能力。</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11.4投标人应提交根据合同要求提供的证明服务质量合格以及符合招标文件规定的证明文件。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11.5证明投标人所提供服务与招标文件的要求相一致的文件可以是手册、图纸、文字资料和数据。</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12、投标配置与分项报价表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12.1投标人应按照招标文件规定格式填报分项报价表。每项货物和服务等只允许有一个报价，任何有选择的报价将不予接受。</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12.2标的物</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采购人需求的服务供应、安装，调试及有关技术服务等。</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12.3有关费用处理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招标报价采用总承包方式，投标人的报价应包括为完成本项目发生的所有费用，招标文件中另有规定的除外。</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12.4其它费用处理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招标文件未列明，而投标人认为必需的费用也需列入报价。</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12.5投标货币</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投标文件中的服务单价和总价无特殊规定的采用人民币报价，以元为单位标注。招标文件中另有规定的按规定执行。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13、技术参数响应及偏离表、商务条款响应及偏离表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13.1对招标文件中的技术与商务条款要求逐项作出响应或偏离，并说明原因；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13.2提供参加本项目类似案例简介；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13.3培训计划；</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w:t>
      </w:r>
      <w:r>
        <w:rPr>
          <w:rFonts w:hint="eastAsia" w:ascii="Times New Roman" w:hAnsi="Times New Roman" w:eastAsia="宋体"/>
          <w:bCs/>
          <w:color w:val="auto"/>
          <w:szCs w:val="21"/>
          <w:highlight w:val="none"/>
          <w:lang w:val="en-US" w:eastAsia="zh-CN"/>
        </w:rPr>
        <w:t xml:space="preserve">4</w:t>
      </w:r>
      <w:r>
        <w:rPr>
          <w:rFonts w:hint="eastAsia" w:ascii="Times New Roman" w:hAnsi="Times New Roman" w:eastAsia="宋体"/>
          <w:bCs/>
          <w:color w:val="auto"/>
          <w:szCs w:val="21"/>
          <w:highlight w:val="none"/>
        </w:rPr>
        <w:t xml:space="preserve">投标人认为需要的其他技术文件或说明。</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14、服务承诺及售后服务机构、人员的情况介绍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14.1投标人的服务承诺应按不低于招标文件中商务要求的标准。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15、投标函和开标一览表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15.1投标人应按照招标文件中提供的格式完整、正确填写投标函、开标一览表。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15.2开标一览表中的价格应与投标文件中分项报价表中的价格一致，如不一致，不作为无效投标处理，但评标时按开标一览表中价格为准。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16、投标有效期</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16.1投标有效期为开标之日起六十（60）天。投标有效期比规定短的将被视为非响应性投标而予以拒绝。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pageBreakBefore w:val="0"/>
        <w:spacing w:line="360" w:lineRule="auto"/>
        <w:rPr>
          <w:rFonts w:ascii="Times New Roman" w:hAnsi="Times New Roman" w:eastAsia="宋体"/>
          <w:b/>
          <w:color w:val="auto"/>
          <w:szCs w:val="21"/>
          <w:highlight w:val="none"/>
        </w:rPr>
      </w:pPr>
      <w:r/>
      <w:bookmarkStart w:id="42" w:name="_Toc20823297"/>
      <w:r/>
      <w:bookmarkStart w:id="43" w:name="_Toc462564084"/>
      <w:r/>
      <w:bookmarkStart w:id="44" w:name="_Toc513029225"/>
      <w:r/>
      <w:bookmarkStart w:id="45" w:name="_Toc16938541"/>
      <w:r>
        <w:rPr>
          <w:rFonts w:hint="eastAsia" w:ascii="Times New Roman" w:hAnsi="Times New Roman" w:eastAsia="宋体"/>
          <w:b/>
          <w:color w:val="auto"/>
          <w:szCs w:val="21"/>
          <w:highlight w:val="none"/>
        </w:rPr>
        <w:t xml:space="preserve">17、投标文件</w:t>
      </w:r>
      <w:bookmarkEnd w:id="42"/>
      <w:r/>
      <w:bookmarkEnd w:id="43"/>
      <w:r/>
      <w:bookmarkEnd w:id="44"/>
      <w:r/>
      <w:bookmarkEnd w:id="45"/>
      <w:r>
        <w:rPr>
          <w:rFonts w:hint="eastAsia" w:ascii="Times New Roman" w:hAnsi="Times New Roman" w:eastAsia="宋体"/>
          <w:b/>
          <w:color w:val="auto"/>
          <w:szCs w:val="21"/>
          <w:highlight w:val="none"/>
        </w:rPr>
        <w:t xml:space="preserve">的递交</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17.1电子投标文件的递交投标人应当按照《操作手册》规定，在投标截止时间前制作并上传电子投标文件。</w:t>
      </w:r>
      <w:bookmarkStart w:id="46" w:name="_Toc16938542"/>
      <w:r/>
      <w:bookmarkStart w:id="47" w:name="_Toc20823298"/>
      <w:r/>
      <w:bookmarkStart w:id="48" w:name="_Toc513029226"/>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17.2</w:t>
      </w:r>
      <w:r>
        <w:rPr>
          <w:rFonts w:hint="eastAsia" w:ascii="Times New Roman" w:hAnsi="Times New Roman" w:eastAsia="宋体"/>
          <w:b/>
          <w:bCs/>
          <w:color w:val="auto"/>
          <w:szCs w:val="21"/>
          <w:highlight w:val="none"/>
        </w:rPr>
        <w:t xml:space="preserve">政府采购管理交易系统（苏采云）</w:t>
      </w:r>
      <w:r>
        <w:rPr>
          <w:rFonts w:hint="eastAsia" w:ascii="Times New Roman" w:hAnsi="Times New Roman" w:eastAsia="宋体"/>
          <w:b/>
          <w:color w:val="auto"/>
          <w:szCs w:val="21"/>
          <w:highlight w:val="none"/>
        </w:rPr>
        <w:t xml:space="preserve">相关要求是本招标文件的组成部分。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17.3投标人应对CA证书妥善保管，如被他人盗用投标，因此带来的结果均由投标人自行承担。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17.4投标人应当对招标文件提出的要求和条件作出实质性响应，并在电子投标系统逐条应答。</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17.5投标人应对要求提供的资格证明文件（如资质证书、资格证书）、技术资料（如白皮书、彩页、手册、检测报告等）扫描上传至投标系统。</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pageBreakBefore w:val="0"/>
        <w:spacing w:line="360" w:lineRule="auto"/>
        <w:rPr>
          <w:rFonts w:ascii="Times New Roman" w:hAnsi="Times New Roman" w:eastAsia="宋体"/>
          <w:color w:val="auto"/>
          <w:highlight w:val="none"/>
        </w:rPr>
      </w:pPr>
      <w:r>
        <w:rPr>
          <w:rFonts w:hint="eastAsia" w:ascii="Times New Roman" w:hAnsi="Times New Roman" w:eastAsia="宋体"/>
          <w:b/>
          <w:color w:val="auto"/>
          <w:szCs w:val="21"/>
          <w:highlight w:val="none"/>
        </w:rPr>
        <w:t xml:space="preserve">17.7各投标人应在规定时间内凭CA证书进行网上解密。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18、投标截止日期</w:t>
      </w:r>
      <w:bookmarkEnd w:id="46"/>
      <w:r/>
      <w:bookmarkEnd w:id="47"/>
      <w:r/>
      <w:bookmarkEnd w:id="48"/>
      <w:r/>
      <w:r/>
    </w:p>
    <w:p>
      <w:pPr>
        <w:ind w:firstLine="420"/>
        <w:pageBreakBefore w:val="0"/>
        <w:spacing w:line="360" w:lineRule="auto"/>
        <w:rPr>
          <w:rFonts w:ascii="Times New Roman" w:hAnsi="Times New Roman" w:eastAsia="宋体"/>
          <w:bCs/>
          <w:i/>
          <w:iCs/>
          <w:color w:val="auto"/>
          <w:szCs w:val="21"/>
          <w:highlight w:val="none"/>
          <w:u w:val="single"/>
        </w:rPr>
      </w:pPr>
      <w:r>
        <w:rPr>
          <w:rFonts w:hint="eastAsia" w:ascii="Times New Roman" w:hAnsi="Times New Roman" w:eastAsia="宋体"/>
          <w:bCs/>
          <w:i/>
          <w:iCs/>
          <w:color w:val="auto"/>
          <w:szCs w:val="21"/>
          <w:highlight w:val="none"/>
          <w:u w:val="single"/>
        </w:rPr>
        <w:t xml:space="preserve">18.1投标人上传电子投标文件的时间不得迟于招标公告中规定的投标截止时间。</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18.2代理机构可以按照规定，通过修改招标文件延长投标截止日期，在此情况下，投标人的所有权利和义务以及投标人受制的截止日期均应以延长后新的截止日期为准。</w:t>
      </w:r>
      <w:r/>
    </w:p>
    <w:p>
      <w:pPr>
        <w:ind w:firstLine="422"/>
        <w:pageBreakBefore w:val="0"/>
        <w:spacing w:line="360" w:lineRule="auto"/>
        <w:rPr>
          <w:rFonts w:ascii="Times New Roman" w:hAnsi="Times New Roman" w:eastAsia="宋体"/>
          <w:b/>
          <w:color w:val="auto"/>
          <w:szCs w:val="21"/>
          <w:highlight w:val="none"/>
        </w:rPr>
      </w:pPr>
      <w:r/>
      <w:bookmarkStart w:id="49" w:name="_Toc16938543"/>
      <w:r/>
      <w:bookmarkStart w:id="50" w:name="_Toc513029227"/>
      <w:r/>
      <w:bookmarkStart w:id="51" w:name="_Toc20823299"/>
      <w:r>
        <w:rPr>
          <w:rFonts w:hint="eastAsia" w:ascii="Times New Roman" w:hAnsi="Times New Roman" w:eastAsia="宋体"/>
          <w:b/>
          <w:color w:val="auto"/>
          <w:szCs w:val="21"/>
          <w:highlight w:val="none"/>
        </w:rPr>
        <w:t xml:space="preserve">19、投标文件</w:t>
      </w:r>
      <w:bookmarkEnd w:id="49"/>
      <w:r/>
      <w:bookmarkEnd w:id="50"/>
      <w:r/>
      <w:bookmarkEnd w:id="51"/>
      <w:r>
        <w:rPr>
          <w:rFonts w:hint="eastAsia" w:ascii="Times New Roman" w:hAnsi="Times New Roman" w:eastAsia="宋体"/>
          <w:b/>
          <w:color w:val="auto"/>
          <w:szCs w:val="21"/>
          <w:highlight w:val="none"/>
        </w:rPr>
        <w:t xml:space="preserve">的拒收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19.1代理机构拒绝接收在其规定的投标截止时间后上传的任何投标文件。</w:t>
      </w:r>
      <w:r/>
    </w:p>
    <w:p>
      <w:pPr>
        <w:ind w:firstLine="422"/>
        <w:pageBreakBefore w:val="0"/>
        <w:spacing w:line="360" w:lineRule="auto"/>
        <w:rPr>
          <w:rFonts w:ascii="Times New Roman" w:hAnsi="Times New Roman" w:eastAsia="宋体"/>
          <w:b/>
          <w:color w:val="auto"/>
          <w:szCs w:val="21"/>
          <w:highlight w:val="none"/>
        </w:rPr>
      </w:pPr>
      <w:r/>
      <w:bookmarkStart w:id="52" w:name="_Toc16938544"/>
      <w:r/>
      <w:bookmarkStart w:id="53" w:name="_Toc20823300"/>
      <w:r/>
      <w:bookmarkStart w:id="54" w:name="_Toc513029228"/>
      <w:r>
        <w:rPr>
          <w:rFonts w:hint="eastAsia" w:ascii="Times New Roman" w:hAnsi="Times New Roman" w:eastAsia="宋体"/>
          <w:b/>
          <w:color w:val="auto"/>
          <w:szCs w:val="21"/>
          <w:highlight w:val="none"/>
        </w:rPr>
        <w:t xml:space="preserve">20、投标文件的撤回和修改</w:t>
      </w:r>
      <w:bookmarkEnd w:id="52"/>
      <w:r/>
      <w:bookmarkEnd w:id="53"/>
      <w:r/>
      <w:bookmarkEnd w:id="54"/>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20.1投标文件的撤回</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20.1.1电子投标文件的撤回</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投标人可在投标截止时间前，撤回其电子投标文件，具体操作方法见《操作手册》。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20.1.2投标人撤回电子投标文件，则认为其不再参与本项目投标活动。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20.2投标文件的修改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投标人可在投标截止时间前，对其电子投标文件进行修改，具体操作方法见《操作手册》。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20.3在投标截止时间之后，投标人不得对其电子投标文件作任何修改。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20.4在投标截止时间至招标文件中规定的投标有效期满之间的这段时间内，投标人不得撤回其投标。</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21、开标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21.1代理机构将在招标公告中规定的时间和地点组织公开开标。投标人应当按照《操作手册》规定，参加开标活动。投标人未参加开标的，视同认可开标结果。</w:t>
      </w:r>
      <w:r/>
    </w:p>
    <w:p>
      <w:pPr>
        <w:ind w:firstLine="42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
          <w:color w:val="auto"/>
          <w:szCs w:val="21"/>
          <w:highlight w:val="none"/>
        </w:rPr>
        <w:t xml:space="preserve">21.2开标仪式由代理机构组织。“政府采购管理交易系统（苏采云）”将自动对项目进行开标，并宣读各投标人的《开标一览表》。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21.3投标人在开标过程中涉及到的投标文件解密、开标结果确认等工作，应按照《操作手册》规定执行。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22、评标委员会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22.1开标后，代理机构将立即组织评标委员会（以下简称评委会）进行评标。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22.2评委会由采购人代表和有关技术、经济等方面的专家组成，且人员构成符合政府采购有关规定。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22.3评委会独立工作，负责评审所有投标文件并确定中标候选人。</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23、评标过程的保密与公正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23.2在评标过程中，投标人不得以任何行为影响评标过程，否则其投标文件将被作为无效投标文件。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23.3在评标期间，代理机构将设专门工作人员与投标人联系。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23.4代理机构和评委会不向未中标的投标人解释未中标原因，也不公布评标过程中的相关细节。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23.5采用综合评分法的项目，未中标的投标人可于中标结果公告期限届满之日起通过“政府采购管理交易系统（苏采云）”查看自己的评审得分及排序情况。</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24、投标的澄清</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24.3接到评委会澄清要求的投标人如未按规定做出澄清，其风险由投标人自行承担。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25、对投标文件的初审</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25.1投标文件初审分为资格审查和符合性审查。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所谓重大偏离或保留是指与招标文件规定的实质性要求存在负偏离，或者在实质上与招标文件不一致，而且限制了合同中买方（采购人）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25.4评委会将对确定为实质性响应的投标进行进一步审核，看其是否有计算上或累加上的算术错误，修正错误的原则如下：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（1）投标文件中开标一览表内容与投标文件中相应内容不一致的，以开标一览表为准。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（2）大写金额与小写金额不一致的，以大写金额为准。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（3）单价金额小数点或者百分比有明显错位的，以开标一览表的总价为准，并修改单价。</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（4）总价金额与按单价汇总金额不一致的，以单价金额计算结果为准。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同时出现两种以上错误的，按照前款规定的顺序修正。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非单一产品采购项目，招标文件中将载明其中的核心产品。多家投标人提供的核心产品品牌相同的，按前两款规定处理。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25.8投标人在开、评标全过程中应保持通信畅通，并安排专人与代理机构及评委会联系。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25.9异常低价投标审查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25.9.1评标过程中出现下列情形之一的，评标委员会应当启动异常低价投标审查程序：</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1.投标（响应）报价低于全部通过符合性审查供应商投标（响应）报价平均值50%的，即投标（响应）报价&lt;全部通过符合性审查供应商投标（响应）报价平均值×50%；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2.投标（响应）报价低于通过符合性审查的次低报价供应商投标（响应）报价50%的，即投标（响应）报价&lt;通过符合性审查的次低报价供应商投标（响应）报价×50%；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3.投标（响应）报价低于采购项目最高限价45%的，即投标（响应）报价&lt;采购项目最高限价×45%；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4.评审委员会基于专业判断，认为供应商报价过低，有可能影响产品质量或者不能诚信履约的其他情形。 </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采购人可以结合具体项目实际情况，提高上述第1项至第3项中启动异常低价投标（响应）审查的数值标准，但是最高不得超过65%。</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25.9.</w:t>
      </w:r>
      <w:r>
        <w:rPr>
          <w:rFonts w:hint="eastAsia" w:ascii="Times New Roman" w:hAnsi="Times New Roman" w:eastAsia="宋体"/>
          <w:bCs/>
          <w:color w:val="auto"/>
          <w:szCs w:val="21"/>
          <w:highlight w:val="none"/>
          <w:lang w:val="en-US" w:eastAsia="zh-CN"/>
        </w:rPr>
        <w:t xml:space="preserve">2</w:t>
      </w:r>
      <w:r>
        <w:rPr>
          <w:rFonts w:hint="eastAsia" w:ascii="Times New Roman" w:hAnsi="Times New Roman" w:eastAsia="宋体"/>
          <w:bCs/>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25.9.</w:t>
      </w:r>
      <w:r>
        <w:rPr>
          <w:rFonts w:hint="eastAsia" w:ascii="Times New Roman" w:hAnsi="Times New Roman" w:eastAsia="宋体"/>
          <w:bCs/>
          <w:color w:val="auto"/>
          <w:szCs w:val="21"/>
          <w:highlight w:val="none"/>
          <w:lang w:val="en-US" w:eastAsia="zh-CN"/>
        </w:rPr>
        <w:t xml:space="preserve">3</w:t>
      </w:r>
      <w:r>
        <w:rPr>
          <w:rFonts w:hint="eastAsia" w:ascii="Times New Roman" w:hAnsi="Times New Roman" w:eastAsia="宋体"/>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Cs/>
          <w:color w:val="auto"/>
          <w:szCs w:val="21"/>
          <w:highlight w:val="none"/>
          <w:lang w:val="en-US" w:eastAsia="zh-CN"/>
        </w:rPr>
        <w:t xml:space="preserve">25.9.4</w:t>
      </w:r>
      <w:r>
        <w:rPr>
          <w:rFonts w:hint="eastAsia" w:ascii="Times New Roman" w:hAnsi="Times New Roman" w:eastAsia="宋体"/>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26、无效投标、废标及投标人不足三家的处理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26.1无效投标条款</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26.1.1投标人未成功解密电子投标文件的。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26.1.2投标人未按照招标文件要求上传电子投标文件的。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26.1.3投标人在报价时采用选择性报价的。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26.1.4投标人不具备招标文件中规定资格要求的。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26.1.5投标人的报价超过了采购预算或最高限价的。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26.1.6未通过符合性审查的。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26.1.7不符合招标文件中规定的其他实质性要求和条件的（</w:t>
      </w:r>
      <w:r>
        <w:rPr>
          <w:rFonts w:hint="eastAsia" w:ascii="Times New Roman" w:hAnsi="Times New Roman" w:eastAsia="宋体"/>
          <w:bCs/>
          <w:i/>
          <w:iCs/>
          <w:color w:val="auto"/>
          <w:szCs w:val="21"/>
          <w:highlight w:val="none"/>
          <w:u w:val="single"/>
        </w:rPr>
        <w:t xml:space="preserve">本招标文件中斜体且有下划线部分为实质性要求和条件</w:t>
      </w:r>
      <w:r>
        <w:rPr>
          <w:rFonts w:hint="eastAsia" w:ascii="Times New Roman" w:hAnsi="Times New Roman" w:eastAsia="宋体"/>
          <w:bCs/>
          <w:color w:val="auto"/>
          <w:szCs w:val="21"/>
          <w:highlight w:val="none"/>
        </w:rPr>
        <w:t xml:space="preserve">）。</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26.1.8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26.1.9投标文件含有采购人不能接受的附加条件的。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26.1.10评标委员会按照本招标文件规定对投标人进行异常低价投标审查后，认为投标人不能证明其报价合理性的。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26.1.12投标文件未按照招标文件要求加盖电子签章。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26.1.13投标人所投标产品不符合招标文件中所列国家强制性标准的。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26.2废标条款：</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26.2.1符合专业条件的供应商或者对招标文件作实质响应的供应商不足三家的。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26.2.2出现影响采购公正的违法、违规行为的。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26.2.3因重大变故，采购任务取消的。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26.2.4评委会认定招标文件存在歧义、重大缺陷导致评审工作无法进行。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26.3投标截止时间结束后参加投标的供应商不足三家的处理：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27、确定中标单位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27.1评委会根据本招标文件规定评标方法与评标标准向采购人推荐出中标候选人。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27.2采购人应根据评委会推荐的中标候选人确定中标人。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27.3代理机构将在“扬州市政府采购网”、“江苏省政府采购网”发布中标公告，公告期限为1个工作日。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27.4若有充分证据证明，中标人出现下列情况之一的，一经查实，将被取消中标资格：</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27.4.1提供虚假材料谋取中标的；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27.4.2向采购人、代理机构行贿或者提供其他不正当利益的；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27.4.3恶意竞争，投标总报价明显低于其自身合理成本且又无法提供证明的；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27.4.4属于本文件规定的无效条件，但在评标过程中又未被评委会发现的；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27.4.5与采购人或者其他投标人恶意串通的；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27.4.6采取不正当手段诋毁、排挤其他供应商的；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27.4.7不符合法律、法规的规定的。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27.5.有下列情形之一的，视为投标人串通投标，投标无效：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27.5.1不同投标人的投标文件由同一单位或者个人编制。经查实，不同投标人的电子投标文件出自同一台电脑的：不同投标人的标书制作工具客户端标识码存在一致的；不同投标人从同一互联网协议地址上传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27.5.2不同投标人委托同一单位或者个人办理投标事宜。</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27.5.3不同投标人的投标文件载明的项目管理成员或者联系人员为同一人。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27.5.4不同投标人的投标文件异常一致或者投标报价呈规律性差异。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27.5.5不同投标人的投标文件相互混装。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28、质疑处理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对项目需求部分的质疑，潜在供应商应向采购人提出，由采购人负责答复。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28.2.1对采购文件提出质疑的，应当在获取采购文件之日或者采购文件公告期限届满之日起7个工作日内提出。</w:t>
      </w:r>
      <w:r>
        <w:rPr>
          <w:rFonts w:hint="eastAsia" w:ascii="Times New Roman" w:hAnsi="Times New Roman" w:eastAsia="宋体"/>
          <w:bCs/>
          <w:color w:val="auto"/>
          <w:szCs w:val="21"/>
          <w:highlight w:val="none"/>
        </w:rPr>
        <w:br/>
      </w:r>
      <w:r>
        <w:rPr>
          <w:rFonts w:hint="eastAsia" w:ascii="Times New Roman" w:hAnsi="Times New Roman" w:eastAsia="宋体"/>
          <w:bCs/>
          <w:color w:val="auto"/>
          <w:szCs w:val="21"/>
          <w:highlight w:val="none"/>
          <w:lang w:val="en-US" w:eastAsia="zh-CN"/>
        </w:rPr>
        <w:t xml:space="preserve">    </w:t>
      </w:r>
      <w:r>
        <w:rPr>
          <w:rFonts w:hint="eastAsia" w:ascii="Times New Roman" w:hAnsi="Times New Roman" w:eastAsia="宋体"/>
          <w:bCs/>
          <w:color w:val="auto"/>
          <w:szCs w:val="21"/>
          <w:highlight w:val="none"/>
        </w:rPr>
        <w:t xml:space="preserve">28.2.2对采购过程提出质疑的，为各采购程序环节结束之日起7个工作日内提出。</w:t>
      </w:r>
      <w:r>
        <w:rPr>
          <w:rFonts w:hint="eastAsia" w:ascii="Times New Roman" w:hAnsi="Times New Roman" w:eastAsia="宋体"/>
          <w:bCs/>
          <w:color w:val="auto"/>
          <w:szCs w:val="21"/>
          <w:highlight w:val="none"/>
        </w:rPr>
        <w:br/>
      </w:r>
      <w:r>
        <w:rPr>
          <w:rFonts w:hint="eastAsia" w:ascii="Times New Roman" w:hAnsi="Times New Roman" w:eastAsia="宋体"/>
          <w:bCs/>
          <w:color w:val="auto"/>
          <w:szCs w:val="21"/>
          <w:highlight w:val="none"/>
          <w:lang w:val="en-US" w:eastAsia="zh-CN"/>
        </w:rPr>
        <w:t xml:space="preserve">    </w:t>
      </w:r>
      <w:r>
        <w:rPr>
          <w:rFonts w:hint="eastAsia" w:ascii="Times New Roman" w:hAnsi="Times New Roman" w:eastAsia="宋体"/>
          <w:bCs/>
          <w:color w:val="auto"/>
          <w:szCs w:val="21"/>
          <w:highlight w:val="none"/>
        </w:rPr>
        <w:t xml:space="preserve">28.2.3对中标结果提出质疑的，为中标结果公告期限届满之日起7个工作日内提出。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28.5代理机构及采购人只接收以纸质原件形式送达的质疑，同时需与采购代理机构经办人确认是否收到《质疑函》，如供应商未按上述要求去做，将自行承担所产生的风险。（代理机构及采购人不接受无快递运单号的快递。）</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采购人质疑接收人及联系方式见招标文件第一章。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28.7质疑人应当在法定质疑期限内进行补正并重新提交质疑函。</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28.8以下情形的质疑不予受理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28.8.1内容不符合《政府采购质疑和投诉办法》第十二条规定的质疑。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28.8.2超出政府采购法定期限的质疑。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28.8.3以传真、电子邮件等方式递交的非原件形式的质疑。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28.8.4未参加投标活动的供应商或在投标活动中自身权益未受到损害的供应商所提出的质疑。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28.8.5供应商组成联合体参加投标，联合体中任何一方或多方未按要求签字、盖章、加盖公章的质疑。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29、中标通知书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29.l中标结果确定后，代理机构将向中标人发出中标通知书。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29.2中标人可在“政府采购管理交易系统（苏采云）”中标通知书下载模块中自行下载中标通知书。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30、签订合同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30.l中标人应在中标通知书发出之日起</w:t>
      </w:r>
      <w:r>
        <w:rPr>
          <w:rFonts w:hint="eastAsia" w:ascii="Times New Roman" w:hAnsi="Times New Roman" w:eastAsia="宋体"/>
          <w:bCs/>
          <w:color w:val="auto"/>
          <w:szCs w:val="21"/>
          <w:highlight w:val="none"/>
          <w:lang w:val="en-US" w:eastAsia="zh-CN"/>
        </w:rPr>
        <w:t xml:space="preserve">三十</w:t>
      </w:r>
      <w:r>
        <w:rPr>
          <w:rFonts w:hint="eastAsia" w:ascii="Times New Roman" w:hAnsi="Times New Roman" w:eastAsia="宋体"/>
          <w:bCs/>
          <w:color w:val="auto"/>
          <w:szCs w:val="21"/>
          <w:highlight w:val="none"/>
        </w:rPr>
        <w:t xml:space="preserve">日内，按照招标文件确定的事项与采购人签订政府采购合同。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30.2招标文件、中标人的投标文件及招标过程中有关澄清、承诺文件均应作为合同附件。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30.3合同在“政府采购管理交易系统（苏采云）”中签订，签订合同后，</w:t>
      </w:r>
      <w:r>
        <w:rPr>
          <w:rFonts w:hint="eastAsia" w:ascii="Times New Roman" w:hAnsi="Times New Roman" w:eastAsia="宋体"/>
          <w:bCs/>
          <w:i/>
          <w:iCs/>
          <w:color w:val="auto"/>
          <w:szCs w:val="21"/>
          <w:highlight w:val="none"/>
          <w:u w:val="single"/>
        </w:rPr>
        <w:t xml:space="preserve">中标人不得将货物或服务及其他服务进行转包</w:t>
      </w:r>
      <w:r>
        <w:rPr>
          <w:rFonts w:hint="eastAsia" w:ascii="Times New Roman" w:hAnsi="Times New Roman" w:eastAsia="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31、电子投标文件要求</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31.1</w:t>
      </w:r>
      <w:r>
        <w:rPr>
          <w:rFonts w:hint="eastAsia" w:ascii="Times New Roman" w:hAnsi="Times New Roman" w:eastAsia="宋体"/>
          <w:b/>
          <w:bCs/>
          <w:color w:val="auto"/>
          <w:szCs w:val="21"/>
          <w:highlight w:val="none"/>
        </w:rPr>
        <w:t xml:space="preserve">政府采购管理交易系统（苏采云）</w:t>
      </w:r>
      <w:r>
        <w:rPr>
          <w:rFonts w:hint="eastAsia" w:ascii="Times New Roman" w:hAnsi="Times New Roman" w:eastAsia="宋体"/>
          <w:b/>
          <w:color w:val="auto"/>
          <w:szCs w:val="21"/>
          <w:highlight w:val="none"/>
        </w:rPr>
        <w:t xml:space="preserve">相关要求是本招标文件的组成部分。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31.2投标人应对CA证书妥善保管，如被他人盗用投标，因此带来的结果均由投标人自行承担。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31.3投标人应当对招标文件提出的要求和条件作出实质性响应，并在电子投标系统逐条应答。</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4"/>
        </w:num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提交投标文件的截止时间（投标截止时间）</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pageBreakBefore w:val="0"/>
        <w:spacing w:line="360" w:lineRule="auto"/>
        <w:rPr>
          <w:rFonts w:ascii="Times New Roman" w:hAnsi="Times New Roman" w:eastAsia="宋体"/>
          <w:color w:val="auto"/>
          <w:highlight w:val="none"/>
        </w:rPr>
      </w:pPr>
      <w:r>
        <w:rPr>
          <w:rFonts w:hint="eastAsia" w:ascii="Times New Roman" w:hAnsi="Times New Roman" w:eastAsia="宋体"/>
          <w:b/>
          <w:color w:val="auto"/>
          <w:szCs w:val="21"/>
          <w:highlight w:val="none"/>
        </w:rPr>
        <w:t xml:space="preserve">32.2各投标人应在规定时间内凭CA证书进行网上解密。</w:t>
      </w:r>
      <w:r/>
    </w:p>
    <w:p>
      <w:pPr>
        <w:numPr>
          <w:ilvl w:val="0"/>
          <w:numId w:val="4"/>
        </w:numPr>
        <w:ind w:left="0" w:firstLine="422"/>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其他</w:t>
      </w:r>
      <w:r/>
    </w:p>
    <w:p>
      <w:pPr>
        <w:numPr>
          <w:numId w:val="0"/>
        </w:numPr>
        <w:ind w:left="42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cs="宋体"/>
          <w:color w:val="auto"/>
          <w:highlight w:val="none"/>
        </w:rPr>
        <w:t xml:space="preserve">33.1</w:t>
      </w:r>
      <w:r>
        <w:rPr>
          <w:rFonts w:hint="eastAsia" w:ascii="Times New Roman" w:hAnsi="Times New Roman" w:eastAsia="宋体"/>
          <w:color w:val="auto"/>
          <w:highlight w:val="none"/>
        </w:rPr>
        <w:t xml:space="preserve">依据《政府采购促进中小企业发展管理办法》享受扶持政策获得政府采购合同的，小微企业不得将合同分包给大中型企业，中型企业不得将合同分包给大型企业。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br w:type="page" w:clear="all"/>
      </w:r>
      <w:r/>
    </w:p>
    <w:p>
      <w:pPr>
        <w:pStyle w:val="715"/>
        <w:jc w:val="center"/>
        <w:pageBreakBefore w:val="0"/>
        <w:spacing w:before="0" w:after="0" w:line="360" w:lineRule="auto"/>
        <w:rPr>
          <w:rFonts w:ascii="Times New Roman" w:hAnsi="Times New Roman" w:eastAsia="宋体"/>
          <w:color w:val="auto"/>
          <w:sz w:val="36"/>
          <w:szCs w:val="36"/>
          <w:highlight w:val="none"/>
        </w:rPr>
      </w:pPr>
      <w:r/>
      <w:bookmarkStart w:id="55" w:name="_Toc55204179"/>
      <w:r/>
      <w:bookmarkStart w:id="56" w:name="_Toc13939"/>
      <w:r/>
      <w:bookmarkStart w:id="57" w:name="_Hlk69392822"/>
      <w:r>
        <w:rPr>
          <w:rFonts w:hint="eastAsia" w:ascii="Times New Roman" w:hAnsi="Times New Roman" w:eastAsia="宋体"/>
          <w:color w:val="auto"/>
          <w:sz w:val="36"/>
          <w:szCs w:val="36"/>
          <w:highlight w:val="none"/>
        </w:rPr>
        <w:t xml:space="preserve">第三章合同条款及格式</w:t>
      </w:r>
      <w:bookmarkEnd w:id="55"/>
      <w:r/>
      <w:bookmarkEnd w:id="56"/>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734"/>
        <w:ind w:firstLine="422"/>
        <w:jc w:val="center"/>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扬州市政府采购合同（服务）（合同编号）</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项目名称：</w:t>
      </w:r>
      <w:r>
        <w:rPr>
          <w:rFonts w:hint="eastAsia" w:ascii="Times New Roman" w:hAnsi="Times New Roman" w:eastAsia="宋体"/>
          <w:color w:val="auto"/>
          <w:sz w:val="21"/>
          <w:highlight w:val="none"/>
          <w:lang w:eastAsia="zh-CN"/>
        </w:rPr>
        <w:t xml:space="preserve">扬州市公安局2026年城南快速通道交通协管力量购买服务</w:t>
      </w:r>
      <w:r>
        <w:rPr>
          <w:rFonts w:hint="eastAsia" w:ascii="Times New Roman" w:hAnsi="Times New Roman" w:eastAsia="宋体"/>
          <w:color w:val="auto"/>
          <w:sz w:val="21"/>
          <w:highlight w:val="none"/>
        </w:rPr>
        <w:t xml:space="preserve">            </w:t>
      </w:r>
      <w:r/>
    </w:p>
    <w:p>
      <w:pPr>
        <w:pStyle w:val="734"/>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项目编号：JSZC-321000-HCZX-G2026-0024</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包号：</w:t>
      </w:r>
      <w:r/>
    </w:p>
    <w:p>
      <w:pPr>
        <w:pStyle w:val="734"/>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甲方：（买方）</w:t>
      </w:r>
      <w:r>
        <w:rPr>
          <w:rFonts w:hint="eastAsia" w:ascii="Times New Roman" w:hAnsi="Times New Roman"/>
          <w:color w:val="auto"/>
          <w:sz w:val="21"/>
          <w:highlight w:val="none"/>
          <w:lang w:eastAsia="zh-CN"/>
        </w:rPr>
        <w:t xml:space="preserve">扬州市公安局</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乙方：（卖方）_________</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甲、乙双方根据</w:t>
      </w:r>
      <w:r>
        <w:rPr>
          <w:rFonts w:hint="eastAsia" w:ascii="Times New Roman" w:hAnsi="Times New Roman"/>
          <w:color w:val="auto"/>
          <w:sz w:val="21"/>
          <w:highlight w:val="none"/>
          <w:lang w:eastAsia="zh-CN"/>
        </w:rPr>
        <w:t xml:space="preserve">江苏汇诚投资咨询管理有限公司</w:t>
      </w:r>
      <w:r>
        <w:rPr>
          <w:rFonts w:hint="eastAsia" w:ascii="Times New Roman" w:hAnsi="Times New Roman" w:eastAsia="宋体"/>
          <w:color w:val="auto"/>
          <w:sz w:val="21"/>
          <w:highlight w:val="none"/>
          <w:u w:val="single"/>
        </w:rPr>
        <w:t xml:space="preserve">         </w:t>
      </w:r>
      <w:r>
        <w:rPr>
          <w:rFonts w:hint="eastAsia" w:ascii="Times New Roman" w:hAnsi="Times New Roman" w:eastAsia="宋体"/>
          <w:color w:val="auto"/>
          <w:sz w:val="21"/>
          <w:highlight w:val="none"/>
        </w:rPr>
        <w:t xml:space="preserve">项目公开招标的结果，签署本合同。</w:t>
      </w:r>
      <w:r/>
    </w:p>
    <w:p>
      <w:pPr>
        <w:pStyle w:val="734"/>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一、服务及货物</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1.1 标的名称：</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1.2标的质量：</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 标的数量（规模）：</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 履行时间（期限）：</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1.5 履行地点：</w:t>
      </w:r>
      <w:r/>
    </w:p>
    <w:p>
      <w:pPr>
        <w:pStyle w:val="734"/>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1.6履行方式</w:t>
      </w:r>
      <w:r>
        <w:rPr>
          <w:rFonts w:hint="eastAsia" w:ascii="Times New Roman" w:hAnsi="Times New Roman" w:eastAsia="宋体"/>
          <w:color w:val="auto"/>
          <w:sz w:val="21"/>
          <w:highlight w:val="none"/>
          <w:lang w:eastAsia="zh-CN"/>
        </w:rPr>
        <w:t xml:space="preserve">：</w:t>
      </w:r>
      <w:r/>
    </w:p>
    <w:p>
      <w:pPr>
        <w:pStyle w:val="734"/>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二、合同金额</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2.1 本合同金额为（大写）：____________________________________圆（_______________元）人民币。</w:t>
      </w:r>
      <w:r/>
    </w:p>
    <w:p>
      <w:pPr>
        <w:pStyle w:val="734"/>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三、技术资料</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3.1乙方应按采购文件规定的时间向甲方提供使用货物及服务的有关技术资料。</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34"/>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四、知识产权</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734"/>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五、产权担保</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5.1 乙方保证所交付的货物及服务的所有权完全属于乙方且无任何抵押、查封等产权瑕疵。</w:t>
      </w:r>
      <w:r/>
    </w:p>
    <w:p>
      <w:pPr>
        <w:pStyle w:val="734"/>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六、履约保证金</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6.1 乙方交纳人民币</w:t>
      </w:r>
      <w:r>
        <w:rPr>
          <w:rFonts w:hint="eastAsia" w:ascii="Times New Roman" w:hAnsi="Times New Roman" w:eastAsia="宋体"/>
          <w:color w:val="auto"/>
          <w:sz w:val="21"/>
          <w:highlight w:val="none"/>
          <w:u w:val="single"/>
        </w:rPr>
        <w:t xml:space="preserve"> 零  </w:t>
      </w:r>
      <w:r>
        <w:rPr>
          <w:rFonts w:hint="eastAsia" w:ascii="Times New Roman" w:hAnsi="Times New Roman" w:eastAsia="宋体"/>
          <w:color w:val="auto"/>
          <w:sz w:val="21"/>
          <w:highlight w:val="none"/>
        </w:rPr>
        <w:t xml:space="preserve">元作为本合同的履约保证金。（不得超过合同金额的10%）</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6.2合同履行结束后，甲方应及时退还交纳的履约保证金。</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6.2.1履约保证金退还方式：无</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6.2.2履约保证金退还时间：无</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6.2.3履约保证金退还条件：无</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6.2.4履约保证金不予退还的情形：无</w:t>
      </w:r>
      <w:r/>
    </w:p>
    <w:p>
      <w:pPr>
        <w:pStyle w:val="734"/>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七、转包或分包</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7.1乙方不得将合同标的转包给他人履行。</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7.2乙方不得将合同标的分包给他人履行。</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7.3乙方如有转包或未经甲方同意的分包行为，甲方有权解除合同。</w:t>
      </w:r>
      <w:r/>
    </w:p>
    <w:p>
      <w:pPr>
        <w:pStyle w:val="734"/>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八、合同款项支付</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8.1 合同款项的支付方式及进度安排</w:t>
      </w:r>
      <w:r/>
    </w:p>
    <w:p>
      <w:pPr>
        <w:ind w:firstLine="420"/>
        <w:pageBreakBefore w:val="0"/>
        <w:spacing w:line="360" w:lineRule="auto"/>
        <w:rPr>
          <w:rFonts w:hint="eastAsia" w:ascii="Times New Roman" w:hAnsi="Times New Roman" w:eastAsia="宋体" w:cs="宋体"/>
          <w:b w:val="0"/>
          <w:bCs/>
          <w:color w:val="auto"/>
          <w:szCs w:val="21"/>
          <w:highlight w:val="none"/>
        </w:rPr>
      </w:pPr>
      <w:r>
        <w:rPr>
          <w:rFonts w:hint="eastAsia" w:ascii="Times New Roman" w:hAnsi="Times New Roman" w:eastAsia="宋体" w:cs="宋体"/>
          <w:b w:val="0"/>
          <w:bCs/>
          <w:color w:val="auto"/>
          <w:szCs w:val="21"/>
          <w:highlight w:val="none"/>
          <w:lang w:val="en-US" w:eastAsia="zh-CN"/>
        </w:rPr>
        <w:t xml:space="preserve">年度</w:t>
      </w:r>
      <w:r>
        <w:rPr>
          <w:rFonts w:hint="eastAsia" w:ascii="Times New Roman" w:hAnsi="Times New Roman" w:eastAsia="宋体" w:cs="宋体"/>
          <w:b w:val="0"/>
          <w:bCs/>
          <w:color w:val="auto"/>
          <w:szCs w:val="21"/>
          <w:highlight w:val="none"/>
        </w:rPr>
        <w:t xml:space="preserve">合同签订后，甲方自收到发票后15天内支付合同总价30%的预付款，每季度按照考核结果，甲方自收到发票后15天内支付当季费用。</w:t>
      </w:r>
      <w:r/>
    </w:p>
    <w:p>
      <w:pPr>
        <w:ind w:firstLine="420"/>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val="0"/>
          <w:bCs/>
          <w:color w:val="auto"/>
          <w:szCs w:val="21"/>
          <w:highlight w:val="none"/>
        </w:rPr>
        <w:t xml:space="preserve">乙方人员的服务费用与服务质量考核结果挂钩。具体为： （1）每月考核得分达到90分（含90分）的为合格</w:t>
      </w:r>
      <w:r>
        <w:rPr>
          <w:rFonts w:hint="eastAsia" w:ascii="Times New Roman" w:hAnsi="Times New Roman" w:eastAsia="宋体" w:cs="宋体"/>
          <w:b w:val="0"/>
          <w:bCs/>
          <w:color w:val="auto"/>
          <w:szCs w:val="21"/>
          <w:highlight w:val="none"/>
          <w:lang w:eastAsia="zh-CN"/>
        </w:rPr>
        <w:t xml:space="preserve">，</w:t>
      </w:r>
      <w:r>
        <w:rPr>
          <w:rFonts w:hint="eastAsia" w:ascii="Times New Roman" w:hAnsi="Times New Roman" w:eastAsia="宋体" w:cs="宋体"/>
          <w:b w:val="0"/>
          <w:bCs/>
          <w:color w:val="auto"/>
          <w:szCs w:val="21"/>
          <w:highlight w:val="none"/>
        </w:rPr>
        <w:t xml:space="preserve">支付当月全额服务费用。当月考核不合格的，每低于合格分1分，对应扣减当月人员服务费（年服务合同价除以12个月即为月服务费）一个百分点，以此类推。（2）全年考核平均得分低于90分（含90分）的，在月度扣罚的基础上，每低1分，再扣罚全年服务费的1%。如单月得分低于60分或连续3个月考核不合格的甲方有权解除合同。（3）对于考核中发现的问题，必须及时整改，整改到位后，方可核发服务费用。</w:t>
      </w:r>
      <w:r/>
    </w:p>
    <w:p>
      <w:pPr>
        <w:ind w:firstLine="422"/>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九、税费</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9.1本合同执行中相关的一切税费均由乙方负担。</w:t>
      </w:r>
      <w:r/>
    </w:p>
    <w:p>
      <w:pPr>
        <w:pStyle w:val="960"/>
        <w:numPr>
          <w:ilvl w:val="0"/>
          <w:numId w:val="5"/>
        </w:numPr>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项目验收</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10.1 甲方依法组织履约验收工作。</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10.3 对于实际使用人和甲方分离的项目，甲方邀请实际使用人参与验收。</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10.4 如有必要，甲方邀请参加本项目的其他供应商或第三方专业机构及专家参与验收，相关意见将作为验收书的参考资料。</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60"/>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十一、违约责任</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11.1 甲方无正当理由拒绝接受乙方提供服务的，甲方向乙方偿付拒绝接受服务合同价款总值</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 xml:space="preserve">的违约金。</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11.2 甲方无故逾期验收和办理合同款项支付手续的，甲方应按逾期付款总额</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 xml:space="preserve">每日向乙方支付违约金。</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 xml:space="preserve">的违约金，如造成甲方损失超过违约金的，超出部分由乙方继续承担赔偿责任。 </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11.4 乙方所提供服务的标准不符合合同规定及采购文件规定标准的，甲方有权拒绝接受服务，并可单方面解除合同。</w:t>
      </w:r>
      <w:r/>
    </w:p>
    <w:p>
      <w:pPr>
        <w:pStyle w:val="960"/>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十二、不可抗力事件处理</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12.1 在合同有效期内，任何一方因不可抗力事件导致不能履行合同，则合同履行期可延长，其延长期与不可抗力影响 期相同。</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12.2 不可抗力事件发生后，应立即通知对方，并寄送有关权威机构出具的证明。</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12.3 不可抗力事件延续120天以上，双方应通过友好协商，确定是否继续履行合同。</w:t>
      </w:r>
      <w:r/>
    </w:p>
    <w:p>
      <w:pPr>
        <w:pStyle w:val="960"/>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十三、解决争议的方法</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13.1双方在签订、履行合同中所发生的一切争议，应通过友好协商解决。如协商不成，由甲方住所地人民法院管辖。</w:t>
      </w:r>
      <w:r/>
    </w:p>
    <w:p>
      <w:pPr>
        <w:ind w:firstLine="422"/>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十四、为落实好政府采购履约资金扶持政策，乙方可凭政府采购合同办理融资贷款，详见江苏政府采购网“政采贷”专栏。</w:t>
      </w:r>
      <w:r/>
    </w:p>
    <w:p>
      <w:pPr>
        <w:pStyle w:val="734"/>
        <w:ind w:firstLine="422"/>
        <w:pageBreakBefore w:val="0"/>
        <w:spacing w:line="360" w:lineRule="auto"/>
        <w:rPr>
          <w:rFonts w:ascii="Times New Roman" w:hAnsi="Times New Roman" w:eastAsia="宋体" w:cs="宋体"/>
          <w:b/>
          <w:bCs/>
          <w:color w:val="auto"/>
          <w:sz w:val="21"/>
          <w:highlight w:val="none"/>
        </w:rPr>
      </w:pPr>
      <w:r>
        <w:rPr>
          <w:rFonts w:hint="eastAsia" w:ascii="Times New Roman" w:hAnsi="Times New Roman" w:eastAsia="宋体" w:cs="宋体"/>
          <w:b/>
          <w:bCs/>
          <w:color w:val="auto"/>
          <w:sz w:val="21"/>
          <w:highlight w:val="none"/>
        </w:rPr>
        <w:t xml:space="preserve">十五、合同生效及其它</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15.1 合同经双方法定代表人或授权委托代表人签字并加盖单位公章后生效。</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15.2本合同未尽事宜，遵照《中华人民共和国民法典》、《中华人民共和国政府采购法》有关条文执行。</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15.3 本合同正本一式肆份，具有同等法律效力，甲方、乙方各执贰份。</w:t>
      </w:r>
      <w:r/>
    </w:p>
    <w:p>
      <w:pPr>
        <w:pStyle w:val="73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 </w:t>
      </w:r>
      <w:r/>
    </w:p>
    <w:tbl>
      <w:tblPr>
        <w:tblStyle w:val="725"/>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34"/>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甲方： </w:t>
            </w:r>
            <w:r>
              <w:rPr>
                <w:rFonts w:hint="eastAsia" w:ascii="Times New Roman" w:hAnsi="Times New Roman"/>
                <w:color w:val="auto"/>
                <w:sz w:val="21"/>
                <w:highlight w:val="none"/>
                <w:lang w:eastAsia="zh-CN"/>
              </w:rPr>
              <w:t xml:space="preserve">扬州市公安局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34"/>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34"/>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34"/>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34"/>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34"/>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34"/>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34"/>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34"/>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34"/>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日期：      年    月    日</w:t>
            </w:r>
            <w:r/>
          </w:p>
        </w:tc>
      </w:tr>
    </w:tbl>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bookmarkEnd w:id="57"/>
      <w:r/>
      <w:r/>
    </w:p>
    <w:p>
      <w:pPr>
        <w:jc w:val="center"/>
        <w:pageBreakBefore w:val="0"/>
        <w:spacing w:line="360" w:lineRule="auto"/>
        <w:rPr>
          <w:rFonts w:hint="eastAsia" w:ascii="Times New Roman" w:hAnsi="Times New Roman" w:eastAsia="宋体"/>
          <w:b/>
          <w:color w:val="auto"/>
          <w:sz w:val="30"/>
          <w:szCs w:val="30"/>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b/>
          <w:color w:val="auto"/>
          <w:sz w:val="30"/>
          <w:szCs w:val="30"/>
          <w:highlight w:val="none"/>
        </w:rPr>
      </w:r>
      <w:r/>
    </w:p>
    <w:p>
      <w:pPr>
        <w:pStyle w:val="715"/>
        <w:jc w:val="center"/>
        <w:pageBreakBefore w:val="0"/>
        <w:spacing w:before="0" w:after="0" w:line="360" w:lineRule="auto"/>
        <w:rPr>
          <w:rFonts w:ascii="Times New Roman" w:hAnsi="Times New Roman" w:eastAsia="宋体"/>
          <w:color w:val="auto"/>
          <w:sz w:val="36"/>
          <w:szCs w:val="36"/>
          <w:highlight w:val="none"/>
        </w:rPr>
      </w:pPr>
      <w:r/>
      <w:bookmarkStart w:id="58" w:name="_Toc22054"/>
      <w:r>
        <w:rPr>
          <w:rFonts w:hint="eastAsia" w:ascii="Times New Roman" w:hAnsi="Times New Roman" w:eastAsia="宋体"/>
          <w:color w:val="auto"/>
          <w:sz w:val="36"/>
          <w:szCs w:val="36"/>
          <w:highlight w:val="none"/>
        </w:rPr>
        <w:t xml:space="preserve">第四章</w:t>
      </w:r>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项目需求</w:t>
      </w:r>
      <w:bookmarkEnd w:id="58"/>
      <w:r/>
      <w:r/>
    </w:p>
    <w:p>
      <w:pPr>
        <w:pageBreakBefore w:val="0"/>
        <w:spacing w:line="360" w:lineRule="auto"/>
        <w:rPr>
          <w:rFonts w:ascii="Times New Roman" w:hAnsi="Times New Roman" w:eastAsia="宋体"/>
          <w:b/>
          <w:bCs/>
          <w:color w:val="auto"/>
          <w:szCs w:val="21"/>
          <w:highlight w:val="none"/>
        </w:rPr>
      </w:pPr>
      <w:r/>
      <w:bookmarkStart w:id="59" w:name="_Toc319408306"/>
      <w:r>
        <w:rPr>
          <w:rFonts w:hint="eastAsia" w:ascii="Times New Roman" w:hAnsi="Times New Roman" w:eastAsia="宋体"/>
          <w:b/>
          <w:bCs/>
          <w:color w:val="auto"/>
          <w:szCs w:val="21"/>
          <w:highlight w:val="none"/>
        </w:rPr>
        <w:t xml:space="preserve">注：本章内容里斜体且有下划线部分为实质性要求和条件，投标文件不满足的，视为无效投标处理。请各供应商制作电子投标文件时，将实质性响应的内容在政府采购管理交易系统（苏采云）</w:t>
      </w:r>
      <w:r>
        <w:rPr>
          <w:rFonts w:ascii="Times New Roman" w:hAnsi="Times New Roman" w:eastAsia="宋体"/>
          <w:b/>
          <w:bCs/>
          <w:color w:val="auto"/>
          <w:szCs w:val="21"/>
          <w:highlight w:val="none"/>
        </w:rPr>
        <w:t xml:space="preserve">“</w:t>
      </w:r>
      <w:r>
        <w:rPr>
          <w:rFonts w:hint="eastAsia" w:ascii="Times New Roman" w:hAnsi="Times New Roman" w:eastAsia="宋体"/>
          <w:b/>
          <w:bCs/>
          <w:color w:val="auto"/>
          <w:szCs w:val="21"/>
          <w:highlight w:val="none"/>
        </w:rPr>
        <w:t xml:space="preserve">符合证明文件格式</w:t>
      </w:r>
      <w:r>
        <w:rPr>
          <w:rFonts w:ascii="Times New Roman" w:hAnsi="Times New Roman" w:eastAsia="宋体"/>
          <w:b/>
          <w:bCs/>
          <w:color w:val="auto"/>
          <w:szCs w:val="21"/>
          <w:highlight w:val="none"/>
        </w:rPr>
        <w:t xml:space="preserve">”</w:t>
      </w:r>
      <w:r>
        <w:rPr>
          <w:rFonts w:hint="eastAsia" w:ascii="Times New Roman" w:hAnsi="Times New Roman" w:eastAsia="宋体"/>
          <w:b/>
          <w:bCs/>
          <w:color w:val="auto"/>
          <w:szCs w:val="21"/>
          <w:highlight w:val="none"/>
        </w:rPr>
        <w:t xml:space="preserve">中准确填写或上传。</w:t>
      </w:r>
      <w:bookmarkEnd w:id="59"/>
      <w:r/>
      <w:r/>
    </w:p>
    <w:p>
      <w:pPr>
        <w:ind w:left="0" w:right="0" w:firstLine="422"/>
        <w:jc w:val="both"/>
        <w:pageBreakBefore w:val="0"/>
        <w:spacing w:line="360" w:lineRule="auto"/>
        <w:rPr>
          <w:rFonts w:hint="default" w:ascii="Times New Roman" w:hAnsi="Times New Roman" w:eastAsia="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bookmarkStart w:id="60" w:name="_Toc27621"/>
      <w:r/>
      <w:bookmarkStart w:id="61" w:name="_Toc55204181"/>
      <w:r>
        <w:rPr>
          <w:rFonts w:hint="eastAsia" w:ascii="Times New Roman" w:hAnsi="Times New Roman" w:eastAsia="宋体" w:cs="宋体"/>
          <w:b/>
          <w:color w:val="auto"/>
          <w:sz w:val="21"/>
          <w:szCs w:val="21"/>
          <w:highlight w:val="none"/>
          <w:lang w:val="en-US" w:eastAsia="zh-CN"/>
        </w:rPr>
        <w:t xml:space="preserve">一、采购标的清单</w:t>
      </w:r>
      <w:r/>
    </w:p>
    <w:tbl>
      <w:tblPr>
        <w:tblStyle w:val="7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3291"/>
        <w:gridCol w:w="2852"/>
      </w:tblGrid>
      <w:tr>
        <w:trPr>
          <w:cantSplit/>
          <w:jc w:val="center"/>
        </w:trPr>
        <w:tc>
          <w:tcPr>
            <w:tcW w:w="928"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序号</w:t>
            </w:r>
            <w:r/>
          </w:p>
        </w:tc>
        <w:tc>
          <w:tcPr>
            <w:tcW w:w="3291"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采购</w:t>
            </w:r>
            <w:r>
              <w:rPr>
                <w:rFonts w:ascii="Times New Roman" w:hAnsi="Times New Roman" w:eastAsia="宋体" w:cs="宋体"/>
                <w:color w:val="auto"/>
                <w:sz w:val="21"/>
                <w:szCs w:val="21"/>
                <w:highlight w:val="none"/>
              </w:rPr>
              <w:t xml:space="preserve">标的</w:t>
            </w:r>
            <w:r/>
          </w:p>
        </w:tc>
        <w:tc>
          <w:tcPr>
            <w:tcW w:w="2852"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对应中</w:t>
            </w:r>
            <w:r>
              <w:rPr>
                <w:rFonts w:ascii="Times New Roman" w:hAnsi="Times New Roman" w:eastAsia="宋体" w:cs="宋体"/>
                <w:color w:val="auto"/>
                <w:sz w:val="21"/>
                <w:szCs w:val="21"/>
                <w:highlight w:val="none"/>
              </w:rPr>
              <w:t xml:space="preserve">小企业划分标准所属行业</w:t>
            </w:r>
            <w:r/>
          </w:p>
        </w:tc>
      </w:tr>
      <w:tr>
        <w:trPr>
          <w:cantSplit/>
          <w:jc w:val="center"/>
          <w:trHeight w:val="291"/>
        </w:trPr>
        <w:tc>
          <w:tcPr>
            <w:tcW w:w="928"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1</w:t>
            </w:r>
            <w:r/>
          </w:p>
        </w:tc>
        <w:tc>
          <w:tcPr>
            <w:tcW w:w="3291" w:type="dxa"/>
            <w:vAlign w:val="top"/>
            <w:textDirection w:val="lrTb"/>
            <w:noWrap w:val="false"/>
          </w:tcPr>
          <w:p>
            <w:pPr>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highlight w:val="none"/>
                <w:lang w:eastAsia="zh-CN"/>
              </w:rPr>
              <w:t xml:space="preserve">扬州市公安局2026年城南快速通道交通协管力量购买服务</w:t>
            </w:r>
            <w:r/>
          </w:p>
        </w:tc>
        <w:tc>
          <w:tcPr>
            <w:tcW w:w="2852"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eastAsia="zh-CN"/>
              </w:rPr>
              <w:t xml:space="preserve">租赁和商务服务业</w:t>
            </w:r>
            <w:r/>
          </w:p>
        </w:tc>
      </w:tr>
    </w:tbl>
    <w:p>
      <w:pPr>
        <w:ind w:left="0" w:right="0" w:firstLine="422"/>
        <w:jc w:val="both"/>
        <w:pageBreakBefore w:val="0"/>
        <w:spacing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r>
      <w:r/>
    </w:p>
    <w:p>
      <w:pPr>
        <w:ind w:left="0" w:right="0" w:firstLine="422"/>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color w:val="auto"/>
          <w:sz w:val="21"/>
          <w:szCs w:val="21"/>
          <w:highlight w:val="none"/>
          <w:lang w:val="en-US" w:eastAsia="zh-CN"/>
        </w:rPr>
        <w:t xml:space="preserve">二</w:t>
      </w:r>
      <w:r>
        <w:rPr>
          <w:rFonts w:ascii="Times New Roman" w:hAnsi="Times New Roman" w:eastAsia="宋体" w:cs="宋体"/>
          <w:b/>
          <w:color w:val="auto"/>
          <w:sz w:val="21"/>
          <w:szCs w:val="21"/>
          <w:highlight w:val="none"/>
        </w:rPr>
        <w:t xml:space="preserve">、项目概况</w:t>
      </w:r>
      <w:r/>
    </w:p>
    <w:p>
      <w:pPr>
        <w:ind w:right="0" w:firstLine="420"/>
        <w:jc w:val="both"/>
        <w:pageBreakBefore w:val="0"/>
        <w:spacing w:line="360" w:lineRule="auto"/>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城市南部快速通道项目西起八字桥互通，沿江阳路，经渡江南路，转入开发路，上运河南路，接G328匝道、止于沪陕高速汤汪互通，全长17.2公里。项目内容主要为：负责城南快速通道所属18个交通信号灯路口、主辅线匝道口（具体以扬州市公安局交通</w:t>
      </w:r>
      <w:r>
        <w:rPr>
          <w:rFonts w:hint="eastAsia" w:ascii="Times New Roman" w:hAnsi="Times New Roman" w:eastAsia="宋体" w:cs="宋体"/>
          <w:color w:val="auto"/>
          <w:sz w:val="21"/>
          <w:szCs w:val="21"/>
          <w:highlight w:val="none"/>
          <w:lang w:val="en-US" w:eastAsia="zh-CN"/>
        </w:rPr>
        <w:t xml:space="preserve">管理</w:t>
      </w:r>
      <w:r>
        <w:rPr>
          <w:rFonts w:hint="eastAsia" w:ascii="Times New Roman" w:hAnsi="Times New Roman" w:eastAsia="宋体" w:cs="宋体"/>
          <w:color w:val="auto"/>
          <w:sz w:val="21"/>
          <w:szCs w:val="21"/>
          <w:highlight w:val="none"/>
        </w:rPr>
        <w:t xml:space="preserve">支队根据安全管理需要调整）的交通值守，开展交通劝导，维护交通秩序</w:t>
      </w:r>
      <w:r>
        <w:rPr>
          <w:rFonts w:ascii="Times New Roman" w:hAnsi="Times New Roman" w:eastAsia="宋体" w:cs="宋体"/>
          <w:color w:val="auto"/>
          <w:sz w:val="21"/>
          <w:szCs w:val="21"/>
          <w:highlight w:val="none"/>
        </w:rPr>
        <w:t xml:space="preserve">。</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项目预算（最高限价）：人民币</w:t>
      </w:r>
      <w:r>
        <w:rPr>
          <w:rFonts w:hint="eastAsia" w:ascii="Times New Roman" w:hAnsi="Times New Roman" w:cs="宋体"/>
          <w:color w:val="auto"/>
          <w:sz w:val="21"/>
          <w:szCs w:val="21"/>
          <w:highlight w:val="none"/>
          <w:lang w:val="en-US" w:eastAsia="zh-CN"/>
        </w:rPr>
        <w:t xml:space="preserve">416</w:t>
      </w:r>
      <w:r>
        <w:rPr>
          <w:rFonts w:ascii="Times New Roman" w:hAnsi="Times New Roman" w:eastAsia="宋体" w:cs="宋体"/>
          <w:color w:val="auto"/>
          <w:sz w:val="21"/>
          <w:szCs w:val="21"/>
          <w:highlight w:val="none"/>
        </w:rPr>
        <w:t xml:space="preserve">万元。                  </w:t>
      </w:r>
      <w:r/>
    </w:p>
    <w:p>
      <w:pPr>
        <w:ind w:left="0" w:right="0" w:firstLine="420"/>
        <w:jc w:val="both"/>
        <w:pageBreakBefore w:val="0"/>
        <w:spacing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服务期限：本项目服务时间为</w:t>
      </w:r>
      <w:r>
        <w:rPr>
          <w:rFonts w:hint="eastAsia" w:ascii="Times New Roman" w:hAnsi="Times New Roman" w:cs="宋体"/>
          <w:color w:val="auto"/>
          <w:sz w:val="21"/>
          <w:szCs w:val="21"/>
          <w:highlight w:val="none"/>
          <w:lang w:val="en-US" w:eastAsia="zh-CN"/>
        </w:rPr>
        <w:t xml:space="preserve">2</w:t>
      </w:r>
      <w:r>
        <w:rPr>
          <w:rFonts w:ascii="Times New Roman" w:hAnsi="Times New Roman" w:eastAsia="宋体" w:cs="宋体"/>
          <w:color w:val="auto"/>
          <w:sz w:val="21"/>
          <w:szCs w:val="21"/>
          <w:highlight w:val="none"/>
        </w:rPr>
        <w:t xml:space="preserve">年（按合同内签订日期为准）。</w:t>
      </w:r>
      <w:bookmarkEnd w:id="60"/>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项目属性：服务类</w:t>
      </w:r>
      <w:r/>
    </w:p>
    <w:p>
      <w:pPr>
        <w:ind w:left="0" w:right="0" w:firstLine="422"/>
        <w:jc w:val="both"/>
        <w:pageBreakBefore w:val="0"/>
        <w:spacing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r>
      <w:r/>
    </w:p>
    <w:p>
      <w:pPr>
        <w:ind w:left="0" w:right="0" w:firstLine="422"/>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color w:val="auto"/>
          <w:sz w:val="21"/>
          <w:szCs w:val="21"/>
          <w:highlight w:val="none"/>
          <w:lang w:val="en-US" w:eastAsia="zh-CN"/>
        </w:rPr>
        <w:t xml:space="preserve">三</w:t>
      </w:r>
      <w:r>
        <w:rPr>
          <w:rFonts w:ascii="Times New Roman" w:hAnsi="Times New Roman" w:eastAsia="宋体" w:cs="宋体"/>
          <w:b/>
          <w:color w:val="auto"/>
          <w:sz w:val="21"/>
          <w:szCs w:val="21"/>
          <w:highlight w:val="none"/>
        </w:rPr>
        <w:t xml:space="preserve">、项目要求</w:t>
      </w:r>
      <w:r/>
    </w:p>
    <w:p>
      <w:pPr>
        <w:ind w:left="0" w:right="0" w:firstLine="422"/>
        <w:jc w:val="both"/>
        <w:pageBreakBefore w:val="0"/>
        <w:spacing w:line="360" w:lineRule="auto"/>
        <w:rPr>
          <w:rFonts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val="0"/>
          <w:bCs/>
          <w:color w:val="auto"/>
          <w:sz w:val="21"/>
          <w:szCs w:val="21"/>
          <w:highlight w:val="none"/>
        </w:rPr>
        <w:t xml:space="preserve">1、服务内容：（包括但不限于以下内容）</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1人员基本要求</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1</w:t>
      </w:r>
      <w:r>
        <w:rPr>
          <w:rFonts w:ascii="Times New Roman" w:hAnsi="Times New Roman" w:eastAsia="宋体" w:cs="宋体"/>
          <w:b w:val="0"/>
          <w:bCs/>
          <w:color w:val="auto"/>
          <w:sz w:val="21"/>
          <w:szCs w:val="21"/>
          <w:highlight w:val="none"/>
        </w:rPr>
        <w:t xml:space="preserve">.</w:t>
      </w:r>
      <w:r>
        <w:rPr>
          <w:rFonts w:hint="eastAsia" w:ascii="Times New Roman" w:hAnsi="Times New Roman" w:eastAsia="宋体" w:cs="宋体"/>
          <w:b w:val="0"/>
          <w:bCs/>
          <w:color w:val="auto"/>
          <w:sz w:val="21"/>
          <w:szCs w:val="21"/>
          <w:highlight w:val="none"/>
        </w:rPr>
        <w:t xml:space="preserve">1人员配备需求</w:t>
      </w:r>
      <w:r>
        <w:rPr>
          <w:rFonts w:ascii="Times New Roman" w:hAnsi="Times New Roman" w:eastAsia="宋体" w:cs="宋体"/>
          <w:b w:val="0"/>
          <w:bCs/>
          <w:color w:val="auto"/>
          <w:sz w:val="21"/>
          <w:szCs w:val="21"/>
          <w:highlight w:val="none"/>
        </w:rPr>
        <w:t xml:space="preserve">：</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本次城南快速通道所属18个交通信号灯路口、主辅线匝道口共计购买36名交通协管员服务力量。</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1.2具体要求如下：</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1</w:t>
      </w:r>
      <w:r>
        <w:rPr>
          <w:rFonts w:ascii="Times New Roman" w:hAnsi="Times New Roman" w:eastAsia="宋体" w:cs="宋体"/>
          <w:b w:val="0"/>
          <w:bCs/>
          <w:color w:val="auto"/>
          <w:sz w:val="21"/>
          <w:szCs w:val="21"/>
          <w:highlight w:val="none"/>
        </w:rPr>
        <w:t xml:space="preserve">.</w:t>
      </w:r>
      <w:r>
        <w:rPr>
          <w:rFonts w:hint="eastAsia" w:ascii="Times New Roman" w:hAnsi="Times New Roman" w:eastAsia="宋体" w:cs="宋体"/>
          <w:b w:val="0"/>
          <w:bCs/>
          <w:color w:val="auto"/>
          <w:sz w:val="21"/>
          <w:szCs w:val="21"/>
          <w:highlight w:val="none"/>
        </w:rPr>
        <w:t xml:space="preserve">2</w:t>
      </w:r>
      <w:r>
        <w:rPr>
          <w:rFonts w:ascii="Times New Roman" w:hAnsi="Times New Roman" w:eastAsia="宋体" w:cs="宋体"/>
          <w:b w:val="0"/>
          <w:bCs/>
          <w:color w:val="auto"/>
          <w:sz w:val="21"/>
          <w:szCs w:val="21"/>
          <w:highlight w:val="none"/>
        </w:rPr>
        <w:t xml:space="preserve">.1</w:t>
      </w:r>
      <w:r>
        <w:rPr>
          <w:rFonts w:hint="eastAsia" w:ascii="Times New Roman" w:hAnsi="Times New Roman" w:eastAsia="宋体" w:cs="宋体"/>
          <w:b w:val="0"/>
          <w:bCs/>
          <w:color w:val="auto"/>
          <w:sz w:val="21"/>
          <w:szCs w:val="21"/>
          <w:highlight w:val="none"/>
        </w:rPr>
        <w:t xml:space="preserve">交通协管员</w:t>
      </w:r>
      <w:r>
        <w:rPr>
          <w:rFonts w:ascii="Times New Roman" w:hAnsi="Times New Roman" w:eastAsia="宋体" w:cs="宋体"/>
          <w:b w:val="0"/>
          <w:bCs/>
          <w:color w:val="auto"/>
          <w:sz w:val="21"/>
          <w:szCs w:val="21"/>
          <w:highlight w:val="none"/>
        </w:rPr>
        <w:t xml:space="preserve">要求：男性，年龄</w:t>
      </w:r>
      <w:r>
        <w:rPr>
          <w:rFonts w:hint="eastAsia" w:ascii="Times New Roman" w:hAnsi="Times New Roman" w:eastAsia="宋体" w:cs="宋体"/>
          <w:b w:val="0"/>
          <w:bCs/>
          <w:color w:val="auto"/>
          <w:sz w:val="21"/>
          <w:szCs w:val="21"/>
          <w:highlight w:val="none"/>
        </w:rPr>
        <w:t xml:space="preserve">45</w:t>
      </w:r>
      <w:r>
        <w:rPr>
          <w:rFonts w:ascii="Times New Roman" w:hAnsi="Times New Roman" w:eastAsia="宋体" w:cs="宋体"/>
          <w:b w:val="0"/>
          <w:bCs/>
          <w:color w:val="auto"/>
          <w:sz w:val="21"/>
          <w:szCs w:val="21"/>
          <w:highlight w:val="none"/>
        </w:rPr>
        <w:t xml:space="preserve">周岁</w:t>
      </w:r>
      <w:r>
        <w:rPr>
          <w:rFonts w:hint="eastAsia" w:ascii="Times New Roman" w:hAnsi="Times New Roman" w:eastAsia="宋体" w:cs="宋体"/>
          <w:b w:val="0"/>
          <w:bCs/>
          <w:color w:val="auto"/>
          <w:sz w:val="21"/>
          <w:szCs w:val="21"/>
          <w:highlight w:val="none"/>
        </w:rPr>
        <w:t xml:space="preserve">（含）</w:t>
      </w:r>
      <w:r>
        <w:rPr>
          <w:rFonts w:ascii="Times New Roman" w:hAnsi="Times New Roman" w:eastAsia="宋体" w:cs="宋体"/>
          <w:b w:val="0"/>
          <w:bCs/>
          <w:color w:val="auto"/>
          <w:sz w:val="21"/>
          <w:szCs w:val="21"/>
          <w:highlight w:val="none"/>
        </w:rPr>
        <w:t xml:space="preserve">以下，</w:t>
      </w:r>
      <w:r>
        <w:rPr>
          <w:rFonts w:hint="eastAsia" w:ascii="Times New Roman" w:hAnsi="Times New Roman" w:eastAsia="宋体" w:cs="宋体"/>
          <w:b w:val="0"/>
          <w:bCs/>
          <w:color w:val="auto"/>
          <w:sz w:val="21"/>
          <w:szCs w:val="21"/>
          <w:highlight w:val="none"/>
        </w:rPr>
        <w:t xml:space="preserve">身高170cm（含）以上，</w:t>
      </w:r>
      <w:r>
        <w:rPr>
          <w:rFonts w:ascii="Times New Roman" w:hAnsi="Times New Roman" w:eastAsia="宋体" w:cs="宋体"/>
          <w:b w:val="0"/>
          <w:bCs/>
          <w:color w:val="auto"/>
          <w:sz w:val="21"/>
          <w:szCs w:val="21"/>
          <w:highlight w:val="none"/>
        </w:rPr>
        <w:t xml:space="preserve">政审合格，形象佳、反应敏捷，双眼</w:t>
      </w:r>
      <w:r>
        <w:rPr>
          <w:rFonts w:hint="eastAsia" w:ascii="Times New Roman" w:hAnsi="Times New Roman" w:eastAsia="宋体" w:cs="宋体"/>
          <w:b w:val="0"/>
          <w:bCs/>
          <w:color w:val="auto"/>
          <w:sz w:val="21"/>
          <w:szCs w:val="21"/>
          <w:highlight w:val="none"/>
        </w:rPr>
        <w:t xml:space="preserve">矫正</w:t>
      </w:r>
      <w:r>
        <w:rPr>
          <w:rFonts w:ascii="Times New Roman" w:hAnsi="Times New Roman" w:eastAsia="宋体" w:cs="宋体"/>
          <w:b w:val="0"/>
          <w:bCs/>
          <w:color w:val="auto"/>
          <w:sz w:val="21"/>
          <w:szCs w:val="21"/>
          <w:highlight w:val="none"/>
        </w:rPr>
        <w:t xml:space="preserve">视力1.0</w:t>
      </w:r>
      <w:r>
        <w:rPr>
          <w:rFonts w:hint="eastAsia" w:ascii="Times New Roman" w:hAnsi="Times New Roman" w:eastAsia="宋体" w:cs="宋体"/>
          <w:b w:val="0"/>
          <w:bCs/>
          <w:color w:val="auto"/>
          <w:sz w:val="21"/>
          <w:szCs w:val="21"/>
          <w:highlight w:val="none"/>
        </w:rPr>
        <w:t xml:space="preserve">（含）</w:t>
      </w:r>
      <w:r>
        <w:rPr>
          <w:rFonts w:ascii="Times New Roman" w:hAnsi="Times New Roman" w:eastAsia="宋体" w:cs="宋体"/>
          <w:b w:val="0"/>
          <w:bCs/>
          <w:color w:val="auto"/>
          <w:sz w:val="21"/>
          <w:szCs w:val="21"/>
          <w:highlight w:val="none"/>
        </w:rPr>
        <w:t xml:space="preserve">以上，身体健康，体检合格；具有</w:t>
      </w:r>
      <w:r>
        <w:rPr>
          <w:rFonts w:hint="eastAsia" w:ascii="Times New Roman" w:hAnsi="Times New Roman" w:eastAsia="宋体" w:cs="宋体"/>
          <w:b w:val="0"/>
          <w:bCs/>
          <w:color w:val="auto"/>
          <w:sz w:val="21"/>
          <w:szCs w:val="21"/>
          <w:highlight w:val="none"/>
        </w:rPr>
        <w:t xml:space="preserve">高中或同等以上学历</w:t>
      </w:r>
      <w:r>
        <w:rPr>
          <w:rFonts w:ascii="Times New Roman" w:hAnsi="Times New Roman" w:eastAsia="宋体" w:cs="宋体"/>
          <w:b w:val="0"/>
          <w:bCs/>
          <w:color w:val="auto"/>
          <w:sz w:val="21"/>
          <w:szCs w:val="21"/>
          <w:highlight w:val="none"/>
        </w:rPr>
        <w:t xml:space="preserve">，能吃苦耐劳，能胜任</w:t>
      </w:r>
      <w:r>
        <w:rPr>
          <w:rFonts w:hint="eastAsia" w:ascii="Times New Roman" w:hAnsi="Times New Roman" w:eastAsia="宋体" w:cs="宋体"/>
          <w:b w:val="0"/>
          <w:bCs/>
          <w:color w:val="auto"/>
          <w:sz w:val="21"/>
          <w:szCs w:val="21"/>
          <w:highlight w:val="none"/>
        </w:rPr>
        <w:t xml:space="preserve">交通协管员</w:t>
      </w:r>
      <w:r>
        <w:rPr>
          <w:rFonts w:ascii="Times New Roman" w:hAnsi="Times New Roman" w:eastAsia="宋体" w:cs="宋体"/>
          <w:b w:val="0"/>
          <w:bCs/>
          <w:color w:val="auto"/>
          <w:sz w:val="21"/>
          <w:szCs w:val="21"/>
          <w:highlight w:val="none"/>
        </w:rPr>
        <w:t xml:space="preserve">工作</w:t>
      </w:r>
      <w:r>
        <w:rPr>
          <w:rFonts w:hint="eastAsia" w:ascii="Times New Roman" w:hAnsi="Times New Roman" w:eastAsia="宋体" w:cs="宋体"/>
          <w:b w:val="0"/>
          <w:bCs/>
          <w:color w:val="auto"/>
          <w:sz w:val="21"/>
          <w:szCs w:val="21"/>
          <w:highlight w:val="none"/>
        </w:rPr>
        <w:t xml:space="preserve">，在扬州有固定居住地。</w:t>
      </w:r>
      <w:r/>
    </w:p>
    <w:p>
      <w:pPr>
        <w:ind w:left="0" w:right="0" w:firstLine="422"/>
        <w:jc w:val="both"/>
        <w:pageBreakBefore w:val="0"/>
        <w:spacing w:line="360" w:lineRule="auto"/>
        <w:rPr>
          <w:rFonts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1</w:t>
      </w:r>
      <w:r>
        <w:rPr>
          <w:rFonts w:ascii="Times New Roman" w:hAnsi="Times New Roman" w:eastAsia="宋体" w:cs="宋体"/>
          <w:b w:val="0"/>
          <w:bCs/>
          <w:color w:val="auto"/>
          <w:sz w:val="21"/>
          <w:szCs w:val="21"/>
          <w:highlight w:val="none"/>
        </w:rPr>
        <w:t xml:space="preserve">.</w:t>
      </w:r>
      <w:r>
        <w:rPr>
          <w:rFonts w:hint="eastAsia" w:ascii="Times New Roman" w:hAnsi="Times New Roman" w:eastAsia="宋体" w:cs="宋体"/>
          <w:b w:val="0"/>
          <w:bCs/>
          <w:color w:val="auto"/>
          <w:sz w:val="21"/>
          <w:szCs w:val="21"/>
          <w:highlight w:val="none"/>
        </w:rPr>
        <w:t xml:space="preserve">2</w:t>
      </w:r>
      <w:r>
        <w:rPr>
          <w:rFonts w:ascii="Times New Roman" w:hAnsi="Times New Roman" w:eastAsia="宋体" w:cs="宋体"/>
          <w:b w:val="0"/>
          <w:bCs/>
          <w:color w:val="auto"/>
          <w:sz w:val="21"/>
          <w:szCs w:val="21"/>
          <w:highlight w:val="none"/>
        </w:rPr>
        <w:t xml:space="preserve">.</w:t>
      </w:r>
      <w:r>
        <w:rPr>
          <w:rFonts w:hint="eastAsia" w:ascii="Times New Roman" w:hAnsi="Times New Roman" w:eastAsia="宋体" w:cs="宋体"/>
          <w:b w:val="0"/>
          <w:bCs/>
          <w:color w:val="auto"/>
          <w:sz w:val="21"/>
          <w:szCs w:val="21"/>
          <w:highlight w:val="none"/>
        </w:rPr>
        <w:t xml:space="preserve">2</w:t>
      </w:r>
      <w:r>
        <w:rPr>
          <w:rFonts w:ascii="Times New Roman" w:hAnsi="Times New Roman" w:eastAsia="宋体" w:cs="宋体"/>
          <w:b w:val="0"/>
          <w:bCs/>
          <w:color w:val="auto"/>
          <w:sz w:val="21"/>
          <w:szCs w:val="21"/>
          <w:highlight w:val="none"/>
        </w:rPr>
        <w:t xml:space="preserve">共性要求：</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1.2.2.1交通协管人员需敬岗、爱业、专业、精干、高效、健康、思想品质好，作风正派，服务意识强,具有较强的责任心，对治安、火灾等突发事故具备较强的应急处置能力，能够掌握一般急救相关知识，并持有红十字协会颁发的救护员证优先；</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1.2.2.2交通协管人员需使用语言要文明，举止要大方，最好具有一定的路面工作经验；</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1.2.2.3交通协管人员需统一穿着协管员制服上岗；</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1.2.2.4交通协管人员不得有任何不良记录（以公安部门查询记录为准），各岗位人员上岗前须经过岗前培训。</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2人员的基本要求及标准</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2.1基本标准</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2.1.1配备正、副队长，严格遵守作息制度，不无故迟到早退。上岗时按要求规范着装，制服整洁、装备齐全；执勤时精神饱满，“眼勤、口勤、手勤、腿勤”。</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2.2工作要求</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2.2.1总体要求：交通协管人员不具备执法主体资格，没有执法权；主要是协助交警完成各项道路交通治安管理工作任务；工作中不发生违法违纪行为，不发生有责投诉。项目负责人具有类似路面安保管理经验，对路面交通协管员的日常工作监管和重点岗位人员在岗情况和执勤状态能够做到及时反馈、考核和督查，并能够提供相应科技保障支撑。</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2.2.2警容警姿要求：着装统一规范，举止端庄，用语文明，精神饱满，保持服装干净整洁，不得歪戴帽，挽袖、卷裤腿。不得留长发、剃光头、蓄胡须；不得佩戴首饰、项链、玉器及挂钥匙、不得戴有色眼镜（含墨镜）等。站立时抬头挺胸收腹，身体不得摇摆晃动；行走时双肩及背部保持平稳，双臂自然摆动；不得背手、袖手、搭肩、插兜等。</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2.2.3岗位基本要求：口哨统一配挂于反光背心外侧胸前。协管人员要哨不离口，勤于吹哨，用清脆的长哨音，有力的短哨声，同时根据信号灯指示友情提醒各类车辆。</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2.2.4工作时间：正常执勤时间（周一至周日）为：一班：7：15—9：00，12：00—15：30；二班：9：00—12：00，15：30—18：30，轮休岗上不脱人，遇有恶劣天气、重大情况勤务时间另行通知，工作时间须服从任务需要。</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3人员的具体任务及工作职责</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3.1具体任务:协助民警进行路面执勤、指挥、疏导交通，纠正、劝阻交通违法行为，驾驶警摩机动巡逻，处置道路交通突发事件。不得单独上路执法及查扣车辆、证照，不得配备和使用警械。协助民警做好交通事故现场保护、施救和勘察，维护现场交通秩序，不得单独勘察事故现场，不能对当事人或证人进行讯问和询问。主动向交通参与者宣传交通法规和交通安全常识，协助民警做好驾驶人安全教育和管理以及其它安全管理工作。</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3.2工作职责</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3.2.1 在交通民警的带领下履行协助指挥疏导交通，对匝道、主线发生事故通行不畅、排队积压情况要及时上报；</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3.2.2 在交通民警的带领下维护交通秩序，对管理路段内主线、辅道加强巡视，对巡视路段路障、环卫、绿化等方面安全隐患及时上报情况，并协助排除道路抛锚、道路路障等；</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3.2.3 在交通民警的带领下纠正交通违法行为，指挥禁止驶入快速路的行人、非机动车、机动车驶离快速通道，对不听劝阻的安全隐患要及时上报；</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3.2.4 在交通民警的带领下保护交通事故现场，在恶劣天气、主线发生重大事故等情况需对相关入口匝道、主线采取封闭、分流交通管制措施时，对入口匝道、主线拦道器进行封闭、疏导指挥车辆；</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3.2.5 在交通民警的带领下进行交通安全宣传教育；</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3.2.6在交通民警的带领下服务群众；</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3.2.7 及时报告道路上的交通、治安情况和重要情况；</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3.2.8 所有交通协管人员不得从事其他执法行为，不得对违法行为人作出行政处罚或者行政强制措施决定。</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3.2.9 根据交通安全管理需要安排的其他相应工作任务。</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4建立健全的管理方案</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4.1制定全面的协管员交通管理服务方案，包含服务项目的整体设想与策划，服务方案要求结构内容完整、设想可操作性强；</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4.2有组织有效的管理机构，明确主要人员职责，制定各项规章制度以及交通协管人员的管理和奖惩措施等；</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4.3制定明确的管理方式与工作计划，确定本项目服务重点、难点及其措施，有完成任务的保证性措施等；</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4.4有完善的应急组织机构，能制定针对交通协助管理、 交通事故及其他突发性事件的应急预案；</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4.5确保所有交通协管人员符合招标要求，人员年龄结构合理，并制定交通协管人员具体有效的管理措施；</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4.6具备技防管控能力，投标人具有路面科技信息管理基本保障能力，主要包含利用信息化方式提供路面监控实时信号传送等保障支撑服务等；</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4.7针对交通协管项目制定有效的岗位培训方案，有完善的培训计划，所有上岗人员能熟练掌握交通法规与交通指挥专业知识；</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4.8建立与交通协管项目针对性强的重大活应急预案，配合采购人的指挥，能在短时间内调集一定数量的人员应对，有完善的应急处置措施；</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4.9制定与交通协管项目相配套的节假日（包含黄金周）期间的应急预案，配合采购人的指挥，能在短时间内调集一定数量的人员应对，有完善的应急组织机构和具体的工作措施；</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rPr>
        <w:t xml:space="preserve">4.10制定针对交通协管项目恶劣天气的应急预案，配合采购人的指挥，能在短时间内调集一定数量的人员应对，有完善的应急组织机构和具体的工作措施。</w:t>
      </w:r>
      <w:r/>
    </w:p>
    <w:p>
      <w:pPr>
        <w:ind w:left="0" w:right="0" w:firstLine="422"/>
        <w:jc w:val="both"/>
        <w:pageBreakBefore w:val="0"/>
        <w:spacing w:line="360" w:lineRule="auto"/>
        <w:rPr>
          <w:rFonts w:hint="eastAsia" w:ascii="Times New Roman" w:hAnsi="Times New Roman"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bookmarkStart w:id="98" w:name="_GoBack"/>
      <w:r>
        <w:rPr>
          <w:rFonts w:hint="eastAsia" w:ascii="Times New Roman" w:hAnsi="Times New Roman" w:eastAsia="宋体" w:cs="宋体"/>
          <w:b w:val="0"/>
          <w:bCs/>
          <w:color w:val="auto"/>
          <w:sz w:val="21"/>
          <w:szCs w:val="21"/>
          <w:highlight w:val="none"/>
        </w:rPr>
        <w:t xml:space="preserve">5.服务期限</w:t>
      </w:r>
      <w:r/>
    </w:p>
    <w:p>
      <w:pPr>
        <w:ind w:right="0" w:firstLine="420"/>
        <w:jc w:val="both"/>
        <w:pageBreakBefore w:val="0"/>
        <w:spacing w:line="360" w:lineRule="auto"/>
        <w:rPr>
          <w:rFonts w:hint="eastAsia" w:ascii="Times New Roman" w:hAnsi="Times New Roman" w:eastAsia="宋体" w:cs="宋体"/>
          <w:b w:val="0"/>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lang w:val="en-US" w:eastAsia="zh-CN"/>
        </w:rPr>
        <w:t xml:space="preserve">合同签订之日起2年，本项目首签1年，首年合同到期前30日，甲方对乙方服务进行年度综合考核，考核合格，续签下一年度合同；考核不合格，首年合同到期自动终止，不予续签，采购人无需承担违约责任。</w:t>
      </w:r>
      <w:r/>
    </w:p>
    <w:p>
      <w:pPr>
        <w:ind w:right="0" w:firstLine="420"/>
        <w:jc w:val="both"/>
        <w:pageBreakBefore w:val="0"/>
        <w:spacing w:line="360" w:lineRule="auto"/>
        <w:rPr>
          <w:rFonts w:hint="eastAsia" w:ascii="Times New Roman" w:hAnsi="Times New Roman" w:eastAsia="宋体" w:cs="宋体"/>
          <w:b w:val="0"/>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lang w:val="en-US" w:eastAsia="zh-CN"/>
        </w:rPr>
        <w:t xml:space="preserve">6.服务方式</w:t>
      </w:r>
      <w:bookmarkEnd w:id="98"/>
      <w:r/>
      <w:r/>
    </w:p>
    <w:p>
      <w:pPr>
        <w:ind w:right="0" w:firstLine="420"/>
        <w:jc w:val="both"/>
        <w:pageBreakBefore w:val="0"/>
        <w:spacing w:line="360" w:lineRule="auto"/>
        <w:rPr>
          <w:rFonts w:hint="eastAsia" w:ascii="Times New Roman" w:hAnsi="Times New Roman" w:eastAsia="宋体" w:cs="宋体"/>
          <w:b w:val="0"/>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lang w:val="en-US" w:eastAsia="zh-CN"/>
        </w:rPr>
        <w:t xml:space="preserve">由采购人与中标人签订合同，根据招标文件规定和中标人投标承诺的具体事项和考核办法，中标人若发生违约行为或如单月得分低于60分或连续3个月考核不合格的甲方有权解除合同。</w:t>
      </w:r>
      <w:r/>
    </w:p>
    <w:p>
      <w:pPr>
        <w:ind w:right="0" w:firstLine="420"/>
        <w:jc w:val="both"/>
        <w:pageBreakBefore w:val="0"/>
        <w:spacing w:line="360" w:lineRule="auto"/>
        <w:rPr>
          <w:rFonts w:hint="eastAsia" w:ascii="Times New Roman" w:hAnsi="Times New Roman" w:eastAsia="宋体" w:cs="宋体"/>
          <w:b w:val="0"/>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lang w:val="en-US" w:eastAsia="zh-CN"/>
        </w:rPr>
        <w:t xml:space="preserve">7.服务质量标准及要求：具体见《考评细则》。</w:t>
      </w:r>
      <w:r/>
    </w:p>
    <w:p>
      <w:pPr>
        <w:ind w:right="0" w:firstLine="420"/>
        <w:jc w:val="both"/>
        <w:pageBreakBefore w:val="0"/>
        <w:spacing w:line="360" w:lineRule="auto"/>
        <w:rPr>
          <w:rFonts w:hint="eastAsia" w:ascii="Times New Roman" w:hAnsi="Times New Roman" w:eastAsia="宋体" w:cs="宋体"/>
          <w:b w:val="0"/>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lang w:val="en-US" w:eastAsia="zh-CN"/>
        </w:rPr>
        <w:t xml:space="preserve">考评及考评细则：为切实加强对交通协管服务工作的管理，由扬州市公安局交通管理支队建立长效管理考核机制，统一组织实施，对交通协管服务工作进行全方位的监督，以考核求长效、以检查促效果，确保一个文明、安全、畅通的道路环境。</w:t>
      </w:r>
      <w:r/>
    </w:p>
    <w:p>
      <w:pPr>
        <w:ind w:right="0" w:firstLine="420"/>
        <w:jc w:val="both"/>
        <w:pageBreakBefore w:val="0"/>
        <w:spacing w:line="360" w:lineRule="auto"/>
        <w:rPr>
          <w:rFonts w:hint="eastAsia" w:ascii="Times New Roman" w:hAnsi="Times New Roman" w:eastAsia="宋体" w:cs="宋体"/>
          <w:b w:val="0"/>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lang w:val="en-US" w:eastAsia="zh-CN"/>
        </w:rPr>
        <w:t xml:space="preserve">7.1考核办法</w:t>
      </w:r>
      <w:r/>
    </w:p>
    <w:p>
      <w:pPr>
        <w:ind w:right="0" w:firstLine="420"/>
        <w:jc w:val="both"/>
        <w:pageBreakBefore w:val="0"/>
        <w:spacing w:line="360" w:lineRule="auto"/>
        <w:rPr>
          <w:rFonts w:hint="eastAsia" w:ascii="Times New Roman" w:hAnsi="Times New Roman" w:eastAsia="宋体" w:cs="宋体"/>
          <w:b w:val="0"/>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lang w:val="en-US" w:eastAsia="zh-CN"/>
        </w:rPr>
        <w:t xml:space="preserve">7.1.1考核依据和对象</w:t>
      </w:r>
      <w:r/>
    </w:p>
    <w:p>
      <w:pPr>
        <w:ind w:right="0" w:firstLine="420"/>
        <w:jc w:val="both"/>
        <w:pageBreakBefore w:val="0"/>
        <w:spacing w:line="360" w:lineRule="auto"/>
        <w:rPr>
          <w:rFonts w:hint="eastAsia" w:ascii="Times New Roman" w:hAnsi="Times New Roman" w:eastAsia="宋体" w:cs="宋体"/>
          <w:b w:val="0"/>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lang w:val="en-US" w:eastAsia="zh-CN"/>
        </w:rPr>
        <w:t xml:space="preserve">以《考评细则》以及标书中的相关标准为考核依据，对中标人每月实行检查、打分、考核。采购人对考核办法享有最终解释的权利，并以服务单位的考核结果为准。</w:t>
      </w:r>
      <w:r/>
    </w:p>
    <w:p>
      <w:pPr>
        <w:ind w:right="0" w:firstLine="420"/>
        <w:jc w:val="both"/>
        <w:pageBreakBefore w:val="0"/>
        <w:spacing w:line="360" w:lineRule="auto"/>
        <w:rPr>
          <w:rFonts w:hint="eastAsia" w:ascii="Times New Roman" w:hAnsi="Times New Roman" w:eastAsia="宋体" w:cs="宋体"/>
          <w:b w:val="0"/>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lang w:val="en-US" w:eastAsia="zh-CN"/>
        </w:rPr>
        <w:t xml:space="preserve">7.2考评细则</w:t>
      </w:r>
      <w:r/>
    </w:p>
    <w:p>
      <w:pPr>
        <w:ind w:right="0" w:firstLine="420"/>
        <w:jc w:val="both"/>
        <w:pageBreakBefore w:val="0"/>
        <w:spacing w:line="360" w:lineRule="auto"/>
        <w:rPr>
          <w:rFonts w:hint="eastAsia" w:ascii="Times New Roman" w:hAnsi="Times New Roman" w:eastAsia="宋体" w:cs="宋体"/>
          <w:b w:val="0"/>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lang w:val="en-US" w:eastAsia="zh-CN"/>
        </w:rPr>
        <w:t xml:space="preserve">7.2.1交通协管员工作考核细则：人员考核，由扬州市公安局交通管理支队根据甲乙双方约定的质量标准及要求实施计分考核。基准分值为100分，具体考核每月一次、全年汇总。（考核内容具体见下表格）</w:t>
      </w:r>
      <w:r/>
    </w:p>
    <w:p>
      <w:pPr>
        <w:ind w:right="0" w:firstLine="420"/>
        <w:jc w:val="both"/>
        <w:pageBreakBefore w:val="0"/>
        <w:spacing w:line="360" w:lineRule="auto"/>
        <w:rPr>
          <w:rFonts w:hint="eastAsia" w:ascii="Times New Roman" w:hAnsi="Times New Roman" w:eastAsia="宋体" w:cs="宋体"/>
          <w:b w:val="0"/>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lang w:val="en-US" w:eastAsia="zh-CN"/>
        </w:rPr>
        <w:t xml:space="preserve">检查时间：</w:t>
      </w:r>
      <w:r/>
    </w:p>
    <w:tbl>
      <w:tblPr>
        <w:tblStyle w:val="725"/>
        <w:tblW w:w="0" w:type="auto"/>
        <w:jc w:val="center"/>
        <w:tblLayout w:type="fixed"/>
        <w:tblCellMar>
          <w:left w:w="108" w:type="dxa"/>
          <w:top w:w="0" w:type="dxa"/>
          <w:right w:w="108" w:type="dxa"/>
          <w:bottom w:w="0" w:type="dxa"/>
        </w:tblCellMar>
        <w:tblLook w:val="04A0" w:firstRow="1" w:lastRow="0" w:firstColumn="1" w:lastColumn="0" w:noHBand="0" w:noVBand="1"/>
      </w:tblPr>
      <w:tblGrid>
        <w:gridCol w:w="743"/>
        <w:gridCol w:w="5387"/>
        <w:gridCol w:w="992"/>
        <w:gridCol w:w="1764"/>
      </w:tblGrid>
      <w:tr>
        <w:trPr>
          <w:jc w:val="center"/>
          <w:trHeight w:val="522"/>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序号</w:t>
            </w:r>
            <w:r/>
          </w:p>
        </w:tc>
        <w:tc>
          <w:tcPr>
            <w:tcBorders>
              <w:top w:val="single" w:color="auto" w:sz="4" w:space="0"/>
              <w:bottom w:val="single" w:color="auto" w:sz="4" w:space="0"/>
              <w:right w:val="single" w:color="000000" w:sz="4" w:space="0"/>
            </w:tcBorders>
            <w:tcW w:w="5387"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评分标准</w:t>
            </w:r>
            <w:r/>
          </w:p>
        </w:tc>
        <w:tc>
          <w:tcPr>
            <w:tcBorders>
              <w:top w:val="single" w:color="auto" w:sz="4" w:space="0"/>
              <w:bottom w:val="single" w:color="auto" w:sz="4" w:space="0"/>
              <w:right w:val="single" w:color="auto" w:sz="4" w:space="0"/>
            </w:tcBorders>
            <w:tcW w:w="992"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扣分</w:t>
            </w:r>
            <w:r/>
          </w:p>
        </w:tc>
        <w:tc>
          <w:tcPr>
            <w:tcBorders>
              <w:top w:val="single" w:color="auto" w:sz="4" w:space="0"/>
              <w:bottom w:val="single" w:color="auto" w:sz="4" w:space="0"/>
              <w:right w:val="single" w:color="auto" w:sz="4" w:space="0"/>
            </w:tcBorders>
            <w:tcW w:w="1764"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备注</w:t>
            </w:r>
            <w:r/>
          </w:p>
        </w:tc>
      </w:tr>
      <w:tr>
        <w:trPr>
          <w:jc w:val="center"/>
          <w:trHeight w:val="281"/>
        </w:trPr>
        <w:tc>
          <w:tcPr>
            <w:tcBorders>
              <w:left w:val="single" w:color="auto" w:sz="4" w:space="0"/>
              <w:bottom w:val="single" w:color="auto" w:sz="4" w:space="0"/>
              <w:right w:val="single" w:color="auto" w:sz="4" w:space="0"/>
            </w:tcBorders>
            <w:tcW w:w="743"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一</w:t>
            </w:r>
            <w:r/>
          </w:p>
        </w:tc>
        <w:tc>
          <w:tcPr>
            <w:tcBorders>
              <w:bottom w:val="single" w:color="auto" w:sz="4" w:space="0"/>
              <w:right w:val="single" w:color="000000" w:sz="4" w:space="0"/>
            </w:tcBorders>
            <w:tcW w:w="5387"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行为指标（15分）</w:t>
            </w:r>
            <w:r/>
          </w:p>
        </w:tc>
        <w:tc>
          <w:tcPr>
            <w:tcBorders>
              <w:left w:val="single" w:color="auto" w:sz="4" w:space="0"/>
              <w:bottom w:val="single" w:color="auto" w:sz="4" w:space="0"/>
              <w:right w:val="single" w:color="auto" w:sz="4" w:space="0"/>
            </w:tcBorders>
            <w:tcW w:w="992" w:type="dxa"/>
            <w:vAlign w:val="center"/>
            <w:textDirection w:val="lrTb"/>
            <w:noWrap w:val="false"/>
          </w:tcPr>
          <w:p>
            <w:pPr>
              <w:contextualSpacing/>
              <w:widowControl/>
              <w:rPr>
                <w:rFonts w:ascii="Times New Roman" w:hAnsi="Times New Roman"/>
                <w:szCs w:val="21"/>
              </w:rPr>
            </w:pPr>
            <w:r>
              <w:rPr>
                <w:rFonts w:ascii="Times New Roman" w:hAnsi="Times New Roman"/>
                <w:szCs w:val="21"/>
              </w:rPr>
            </w:r>
            <w:r/>
          </w:p>
        </w:tc>
        <w:tc>
          <w:tcPr>
            <w:tcBorders>
              <w:bottom w:val="single" w:color="auto" w:sz="4" w:space="0"/>
              <w:right w:val="single" w:color="auto" w:sz="4" w:space="0"/>
            </w:tcBorders>
            <w:tcW w:w="1764" w:type="dxa"/>
            <w:vAlign w:val="top"/>
            <w:textDirection w:val="lrTb"/>
            <w:noWrap w:val="false"/>
          </w:tcPr>
          <w:p>
            <w:pPr>
              <w:contextualSpacing/>
              <w:widowControl/>
              <w:rPr>
                <w:rFonts w:ascii="Times New Roman" w:hAnsi="Times New Roman"/>
                <w:szCs w:val="21"/>
              </w:rPr>
            </w:pPr>
            <w:r>
              <w:rPr>
                <w:rFonts w:ascii="Times New Roman" w:hAnsi="Times New Roman"/>
                <w:szCs w:val="21"/>
              </w:rPr>
            </w:r>
            <w:r/>
          </w:p>
        </w:tc>
      </w:tr>
      <w:tr>
        <w:trPr>
          <w:jc w:val="center"/>
          <w:trHeight w:val="915"/>
        </w:trPr>
        <w:tc>
          <w:tcPr>
            <w:tcBorders>
              <w:left w:val="single" w:color="auto" w:sz="4" w:space="0"/>
              <w:bottom w:val="single" w:color="auto" w:sz="4" w:space="0"/>
              <w:right w:val="single" w:color="auto" w:sz="4" w:space="0"/>
            </w:tcBorders>
            <w:tcW w:w="743"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1</w:t>
            </w:r>
            <w:r/>
          </w:p>
        </w:tc>
        <w:tc>
          <w:tcPr>
            <w:tcBorders>
              <w:bottom w:val="single" w:color="auto" w:sz="4" w:space="0"/>
              <w:right w:val="single" w:color="000000" w:sz="4" w:space="0"/>
            </w:tcBorders>
            <w:tcW w:w="5387"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t xml:space="preserve">当班时着制服干净、整齐，制服外衣、衣领、袖口不显露个人衣物，制服外不显露个人物品：如笔、纸、手机、钥匙扣等。</w:t>
            </w:r>
            <w:r>
              <w:rPr>
                <w:rFonts w:hint="eastAsia" w:ascii="Times New Roman" w:hAnsi="Times New Roman"/>
                <w:szCs w:val="21"/>
              </w:rPr>
              <w:t xml:space="preserve">不得佩戴首饰、项链、玉器</w:t>
            </w:r>
            <w:r>
              <w:rPr>
                <w:rFonts w:ascii="Times New Roman" w:hAnsi="Times New Roman"/>
                <w:szCs w:val="21"/>
              </w:rPr>
              <w:t xml:space="preserve">每违反一例扣0.5分（4分）</w:t>
            </w:r>
            <w:r/>
          </w:p>
        </w:tc>
        <w:tc>
          <w:tcPr>
            <w:tcBorders>
              <w:left w:val="single" w:color="auto" w:sz="4" w:space="0"/>
              <w:bottom w:val="single" w:color="auto" w:sz="4" w:space="0"/>
              <w:right w:val="single" w:color="auto" w:sz="4" w:space="0"/>
            </w:tcBorders>
            <w:tcW w:w="992" w:type="dxa"/>
            <w:vAlign w:val="center"/>
            <w:textDirection w:val="lrTb"/>
            <w:noWrap w:val="false"/>
          </w:tcPr>
          <w:p>
            <w:pPr>
              <w:contextualSpacing/>
              <w:widowControl/>
              <w:rPr>
                <w:rFonts w:ascii="Times New Roman" w:hAnsi="Times New Roman"/>
                <w:szCs w:val="21"/>
              </w:rPr>
            </w:pPr>
            <w:r>
              <w:rPr>
                <w:rFonts w:ascii="Times New Roman" w:hAnsi="Times New Roman"/>
                <w:szCs w:val="21"/>
              </w:rPr>
            </w:r>
            <w:r/>
          </w:p>
        </w:tc>
        <w:tc>
          <w:tcPr>
            <w:tcBorders>
              <w:bottom w:val="single" w:color="auto" w:sz="4" w:space="0"/>
              <w:right w:val="single" w:color="auto" w:sz="4" w:space="0"/>
            </w:tcBorders>
            <w:tcW w:w="1764" w:type="dxa"/>
            <w:vAlign w:val="top"/>
            <w:textDirection w:val="lrTb"/>
            <w:noWrap w:val="false"/>
          </w:tcPr>
          <w:p>
            <w:pPr>
              <w:contextualSpacing/>
              <w:widowControl/>
              <w:rPr>
                <w:rFonts w:ascii="Times New Roman" w:hAnsi="Times New Roman"/>
                <w:szCs w:val="21"/>
              </w:rPr>
            </w:pPr>
            <w:r>
              <w:rPr>
                <w:rFonts w:ascii="Times New Roman" w:hAnsi="Times New Roman"/>
                <w:szCs w:val="21"/>
              </w:rPr>
            </w:r>
            <w:r/>
          </w:p>
        </w:tc>
      </w:tr>
      <w:tr>
        <w:trPr>
          <w:jc w:val="center"/>
          <w:trHeight w:val="559"/>
        </w:trPr>
        <w:tc>
          <w:tcPr>
            <w:tcBorders>
              <w:left w:val="single" w:color="auto" w:sz="4" w:space="0"/>
              <w:bottom w:val="single" w:color="auto" w:sz="4" w:space="0"/>
              <w:right w:val="single" w:color="auto" w:sz="4" w:space="0"/>
            </w:tcBorders>
            <w:tcW w:w="743"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2</w:t>
            </w:r>
            <w:r/>
          </w:p>
        </w:tc>
        <w:tc>
          <w:tcPr>
            <w:tcBorders>
              <w:bottom w:val="single" w:color="auto" w:sz="4" w:space="0"/>
              <w:right w:val="single" w:color="000000" w:sz="4" w:space="0"/>
            </w:tcBorders>
            <w:tcW w:w="5387"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t xml:space="preserve">不得敞怀、挽袖、穿拖鞋、戴歪帽，不准留胡须、蓄长发、染发（黑色除外）、刺青纹身、佩带饰物</w:t>
            </w:r>
            <w:r>
              <w:rPr>
                <w:rFonts w:hint="eastAsia" w:ascii="Times New Roman" w:hAnsi="Times New Roman"/>
                <w:szCs w:val="21"/>
              </w:rPr>
              <w:t xml:space="preserve">。</w:t>
            </w:r>
            <w:r>
              <w:rPr>
                <w:rFonts w:ascii="Times New Roman" w:hAnsi="Times New Roman"/>
                <w:szCs w:val="21"/>
              </w:rPr>
              <w:t xml:space="preserve">每违反一例扣0.5分（3分）</w:t>
            </w:r>
            <w:r/>
          </w:p>
        </w:tc>
        <w:tc>
          <w:tcPr>
            <w:tcBorders>
              <w:left w:val="single" w:color="auto" w:sz="4" w:space="0"/>
              <w:bottom w:val="single" w:color="auto" w:sz="4" w:space="0"/>
              <w:right w:val="single" w:color="auto" w:sz="4" w:space="0"/>
            </w:tcBorders>
            <w:tcW w:w="992"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r>
            <w:r/>
          </w:p>
        </w:tc>
        <w:tc>
          <w:tcPr>
            <w:tcBorders>
              <w:bottom w:val="single" w:color="auto" w:sz="4" w:space="0"/>
              <w:right w:val="single" w:color="auto" w:sz="4" w:space="0"/>
            </w:tcBorders>
            <w:tcW w:w="1764" w:type="dxa"/>
            <w:vAlign w:val="top"/>
            <w:textDirection w:val="lrTb"/>
            <w:noWrap w:val="false"/>
          </w:tcPr>
          <w:p>
            <w:pPr>
              <w:contextualSpacing/>
              <w:widowControl/>
              <w:rPr>
                <w:rFonts w:ascii="Times New Roman" w:hAnsi="Times New Roman"/>
                <w:szCs w:val="21"/>
              </w:rPr>
            </w:pPr>
            <w:r>
              <w:rPr>
                <w:rFonts w:ascii="Times New Roman" w:hAnsi="Times New Roman"/>
                <w:szCs w:val="21"/>
              </w:rPr>
            </w:r>
            <w:r/>
          </w:p>
        </w:tc>
      </w:tr>
      <w:tr>
        <w:trPr>
          <w:jc w:val="center"/>
          <w:trHeight w:val="559"/>
        </w:trPr>
        <w:tc>
          <w:tcPr>
            <w:tcBorders>
              <w:left w:val="single" w:color="auto" w:sz="4" w:space="0"/>
              <w:bottom w:val="single" w:color="auto" w:sz="4" w:space="0"/>
              <w:right w:val="single" w:color="auto" w:sz="4" w:space="0"/>
            </w:tcBorders>
            <w:tcW w:w="743"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3</w:t>
            </w:r>
            <w:r/>
          </w:p>
        </w:tc>
        <w:tc>
          <w:tcPr>
            <w:tcBorders>
              <w:bottom w:val="single" w:color="auto" w:sz="4" w:space="0"/>
              <w:right w:val="single" w:color="000000" w:sz="4" w:space="0"/>
            </w:tcBorders>
            <w:tcW w:w="5387" w:type="dxa"/>
            <w:vAlign w:val="center"/>
            <w:textDirection w:val="lrTb"/>
            <w:noWrap w:val="false"/>
          </w:tcPr>
          <w:p>
            <w:pPr>
              <w:rPr>
                <w:rFonts w:ascii="Times New Roman" w:hAnsi="Times New Roman"/>
                <w:szCs w:val="21"/>
              </w:rPr>
            </w:pPr>
            <w:r>
              <w:rPr>
                <w:rFonts w:ascii="Times New Roman" w:hAnsi="Times New Roman"/>
                <w:szCs w:val="21"/>
              </w:rPr>
              <w:t xml:space="preserve">上班</w:t>
            </w:r>
            <w:r>
              <w:rPr>
                <w:rFonts w:hint="eastAsia" w:ascii="Times New Roman" w:hAnsi="Times New Roman"/>
                <w:szCs w:val="21"/>
              </w:rPr>
              <w:t xml:space="preserve">站立时抬头挺胸收腹，身体不得摇摆晃动；行走时双肩及背部保持平稳，双臂自然摆动；不得背手、袖手、搭肩、插兜等。</w:t>
            </w:r>
            <w:r>
              <w:rPr>
                <w:rFonts w:ascii="Times New Roman" w:hAnsi="Times New Roman"/>
                <w:szCs w:val="21"/>
              </w:rPr>
              <w:t xml:space="preserve">每违反一例扣0.5分（3分）</w:t>
            </w:r>
            <w:r/>
          </w:p>
        </w:tc>
        <w:tc>
          <w:tcPr>
            <w:tcBorders>
              <w:left w:val="single" w:color="auto" w:sz="4" w:space="0"/>
              <w:bottom w:val="single" w:color="auto" w:sz="4" w:space="0"/>
              <w:right w:val="single" w:color="auto" w:sz="4" w:space="0"/>
            </w:tcBorders>
            <w:tcW w:w="992"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r>
            <w:r/>
          </w:p>
        </w:tc>
        <w:tc>
          <w:tcPr>
            <w:tcBorders>
              <w:bottom w:val="single" w:color="auto" w:sz="4" w:space="0"/>
              <w:right w:val="single" w:color="auto" w:sz="4" w:space="0"/>
            </w:tcBorders>
            <w:tcW w:w="1764" w:type="dxa"/>
            <w:vAlign w:val="top"/>
            <w:textDirection w:val="lrTb"/>
            <w:noWrap w:val="false"/>
          </w:tcPr>
          <w:p>
            <w:pPr>
              <w:contextualSpacing/>
              <w:widowControl/>
              <w:rPr>
                <w:rFonts w:ascii="Times New Roman" w:hAnsi="Times New Roman"/>
                <w:szCs w:val="21"/>
              </w:rPr>
            </w:pPr>
            <w:r>
              <w:rPr>
                <w:rFonts w:ascii="Times New Roman" w:hAnsi="Times New Roman"/>
                <w:szCs w:val="21"/>
              </w:rPr>
            </w:r>
            <w:r/>
          </w:p>
        </w:tc>
      </w:tr>
      <w:tr>
        <w:trPr>
          <w:jc w:val="center"/>
          <w:trHeight w:val="675"/>
        </w:trPr>
        <w:tc>
          <w:tcPr>
            <w:tcBorders>
              <w:left w:val="single" w:color="auto" w:sz="4" w:space="0"/>
              <w:bottom w:val="single" w:color="auto" w:sz="4" w:space="0"/>
              <w:right w:val="single" w:color="auto" w:sz="4" w:space="0"/>
            </w:tcBorders>
            <w:tcW w:w="743"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4</w:t>
            </w:r>
            <w:r/>
          </w:p>
        </w:tc>
        <w:tc>
          <w:tcPr>
            <w:tcBorders>
              <w:bottom w:val="single" w:color="auto" w:sz="4" w:space="0"/>
              <w:right w:val="single" w:color="000000" w:sz="4" w:space="0"/>
            </w:tcBorders>
            <w:tcW w:w="5387"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t xml:space="preserve">工作时间不准抽烟或吃零食、闲谈以及做和工作无关的事</w:t>
            </w:r>
            <w:r>
              <w:rPr>
                <w:rFonts w:hint="eastAsia" w:ascii="Times New Roman" w:hAnsi="Times New Roman"/>
                <w:szCs w:val="21"/>
              </w:rPr>
              <w:t xml:space="preserve">情；</w:t>
            </w:r>
            <w:r>
              <w:rPr>
                <w:rFonts w:ascii="Times New Roman" w:hAnsi="Times New Roman"/>
                <w:szCs w:val="21"/>
              </w:rPr>
              <w:t xml:space="preserve">举止文明</w:t>
            </w:r>
            <w:r>
              <w:rPr>
                <w:rFonts w:hint="eastAsia" w:ascii="Times New Roman" w:hAnsi="Times New Roman"/>
                <w:szCs w:val="21"/>
              </w:rPr>
              <w:t xml:space="preserve">、</w:t>
            </w:r>
            <w:r>
              <w:rPr>
                <w:rFonts w:ascii="Times New Roman" w:hAnsi="Times New Roman"/>
                <w:szCs w:val="21"/>
              </w:rPr>
              <w:t xml:space="preserve">不讲粗话、脏话 ，不准与</w:t>
            </w:r>
            <w:r>
              <w:rPr>
                <w:rFonts w:hint="eastAsia" w:ascii="Times New Roman" w:hAnsi="Times New Roman"/>
                <w:szCs w:val="21"/>
              </w:rPr>
              <w:t xml:space="preserve">管理服务对象</w:t>
            </w:r>
            <w:r>
              <w:rPr>
                <w:rFonts w:ascii="Times New Roman" w:hAnsi="Times New Roman"/>
                <w:szCs w:val="21"/>
              </w:rPr>
              <w:t xml:space="preserve">争吵打骂。每有一例扣1分（5分）</w:t>
            </w:r>
            <w:r/>
          </w:p>
        </w:tc>
        <w:tc>
          <w:tcPr>
            <w:tcBorders>
              <w:left w:val="single" w:color="auto" w:sz="4" w:space="0"/>
              <w:bottom w:val="single" w:color="auto" w:sz="4" w:space="0"/>
              <w:right w:val="single" w:color="auto" w:sz="4" w:space="0"/>
            </w:tcBorders>
            <w:tcW w:w="992"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r>
            <w:r/>
          </w:p>
        </w:tc>
        <w:tc>
          <w:tcPr>
            <w:tcBorders>
              <w:bottom w:val="single" w:color="auto" w:sz="4" w:space="0"/>
              <w:right w:val="single" w:color="auto" w:sz="4" w:space="0"/>
            </w:tcBorders>
            <w:tcW w:w="1764" w:type="dxa"/>
            <w:vAlign w:val="top"/>
            <w:textDirection w:val="lrTb"/>
            <w:noWrap w:val="false"/>
          </w:tcPr>
          <w:p>
            <w:pPr>
              <w:contextualSpacing/>
              <w:widowControl/>
              <w:rPr>
                <w:rFonts w:ascii="Times New Roman" w:hAnsi="Times New Roman"/>
                <w:szCs w:val="21"/>
              </w:rPr>
            </w:pPr>
            <w:r>
              <w:rPr>
                <w:rFonts w:ascii="Times New Roman" w:hAnsi="Times New Roman"/>
                <w:szCs w:val="21"/>
              </w:rPr>
            </w:r>
            <w:r/>
          </w:p>
        </w:tc>
      </w:tr>
      <w:tr>
        <w:trPr>
          <w:jc w:val="center"/>
          <w:trHeight w:val="70"/>
        </w:trPr>
        <w:tc>
          <w:tcPr>
            <w:tcBorders>
              <w:left w:val="single" w:color="auto" w:sz="4" w:space="0"/>
              <w:bottom w:val="single" w:color="auto" w:sz="4" w:space="0"/>
              <w:right w:val="single" w:color="auto" w:sz="4" w:space="0"/>
            </w:tcBorders>
            <w:tcW w:w="743"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二</w:t>
            </w:r>
            <w:r/>
          </w:p>
        </w:tc>
        <w:tc>
          <w:tcPr>
            <w:tcBorders>
              <w:bottom w:val="single" w:color="auto" w:sz="4" w:space="0"/>
              <w:right w:val="single" w:color="000000" w:sz="4" w:space="0"/>
            </w:tcBorders>
            <w:tcW w:w="5387"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工作表现（</w:t>
            </w:r>
            <w:r>
              <w:rPr>
                <w:rFonts w:hint="eastAsia" w:ascii="Times New Roman" w:hAnsi="Times New Roman"/>
                <w:szCs w:val="21"/>
                <w:lang w:val="en-US" w:eastAsia="zh-CN"/>
              </w:rPr>
              <w:t xml:space="preserve">60</w:t>
            </w:r>
            <w:r>
              <w:rPr>
                <w:rFonts w:ascii="Times New Roman" w:hAnsi="Times New Roman"/>
                <w:szCs w:val="21"/>
              </w:rPr>
              <w:t xml:space="preserve">分）</w:t>
            </w:r>
            <w:r/>
          </w:p>
        </w:tc>
        <w:tc>
          <w:tcPr>
            <w:tcBorders>
              <w:left w:val="single" w:color="auto" w:sz="4" w:space="0"/>
              <w:bottom w:val="single" w:color="auto" w:sz="4" w:space="0"/>
              <w:right w:val="single" w:color="auto" w:sz="4" w:space="0"/>
            </w:tcBorders>
            <w:tcW w:w="992" w:type="dxa"/>
            <w:vAlign w:val="center"/>
            <w:textDirection w:val="lrTb"/>
            <w:noWrap w:val="false"/>
          </w:tcPr>
          <w:p>
            <w:pPr>
              <w:contextualSpacing/>
              <w:widowControl/>
              <w:rPr>
                <w:rFonts w:ascii="Times New Roman" w:hAnsi="Times New Roman"/>
                <w:szCs w:val="21"/>
              </w:rPr>
            </w:pPr>
            <w:r>
              <w:rPr>
                <w:rFonts w:ascii="Times New Roman" w:hAnsi="Times New Roman"/>
                <w:szCs w:val="21"/>
              </w:rPr>
            </w:r>
            <w:r/>
          </w:p>
        </w:tc>
        <w:tc>
          <w:tcPr>
            <w:tcBorders>
              <w:bottom w:val="single" w:color="auto" w:sz="4" w:space="0"/>
              <w:right w:val="single" w:color="auto" w:sz="4" w:space="0"/>
            </w:tcBorders>
            <w:tcW w:w="1764" w:type="dxa"/>
            <w:vAlign w:val="top"/>
            <w:textDirection w:val="lrTb"/>
            <w:noWrap w:val="false"/>
          </w:tcPr>
          <w:p>
            <w:pPr>
              <w:contextualSpacing/>
              <w:widowControl/>
              <w:rPr>
                <w:rFonts w:ascii="Times New Roman" w:hAnsi="Times New Roman"/>
                <w:szCs w:val="21"/>
              </w:rPr>
            </w:pPr>
            <w:r>
              <w:rPr>
                <w:rFonts w:ascii="Times New Roman" w:hAnsi="Times New Roman"/>
                <w:szCs w:val="21"/>
              </w:rPr>
            </w:r>
            <w:r/>
          </w:p>
        </w:tc>
      </w:tr>
      <w:tr>
        <w:trPr>
          <w:jc w:val="center"/>
          <w:trHeight w:val="660"/>
        </w:trPr>
        <w:tc>
          <w:tcPr>
            <w:tcBorders>
              <w:left w:val="single" w:color="auto" w:sz="4" w:space="0"/>
              <w:bottom w:val="single" w:color="auto" w:sz="4" w:space="0"/>
              <w:right w:val="single" w:color="auto" w:sz="4" w:space="0"/>
            </w:tcBorders>
            <w:tcW w:w="743"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1</w:t>
            </w:r>
            <w:r/>
          </w:p>
        </w:tc>
        <w:tc>
          <w:tcPr>
            <w:tcBorders>
              <w:bottom w:val="single" w:color="auto" w:sz="4" w:space="0"/>
              <w:right w:val="single" w:color="000000" w:sz="4" w:space="0"/>
            </w:tcBorders>
            <w:tcW w:w="5387"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t xml:space="preserve">按时上下班，严格执行请假制度、不得擅自缺岗或不到岗，每有一例扣1分。不迟到、早退、串岗、脱岗。每有一例扣0.5分（5分）</w:t>
            </w:r>
            <w:r/>
          </w:p>
        </w:tc>
        <w:tc>
          <w:tcPr>
            <w:tcBorders>
              <w:left w:val="single" w:color="auto" w:sz="4" w:space="0"/>
              <w:bottom w:val="single" w:color="auto" w:sz="4" w:space="0"/>
              <w:right w:val="single" w:color="auto" w:sz="4" w:space="0"/>
            </w:tcBorders>
            <w:tcW w:w="992" w:type="dxa"/>
            <w:vAlign w:val="center"/>
            <w:textDirection w:val="lrTb"/>
            <w:noWrap w:val="false"/>
          </w:tcPr>
          <w:p>
            <w:pPr>
              <w:contextualSpacing/>
              <w:widowControl/>
              <w:rPr>
                <w:rFonts w:ascii="Times New Roman" w:hAnsi="Times New Roman"/>
                <w:szCs w:val="21"/>
              </w:rPr>
            </w:pPr>
            <w:r>
              <w:rPr>
                <w:rFonts w:ascii="Times New Roman" w:hAnsi="Times New Roman"/>
                <w:szCs w:val="21"/>
              </w:rPr>
            </w:r>
            <w:r/>
          </w:p>
        </w:tc>
        <w:tc>
          <w:tcPr>
            <w:tcBorders>
              <w:bottom w:val="single" w:color="auto" w:sz="4" w:space="0"/>
              <w:right w:val="single" w:color="auto" w:sz="4" w:space="0"/>
            </w:tcBorders>
            <w:tcW w:w="1764" w:type="dxa"/>
            <w:vAlign w:val="top"/>
            <w:textDirection w:val="lrTb"/>
            <w:noWrap w:val="false"/>
          </w:tcPr>
          <w:p>
            <w:pPr>
              <w:contextualSpacing/>
              <w:widowControl/>
              <w:rPr>
                <w:rFonts w:ascii="Times New Roman" w:hAnsi="Times New Roman"/>
                <w:szCs w:val="21"/>
              </w:rPr>
            </w:pPr>
            <w:r>
              <w:rPr>
                <w:rFonts w:ascii="Times New Roman" w:hAnsi="Times New Roman"/>
                <w:szCs w:val="21"/>
              </w:rPr>
            </w:r>
            <w:r/>
          </w:p>
        </w:tc>
      </w:tr>
      <w:tr>
        <w:trPr>
          <w:jc w:val="center"/>
          <w:trHeight w:val="70"/>
        </w:trPr>
        <w:tc>
          <w:tcPr>
            <w:tcBorders>
              <w:left w:val="single" w:color="auto" w:sz="4" w:space="0"/>
              <w:bottom w:val="single" w:color="auto" w:sz="4" w:space="0"/>
              <w:right w:val="single" w:color="auto" w:sz="4" w:space="0"/>
            </w:tcBorders>
            <w:tcW w:w="743"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2</w:t>
            </w:r>
            <w:r/>
          </w:p>
        </w:tc>
        <w:tc>
          <w:tcPr>
            <w:tcBorders>
              <w:bottom w:val="single" w:color="auto" w:sz="4" w:space="0"/>
              <w:right w:val="single" w:color="000000" w:sz="4" w:space="0"/>
            </w:tcBorders>
            <w:tcW w:w="5387" w:type="dxa"/>
            <w:vAlign w:val="center"/>
            <w:textDirection w:val="lrTb"/>
            <w:noWrap w:val="false"/>
          </w:tcPr>
          <w:p>
            <w:pPr>
              <w:contextualSpacing/>
              <w:widowControl/>
              <w:rPr>
                <w:rFonts w:ascii="Times New Roman" w:hAnsi="Times New Roman"/>
                <w:szCs w:val="21"/>
              </w:rPr>
            </w:pPr>
            <w:r>
              <w:rPr>
                <w:rFonts w:ascii="Times New Roman" w:hAnsi="Times New Roman"/>
                <w:szCs w:val="21"/>
              </w:rPr>
              <w:t xml:space="preserve">规范交接班程序，做好交接班记录，做好上班期间特殊情况记录，及时报告，不隐瞒或谎报情况。每违反一例扣0.5分（5分）</w:t>
            </w:r>
            <w:r/>
          </w:p>
        </w:tc>
        <w:tc>
          <w:tcPr>
            <w:tcBorders>
              <w:left w:val="single" w:color="auto" w:sz="4" w:space="0"/>
              <w:bottom w:val="single" w:color="auto" w:sz="4" w:space="0"/>
              <w:right w:val="single" w:color="auto" w:sz="4" w:space="0"/>
            </w:tcBorders>
            <w:tcW w:w="992"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r>
            <w:r/>
          </w:p>
        </w:tc>
        <w:tc>
          <w:tcPr>
            <w:tcBorders>
              <w:bottom w:val="single" w:color="auto" w:sz="4" w:space="0"/>
              <w:right w:val="single" w:color="auto" w:sz="4" w:space="0"/>
            </w:tcBorders>
            <w:tcW w:w="1764" w:type="dxa"/>
            <w:vAlign w:val="top"/>
            <w:textDirection w:val="lrTb"/>
            <w:noWrap w:val="false"/>
          </w:tcPr>
          <w:p>
            <w:pPr>
              <w:contextualSpacing/>
              <w:widowControl/>
              <w:rPr>
                <w:rFonts w:ascii="Times New Roman" w:hAnsi="Times New Roman"/>
                <w:szCs w:val="21"/>
              </w:rPr>
            </w:pPr>
            <w:r>
              <w:rPr>
                <w:rFonts w:ascii="Times New Roman" w:hAnsi="Times New Roman"/>
                <w:szCs w:val="21"/>
              </w:rPr>
            </w:r>
            <w:r/>
          </w:p>
        </w:tc>
      </w:tr>
      <w:tr>
        <w:trPr>
          <w:jc w:val="center"/>
          <w:trHeight w:val="70"/>
        </w:trPr>
        <w:tc>
          <w:tcPr>
            <w:tcBorders>
              <w:left w:val="single" w:color="auto" w:sz="4" w:space="0"/>
              <w:bottom w:val="single" w:color="auto" w:sz="4" w:space="0"/>
              <w:right w:val="single" w:color="auto" w:sz="4" w:space="0"/>
            </w:tcBorders>
            <w:tcW w:w="743"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3</w:t>
            </w:r>
            <w:r/>
          </w:p>
        </w:tc>
        <w:tc>
          <w:tcPr>
            <w:tcBorders>
              <w:bottom w:val="single" w:color="auto" w:sz="4" w:space="0"/>
              <w:right w:val="single" w:color="000000" w:sz="4" w:space="0"/>
            </w:tcBorders>
            <w:tcW w:w="5387"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t xml:space="preserve">听从指挥、服从命令、行动迅速，严格执行各项规定、坚持原则、秉公办事。每违反一例扣0.5分（5分）</w:t>
            </w:r>
            <w:r/>
          </w:p>
        </w:tc>
        <w:tc>
          <w:tcPr>
            <w:tcBorders>
              <w:left w:val="single" w:color="auto" w:sz="4" w:space="0"/>
              <w:bottom w:val="single" w:color="auto" w:sz="4" w:space="0"/>
              <w:right w:val="single" w:color="auto" w:sz="4" w:space="0"/>
            </w:tcBorders>
            <w:tcW w:w="992"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r>
            <w:r/>
          </w:p>
        </w:tc>
        <w:tc>
          <w:tcPr>
            <w:tcBorders>
              <w:bottom w:val="single" w:color="auto" w:sz="4" w:space="0"/>
              <w:right w:val="single" w:color="auto" w:sz="4" w:space="0"/>
            </w:tcBorders>
            <w:tcW w:w="1764" w:type="dxa"/>
            <w:vAlign w:val="top"/>
            <w:textDirection w:val="lrTb"/>
            <w:noWrap w:val="false"/>
          </w:tcPr>
          <w:p>
            <w:pPr>
              <w:contextualSpacing/>
              <w:widowControl/>
              <w:rPr>
                <w:rFonts w:ascii="Times New Roman" w:hAnsi="Times New Roman"/>
                <w:szCs w:val="21"/>
              </w:rPr>
            </w:pPr>
            <w:r>
              <w:rPr>
                <w:rFonts w:ascii="Times New Roman" w:hAnsi="Times New Roman"/>
                <w:szCs w:val="21"/>
              </w:rPr>
            </w:r>
            <w:r/>
          </w:p>
        </w:tc>
      </w:tr>
      <w:tr>
        <w:trPr>
          <w:jc w:val="center"/>
          <w:trHeight w:val="553"/>
        </w:trPr>
        <w:tc>
          <w:tcPr>
            <w:tcBorders>
              <w:left w:val="single" w:color="auto" w:sz="4" w:space="0"/>
              <w:bottom w:val="single" w:color="auto" w:sz="4" w:space="0"/>
              <w:right w:val="single" w:color="auto" w:sz="4" w:space="0"/>
            </w:tcBorders>
            <w:tcW w:w="743"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4</w:t>
            </w:r>
            <w:r/>
          </w:p>
        </w:tc>
        <w:tc>
          <w:tcPr>
            <w:tcBorders>
              <w:bottom w:val="single" w:color="auto" w:sz="4" w:space="0"/>
              <w:right w:val="single" w:color="000000" w:sz="4" w:space="0"/>
            </w:tcBorders>
            <w:tcW w:w="5387"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t xml:space="preserve">当班期间严禁喝酒、抽烟、睡觉、打牌、下棋、闲谈及做与工作无关的事。每违反一例扣0.5分（5分）</w:t>
            </w:r>
            <w:r/>
          </w:p>
        </w:tc>
        <w:tc>
          <w:tcPr>
            <w:tcBorders>
              <w:left w:val="single" w:color="auto" w:sz="4" w:space="0"/>
              <w:bottom w:val="single" w:color="auto" w:sz="4" w:space="0"/>
              <w:right w:val="single" w:color="auto" w:sz="4" w:space="0"/>
            </w:tcBorders>
            <w:tcW w:w="992"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r>
            <w:r/>
          </w:p>
        </w:tc>
        <w:tc>
          <w:tcPr>
            <w:tcBorders>
              <w:bottom w:val="single" w:color="auto" w:sz="4" w:space="0"/>
              <w:right w:val="single" w:color="auto" w:sz="4" w:space="0"/>
            </w:tcBorders>
            <w:tcW w:w="1764" w:type="dxa"/>
            <w:vAlign w:val="top"/>
            <w:textDirection w:val="lrTb"/>
            <w:noWrap w:val="false"/>
          </w:tcPr>
          <w:p>
            <w:pPr>
              <w:contextualSpacing/>
              <w:widowControl/>
              <w:rPr>
                <w:rFonts w:ascii="Times New Roman" w:hAnsi="Times New Roman"/>
                <w:szCs w:val="21"/>
              </w:rPr>
            </w:pPr>
            <w:r>
              <w:rPr>
                <w:rFonts w:ascii="Times New Roman" w:hAnsi="Times New Roman"/>
                <w:szCs w:val="21"/>
              </w:rPr>
            </w:r>
            <w:r/>
          </w:p>
        </w:tc>
      </w:tr>
      <w:tr>
        <w:trPr>
          <w:jc w:val="center"/>
          <w:trHeight w:val="690"/>
        </w:trPr>
        <w:tc>
          <w:tcPr>
            <w:tcBorders>
              <w:left w:val="single" w:color="auto" w:sz="4" w:space="0"/>
              <w:bottom w:val="single" w:color="auto" w:sz="4" w:space="0"/>
              <w:right w:val="single" w:color="auto" w:sz="4" w:space="0"/>
            </w:tcBorders>
            <w:tcW w:w="743"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5</w:t>
            </w:r>
            <w:r/>
          </w:p>
        </w:tc>
        <w:tc>
          <w:tcPr>
            <w:tcBorders>
              <w:bottom w:val="single" w:color="auto" w:sz="4" w:space="0"/>
              <w:right w:val="single" w:color="000000" w:sz="4" w:space="0"/>
            </w:tcBorders>
            <w:tcW w:w="5387" w:type="dxa"/>
            <w:vAlign w:val="center"/>
            <w:textDirection w:val="lrTb"/>
            <w:noWrap w:val="false"/>
          </w:tcPr>
          <w:p>
            <w:pPr>
              <w:contextualSpacing/>
              <w:jc w:val="left"/>
              <w:widowControl/>
              <w:rPr>
                <w:rFonts w:ascii="Times New Roman" w:hAnsi="Times New Roman"/>
                <w:szCs w:val="21"/>
              </w:rPr>
            </w:pPr>
            <w:r>
              <w:rPr>
                <w:rFonts w:hint="eastAsia" w:ascii="Times New Roman" w:hAnsi="Times New Roman"/>
                <w:szCs w:val="21"/>
              </w:rPr>
              <w:t xml:space="preserve">接待群众办事、报警、求助、咨询，态度“冷、硬、横、推”，经查证属实，</w:t>
            </w:r>
            <w:r>
              <w:rPr>
                <w:rFonts w:ascii="Times New Roman" w:hAnsi="Times New Roman"/>
                <w:szCs w:val="21"/>
              </w:rPr>
              <w:t xml:space="preserve">每有一例扣4分。问题严重的，加倍扣分（28分）</w:t>
            </w:r>
            <w:r/>
          </w:p>
        </w:tc>
        <w:tc>
          <w:tcPr>
            <w:tcBorders>
              <w:left w:val="single" w:color="auto" w:sz="4" w:space="0"/>
              <w:bottom w:val="single" w:color="auto" w:sz="4" w:space="0"/>
              <w:right w:val="single" w:color="auto" w:sz="4" w:space="0"/>
            </w:tcBorders>
            <w:tcW w:w="992"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r>
            <w:r/>
          </w:p>
        </w:tc>
        <w:tc>
          <w:tcPr>
            <w:tcBorders>
              <w:bottom w:val="single" w:color="auto" w:sz="4" w:space="0"/>
              <w:right w:val="single" w:color="auto" w:sz="4" w:space="0"/>
            </w:tcBorders>
            <w:tcW w:w="1764" w:type="dxa"/>
            <w:vAlign w:val="top"/>
            <w:textDirection w:val="lrTb"/>
            <w:noWrap w:val="false"/>
          </w:tcPr>
          <w:p>
            <w:pPr>
              <w:contextualSpacing/>
              <w:widowControl/>
              <w:rPr>
                <w:rFonts w:ascii="Times New Roman" w:hAnsi="Times New Roman"/>
                <w:szCs w:val="21"/>
              </w:rPr>
            </w:pPr>
            <w:r>
              <w:rPr>
                <w:rFonts w:ascii="Times New Roman" w:hAnsi="Times New Roman"/>
                <w:szCs w:val="21"/>
              </w:rPr>
            </w:r>
            <w:r/>
          </w:p>
        </w:tc>
      </w:tr>
      <w:tr>
        <w:trPr>
          <w:jc w:val="center"/>
          <w:trHeight w:val="675"/>
        </w:trPr>
        <w:tc>
          <w:tcPr>
            <w:tcBorders>
              <w:left w:val="single" w:color="auto" w:sz="4" w:space="0"/>
              <w:bottom w:val="single" w:color="auto" w:sz="4" w:space="0"/>
              <w:right w:val="single" w:color="auto" w:sz="4" w:space="0"/>
            </w:tcBorders>
            <w:tcW w:w="743"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6</w:t>
            </w:r>
            <w:r/>
          </w:p>
        </w:tc>
        <w:tc>
          <w:tcPr>
            <w:tcBorders>
              <w:bottom w:val="single" w:color="auto" w:sz="4" w:space="0"/>
              <w:right w:val="single" w:color="000000" w:sz="4" w:space="0"/>
            </w:tcBorders>
            <w:tcW w:w="5387" w:type="dxa"/>
            <w:vAlign w:val="center"/>
            <w:textDirection w:val="lrTb"/>
            <w:noWrap w:val="false"/>
          </w:tcPr>
          <w:p>
            <w:pPr>
              <w:contextualSpacing/>
              <w:jc w:val="left"/>
              <w:widowControl/>
              <w:rPr>
                <w:rFonts w:ascii="Times New Roman" w:hAnsi="Times New Roman"/>
                <w:szCs w:val="21"/>
              </w:rPr>
            </w:pPr>
            <w:r>
              <w:rPr>
                <w:rFonts w:hint="eastAsia" w:ascii="Times New Roman" w:hAnsi="Times New Roman"/>
                <w:szCs w:val="21"/>
              </w:rPr>
              <w:t xml:space="preserve">工作中玩忽职守</w:t>
            </w:r>
            <w:r>
              <w:rPr>
                <w:rFonts w:ascii="Times New Roman" w:hAnsi="Times New Roman"/>
                <w:szCs w:val="21"/>
              </w:rPr>
              <w:t xml:space="preserve">，</w:t>
            </w:r>
            <w:r>
              <w:rPr>
                <w:rFonts w:hint="eastAsia" w:ascii="Times New Roman" w:hAnsi="Times New Roman"/>
                <w:szCs w:val="21"/>
              </w:rPr>
              <w:t xml:space="preserve">不作为，乱作为，在岗不管事，管事不得力，经查证属实，</w:t>
            </w:r>
            <w:r>
              <w:rPr>
                <w:rFonts w:ascii="Times New Roman" w:hAnsi="Times New Roman"/>
                <w:szCs w:val="21"/>
              </w:rPr>
              <w:t xml:space="preserve">每有一例扣2分（12分）</w:t>
            </w:r>
            <w:r/>
          </w:p>
        </w:tc>
        <w:tc>
          <w:tcPr>
            <w:tcBorders>
              <w:left w:val="single" w:color="auto" w:sz="4" w:space="0"/>
              <w:bottom w:val="single" w:color="auto" w:sz="4" w:space="0"/>
              <w:right w:val="single" w:color="auto" w:sz="4" w:space="0"/>
            </w:tcBorders>
            <w:tcW w:w="992"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r>
            <w:r/>
          </w:p>
        </w:tc>
        <w:tc>
          <w:tcPr>
            <w:tcBorders>
              <w:bottom w:val="single" w:color="auto" w:sz="4" w:space="0"/>
              <w:right w:val="single" w:color="auto" w:sz="4" w:space="0"/>
            </w:tcBorders>
            <w:tcW w:w="1764" w:type="dxa"/>
            <w:vAlign w:val="top"/>
            <w:textDirection w:val="lrTb"/>
            <w:noWrap w:val="false"/>
          </w:tcPr>
          <w:p>
            <w:pPr>
              <w:contextualSpacing/>
              <w:widowControl/>
              <w:rPr>
                <w:rFonts w:ascii="Times New Roman" w:hAnsi="Times New Roman"/>
                <w:szCs w:val="21"/>
              </w:rPr>
            </w:pPr>
            <w:r>
              <w:rPr>
                <w:rFonts w:ascii="Times New Roman" w:hAnsi="Times New Roman"/>
                <w:szCs w:val="21"/>
              </w:rPr>
            </w:r>
            <w:r/>
          </w:p>
        </w:tc>
      </w:tr>
      <w:tr>
        <w:trPr>
          <w:jc w:val="center"/>
          <w:trHeight w:val="204"/>
        </w:trPr>
        <w:tc>
          <w:tcPr>
            <w:tcBorders>
              <w:left w:val="single" w:color="auto" w:sz="4" w:space="0"/>
              <w:bottom w:val="single" w:color="auto" w:sz="4" w:space="0"/>
              <w:right w:val="single" w:color="auto" w:sz="4" w:space="0"/>
            </w:tcBorders>
            <w:tcW w:w="743"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三</w:t>
            </w:r>
            <w:r/>
          </w:p>
        </w:tc>
        <w:tc>
          <w:tcPr>
            <w:tcBorders>
              <w:bottom w:val="single" w:color="auto" w:sz="4" w:space="0"/>
              <w:right w:val="single" w:color="auto" w:sz="4" w:space="0"/>
            </w:tcBorders>
            <w:tcW w:w="5387"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其他方面（</w:t>
            </w:r>
            <w:r>
              <w:rPr>
                <w:rFonts w:hint="eastAsia" w:ascii="Times New Roman" w:hAnsi="Times New Roman"/>
                <w:szCs w:val="21"/>
                <w:lang w:val="en-US" w:eastAsia="zh-CN"/>
              </w:rPr>
              <w:t xml:space="preserve">25</w:t>
            </w:r>
            <w:r>
              <w:rPr>
                <w:rFonts w:ascii="Times New Roman" w:hAnsi="Times New Roman"/>
                <w:szCs w:val="21"/>
              </w:rPr>
              <w:t xml:space="preserve">分）</w:t>
            </w:r>
            <w:r/>
          </w:p>
        </w:tc>
        <w:tc>
          <w:tcPr>
            <w:tcBorders>
              <w:left w:val="single" w:color="auto" w:sz="4" w:space="0"/>
              <w:bottom w:val="single" w:color="auto" w:sz="4" w:space="0"/>
              <w:right w:val="single" w:color="auto" w:sz="4" w:space="0"/>
            </w:tcBorders>
            <w:tcW w:w="992" w:type="dxa"/>
            <w:vAlign w:val="center"/>
            <w:textDirection w:val="lrTb"/>
            <w:noWrap w:val="false"/>
          </w:tcPr>
          <w:p>
            <w:pPr>
              <w:contextualSpacing/>
              <w:widowControl/>
              <w:rPr>
                <w:rFonts w:ascii="Times New Roman" w:hAnsi="Times New Roman"/>
                <w:szCs w:val="21"/>
              </w:rPr>
            </w:pPr>
            <w:r>
              <w:rPr>
                <w:rFonts w:ascii="Times New Roman" w:hAnsi="Times New Roman"/>
                <w:szCs w:val="21"/>
              </w:rPr>
            </w:r>
            <w:r/>
          </w:p>
        </w:tc>
        <w:tc>
          <w:tcPr>
            <w:tcBorders>
              <w:bottom w:val="single" w:color="auto" w:sz="4" w:space="0"/>
              <w:right w:val="single" w:color="auto" w:sz="4" w:space="0"/>
            </w:tcBorders>
            <w:tcW w:w="1764" w:type="dxa"/>
            <w:vAlign w:val="top"/>
            <w:textDirection w:val="lrTb"/>
            <w:noWrap w:val="false"/>
          </w:tcPr>
          <w:p>
            <w:pPr>
              <w:contextualSpacing/>
              <w:widowControl/>
              <w:rPr>
                <w:rFonts w:ascii="Times New Roman" w:hAnsi="Times New Roman"/>
                <w:szCs w:val="21"/>
              </w:rPr>
            </w:pPr>
            <w:r>
              <w:rPr>
                <w:rFonts w:ascii="Times New Roman" w:hAnsi="Times New Roman"/>
                <w:szCs w:val="21"/>
              </w:rPr>
            </w:r>
            <w:r/>
          </w:p>
        </w:tc>
      </w:tr>
      <w:tr>
        <w:trPr>
          <w:jc w:val="center"/>
          <w:trHeight w:val="204"/>
        </w:trPr>
        <w:tc>
          <w:tcPr>
            <w:tcBorders>
              <w:left w:val="single" w:color="auto" w:sz="4" w:space="0"/>
              <w:bottom w:val="single" w:color="auto" w:sz="4" w:space="0"/>
              <w:right w:val="single" w:color="auto" w:sz="4" w:space="0"/>
            </w:tcBorders>
            <w:tcW w:w="743"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1</w:t>
            </w:r>
            <w:r/>
          </w:p>
        </w:tc>
        <w:tc>
          <w:tcPr>
            <w:tcBorders>
              <w:bottom w:val="single" w:color="auto" w:sz="4" w:space="0"/>
              <w:right w:val="single" w:color="auto" w:sz="4" w:space="0"/>
            </w:tcBorders>
            <w:tcW w:w="5387" w:type="dxa"/>
            <w:vAlign w:val="center"/>
            <w:textDirection w:val="lrTb"/>
            <w:noWrap w:val="false"/>
          </w:tcPr>
          <w:p>
            <w:pPr>
              <w:contextualSpacing/>
              <w:jc w:val="left"/>
              <w:widowControl/>
              <w:rPr>
                <w:rFonts w:ascii="Times New Roman" w:hAnsi="Times New Roman"/>
                <w:szCs w:val="21"/>
              </w:rPr>
            </w:pPr>
            <w:r>
              <w:rPr>
                <w:rFonts w:hint="eastAsia" w:ascii="Times New Roman" w:hAnsi="Times New Roman"/>
                <w:szCs w:val="21"/>
              </w:rPr>
              <w:t xml:space="preserve">违反警车管理规定、装备管理规定的</w:t>
            </w:r>
            <w:r>
              <w:rPr>
                <w:rFonts w:ascii="Times New Roman" w:hAnsi="Times New Roman"/>
                <w:szCs w:val="21"/>
              </w:rPr>
              <w:t xml:space="preserve">。每次扣0.5分（4分）</w:t>
            </w:r>
            <w:r/>
          </w:p>
        </w:tc>
        <w:tc>
          <w:tcPr>
            <w:tcBorders>
              <w:left w:val="single" w:color="auto" w:sz="4" w:space="0"/>
              <w:bottom w:val="single" w:color="auto" w:sz="4" w:space="0"/>
              <w:right w:val="single" w:color="auto" w:sz="4" w:space="0"/>
            </w:tcBorders>
            <w:tcW w:w="992" w:type="dxa"/>
            <w:vAlign w:val="center"/>
            <w:textDirection w:val="lrTb"/>
            <w:noWrap w:val="false"/>
          </w:tcPr>
          <w:p>
            <w:pPr>
              <w:contextualSpacing/>
              <w:widowControl/>
              <w:rPr>
                <w:rFonts w:ascii="Times New Roman" w:hAnsi="Times New Roman"/>
                <w:szCs w:val="21"/>
              </w:rPr>
            </w:pPr>
            <w:r>
              <w:rPr>
                <w:rFonts w:ascii="Times New Roman" w:hAnsi="Times New Roman"/>
                <w:szCs w:val="21"/>
              </w:rPr>
            </w:r>
            <w:r/>
          </w:p>
        </w:tc>
        <w:tc>
          <w:tcPr>
            <w:tcBorders>
              <w:bottom w:val="single" w:color="auto" w:sz="4" w:space="0"/>
              <w:right w:val="single" w:color="auto" w:sz="4" w:space="0"/>
            </w:tcBorders>
            <w:tcW w:w="1764" w:type="dxa"/>
            <w:vAlign w:val="top"/>
            <w:textDirection w:val="lrTb"/>
            <w:noWrap w:val="false"/>
          </w:tcPr>
          <w:p>
            <w:pPr>
              <w:contextualSpacing/>
              <w:widowControl/>
              <w:rPr>
                <w:rFonts w:ascii="Times New Roman" w:hAnsi="Times New Roman"/>
                <w:szCs w:val="21"/>
              </w:rPr>
            </w:pPr>
            <w:r>
              <w:rPr>
                <w:rFonts w:ascii="Times New Roman" w:hAnsi="Times New Roman"/>
                <w:szCs w:val="21"/>
              </w:rPr>
            </w:r>
            <w:r/>
          </w:p>
        </w:tc>
      </w:tr>
      <w:tr>
        <w:trPr>
          <w:jc w:val="center"/>
          <w:trHeight w:val="675"/>
        </w:trPr>
        <w:tc>
          <w:tcPr>
            <w:tcBorders>
              <w:left w:val="single" w:color="auto" w:sz="4" w:space="0"/>
              <w:bottom w:val="single" w:color="auto" w:sz="4" w:space="0"/>
              <w:right w:val="single" w:color="auto" w:sz="4" w:space="0"/>
            </w:tcBorders>
            <w:tcW w:w="743"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2</w:t>
            </w:r>
            <w:r/>
          </w:p>
        </w:tc>
        <w:tc>
          <w:tcPr>
            <w:tcBorders>
              <w:bottom w:val="single" w:color="auto" w:sz="4" w:space="0"/>
              <w:right w:val="single" w:color="auto" w:sz="4" w:space="0"/>
            </w:tcBorders>
            <w:tcW w:w="5387" w:type="dxa"/>
            <w:vAlign w:val="center"/>
            <w:textDirection w:val="lrTb"/>
            <w:noWrap w:val="false"/>
          </w:tcPr>
          <w:p>
            <w:pPr>
              <w:contextualSpacing/>
              <w:jc w:val="left"/>
              <w:widowControl/>
              <w:rPr>
                <w:rFonts w:ascii="Times New Roman" w:hAnsi="Times New Roman"/>
                <w:szCs w:val="21"/>
              </w:rPr>
            </w:pPr>
            <w:r>
              <w:rPr>
                <w:rFonts w:hint="eastAsia" w:ascii="Times New Roman" w:hAnsi="Times New Roman"/>
                <w:szCs w:val="21"/>
              </w:rPr>
              <w:t xml:space="preserve">非执勤期间，擅自驾驶警用车辆的</w:t>
            </w:r>
            <w:r>
              <w:rPr>
                <w:rFonts w:ascii="Times New Roman" w:hAnsi="Times New Roman"/>
                <w:szCs w:val="21"/>
              </w:rPr>
              <w:t xml:space="preserve">，每</w:t>
            </w:r>
            <w:r>
              <w:rPr>
                <w:rFonts w:hint="eastAsia" w:ascii="Times New Roman" w:hAnsi="Times New Roman"/>
                <w:szCs w:val="21"/>
              </w:rPr>
              <w:t xml:space="preserve">次</w:t>
            </w:r>
            <w:r>
              <w:rPr>
                <w:rFonts w:ascii="Times New Roman" w:hAnsi="Times New Roman"/>
                <w:szCs w:val="21"/>
              </w:rPr>
              <w:t xml:space="preserve">扣</w:t>
            </w:r>
            <w:r>
              <w:rPr>
                <w:rFonts w:hint="eastAsia" w:ascii="Times New Roman" w:hAnsi="Times New Roman"/>
                <w:szCs w:val="21"/>
              </w:rPr>
              <w:t xml:space="preserve">1</w:t>
            </w:r>
            <w:r>
              <w:rPr>
                <w:rFonts w:ascii="Times New Roman" w:hAnsi="Times New Roman"/>
                <w:szCs w:val="21"/>
              </w:rPr>
              <w:t xml:space="preserve">分（</w:t>
            </w:r>
            <w:r>
              <w:rPr>
                <w:rFonts w:hint="eastAsia" w:ascii="Times New Roman" w:hAnsi="Times New Roman"/>
                <w:szCs w:val="21"/>
              </w:rPr>
              <w:t xml:space="preserve">4</w:t>
            </w:r>
            <w:r>
              <w:rPr>
                <w:rFonts w:ascii="Times New Roman" w:hAnsi="Times New Roman"/>
                <w:szCs w:val="21"/>
              </w:rPr>
              <w:t xml:space="preserve">分）</w:t>
            </w:r>
            <w:r/>
          </w:p>
        </w:tc>
        <w:tc>
          <w:tcPr>
            <w:tcBorders>
              <w:left w:val="single" w:color="auto" w:sz="4" w:space="0"/>
              <w:bottom w:val="single" w:color="auto" w:sz="4" w:space="0"/>
              <w:right w:val="single" w:color="auto" w:sz="4" w:space="0"/>
            </w:tcBorders>
            <w:tcW w:w="992"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r>
            <w:r/>
          </w:p>
        </w:tc>
        <w:tc>
          <w:tcPr>
            <w:tcBorders>
              <w:bottom w:val="single" w:color="auto" w:sz="4" w:space="0"/>
              <w:right w:val="single" w:color="auto" w:sz="4" w:space="0"/>
            </w:tcBorders>
            <w:tcW w:w="1764" w:type="dxa"/>
            <w:vAlign w:val="top"/>
            <w:textDirection w:val="lrTb"/>
            <w:noWrap w:val="false"/>
          </w:tcPr>
          <w:p>
            <w:pPr>
              <w:contextualSpacing/>
              <w:widowControl/>
              <w:rPr>
                <w:rFonts w:ascii="Times New Roman" w:hAnsi="Times New Roman"/>
                <w:szCs w:val="21"/>
              </w:rPr>
            </w:pPr>
            <w:r>
              <w:rPr>
                <w:rFonts w:ascii="Times New Roman" w:hAnsi="Times New Roman"/>
                <w:szCs w:val="21"/>
              </w:rPr>
            </w:r>
            <w:r/>
          </w:p>
        </w:tc>
      </w:tr>
      <w:tr>
        <w:trPr>
          <w:jc w:val="center"/>
          <w:trHeight w:val="900"/>
        </w:trPr>
        <w:tc>
          <w:tcPr>
            <w:tcBorders>
              <w:left w:val="single" w:color="auto" w:sz="4" w:space="0"/>
              <w:bottom w:val="single" w:color="auto" w:sz="4" w:space="0"/>
              <w:right w:val="single" w:color="auto" w:sz="4" w:space="0"/>
            </w:tcBorders>
            <w:tcW w:w="743"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3</w:t>
            </w:r>
            <w:r/>
          </w:p>
        </w:tc>
        <w:tc>
          <w:tcPr>
            <w:tcBorders>
              <w:bottom w:val="single" w:color="auto" w:sz="4" w:space="0"/>
              <w:right w:val="single" w:color="auto" w:sz="4" w:space="0"/>
            </w:tcBorders>
            <w:tcW w:w="5387"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t xml:space="preserve">禁止车辆反向行使</w:t>
            </w:r>
            <w:r>
              <w:rPr>
                <w:rFonts w:hint="eastAsia" w:ascii="Times New Roman" w:hAnsi="Times New Roman"/>
                <w:szCs w:val="21"/>
              </w:rPr>
              <w:t xml:space="preserve">，</w:t>
            </w:r>
            <w:r>
              <w:rPr>
                <w:rFonts w:ascii="Times New Roman" w:hAnsi="Times New Roman"/>
                <w:szCs w:val="21"/>
              </w:rPr>
              <w:t xml:space="preserve">禁止行人、自行车、电动车进入</w:t>
            </w:r>
            <w:r>
              <w:rPr>
                <w:rFonts w:hint="eastAsia" w:ascii="Times New Roman" w:hAnsi="Times New Roman"/>
                <w:szCs w:val="21"/>
              </w:rPr>
              <w:t xml:space="preserve">快速通道</w:t>
            </w:r>
            <w:r>
              <w:rPr>
                <w:rFonts w:ascii="Times New Roman" w:hAnsi="Times New Roman"/>
                <w:szCs w:val="21"/>
              </w:rPr>
              <w:t xml:space="preserve">，防止交通事故</w:t>
            </w:r>
            <w:r>
              <w:rPr>
                <w:rFonts w:hint="eastAsia" w:ascii="Times New Roman" w:hAnsi="Times New Roman"/>
                <w:szCs w:val="21"/>
              </w:rPr>
              <w:t xml:space="preserve">，</w:t>
            </w:r>
            <w:r>
              <w:rPr>
                <w:rFonts w:ascii="Times New Roman" w:hAnsi="Times New Roman"/>
                <w:szCs w:val="21"/>
              </w:rPr>
              <w:t xml:space="preserve">未及时阻止或发生擅自</w:t>
            </w:r>
            <w:r>
              <w:rPr>
                <w:rFonts w:hint="eastAsia" w:ascii="Times New Roman" w:hAnsi="Times New Roman"/>
                <w:szCs w:val="21"/>
              </w:rPr>
              <w:t xml:space="preserve">驶入</w:t>
            </w:r>
            <w:r>
              <w:rPr>
                <w:rFonts w:ascii="Times New Roman" w:hAnsi="Times New Roman"/>
                <w:szCs w:val="21"/>
              </w:rPr>
              <w:t xml:space="preserve">现象。每有一例扣</w:t>
            </w:r>
            <w:r>
              <w:rPr>
                <w:rFonts w:hint="eastAsia" w:ascii="Times New Roman" w:hAnsi="Times New Roman"/>
                <w:szCs w:val="21"/>
                <w:lang w:val="en-US" w:eastAsia="zh-CN"/>
              </w:rPr>
              <w:t xml:space="preserve">1</w:t>
            </w:r>
            <w:r>
              <w:rPr>
                <w:rFonts w:ascii="Times New Roman" w:hAnsi="Times New Roman"/>
                <w:szCs w:val="21"/>
              </w:rPr>
              <w:t xml:space="preserve">分（</w:t>
            </w:r>
            <w:r>
              <w:rPr>
                <w:rFonts w:hint="eastAsia" w:ascii="Times New Roman" w:hAnsi="Times New Roman"/>
                <w:szCs w:val="21"/>
                <w:lang w:val="en-US" w:eastAsia="zh-CN"/>
              </w:rPr>
              <w:t xml:space="preserve">5</w:t>
            </w:r>
            <w:r>
              <w:rPr>
                <w:rFonts w:ascii="Times New Roman" w:hAnsi="Times New Roman"/>
                <w:szCs w:val="21"/>
              </w:rPr>
              <w:t xml:space="preserve">分）</w:t>
            </w:r>
            <w:r/>
          </w:p>
        </w:tc>
        <w:tc>
          <w:tcPr>
            <w:tcBorders>
              <w:left w:val="single" w:color="auto" w:sz="4" w:space="0"/>
              <w:bottom w:val="single" w:color="auto" w:sz="4" w:space="0"/>
              <w:right w:val="single" w:color="auto" w:sz="4" w:space="0"/>
            </w:tcBorders>
            <w:tcW w:w="992"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r>
            <w:r/>
          </w:p>
        </w:tc>
        <w:tc>
          <w:tcPr>
            <w:tcBorders>
              <w:bottom w:val="single" w:color="auto" w:sz="4" w:space="0"/>
              <w:right w:val="single" w:color="auto" w:sz="4" w:space="0"/>
            </w:tcBorders>
            <w:tcW w:w="1764" w:type="dxa"/>
            <w:vAlign w:val="top"/>
            <w:textDirection w:val="lrTb"/>
            <w:noWrap w:val="false"/>
          </w:tcPr>
          <w:p>
            <w:pPr>
              <w:contextualSpacing/>
              <w:widowControl/>
              <w:rPr>
                <w:rFonts w:ascii="Times New Roman" w:hAnsi="Times New Roman"/>
                <w:szCs w:val="21"/>
              </w:rPr>
            </w:pPr>
            <w:r>
              <w:rPr>
                <w:rFonts w:ascii="Times New Roman" w:hAnsi="Times New Roman"/>
                <w:szCs w:val="21"/>
              </w:rPr>
            </w:r>
            <w:r/>
          </w:p>
        </w:tc>
      </w:tr>
      <w:tr>
        <w:trPr>
          <w:jc w:val="center"/>
          <w:trHeight w:val="485"/>
        </w:trPr>
        <w:tc>
          <w:tcPr>
            <w:tcBorders>
              <w:left w:val="single" w:color="auto" w:sz="4" w:space="0"/>
              <w:bottom w:val="single" w:color="auto" w:sz="4" w:space="0"/>
              <w:right w:val="single" w:color="auto" w:sz="4" w:space="0"/>
            </w:tcBorders>
            <w:tcW w:w="743"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4</w:t>
            </w:r>
            <w:r/>
          </w:p>
        </w:tc>
        <w:tc>
          <w:tcPr>
            <w:tcBorders>
              <w:bottom w:val="single" w:color="auto" w:sz="4" w:space="0"/>
              <w:right w:val="single" w:color="auto" w:sz="4" w:space="0"/>
            </w:tcBorders>
            <w:tcW w:w="5387"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t xml:space="preserve">注意自身安全，穿着反光背心和配备器材，出现违规，每有一例扣1分（</w:t>
            </w:r>
            <w:r>
              <w:rPr>
                <w:rFonts w:hint="eastAsia" w:ascii="Times New Roman" w:hAnsi="Times New Roman"/>
                <w:szCs w:val="21"/>
                <w:lang w:val="en-US" w:eastAsia="zh-CN"/>
              </w:rPr>
              <w:t xml:space="preserve">4</w:t>
            </w:r>
            <w:r>
              <w:rPr>
                <w:rFonts w:ascii="Times New Roman" w:hAnsi="Times New Roman"/>
                <w:szCs w:val="21"/>
              </w:rPr>
              <w:t xml:space="preserve">分）</w:t>
            </w:r>
            <w:r/>
          </w:p>
        </w:tc>
        <w:tc>
          <w:tcPr>
            <w:tcBorders>
              <w:left w:val="single" w:color="auto" w:sz="4" w:space="0"/>
              <w:bottom w:val="single" w:color="auto" w:sz="4" w:space="0"/>
              <w:right w:val="single" w:color="auto" w:sz="4" w:space="0"/>
            </w:tcBorders>
            <w:tcW w:w="992"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r>
            <w:r/>
          </w:p>
        </w:tc>
        <w:tc>
          <w:tcPr>
            <w:tcBorders>
              <w:bottom w:val="single" w:color="auto" w:sz="4" w:space="0"/>
              <w:right w:val="single" w:color="auto" w:sz="4" w:space="0"/>
            </w:tcBorders>
            <w:tcW w:w="1764" w:type="dxa"/>
            <w:vAlign w:val="top"/>
            <w:textDirection w:val="lrTb"/>
            <w:noWrap w:val="false"/>
          </w:tcPr>
          <w:p>
            <w:pPr>
              <w:contextualSpacing/>
              <w:widowControl/>
              <w:rPr>
                <w:rFonts w:ascii="Times New Roman" w:hAnsi="Times New Roman"/>
                <w:szCs w:val="21"/>
              </w:rPr>
            </w:pPr>
            <w:r>
              <w:rPr>
                <w:rFonts w:ascii="Times New Roman" w:hAnsi="Times New Roman"/>
                <w:szCs w:val="21"/>
              </w:rPr>
            </w:r>
            <w:r/>
          </w:p>
        </w:tc>
      </w:tr>
      <w:tr>
        <w:trPr>
          <w:jc w:val="center"/>
          <w:trHeight w:val="367"/>
        </w:trPr>
        <w:tc>
          <w:tcPr>
            <w:tcBorders>
              <w:left w:val="single" w:color="auto" w:sz="4" w:space="0"/>
              <w:bottom w:val="single" w:color="auto" w:sz="4" w:space="0"/>
              <w:right w:val="single" w:color="auto" w:sz="4" w:space="0"/>
            </w:tcBorders>
            <w:tcW w:w="743"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5</w:t>
            </w:r>
            <w:r/>
          </w:p>
        </w:tc>
        <w:tc>
          <w:tcPr>
            <w:tcBorders>
              <w:bottom w:val="single" w:color="auto" w:sz="4" w:space="0"/>
              <w:right w:val="single" w:color="auto" w:sz="4" w:space="0"/>
            </w:tcBorders>
            <w:tcW w:w="5387"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t xml:space="preserve">对</w:t>
            </w:r>
            <w:r>
              <w:rPr>
                <w:rFonts w:hint="eastAsia" w:ascii="Times New Roman" w:hAnsi="Times New Roman"/>
                <w:szCs w:val="21"/>
              </w:rPr>
              <w:t xml:space="preserve">交通标志标牌</w:t>
            </w:r>
            <w:r>
              <w:rPr>
                <w:rFonts w:ascii="Times New Roman" w:hAnsi="Times New Roman"/>
                <w:szCs w:val="21"/>
              </w:rPr>
              <w:t xml:space="preserve">设施进行日常巡查，做到对损坏的设施及时发现、及时</w:t>
            </w:r>
            <w:r>
              <w:rPr>
                <w:rFonts w:hint="eastAsia" w:ascii="Times New Roman" w:hAnsi="Times New Roman"/>
                <w:szCs w:val="21"/>
              </w:rPr>
              <w:t xml:space="preserve">上报</w:t>
            </w:r>
            <w:r>
              <w:rPr>
                <w:rFonts w:ascii="Times New Roman" w:hAnsi="Times New Roman"/>
                <w:szCs w:val="21"/>
              </w:rPr>
              <w:t xml:space="preserve">，否则每有一例扣0.5分（4分）</w:t>
            </w:r>
            <w:r/>
          </w:p>
        </w:tc>
        <w:tc>
          <w:tcPr>
            <w:tcBorders>
              <w:left w:val="single" w:color="auto" w:sz="4" w:space="0"/>
              <w:bottom w:val="single" w:color="auto" w:sz="4" w:space="0"/>
              <w:right w:val="single" w:color="auto" w:sz="4" w:space="0"/>
            </w:tcBorders>
            <w:tcW w:w="992"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r>
            <w:r/>
          </w:p>
        </w:tc>
        <w:tc>
          <w:tcPr>
            <w:tcBorders>
              <w:bottom w:val="single" w:color="auto" w:sz="4" w:space="0"/>
              <w:right w:val="single" w:color="auto" w:sz="4" w:space="0"/>
            </w:tcBorders>
            <w:tcW w:w="1764" w:type="dxa"/>
            <w:vAlign w:val="top"/>
            <w:textDirection w:val="lrTb"/>
            <w:noWrap w:val="false"/>
          </w:tcPr>
          <w:p>
            <w:pPr>
              <w:contextualSpacing/>
              <w:widowControl/>
              <w:rPr>
                <w:rFonts w:ascii="Times New Roman" w:hAnsi="Times New Roman"/>
                <w:szCs w:val="21"/>
              </w:rPr>
            </w:pPr>
            <w:r>
              <w:rPr>
                <w:rFonts w:ascii="Times New Roman" w:hAnsi="Times New Roman"/>
                <w:szCs w:val="21"/>
              </w:rPr>
            </w:r>
            <w:r/>
          </w:p>
        </w:tc>
      </w:tr>
      <w:tr>
        <w:trPr>
          <w:jc w:val="center"/>
          <w:trHeight w:val="1086"/>
        </w:trPr>
        <w:tc>
          <w:tcPr>
            <w:tcBorders>
              <w:left w:val="single" w:color="auto" w:sz="4" w:space="0"/>
              <w:bottom w:val="single" w:color="auto" w:sz="4" w:space="0"/>
              <w:right w:val="single" w:color="auto" w:sz="4" w:space="0"/>
            </w:tcBorders>
            <w:tcW w:w="743"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6</w:t>
            </w:r>
            <w:r/>
          </w:p>
        </w:tc>
        <w:tc>
          <w:tcPr>
            <w:tcBorders>
              <w:bottom w:val="single" w:color="auto" w:sz="4" w:space="0"/>
              <w:right w:val="single" w:color="auto" w:sz="4" w:space="0"/>
            </w:tcBorders>
            <w:tcW w:w="5387" w:type="dxa"/>
            <w:vAlign w:val="center"/>
            <w:textDirection w:val="lrTb"/>
            <w:noWrap w:val="false"/>
          </w:tcPr>
          <w:p>
            <w:pPr>
              <w:contextualSpacing/>
              <w:jc w:val="left"/>
              <w:widowControl/>
              <w:rPr>
                <w:rFonts w:ascii="Times New Roman" w:hAnsi="Times New Roman"/>
                <w:szCs w:val="21"/>
              </w:rPr>
            </w:pPr>
            <w:r>
              <w:rPr>
                <w:rFonts w:hint="eastAsia" w:ascii="Times New Roman" w:hAnsi="Times New Roman"/>
                <w:szCs w:val="21"/>
              </w:rPr>
              <w:t xml:space="preserve">工作推诿、拖拉、出工不出力，未能按要求完成民警交办的工作任务，</w:t>
            </w:r>
            <w:r>
              <w:rPr>
                <w:rFonts w:ascii="Times New Roman" w:hAnsi="Times New Roman"/>
                <w:szCs w:val="21"/>
              </w:rPr>
              <w:t xml:space="preserve">每次扣1分。（</w:t>
            </w:r>
            <w:r>
              <w:rPr>
                <w:rFonts w:hint="eastAsia" w:ascii="Times New Roman" w:hAnsi="Times New Roman"/>
                <w:szCs w:val="21"/>
                <w:lang w:val="en-US" w:eastAsia="zh-CN"/>
              </w:rPr>
              <w:t xml:space="preserve">4</w:t>
            </w:r>
            <w:r>
              <w:rPr>
                <w:rFonts w:ascii="Times New Roman" w:hAnsi="Times New Roman"/>
                <w:szCs w:val="21"/>
              </w:rPr>
              <w:t xml:space="preserve">分）</w:t>
            </w:r>
            <w:r/>
          </w:p>
        </w:tc>
        <w:tc>
          <w:tcPr>
            <w:tcBorders>
              <w:left w:val="single" w:color="auto" w:sz="4" w:space="0"/>
              <w:bottom w:val="single" w:color="auto" w:sz="4" w:space="0"/>
              <w:right w:val="single" w:color="auto" w:sz="4" w:space="0"/>
            </w:tcBorders>
            <w:tcW w:w="992" w:type="dxa"/>
            <w:vAlign w:val="center"/>
            <w:textDirection w:val="lrTb"/>
            <w:noWrap w:val="false"/>
          </w:tcPr>
          <w:p>
            <w:pPr>
              <w:contextualSpacing/>
              <w:jc w:val="left"/>
              <w:widowControl/>
              <w:rPr>
                <w:rFonts w:ascii="Times New Roman" w:hAnsi="Times New Roman"/>
                <w:szCs w:val="21"/>
              </w:rPr>
            </w:pPr>
            <w:r>
              <w:rPr>
                <w:rFonts w:ascii="Times New Roman" w:hAnsi="Times New Roman"/>
                <w:szCs w:val="21"/>
              </w:rPr>
            </w:r>
            <w:r/>
          </w:p>
        </w:tc>
        <w:tc>
          <w:tcPr>
            <w:tcBorders>
              <w:bottom w:val="single" w:color="auto" w:sz="4" w:space="0"/>
              <w:right w:val="single" w:color="auto" w:sz="4" w:space="0"/>
            </w:tcBorders>
            <w:tcW w:w="1764" w:type="dxa"/>
            <w:vAlign w:val="top"/>
            <w:textDirection w:val="lrTb"/>
            <w:noWrap w:val="false"/>
          </w:tcPr>
          <w:p>
            <w:pPr>
              <w:contextualSpacing/>
              <w:widowControl/>
              <w:rPr>
                <w:rFonts w:ascii="Times New Roman" w:hAnsi="Times New Roman"/>
                <w:szCs w:val="21"/>
              </w:rPr>
            </w:pPr>
            <w:r>
              <w:rPr>
                <w:rFonts w:ascii="Times New Roman" w:hAnsi="Times New Roman"/>
                <w:szCs w:val="21"/>
              </w:rPr>
            </w:r>
            <w:r/>
          </w:p>
        </w:tc>
      </w:tr>
      <w:tr>
        <w:trPr>
          <w:jc w:val="center"/>
          <w:trHeight w:val="84"/>
        </w:trPr>
        <w:tc>
          <w:tcPr>
            <w:gridSpan w:val="2"/>
            <w:tcBorders>
              <w:top w:val="single" w:color="auto" w:sz="4" w:space="0"/>
              <w:left w:val="single" w:color="auto" w:sz="4" w:space="0"/>
              <w:bottom w:val="single" w:color="auto" w:sz="4" w:space="0"/>
              <w:right w:val="single" w:color="auto" w:sz="4" w:space="0"/>
            </w:tcBorders>
            <w:tcW w:w="6130" w:type="dxa"/>
            <w:vAlign w:val="center"/>
            <w:textDirection w:val="lrTb"/>
            <w:noWrap w:val="false"/>
          </w:tcPr>
          <w:p>
            <w:pPr>
              <w:contextualSpacing/>
              <w:jc w:val="center"/>
              <w:widowControl/>
              <w:rPr>
                <w:rFonts w:ascii="Times New Roman" w:hAnsi="Times New Roman"/>
                <w:szCs w:val="21"/>
              </w:rPr>
            </w:pPr>
            <w:r>
              <w:rPr>
                <w:rFonts w:ascii="Times New Roman" w:hAnsi="Times New Roman"/>
                <w:szCs w:val="21"/>
              </w:rPr>
              <w:t xml:space="preserve">得       分</w:t>
            </w:r>
            <w:r/>
          </w:p>
        </w:tc>
        <w:tc>
          <w:tcPr>
            <w:gridSpan w:val="2"/>
            <w:tcBorders>
              <w:top w:val="single" w:color="auto" w:sz="4" w:space="0"/>
              <w:bottom w:val="single" w:color="auto" w:sz="4" w:space="0"/>
              <w:right w:val="single" w:color="auto" w:sz="4" w:space="0"/>
            </w:tcBorders>
            <w:tcW w:w="2756" w:type="dxa"/>
            <w:vAlign w:val="top"/>
            <w:textDirection w:val="lrTb"/>
            <w:noWrap w:val="false"/>
          </w:tcPr>
          <w:p>
            <w:pPr>
              <w:contextualSpacing/>
              <w:widowControl/>
              <w:rPr>
                <w:rFonts w:ascii="Times New Roman" w:hAnsi="Times New Roman"/>
                <w:szCs w:val="21"/>
              </w:rPr>
            </w:pPr>
            <w:r>
              <w:rPr>
                <w:rFonts w:ascii="Times New Roman" w:hAnsi="Times New Roman"/>
                <w:szCs w:val="21"/>
              </w:rPr>
            </w:r>
            <w:r/>
          </w:p>
        </w:tc>
      </w:tr>
    </w:tbl>
    <w:p>
      <w:pPr>
        <w:ind w:right="0" w:firstLine="420"/>
        <w:jc w:val="both"/>
        <w:pageBreakBefore w:val="0"/>
        <w:spacing w:line="360" w:lineRule="auto"/>
        <w:rPr>
          <w:rFonts w:hint="eastAsia" w:ascii="Times New Roman" w:hAnsi="Times New Roman" w:eastAsia="宋体" w:cs="宋体"/>
          <w:b w:val="0"/>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lang w:val="en-US" w:eastAsia="zh-CN"/>
        </w:rPr>
      </w:r>
      <w:r/>
    </w:p>
    <w:p>
      <w:pPr>
        <w:ind w:right="0"/>
        <w:jc w:val="both"/>
        <w:pageBreakBefore w:val="0"/>
        <w:spacing w:line="360" w:lineRule="auto"/>
        <w:rPr>
          <w:rFonts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ascii="仿宋_GB2312" w:hAnsi="仿宋_GB2312" w:eastAsia="仿宋_GB2312" w:cs="仿宋_GB2312"/>
          <w:sz w:val="24"/>
        </w:rPr>
        <w:t xml:space="preserve">考核人（签字）：       </w:t>
      </w:r>
      <w:r>
        <w:rPr>
          <w:rFonts w:hint="eastAsia" w:ascii="仿宋_GB2312" w:hAnsi="仿宋_GB2312" w:eastAsia="仿宋_GB2312" w:cs="仿宋_GB2312"/>
          <w:sz w:val="24"/>
          <w:lang w:val="en-US" w:eastAsia="zh-CN"/>
        </w:rPr>
        <w:t xml:space="preserve"> </w:t>
      </w:r>
      <w:r>
        <w:rPr>
          <w:rFonts w:ascii="仿宋_GB2312" w:hAnsi="仿宋_GB2312" w:eastAsia="仿宋_GB2312" w:cs="仿宋_GB2312"/>
          <w:sz w:val="24"/>
        </w:rPr>
        <w:t xml:space="preserve">分管领导（签字）：       </w:t>
      </w:r>
      <w:r>
        <w:rPr>
          <w:rFonts w:hint="eastAsia" w:ascii="仿宋_GB2312" w:hAnsi="仿宋_GB2312" w:eastAsia="仿宋_GB2312" w:cs="仿宋_GB2312"/>
          <w:sz w:val="24"/>
        </w:rPr>
        <w:t xml:space="preserve"> </w:t>
      </w:r>
      <w:r>
        <w:rPr>
          <w:rFonts w:ascii="仿宋_GB2312" w:hAnsi="仿宋_GB2312" w:eastAsia="仿宋_GB2312" w:cs="仿宋_GB2312"/>
          <w:sz w:val="24"/>
        </w:rPr>
        <w:t xml:space="preserve">主管领导（签字）</w:t>
      </w:r>
      <w:r>
        <w:rPr>
          <w:rFonts w:ascii="仿宋_GB2312" w:hAnsi="仿宋_GB2312" w:eastAsia="仿宋_GB2312" w:cs="仿宋_GB2312"/>
          <w:sz w:val="32"/>
          <w:szCs w:val="32"/>
        </w:rPr>
        <w:t xml:space="preserve">： </w:t>
      </w:r>
      <w:r/>
    </w:p>
    <w:p>
      <w:pPr>
        <w:ind w:right="0" w:firstLine="420"/>
        <w:jc w:val="both"/>
        <w:pageBreakBefore w:val="0"/>
        <w:spacing w:line="360" w:lineRule="auto"/>
        <w:rPr>
          <w:rFonts w:hint="eastAsia" w:ascii="Times New Roman" w:hAnsi="Times New Roman" w:eastAsia="宋体" w:cs="宋体"/>
          <w:b w:val="0"/>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color w:val="auto"/>
          <w:sz w:val="21"/>
          <w:szCs w:val="21"/>
          <w:highlight w:val="none"/>
          <w:lang w:val="en-US" w:eastAsia="zh-CN"/>
        </w:rPr>
        <w:t xml:space="preserve">8.其他事项（以下加★项为必备项，不满足不进入实质性评审）</w:t>
      </w:r>
      <w:r/>
    </w:p>
    <w:p>
      <w:pPr>
        <w:ind w:right="0" w:firstLine="420"/>
        <w:jc w:val="both"/>
        <w:pageBreakBefore w:val="0"/>
        <w:spacing w:line="360" w:lineRule="auto"/>
        <w:rPr>
          <w:rFonts w:hint="eastAsia" w:ascii="Times New Roman" w:hAnsi="Times New Roman" w:eastAsia="宋体" w:cs="宋体"/>
          <w:b w:val="0"/>
          <w:bCs/>
          <w:i/>
          <w:iCs/>
          <w:color w:val="auto"/>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i/>
          <w:iCs/>
          <w:color w:val="auto"/>
          <w:sz w:val="21"/>
          <w:szCs w:val="21"/>
          <w:highlight w:val="none"/>
          <w:u w:val="single"/>
          <w:lang w:val="en-US" w:eastAsia="zh-CN"/>
        </w:rPr>
        <w:t xml:space="preserve">★8.1投标报价应包括所有的费用：人员工资、法定的社会保险、住房公积金、法定税费、管理费、节假日福利、加班费、服装费、工具折旧费、日常耗材费等（含为完成采购文件规定的服务工作所涉及到的一切相关费用）。不得安排工作人员超时限加班。</w:t>
      </w:r>
      <w:r/>
    </w:p>
    <w:p>
      <w:pPr>
        <w:ind w:right="0" w:firstLine="420"/>
        <w:jc w:val="both"/>
        <w:pageBreakBefore w:val="0"/>
        <w:spacing w:line="360" w:lineRule="auto"/>
        <w:rPr>
          <w:rFonts w:hint="eastAsia" w:ascii="Times New Roman" w:hAnsi="Times New Roman" w:eastAsia="宋体" w:cs="宋体"/>
          <w:b w:val="0"/>
          <w:bCs/>
          <w:i/>
          <w:iCs/>
          <w:color w:val="auto"/>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i/>
          <w:iCs/>
          <w:color w:val="auto"/>
          <w:sz w:val="21"/>
          <w:szCs w:val="21"/>
          <w:highlight w:val="none"/>
          <w:u w:val="single"/>
          <w:lang w:val="en-US" w:eastAsia="zh-CN"/>
        </w:rPr>
        <w:t xml:space="preserve">★8.2报价时，人员工资低于扬州市最低工资标准及未依法测算缴纳社会保险的作无效报价处理。</w:t>
      </w:r>
      <w:r/>
    </w:p>
    <w:p>
      <w:pPr>
        <w:ind w:right="0" w:firstLine="420"/>
        <w:jc w:val="both"/>
        <w:pageBreakBefore w:val="0"/>
        <w:spacing w:line="360" w:lineRule="auto"/>
        <w:rPr>
          <w:rFonts w:hint="eastAsia" w:ascii="Times New Roman" w:hAnsi="Times New Roman" w:eastAsia="宋体" w:cs="宋体"/>
          <w:b w:val="0"/>
          <w:bCs/>
          <w:i w:val="0"/>
          <w:iCs w:val="0"/>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i w:val="0"/>
          <w:iCs w:val="0"/>
          <w:color w:val="auto"/>
          <w:sz w:val="21"/>
          <w:szCs w:val="21"/>
          <w:highlight w:val="none"/>
          <w:u w:val="none"/>
          <w:lang w:val="en-US" w:eastAsia="zh-CN"/>
        </w:rPr>
        <w:t xml:space="preserve">8.3因突发情况（如台风、雨雪、冰雹、霜冻等天气或气候因素，或车辆、行人等人为因素，或是其它因素，以及复合因素或不明原因的情况）导致的道路安全隐患必须及时清除，不论这些因素是可预测或不可预测的，均已包含在投标报价中。除采购人要求外，不作调整。</w:t>
      </w:r>
      <w:r/>
    </w:p>
    <w:p>
      <w:pPr>
        <w:ind w:right="0" w:firstLine="420"/>
        <w:jc w:val="both"/>
        <w:pageBreakBefore w:val="0"/>
        <w:spacing w:line="360" w:lineRule="auto"/>
        <w:rPr>
          <w:rFonts w:hint="eastAsia" w:ascii="Times New Roman" w:hAnsi="Times New Roman" w:eastAsia="宋体" w:cs="宋体"/>
          <w:b w:val="0"/>
          <w:bCs/>
          <w:i/>
          <w:iCs/>
          <w:color w:val="auto"/>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i/>
          <w:iCs/>
          <w:color w:val="auto"/>
          <w:sz w:val="21"/>
          <w:szCs w:val="21"/>
          <w:highlight w:val="none"/>
          <w:u w:val="single"/>
          <w:lang w:val="en-US" w:eastAsia="zh-CN"/>
        </w:rPr>
        <w:t xml:space="preserve">★8.4中标人的作业安全及相关责任自负，且应为交通协管员购买必要的意外伤害保险；且任何劳动用工与工伤事故纠纷，与采购人无关（投标人须提供承诺书并加盖公章）。 </w:t>
      </w:r>
      <w:r/>
    </w:p>
    <w:p>
      <w:pP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r>
      <w:r/>
    </w:p>
    <w:p>
      <w:pPr>
        <w:pageBreakBefore w:val="0"/>
        <w:spacing w:line="360" w:lineRule="auto"/>
        <w:rPr>
          <w:rFonts w:ascii="Times New Roman" w:hAnsi="Times New Roman" w:eastAsia="宋体" w:cs="宋体"/>
          <w:b/>
          <w:color w:val="auto"/>
          <w:szCs w:val="21"/>
          <w:highlight w:val="none"/>
        </w:rPr>
      </w:pPr>
      <w:r>
        <w:rPr>
          <w:rFonts w:hint="eastAsia" w:ascii="Times New Roman" w:hAnsi="Times New Roman" w:cs="宋体"/>
          <w:b/>
          <w:color w:val="auto"/>
          <w:szCs w:val="21"/>
          <w:highlight w:val="none"/>
          <w:lang w:val="en-US" w:eastAsia="zh-CN"/>
        </w:rPr>
        <w:t xml:space="preserve">四</w:t>
      </w:r>
      <w:r>
        <w:rPr>
          <w:rFonts w:hint="eastAsia" w:ascii="Times New Roman" w:hAnsi="Times New Roman" w:eastAsia="宋体" w:cs="宋体"/>
          <w:b/>
          <w:color w:val="auto"/>
          <w:szCs w:val="21"/>
          <w:highlight w:val="none"/>
        </w:rPr>
        <w:t xml:space="preserve">、节能产品要求</w:t>
      </w:r>
      <w:r/>
    </w:p>
    <w:p>
      <w:pPr>
        <w:ind w:firstLine="420"/>
        <w:pageBreakBefore w:val="0"/>
        <w:spacing w:line="360" w:lineRule="auto"/>
        <w:rPr>
          <w:rFonts w:hint="eastAsia" w:ascii="Times New Roman" w:hAnsi="Times New Roman" w:eastAsia="宋体" w:cs="宋体"/>
          <w:b/>
          <w:bCs/>
          <w:i/>
          <w:iCs/>
          <w:color w:val="auto"/>
          <w:szCs w:val="21"/>
          <w:highlight w:val="none"/>
          <w:u w:val="single"/>
        </w:rPr>
      </w:pPr>
      <w:r>
        <w:rPr>
          <w:rFonts w:hint="eastAsia" w:ascii="Times New Roman" w:hAnsi="Times New Roman" w:eastAsia="宋体" w:cs="宋体"/>
          <w:iCs/>
          <w:color w:val="auto"/>
          <w:szCs w:val="21"/>
          <w:highlight w:val="none"/>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Times New Roman" w:hAnsi="Times New Roman" w:eastAsia="宋体" w:cs="宋体"/>
          <w:i/>
          <w:iCs/>
          <w:color w:val="auto"/>
          <w:szCs w:val="21"/>
          <w:highlight w:val="none"/>
          <w:u w:val="single"/>
        </w:rPr>
        <w:t xml:space="preserve">并在投标文件内提供由国家确定的认证机构出具的、处于有效期之内的节能产品认证证书原件，扫描上传，否则视为无效投标。</w:t>
      </w:r>
      <w:r>
        <w:rPr>
          <w:rFonts w:hint="eastAsia" w:ascii="Times New Roman" w:hAnsi="Times New Roman" w:eastAsia="宋体" w:cs="宋体"/>
          <w:b/>
          <w:bCs/>
          <w:i/>
          <w:iCs/>
          <w:color w:val="auto"/>
          <w:szCs w:val="21"/>
          <w:highlight w:val="none"/>
          <w:u w:val="single"/>
        </w:rPr>
        <w:t xml:space="preserve">（本项目涉及强制采购范围内产品有：无）</w:t>
      </w:r>
      <w:r/>
    </w:p>
    <w:p>
      <w:pPr>
        <w:pageBreakBefore w:val="0"/>
        <w:spacing w:line="360" w:lineRule="auto"/>
        <w:rPr>
          <w:rFonts w:hint="eastAsia" w:ascii="Times New Roman" w:hAnsi="Times New Roman" w:eastAsia="宋体" w:cs="宋体"/>
          <w:b/>
          <w:color w:val="auto"/>
          <w:szCs w:val="21"/>
          <w:highlight w:val="none"/>
          <w:lang w:val="en-US" w:eastAsia="zh-CN"/>
        </w:rPr>
      </w:pPr>
      <w:r>
        <w:rPr>
          <w:rFonts w:hint="eastAsia" w:ascii="Times New Roman" w:hAnsi="Times New Roman" w:eastAsia="宋体" w:cs="宋体"/>
          <w:b/>
          <w:color w:val="auto"/>
          <w:szCs w:val="21"/>
          <w:highlight w:val="none"/>
          <w:lang w:val="en-US" w:eastAsia="zh-CN"/>
        </w:rPr>
      </w:r>
      <w:r/>
    </w:p>
    <w:p>
      <w:pP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cs="宋体"/>
          <w:b/>
          <w:color w:val="auto"/>
          <w:szCs w:val="21"/>
          <w:highlight w:val="none"/>
          <w:lang w:val="en-US" w:eastAsia="zh-CN"/>
        </w:rPr>
        <w:t xml:space="preserve">五</w:t>
      </w:r>
      <w:r>
        <w:rPr>
          <w:rFonts w:hint="eastAsia" w:ascii="Times New Roman" w:hAnsi="Times New Roman" w:eastAsia="宋体" w:cs="宋体"/>
          <w:b/>
          <w:color w:val="auto"/>
          <w:szCs w:val="21"/>
          <w:highlight w:val="none"/>
          <w:lang w:val="en-US" w:eastAsia="zh-CN"/>
        </w:rPr>
        <w:t xml:space="preserve">、</w:t>
      </w:r>
      <w:r>
        <w:rPr>
          <w:rFonts w:hint="eastAsia" w:ascii="Times New Roman" w:hAnsi="Times New Roman" w:eastAsia="宋体" w:cs="宋体"/>
          <w:b/>
          <w:color w:val="auto"/>
          <w:szCs w:val="21"/>
          <w:highlight w:val="none"/>
        </w:rPr>
        <w:t xml:space="preserve">政府采购中实施本国产品标准及相关政策</w:t>
      </w:r>
      <w:r/>
    </w:p>
    <w:p>
      <w:pPr>
        <w:ind w:firstLine="420"/>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t xml:space="preserve">1</w:t>
      </w:r>
      <w:r>
        <w:rPr>
          <w:rFonts w:hint="eastAsia" w:ascii="Times New Roman" w:hAnsi="Times New Roman" w:eastAsia="宋体" w:cs="宋体"/>
          <w:iCs/>
          <w:color w:val="auto"/>
          <w:szCs w:val="21"/>
          <w:highlight w:val="none"/>
          <w:lang w:eastAsia="zh-CN"/>
        </w:rPr>
        <w:t xml:space="preserve">、</w:t>
      </w:r>
      <w:r>
        <w:rPr>
          <w:rFonts w:hint="eastAsia" w:ascii="Times New Roman" w:hAnsi="Times New Roman" w:eastAsia="宋体" w:cs="宋体"/>
          <w:iCs/>
          <w:color w:val="auto"/>
          <w:szCs w:val="21"/>
          <w:highlight w:val="none"/>
        </w:rPr>
        <w:t xml:space="preserve">本项目对采购本国产品给予政策支持，具体内容见招标文件“第五章 评标方法与评标标准”。</w:t>
      </w:r>
      <w:r/>
    </w:p>
    <w:p>
      <w:pPr>
        <w:ind w:firstLine="420"/>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t xml:space="preserve">2</w:t>
      </w:r>
      <w:r>
        <w:rPr>
          <w:rFonts w:hint="eastAsia" w:ascii="Times New Roman" w:hAnsi="Times New Roman" w:eastAsia="宋体" w:cs="宋体"/>
          <w:iCs/>
          <w:color w:val="auto"/>
          <w:szCs w:val="21"/>
          <w:highlight w:val="none"/>
          <w:lang w:eastAsia="zh-CN"/>
        </w:rPr>
        <w:t xml:space="preserve">、</w:t>
      </w:r>
      <w:r>
        <w:rPr>
          <w:rFonts w:hint="eastAsia" w:ascii="Times New Roman" w:hAnsi="Times New Roman" w:eastAsia="宋体" w:cs="宋体"/>
          <w:iCs/>
          <w:color w:val="auto"/>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t xml:space="preserve">3</w:t>
      </w:r>
      <w:r>
        <w:rPr>
          <w:rFonts w:hint="eastAsia" w:ascii="Times New Roman" w:hAnsi="Times New Roman" w:eastAsia="宋体" w:cs="宋体"/>
          <w:iCs/>
          <w:color w:val="auto"/>
          <w:szCs w:val="21"/>
          <w:highlight w:val="none"/>
          <w:lang w:eastAsia="zh-CN"/>
        </w:rPr>
        <w:t xml:space="preserve">、</w:t>
      </w:r>
      <w:r>
        <w:rPr>
          <w:rFonts w:hint="eastAsia" w:ascii="Times New Roman" w:hAnsi="Times New Roman" w:eastAsia="宋体" w:cs="宋体"/>
          <w:iCs/>
          <w:color w:val="auto"/>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pageBreakBefore w:val="0"/>
        <w:spacing w:line="360" w:lineRule="auto"/>
        <w:rPr>
          <w:rFonts w:hint="eastAsia" w:ascii="Times New Roman" w:hAnsi="Times New Roman" w:eastAsia="宋体" w:cs="宋体"/>
          <w:b/>
          <w:bCs/>
          <w:i/>
          <w:iCs/>
          <w:color w:val="auto"/>
          <w:szCs w:val="21"/>
          <w:highlight w:val="none"/>
          <w:u w:val="single"/>
        </w:rPr>
      </w:pPr>
      <w:r>
        <w:rPr>
          <w:rFonts w:hint="eastAsia" w:ascii="Times New Roman" w:hAnsi="Times New Roman" w:eastAsia="宋体" w:cs="宋体"/>
          <w:b/>
          <w:bCs/>
          <w:i/>
          <w:iCs/>
          <w:color w:val="auto"/>
          <w:szCs w:val="21"/>
          <w:highlight w:val="none"/>
          <w:u w:val="single"/>
        </w:rPr>
      </w:r>
      <w:r/>
    </w:p>
    <w:p>
      <w:pPr>
        <w:ind w:firstLine="422"/>
        <w:jc w:val="left"/>
        <w:pageBreakBefore w:val="0"/>
        <w:spacing w:line="360" w:lineRule="auto"/>
        <w:rPr>
          <w:rFonts w:ascii="Times New Roman" w:hAnsi="Times New Roman" w:eastAsia="宋体" w:cs="宋体"/>
          <w:b/>
          <w:bCs/>
          <w:i/>
          <w:iCs/>
          <w:color w:val="auto"/>
          <w:szCs w:val="21"/>
          <w:highlight w:val="none"/>
          <w:u w:val="single"/>
        </w:rPr>
      </w:pPr>
      <w:r>
        <w:rPr>
          <w:rFonts w:ascii="Times New Roman" w:hAnsi="Times New Roman" w:eastAsia="宋体" w:cs="宋体"/>
          <w:b/>
          <w:bCs/>
          <w:i/>
          <w:iCs/>
          <w:color w:val="auto"/>
          <w:szCs w:val="21"/>
          <w:highlight w:val="none"/>
          <w:u w:val="single"/>
        </w:rPr>
      </w:r>
      <w:r/>
    </w:p>
    <w:p>
      <w:pPr>
        <w:pStyle w:val="715"/>
        <w:jc w:val="center"/>
        <w:pageBreakBefore w:val="0"/>
        <w:spacing w:before="0" w:after="0" w:line="360" w:lineRule="auto"/>
        <w:rPr>
          <w:rFonts w:ascii="Times New Roman" w:hAnsi="Times New Roman" w:eastAsia="宋体"/>
          <w:color w:val="auto"/>
          <w:sz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olor w:val="auto"/>
          <w:sz w:val="36"/>
          <w:highlight w:val="none"/>
        </w:rPr>
      </w:r>
      <w:r/>
    </w:p>
    <w:p>
      <w:pPr>
        <w:pStyle w:val="715"/>
        <w:jc w:val="center"/>
        <w:pageBreakBefore w:val="0"/>
        <w:spacing w:before="0" w:after="0" w:line="360" w:lineRule="auto"/>
        <w:rPr>
          <w:rFonts w:ascii="Times New Roman" w:hAnsi="Times New Roman" w:eastAsia="宋体"/>
          <w:color w:val="auto"/>
          <w:sz w:val="36"/>
          <w:szCs w:val="36"/>
          <w:highlight w:val="none"/>
        </w:rPr>
      </w:pPr>
      <w:r/>
      <w:bookmarkStart w:id="62" w:name="_Toc7661"/>
      <w:r>
        <w:rPr>
          <w:rFonts w:hint="eastAsia" w:ascii="Times New Roman" w:hAnsi="Times New Roman" w:eastAsia="宋体"/>
          <w:color w:val="auto"/>
          <w:sz w:val="36"/>
          <w:szCs w:val="36"/>
          <w:highlight w:val="none"/>
        </w:rPr>
        <w:t xml:space="preserve">第五章</w:t>
      </w:r>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评标方法及评标标准</w:t>
      </w:r>
      <w:bookmarkEnd w:id="61"/>
      <w:r/>
      <w:bookmarkEnd w:id="62"/>
      <w:r/>
      <w:r/>
    </w:p>
    <w:p>
      <w:pPr>
        <w:pStyle w:val="917"/>
        <w:ind w:firstLine="422"/>
        <w:pageBreakBefore w:val="0"/>
        <w:spacing w:before="0" w:after="0" w:line="360" w:lineRule="auto"/>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 xml:space="preserve">一、评标方法</w:t>
      </w:r>
      <w:r/>
    </w:p>
    <w:p>
      <w:pPr>
        <w:pStyle w:val="917"/>
        <w:ind w:firstLine="420"/>
        <w:pageBreakBefore w:val="0"/>
        <w:spacing w:before="0" w:after="0" w:line="360" w:lineRule="auto"/>
        <w:rPr>
          <w:rFonts w:ascii="Times New Roman" w:hAnsi="Times New Roman" w:eastAsia="宋体"/>
          <w:color w:val="auto"/>
          <w:sz w:val="21"/>
          <w:szCs w:val="21"/>
          <w:highlight w:val="none"/>
        </w:rPr>
      </w:pPr>
      <w:r/>
      <w:bookmarkStart w:id="63" w:name="_Toc449017024"/>
      <w:r/>
      <w:bookmarkStart w:id="64" w:name="_Toc449016388"/>
      <w:r>
        <w:rPr>
          <w:rFonts w:hint="eastAsia" w:ascii="Times New Roman" w:hAnsi="Times New Roman" w:eastAsia="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t xml:space="preserve">二、</w:t>
      </w:r>
      <w:r>
        <w:rPr>
          <w:rFonts w:hint="eastAsia" w:ascii="Times New Roman" w:hAnsi="Times New Roman" w:eastAsia="宋体"/>
          <w:b/>
          <w:color w:val="auto"/>
          <w:szCs w:val="21"/>
          <w:highlight w:val="none"/>
        </w:rPr>
        <w:t xml:space="preserve">政府采购政策功能落实</w:t>
      </w:r>
      <w:bookmarkEnd w:id="63"/>
      <w:r/>
      <w:bookmarkEnd w:id="64"/>
      <w:r/>
      <w:r/>
    </w:p>
    <w:p>
      <w:pPr>
        <w:ind w:firstLine="420"/>
        <w:pageBreakBefore w:val="0"/>
        <w:spacing w:line="360" w:lineRule="auto"/>
        <w:rPr>
          <w:rFonts w:ascii="Times New Roman" w:hAnsi="Times New Roman" w:eastAsia="宋体"/>
          <w:b/>
          <w:color w:val="auto"/>
          <w:szCs w:val="21"/>
          <w:highlight w:val="none"/>
        </w:rPr>
      </w:pPr>
      <w:r>
        <w:rPr>
          <w:rFonts w:ascii="Times New Roman" w:hAnsi="Times New Roman" w:eastAsia="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17"/>
        <w:ind w:left="315" w:firstLine="10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1、小微型企业价格扣除</w:t>
      </w:r>
      <w:r/>
    </w:p>
    <w:p>
      <w:pPr>
        <w:pStyle w:val="917"/>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（1）本项目对小型和微型企业产品给予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%的扣除价格，用扣除后的价格参与评审。</w:t>
      </w:r>
      <w:r/>
    </w:p>
    <w:p>
      <w:pPr>
        <w:pStyle w:val="917"/>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（2）供应商需按照采购文件的要求提供相应的《</w:t>
      </w:r>
      <w:r>
        <w:rPr>
          <w:rFonts w:hint="eastAsia" w:ascii="Times New Roman" w:hAnsi="Times New Roman" w:eastAsia="宋体"/>
          <w:color w:val="auto"/>
          <w:sz w:val="21"/>
          <w:szCs w:val="21"/>
          <w:highlight w:val="none"/>
        </w:rPr>
        <w:t xml:space="preserve">中小</w:t>
      </w:r>
      <w:r>
        <w:rPr>
          <w:rFonts w:ascii="Times New Roman" w:hAnsi="Times New Roman" w:eastAsia="宋体"/>
          <w:color w:val="auto"/>
          <w:sz w:val="21"/>
          <w:szCs w:val="21"/>
          <w:highlight w:val="none"/>
        </w:rPr>
        <w:t xml:space="preserve">企业声明函》。</w:t>
      </w:r>
      <w:r/>
    </w:p>
    <w:p>
      <w:pPr>
        <w:pStyle w:val="917"/>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2、残疾人福利单位价格扣除</w:t>
      </w:r>
      <w:r/>
    </w:p>
    <w:p>
      <w:pPr>
        <w:pStyle w:val="917"/>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（1）本项目对残疾人福利性单位视同小型、微型企业，给予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%的价格扣除，用扣除后的价格参与评审。</w:t>
      </w:r>
      <w:r/>
    </w:p>
    <w:p>
      <w:pPr>
        <w:pStyle w:val="917"/>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（2）残疾人福利单位需按照采购文件的要求提供《残疾人福利性单位声明函》。</w:t>
      </w:r>
      <w:r/>
    </w:p>
    <w:p>
      <w:pPr>
        <w:pStyle w:val="917"/>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（3）残疾人福利单位标准请参照《关于促进残疾人就业政府采购政策的通知》（财库2017〕141号）。</w:t>
      </w:r>
      <w:r/>
    </w:p>
    <w:p>
      <w:pPr>
        <w:pStyle w:val="917"/>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3、监狱和戒毒企业价格扣除</w:t>
      </w:r>
      <w:r/>
    </w:p>
    <w:p>
      <w:pPr>
        <w:pStyle w:val="917"/>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（1）本项目对监狱和戒毒企业（简称监狱企业）视同小型、微型企业，给予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%的价格扣除，用扣除后的价格参与评审。</w:t>
      </w:r>
      <w:r/>
    </w:p>
    <w:p>
      <w:pPr>
        <w:pStyle w:val="917"/>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17"/>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（3）监狱企业标准请参照《关于政府采购支持监狱企业发展有关问题的通知》（财库</w:t>
      </w:r>
      <w:r>
        <w:rPr>
          <w:rFonts w:hint="eastAsia" w:ascii="Times New Roman" w:hAnsi="Times New Roman" w:eastAsia="宋体"/>
          <w:color w:val="auto"/>
          <w:sz w:val="21"/>
          <w:szCs w:val="21"/>
          <w:highlight w:val="none"/>
          <w:lang w:eastAsia="zh-CN"/>
        </w:rPr>
        <w:t xml:space="preserve">〔2014〕68号</w:t>
      </w:r>
      <w:r>
        <w:rPr>
          <w:rFonts w:ascii="Times New Roman" w:hAnsi="Times New Roman" w:eastAsia="宋体"/>
          <w:color w:val="auto"/>
          <w:sz w:val="21"/>
          <w:szCs w:val="21"/>
          <w:highlight w:val="none"/>
        </w:rPr>
        <w:t xml:space="preserve">）。</w:t>
      </w:r>
      <w:r/>
    </w:p>
    <w:p>
      <w:pPr>
        <w:pStyle w:val="917"/>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4、残疾人福利单位、监狱企业属于小型、微型企业的，不重复享受政策。</w:t>
      </w:r>
      <w:r/>
    </w:p>
    <w:p>
      <w:pPr>
        <w:pStyle w:val="917"/>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eastAsia="宋体"/>
          <w:color w:val="auto"/>
          <w:sz w:val="21"/>
          <w:szCs w:val="21"/>
          <w:highlight w:val="none"/>
        </w:rPr>
        <w:t xml:space="preserve">6</w:t>
      </w:r>
      <w:r>
        <w:rPr>
          <w:rFonts w:ascii="Times New Roman" w:hAnsi="Times New Roman" w:eastAsia="宋体"/>
          <w:color w:val="auto"/>
          <w:sz w:val="21"/>
          <w:szCs w:val="21"/>
          <w:highlight w:val="none"/>
        </w:rPr>
        <w:t xml:space="preserve">%的价格扣除，用扣除后的价格参与评审。</w:t>
      </w:r>
      <w:r/>
    </w:p>
    <w:p>
      <w:pPr>
        <w:pStyle w:val="917"/>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6、联合体各方均为小型、微型企业（残疾人福利单位、监狱企业）的，联合体享受</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%价格扣除，用扣除后的价格参与评审。</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7、大中型企业向小型、微型企业分包的，分包意向协议约定小型、微型企业合同份额占到合同总金额40%以上的，给予6%的价格扣除，用扣除后的价格参与评审。</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8、采购本国产品的支持政策</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8.1本项目政府采购活动中既有本国产品又有非本国产品参与竞争的，依法对本国产品给予价格评审优惠，对本国产品的报价给予20%的价格扣除，用扣除后的价格参与评审。</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8.2当采购项目或者采购包中含有多种产品，供应商为该采购项目或者采购包提供的符合本国产品标准的产品成本之和占该供应商提供的全部产品成本之和的比例达到80%以上时（供应商需在“第六章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8.3供应商需按照招标文件的要求提供《关于符合本国产品标准的声明函》（以下简称《声明函》），如不提供将不享受本国产品价格评审优惠。</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17"/>
        <w:ind w:firstLine="422"/>
        <w:pageBreakBefore w:val="0"/>
        <w:spacing w:before="0" w:after="0" w:line="360" w:lineRule="auto"/>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 xml:space="preserve">三、评标标准</w:t>
      </w:r>
      <w:r/>
    </w:p>
    <w:tbl>
      <w:tblPr>
        <w:tblStyle w:val="72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6"/>
        <w:gridCol w:w="7519"/>
      </w:tblGrid>
      <w:tr>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spacing w:line="360" w:lineRule="auto"/>
              <w:rPr>
                <w:rFonts w:ascii="宋体" w:hAnsi="宋体"/>
              </w:rPr>
              <w:outlineLvl w:val="0"/>
            </w:pPr>
            <w:r>
              <w:rPr>
                <w:rFonts w:hint="eastAsia" w:ascii="宋体" w:hAnsi="宋体"/>
              </w:rPr>
              <w:t xml:space="preserve">项目</w:t>
            </w:r>
            <w:r/>
          </w:p>
        </w:tc>
        <w:tc>
          <w:tcPr>
            <w:tcBorders>
              <w:top w:val="single" w:color="000000" w:sz="4" w:space="0"/>
              <w:left w:val="single" w:color="000000" w:sz="4" w:space="0"/>
              <w:bottom w:val="single" w:color="000000" w:sz="4" w:space="0"/>
              <w:right w:val="single" w:color="000000" w:sz="4" w:space="0"/>
            </w:tcBorders>
            <w:tcW w:w="7519" w:type="dxa"/>
            <w:vAlign w:val="center"/>
            <w:textDirection w:val="lrTb"/>
            <w:noWrap w:val="false"/>
          </w:tcPr>
          <w:p>
            <w:pPr>
              <w:jc w:val="center"/>
              <w:spacing w:line="360" w:lineRule="auto"/>
              <w:rPr>
                <w:rFonts w:hint="eastAsia" w:ascii="宋体" w:hAnsi="宋体"/>
              </w:rPr>
              <w:outlineLvl w:val="0"/>
            </w:pPr>
            <w:r>
              <w:rPr>
                <w:rFonts w:hint="eastAsia" w:ascii="宋体" w:hAnsi="宋体"/>
              </w:rPr>
              <w:t xml:space="preserve">评分标准</w:t>
            </w:r>
            <w:r/>
          </w:p>
        </w:tc>
      </w:tr>
      <w:tr>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spacing w:line="360" w:lineRule="auto"/>
              <w:rPr>
                <w:rFonts w:hint="eastAsia" w:ascii="宋体" w:hAnsi="宋体"/>
              </w:rPr>
              <w:outlineLvl w:val="0"/>
            </w:pPr>
            <w:r>
              <w:rPr>
                <w:rFonts w:hint="eastAsia" w:ascii="宋体" w:hAnsi="宋体"/>
              </w:rPr>
              <w:t xml:space="preserve">价  格</w:t>
            </w:r>
            <w:r/>
          </w:p>
          <w:p>
            <w:pPr>
              <w:jc w:val="center"/>
              <w:spacing w:line="360" w:lineRule="auto"/>
              <w:rPr>
                <w:rFonts w:hint="eastAsia" w:ascii="宋体" w:hAnsi="宋体"/>
              </w:rPr>
              <w:outlineLvl w:val="0"/>
            </w:pPr>
            <w:r>
              <w:rPr>
                <w:rFonts w:hint="eastAsia" w:ascii="宋体" w:hAnsi="宋体"/>
              </w:rPr>
              <w:t xml:space="preserve">（15分）</w:t>
            </w:r>
            <w:r/>
          </w:p>
        </w:tc>
        <w:tc>
          <w:tcPr>
            <w:tcBorders>
              <w:top w:val="single" w:color="000000" w:sz="4" w:space="0"/>
              <w:left w:val="single" w:color="000000" w:sz="4" w:space="0"/>
              <w:bottom w:val="single" w:color="000000" w:sz="4" w:space="0"/>
              <w:right w:val="single" w:color="000000" w:sz="4" w:space="0"/>
            </w:tcBorders>
            <w:tcW w:w="7519" w:type="dxa"/>
            <w:vAlign w:val="center"/>
            <w:textDirection w:val="lrTb"/>
            <w:noWrap w:val="false"/>
          </w:tcPr>
          <w:p>
            <w:pPr>
              <w:jc w:val="left"/>
              <w:spacing w:line="360" w:lineRule="auto"/>
              <w:rPr>
                <w:rFonts w:hint="eastAsia" w:ascii="宋体" w:hAnsi="宋体"/>
              </w:rPr>
              <w:outlineLvl w:val="0"/>
            </w:pPr>
            <w:r>
              <w:rPr>
                <w:rFonts w:hint="eastAsia" w:ascii="宋体" w:hAnsi="宋体"/>
              </w:rPr>
              <w:t xml:space="preserve">以满足招标文件要求的最低投标报价为评标基准价，得满分15分，</w:t>
            </w:r>
            <w:r/>
          </w:p>
          <w:p>
            <w:pPr>
              <w:jc w:val="left"/>
              <w:spacing w:line="360" w:lineRule="auto"/>
              <w:rPr>
                <w:rFonts w:hint="eastAsia" w:ascii="宋体" w:hAnsi="宋体"/>
              </w:rPr>
              <w:outlineLvl w:val="0"/>
            </w:pPr>
            <w:r>
              <w:rPr>
                <w:rFonts w:hint="eastAsia" w:ascii="宋体" w:hAnsi="宋体"/>
              </w:rPr>
              <w:t xml:space="preserve">其他投标报价得分=（评标基准价/其他投标报价）×15×100%。</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spacing w:line="360" w:lineRule="auto"/>
              <w:rPr>
                <w:rFonts w:hint="eastAsia" w:ascii="宋体" w:hAnsi="宋体"/>
              </w:rPr>
              <w:outlineLvl w:val="0"/>
            </w:pPr>
            <w:r>
              <w:rPr>
                <w:rFonts w:hint="eastAsia" w:ascii="宋体" w:hAnsi="宋体"/>
              </w:rPr>
            </w:r>
            <w:r/>
          </w:p>
          <w:p>
            <w:pPr>
              <w:jc w:val="center"/>
              <w:spacing w:line="360" w:lineRule="auto"/>
              <w:rPr>
                <w:rFonts w:hint="eastAsia" w:ascii="宋体" w:hAnsi="宋体"/>
              </w:rPr>
              <w:outlineLvl w:val="0"/>
            </w:pPr>
            <w:r>
              <w:rPr>
                <w:rFonts w:hint="eastAsia" w:ascii="宋体" w:hAnsi="宋体"/>
              </w:rPr>
            </w:r>
            <w:r/>
          </w:p>
          <w:p>
            <w:pPr>
              <w:jc w:val="center"/>
              <w:spacing w:line="360" w:lineRule="auto"/>
              <w:rPr>
                <w:rFonts w:hint="eastAsia" w:ascii="宋体" w:hAnsi="宋体"/>
              </w:rPr>
              <w:outlineLvl w:val="0"/>
            </w:pPr>
            <w:r>
              <w:rPr>
                <w:rFonts w:hint="eastAsia" w:ascii="宋体" w:hAnsi="宋体"/>
              </w:rPr>
            </w:r>
            <w:r/>
          </w:p>
          <w:p>
            <w:pPr>
              <w:jc w:val="center"/>
              <w:spacing w:line="360" w:lineRule="auto"/>
              <w:rPr>
                <w:rFonts w:hint="eastAsia" w:ascii="宋体" w:hAnsi="宋体"/>
              </w:rPr>
              <w:outlineLvl w:val="0"/>
            </w:pPr>
            <w:r>
              <w:rPr>
                <w:rFonts w:hint="eastAsia" w:ascii="宋体" w:hAnsi="宋体"/>
              </w:rPr>
              <w:t xml:space="preserve">管理方案</w:t>
            </w:r>
            <w:r/>
          </w:p>
          <w:p>
            <w:pPr>
              <w:jc w:val="center"/>
              <w:spacing w:line="360" w:lineRule="auto"/>
              <w:rPr>
                <w:rFonts w:hint="eastAsia" w:ascii="宋体" w:hAnsi="宋体"/>
              </w:rPr>
              <w:outlineLvl w:val="0"/>
            </w:pPr>
            <w:r>
              <w:rPr>
                <w:rFonts w:hint="eastAsia" w:ascii="宋体" w:hAnsi="宋体"/>
              </w:rPr>
              <w:t xml:space="preserve">（</w:t>
            </w:r>
            <w:r>
              <w:rPr>
                <w:rFonts w:hint="eastAsia" w:ascii="宋体" w:hAnsi="宋体"/>
                <w:lang w:val="en-US" w:eastAsia="zh-CN"/>
              </w:rPr>
              <w:t xml:space="preserve">45</w:t>
            </w:r>
            <w:r>
              <w:rPr>
                <w:rFonts w:hint="eastAsia" w:ascii="宋体" w:hAnsi="宋体"/>
              </w:rPr>
              <w:t xml:space="preserve">分）</w:t>
            </w:r>
            <w:r/>
          </w:p>
          <w:p>
            <w:pPr>
              <w:jc w:val="center"/>
              <w:spacing w:line="360" w:lineRule="auto"/>
              <w:rPr>
                <w:rFonts w:hint="eastAsia" w:ascii="宋体" w:hAnsi="宋体"/>
              </w:rPr>
              <w:outlineLvl w:val="0"/>
            </w:pPr>
            <w:r>
              <w:rPr>
                <w:rFonts w:hint="eastAsia" w:ascii="宋体" w:hAnsi="宋体"/>
              </w:rPr>
            </w:r>
            <w:r/>
          </w:p>
        </w:tc>
        <w:tc>
          <w:tcPr>
            <w:shd w:val="clear" w:color="auto" w:fill="ffffff"/>
            <w:tcBorders>
              <w:top w:val="single" w:color="000000" w:sz="4" w:space="0"/>
              <w:left w:val="single" w:color="000000" w:sz="4" w:space="0"/>
              <w:bottom w:val="single" w:color="000000" w:sz="4" w:space="0"/>
              <w:right w:val="single" w:color="000000" w:sz="4" w:space="0"/>
            </w:tcBorders>
            <w:tcW w:w="7519" w:type="dxa"/>
            <w:vAlign w:val="center"/>
            <w:textDirection w:val="lrTb"/>
            <w:noWrap w:val="false"/>
          </w:tcPr>
          <w:p>
            <w:pPr>
              <w:jc w:val="left"/>
              <w:spacing w:line="360" w:lineRule="auto"/>
              <w:rPr>
                <w:rFonts w:hint="eastAsia" w:ascii="宋体" w:hAnsi="宋体"/>
              </w:rPr>
              <w:outlineLvl w:val="0"/>
            </w:pPr>
            <w:r>
              <w:rPr>
                <w:rFonts w:hint="eastAsia" w:ascii="宋体" w:hAnsi="宋体"/>
              </w:rPr>
              <w:t xml:space="preserve">1、交通协管员交通管理服务方案（满分5分）：提供的服务方案优于招标文件要求</w:t>
            </w:r>
            <w:r>
              <w:rPr>
                <w:rFonts w:hint="eastAsia" w:ascii="宋体" w:hAnsi="宋体"/>
                <w:lang w:val="en-US" w:eastAsia="zh-CN"/>
              </w:rPr>
              <w:t xml:space="preserve">的</w:t>
            </w:r>
            <w:r>
              <w:rPr>
                <w:rFonts w:hint="eastAsia" w:ascii="宋体" w:hAnsi="宋体"/>
              </w:rPr>
              <w:t xml:space="preserve">得5分，符合招标文件要求的得3分，不符合或者未提供的不得分。</w:t>
            </w:r>
            <w:r/>
          </w:p>
          <w:p>
            <w:pPr>
              <w:jc w:val="left"/>
              <w:spacing w:line="360" w:lineRule="auto"/>
              <w:rPr>
                <w:rFonts w:hint="eastAsia" w:ascii="宋体" w:hAnsi="宋体"/>
              </w:rPr>
              <w:outlineLvl w:val="0"/>
            </w:pPr>
            <w:r>
              <w:rPr>
                <w:rFonts w:hint="eastAsia" w:ascii="宋体" w:hAnsi="宋体"/>
              </w:rPr>
              <w:t xml:space="preserve">2、交通协管员管理制度（满分5分）：提供的管理制度优于招标文件要求</w:t>
            </w:r>
            <w:r>
              <w:rPr>
                <w:rFonts w:hint="eastAsia" w:ascii="宋体" w:hAnsi="宋体"/>
                <w:lang w:val="en-US" w:eastAsia="zh-CN"/>
              </w:rPr>
              <w:t xml:space="preserve">的</w:t>
            </w:r>
            <w:r>
              <w:rPr>
                <w:rFonts w:hint="eastAsia" w:ascii="宋体" w:hAnsi="宋体"/>
              </w:rPr>
              <w:t xml:space="preserve">得5分，符合招标文件要求的得3分，不符合或者未提供的不得分。</w:t>
            </w:r>
            <w:r/>
          </w:p>
          <w:p>
            <w:pPr>
              <w:jc w:val="left"/>
              <w:spacing w:line="360" w:lineRule="auto"/>
              <w:rPr>
                <w:rFonts w:hint="eastAsia" w:ascii="宋体" w:hAnsi="宋体"/>
              </w:rPr>
              <w:outlineLvl w:val="0"/>
            </w:pPr>
            <w:r>
              <w:rPr>
                <w:rFonts w:hint="eastAsia" w:ascii="宋体" w:hAnsi="宋体"/>
              </w:rPr>
              <w:t xml:space="preserve">3、管理方式、工作计划及服务重点、难点及其措施（满分5分）：提供的措施、计划等优于招标文件要求得5分，符合招标文件要求的得3分，不符合或者未提供的不得分。</w:t>
            </w:r>
            <w:r/>
          </w:p>
          <w:p>
            <w:pPr>
              <w:jc w:val="left"/>
              <w:spacing w:line="360" w:lineRule="auto"/>
              <w:rPr>
                <w:rFonts w:hint="eastAsia" w:ascii="宋体" w:hAnsi="宋体"/>
              </w:rPr>
              <w:outlineLvl w:val="0"/>
            </w:pPr>
            <w:r>
              <w:rPr>
                <w:rFonts w:hint="eastAsia" w:ascii="宋体" w:hAnsi="宋体"/>
              </w:rPr>
              <w:t xml:space="preserve">4、突发性事件应急预案（满分5分）：提供的预案优于招标文件要求</w:t>
            </w:r>
            <w:r>
              <w:rPr>
                <w:rFonts w:hint="eastAsia" w:ascii="宋体" w:hAnsi="宋体"/>
                <w:lang w:val="en-US" w:eastAsia="zh-CN"/>
              </w:rPr>
              <w:t xml:space="preserve">的</w:t>
            </w:r>
            <w:r>
              <w:rPr>
                <w:rFonts w:hint="eastAsia" w:ascii="宋体" w:hAnsi="宋体"/>
              </w:rPr>
              <w:t xml:space="preserve">得5分，符合招标文件要求的得3分，不符合或者未提供的不得分。</w:t>
            </w:r>
            <w:r/>
          </w:p>
          <w:p>
            <w:pPr>
              <w:jc w:val="left"/>
              <w:spacing w:line="360" w:lineRule="auto"/>
              <w:rPr>
                <w:rFonts w:hint="eastAsia" w:ascii="宋体" w:hAnsi="宋体"/>
              </w:rPr>
              <w:outlineLvl w:val="0"/>
            </w:pPr>
            <w:r>
              <w:rPr>
                <w:rFonts w:hint="eastAsia" w:ascii="宋体" w:hAnsi="宋体"/>
              </w:rPr>
              <w:t xml:space="preserve">5、交通协管员年龄结构及管理（满分5分）：人员年龄结构优于招标文件要求</w:t>
            </w:r>
            <w:r>
              <w:rPr>
                <w:rFonts w:hint="eastAsia" w:ascii="宋体" w:hAnsi="宋体"/>
                <w:lang w:val="en-US" w:eastAsia="zh-CN"/>
              </w:rPr>
              <w:t xml:space="preserve">的</w:t>
            </w:r>
            <w:r>
              <w:rPr>
                <w:rFonts w:hint="eastAsia" w:ascii="宋体" w:hAnsi="宋体"/>
              </w:rPr>
              <w:t xml:space="preserve">得5分，符合招标文件要求的得3分，不符合或者未提供的不得分。</w:t>
            </w:r>
            <w:r/>
          </w:p>
          <w:p>
            <w:pPr>
              <w:jc w:val="left"/>
              <w:spacing w:line="360" w:lineRule="auto"/>
              <w:rPr>
                <w:rFonts w:hint="eastAsia" w:ascii="宋体" w:hAnsi="宋体"/>
              </w:rPr>
              <w:outlineLvl w:val="0"/>
            </w:pPr>
            <w:r>
              <w:rPr>
                <w:rFonts w:hint="eastAsia" w:ascii="宋体" w:hAnsi="宋体"/>
              </w:rPr>
              <w:t xml:space="preserve">6、科技支撑方案（满分5分）：提供的方案优于招标文件要求</w:t>
            </w:r>
            <w:r>
              <w:rPr>
                <w:rFonts w:hint="eastAsia" w:ascii="宋体" w:hAnsi="宋体"/>
                <w:lang w:val="en-US" w:eastAsia="zh-CN"/>
              </w:rPr>
              <w:t xml:space="preserve">的</w:t>
            </w:r>
            <w:r>
              <w:rPr>
                <w:rFonts w:hint="eastAsia" w:ascii="宋体" w:hAnsi="宋体"/>
              </w:rPr>
              <w:t xml:space="preserve">得5分，符合招标文件要求的得3分，不符合或者未提供的不得分。（需上传提供视频演示讲解相关功能，视频时长不超过15分钟）。</w:t>
            </w:r>
            <w:r/>
          </w:p>
          <w:p>
            <w:pPr>
              <w:jc w:val="left"/>
              <w:spacing w:line="360" w:lineRule="auto"/>
              <w:rPr>
                <w:rFonts w:hint="eastAsia" w:ascii="宋体" w:hAnsi="宋体"/>
              </w:rPr>
              <w:outlineLvl w:val="0"/>
            </w:pPr>
            <w:r>
              <w:rPr>
                <w:rFonts w:hint="eastAsia" w:ascii="宋体" w:hAnsi="宋体"/>
              </w:rPr>
              <w:t xml:space="preserve">7、岗位培训（满分5分）：岗位培训计划、内容优于招标文件要求</w:t>
            </w:r>
            <w:r>
              <w:rPr>
                <w:rFonts w:hint="eastAsia" w:ascii="宋体" w:hAnsi="宋体"/>
                <w:lang w:val="en-US" w:eastAsia="zh-CN"/>
              </w:rPr>
              <w:t xml:space="preserve">的</w:t>
            </w:r>
            <w:r>
              <w:rPr>
                <w:rFonts w:hint="eastAsia" w:ascii="宋体" w:hAnsi="宋体"/>
              </w:rPr>
              <w:t xml:space="preserve">得5分，符合招标文件要求的得3分，不符合或者未提供的不得分。</w:t>
            </w:r>
            <w:r/>
          </w:p>
          <w:p>
            <w:pPr>
              <w:jc w:val="left"/>
              <w:spacing w:line="360" w:lineRule="auto"/>
              <w:rPr>
                <w:rFonts w:hint="eastAsia" w:ascii="宋体" w:hAnsi="宋体"/>
              </w:rPr>
              <w:outlineLvl w:val="0"/>
            </w:pPr>
            <w:r>
              <w:rPr>
                <w:rFonts w:hint="eastAsia" w:ascii="宋体" w:hAnsi="宋体"/>
              </w:rPr>
              <w:t xml:space="preserve">8、重大活动应急预案（满分</w:t>
            </w:r>
            <w:r>
              <w:rPr>
                <w:rFonts w:hint="eastAsia" w:ascii="宋体" w:hAnsi="宋体"/>
                <w:lang w:val="en-US" w:eastAsia="zh-CN"/>
              </w:rPr>
              <w:t xml:space="preserve">4</w:t>
            </w:r>
            <w:r>
              <w:rPr>
                <w:rFonts w:hint="eastAsia" w:ascii="宋体" w:hAnsi="宋体"/>
              </w:rPr>
              <w:t xml:space="preserve">分）：提供的预案优于招标文件要求</w:t>
            </w:r>
            <w:r>
              <w:rPr>
                <w:rFonts w:hint="eastAsia" w:ascii="宋体" w:hAnsi="宋体"/>
                <w:lang w:val="en-US" w:eastAsia="zh-CN"/>
              </w:rPr>
              <w:t xml:space="preserve">的</w:t>
            </w:r>
            <w:r>
              <w:rPr>
                <w:rFonts w:hint="eastAsia" w:ascii="宋体" w:hAnsi="宋体"/>
              </w:rPr>
              <w:t xml:space="preserve">得</w:t>
            </w:r>
            <w:r>
              <w:rPr>
                <w:rFonts w:hint="eastAsia" w:ascii="宋体" w:hAnsi="宋体"/>
                <w:lang w:val="en-US" w:eastAsia="zh-CN"/>
              </w:rPr>
              <w:t xml:space="preserve">4</w:t>
            </w:r>
            <w:r>
              <w:rPr>
                <w:rFonts w:hint="eastAsia" w:ascii="宋体" w:hAnsi="宋体"/>
              </w:rPr>
              <w:t xml:space="preserve">分，符合招标文件要求的得</w:t>
            </w:r>
            <w:r>
              <w:rPr>
                <w:rFonts w:hint="eastAsia" w:ascii="宋体" w:hAnsi="宋体"/>
                <w:lang w:val="en-US" w:eastAsia="zh-CN"/>
              </w:rPr>
              <w:t xml:space="preserve">2</w:t>
            </w:r>
            <w:r>
              <w:rPr>
                <w:rFonts w:hint="eastAsia" w:ascii="宋体" w:hAnsi="宋体"/>
              </w:rPr>
              <w:t xml:space="preserve">分，不符合或者未提供的不得分。</w:t>
            </w:r>
            <w:r/>
          </w:p>
          <w:p>
            <w:pPr>
              <w:jc w:val="left"/>
              <w:spacing w:line="360" w:lineRule="auto"/>
              <w:rPr>
                <w:rFonts w:hint="eastAsia" w:ascii="宋体" w:hAnsi="宋体"/>
              </w:rPr>
              <w:outlineLvl w:val="0"/>
            </w:pPr>
            <w:r>
              <w:rPr>
                <w:rFonts w:hint="eastAsia" w:ascii="宋体" w:hAnsi="宋体"/>
              </w:rPr>
              <w:t xml:space="preserve">9、一般节假日（黄金周）应急预案（满分</w:t>
            </w:r>
            <w:r>
              <w:rPr>
                <w:rFonts w:hint="eastAsia" w:ascii="宋体" w:hAnsi="宋体"/>
                <w:lang w:val="en-US" w:eastAsia="zh-CN"/>
              </w:rPr>
              <w:t xml:space="preserve">3</w:t>
            </w:r>
            <w:r>
              <w:rPr>
                <w:rFonts w:hint="eastAsia" w:ascii="宋体" w:hAnsi="宋体"/>
              </w:rPr>
              <w:t xml:space="preserve">分）：提供的预案优于招标文件要求</w:t>
            </w:r>
            <w:r>
              <w:rPr>
                <w:rFonts w:hint="eastAsia" w:ascii="宋体" w:hAnsi="宋体"/>
                <w:lang w:val="en-US" w:eastAsia="zh-CN"/>
              </w:rPr>
              <w:t xml:space="preserve">的</w:t>
            </w:r>
            <w:r>
              <w:rPr>
                <w:rFonts w:hint="eastAsia" w:ascii="宋体" w:hAnsi="宋体"/>
              </w:rPr>
              <w:t xml:space="preserve">得</w:t>
            </w:r>
            <w:r>
              <w:rPr>
                <w:rFonts w:hint="eastAsia" w:ascii="宋体" w:hAnsi="宋体"/>
                <w:lang w:val="en-US" w:eastAsia="zh-CN"/>
              </w:rPr>
              <w:t xml:space="preserve">3</w:t>
            </w:r>
            <w:r>
              <w:rPr>
                <w:rFonts w:hint="eastAsia" w:ascii="宋体" w:hAnsi="宋体"/>
              </w:rPr>
              <w:t xml:space="preserve">分，符合招标文件要求的得</w:t>
            </w:r>
            <w:r>
              <w:rPr>
                <w:rFonts w:hint="eastAsia" w:ascii="宋体" w:hAnsi="宋体"/>
                <w:lang w:val="en-US" w:eastAsia="zh-CN"/>
              </w:rPr>
              <w:t xml:space="preserve">2</w:t>
            </w:r>
            <w:r>
              <w:rPr>
                <w:rFonts w:hint="eastAsia" w:ascii="宋体" w:hAnsi="宋体"/>
              </w:rPr>
              <w:t xml:space="preserve">分，不符合或者未提供的不得分。</w:t>
            </w:r>
            <w:r/>
          </w:p>
          <w:p>
            <w:pPr>
              <w:jc w:val="left"/>
              <w:spacing w:line="360" w:lineRule="auto"/>
              <w:rPr>
                <w:rFonts w:hint="eastAsia" w:ascii="宋体" w:hAnsi="宋体"/>
              </w:rPr>
              <w:outlineLvl w:val="0"/>
            </w:pPr>
            <w:r>
              <w:rPr>
                <w:rFonts w:hint="eastAsia" w:ascii="宋体" w:hAnsi="宋体"/>
              </w:rPr>
              <w:t xml:space="preserve">10、恶劣天气应急预案（满分</w:t>
            </w:r>
            <w:r>
              <w:rPr>
                <w:rFonts w:hint="eastAsia" w:ascii="宋体" w:hAnsi="宋体"/>
                <w:lang w:val="en-US" w:eastAsia="zh-CN"/>
              </w:rPr>
              <w:t xml:space="preserve">3</w:t>
            </w:r>
            <w:r>
              <w:rPr>
                <w:rFonts w:hint="eastAsia" w:ascii="宋体" w:hAnsi="宋体"/>
              </w:rPr>
              <w:t xml:space="preserve">分）：提供的预案优于招标文件要求</w:t>
            </w:r>
            <w:r>
              <w:rPr>
                <w:rFonts w:hint="eastAsia" w:ascii="宋体" w:hAnsi="宋体"/>
                <w:lang w:val="en-US" w:eastAsia="zh-CN"/>
              </w:rPr>
              <w:t xml:space="preserve">的</w:t>
            </w:r>
            <w:r>
              <w:rPr>
                <w:rFonts w:hint="eastAsia" w:ascii="宋体" w:hAnsi="宋体"/>
              </w:rPr>
              <w:t xml:space="preserve">得</w:t>
            </w:r>
            <w:r>
              <w:rPr>
                <w:rFonts w:hint="eastAsia" w:ascii="宋体" w:hAnsi="宋体"/>
                <w:lang w:val="en-US" w:eastAsia="zh-CN"/>
              </w:rPr>
              <w:t xml:space="preserve">3</w:t>
            </w:r>
            <w:r>
              <w:rPr>
                <w:rFonts w:hint="eastAsia" w:ascii="宋体" w:hAnsi="宋体"/>
              </w:rPr>
              <w:t xml:space="preserve">分，符合招标文件要求的得</w:t>
            </w:r>
            <w:r>
              <w:rPr>
                <w:rFonts w:hint="eastAsia" w:ascii="宋体" w:hAnsi="宋体"/>
                <w:lang w:val="en-US" w:eastAsia="zh-CN"/>
              </w:rPr>
              <w:t xml:space="preserve">2</w:t>
            </w:r>
            <w:r>
              <w:rPr>
                <w:rFonts w:hint="eastAsia" w:ascii="宋体" w:hAnsi="宋体"/>
              </w:rPr>
              <w:t xml:space="preserve">分，不符合或者未提供的不得分。</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spacing w:line="360" w:lineRule="auto"/>
              <w:rPr>
                <w:rFonts w:hint="eastAsia" w:ascii="宋体" w:hAnsi="宋体"/>
              </w:rPr>
              <w:outlineLvl w:val="0"/>
            </w:pPr>
            <w:r>
              <w:rPr>
                <w:rFonts w:hint="eastAsia" w:ascii="宋体" w:hAnsi="宋体"/>
              </w:rPr>
              <w:t xml:space="preserve">企业</w:t>
            </w:r>
            <w:r/>
          </w:p>
          <w:p>
            <w:pPr>
              <w:jc w:val="center"/>
              <w:spacing w:line="360" w:lineRule="auto"/>
              <w:rPr>
                <w:rFonts w:hint="eastAsia" w:ascii="宋体" w:hAnsi="宋体"/>
              </w:rPr>
              <w:outlineLvl w:val="0"/>
            </w:pPr>
            <w:r>
              <w:rPr>
                <w:rFonts w:hint="eastAsia" w:ascii="宋体" w:hAnsi="宋体"/>
              </w:rPr>
              <w:t xml:space="preserve">综合实力</w:t>
            </w:r>
            <w:r/>
          </w:p>
          <w:p>
            <w:pPr>
              <w:jc w:val="center"/>
              <w:spacing w:line="360" w:lineRule="auto"/>
              <w:rPr>
                <w:rFonts w:hint="eastAsia" w:ascii="宋体" w:hAnsi="宋体"/>
              </w:rPr>
              <w:outlineLvl w:val="0"/>
            </w:pPr>
            <w:r>
              <w:rPr>
                <w:rFonts w:hint="eastAsia" w:ascii="宋体" w:hAnsi="宋体"/>
              </w:rPr>
              <w:t xml:space="preserve">（2</w:t>
            </w:r>
            <w:r>
              <w:rPr>
                <w:rFonts w:hint="eastAsia" w:ascii="宋体" w:hAnsi="宋体"/>
                <w:lang w:val="en-US" w:eastAsia="zh-CN"/>
              </w:rPr>
              <w:t xml:space="preserve">8</w:t>
            </w:r>
            <w:r>
              <w:rPr>
                <w:rFonts w:hint="eastAsia" w:ascii="宋体" w:hAnsi="宋体"/>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7519" w:type="dxa"/>
            <w:vAlign w:val="center"/>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1、项目负责人从业经验：具有5年及以上的得</w:t>
            </w:r>
            <w:r>
              <w:rPr>
                <w:rFonts w:hint="eastAsia" w:ascii="宋体" w:hAnsi="宋体" w:eastAsia="宋体" w:cs="宋体"/>
                <w:color w:val="000000"/>
                <w:sz w:val="22"/>
                <w:lang w:val="en-US" w:eastAsia="zh-CN"/>
              </w:rPr>
              <w:t xml:space="preserve">3</w:t>
            </w:r>
            <w:r>
              <w:rPr>
                <w:rFonts w:ascii="宋体" w:hAnsi="宋体" w:eastAsia="宋体" w:cs="宋体"/>
                <w:color w:val="000000"/>
                <w:sz w:val="22"/>
              </w:rPr>
              <w:t xml:space="preserve">分、3年（含）至5年（不含）的得</w:t>
            </w:r>
            <w:r>
              <w:rPr>
                <w:rFonts w:hint="eastAsia" w:ascii="宋体" w:hAnsi="宋体" w:eastAsia="宋体" w:cs="宋体"/>
                <w:color w:val="000000"/>
                <w:sz w:val="22"/>
                <w:lang w:val="en-US" w:eastAsia="zh-CN"/>
              </w:rPr>
              <w:t xml:space="preserve">2</w:t>
            </w:r>
            <w:r>
              <w:rPr>
                <w:rFonts w:ascii="宋体" w:hAnsi="宋体" w:eastAsia="宋体" w:cs="宋体"/>
                <w:color w:val="000000"/>
                <w:sz w:val="22"/>
              </w:rPr>
              <w:t xml:space="preserve">分、1年（含）至3年（不含）的得1分</w:t>
            </w:r>
            <w:r>
              <w:rPr>
                <w:rFonts w:hint="eastAsia" w:ascii="宋体" w:hAnsi="宋体" w:eastAsia="宋体" w:cs="宋体"/>
                <w:color w:val="000000"/>
                <w:sz w:val="22"/>
                <w:lang w:val="en-US" w:eastAsia="zh-CN"/>
              </w:rPr>
              <w:t xml:space="preserve">；</w:t>
            </w:r>
            <w:r>
              <w:rPr>
                <w:rFonts w:ascii="宋体" w:hAnsi="宋体" w:eastAsia="宋体" w:cs="宋体"/>
                <w:color w:val="000000"/>
                <w:sz w:val="22"/>
              </w:rPr>
              <w:t xml:space="preserve">有类似安保管理经验的加2分。本项满分</w:t>
            </w:r>
            <w:r>
              <w:rPr>
                <w:rFonts w:hint="eastAsia" w:ascii="宋体" w:hAnsi="宋体" w:eastAsia="宋体" w:cs="宋体"/>
                <w:color w:val="000000"/>
                <w:sz w:val="22"/>
                <w:lang w:val="en-US" w:eastAsia="zh-CN"/>
              </w:rPr>
              <w:t xml:space="preserve">5</w:t>
            </w:r>
            <w:r>
              <w:rPr>
                <w:rFonts w:ascii="宋体" w:hAnsi="宋体" w:eastAsia="宋体" w:cs="宋体"/>
                <w:color w:val="000000"/>
                <w:sz w:val="22"/>
              </w:rPr>
              <w:t xml:space="preserve">分。</w:t>
            </w:r>
            <w:r>
              <w:rPr>
                <w:rFonts w:ascii="宋体" w:hAnsi="宋体" w:eastAsia="宋体" w:cs="宋体"/>
                <w:b/>
                <w:color w:val="000000"/>
                <w:sz w:val="22"/>
              </w:rPr>
              <w:t xml:space="preserve">（提供项目负责人服务的业主单位的证明材料及投标人近三个月任意一个月为其缴纳的社保证明，扫描上传）</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2、拟投入的交通协管员（项目负责人除外）</w:t>
            </w:r>
            <w:r>
              <w:rPr>
                <w:rFonts w:hint="eastAsia" w:ascii="宋体" w:hAnsi="宋体" w:eastAsia="宋体" w:cs="宋体"/>
                <w:color w:val="000000"/>
                <w:sz w:val="22"/>
                <w:lang w:eastAsia="zh-CN"/>
              </w:rPr>
              <w:t xml:space="preserve">：</w:t>
            </w:r>
            <w:r>
              <w:rPr>
                <w:rFonts w:hint="eastAsia" w:ascii="宋体" w:hAnsi="宋体" w:eastAsia="宋体" w:cs="宋体"/>
                <w:color w:val="000000"/>
                <w:sz w:val="22"/>
                <w:lang w:val="en-US" w:eastAsia="zh-CN"/>
              </w:rPr>
              <w:t xml:space="preserve">同时具备大专以上学历且为</w:t>
            </w:r>
            <w:r>
              <w:rPr>
                <w:rFonts w:ascii="宋体" w:hAnsi="宋体" w:eastAsia="宋体" w:cs="宋体"/>
                <w:color w:val="000000"/>
                <w:sz w:val="22"/>
              </w:rPr>
              <w:t xml:space="preserve">退伍军人的</w:t>
            </w:r>
            <w:r>
              <w:rPr>
                <w:rFonts w:hint="eastAsia" w:ascii="宋体" w:hAnsi="宋体" w:eastAsia="宋体" w:cs="宋体"/>
                <w:color w:val="000000"/>
                <w:sz w:val="22"/>
                <w:lang w:eastAsia="zh-CN"/>
              </w:rPr>
              <w:t xml:space="preserve">，</w:t>
            </w:r>
            <w:r>
              <w:rPr>
                <w:rFonts w:hint="eastAsia" w:ascii="宋体" w:hAnsi="宋体" w:eastAsia="宋体" w:cs="宋体"/>
                <w:color w:val="000000"/>
                <w:sz w:val="22"/>
                <w:lang w:val="en-US" w:eastAsia="zh-CN"/>
              </w:rPr>
              <w:t xml:space="preserve">每</w:t>
            </w:r>
            <w:r>
              <w:rPr>
                <w:rFonts w:ascii="宋体" w:hAnsi="宋体" w:eastAsia="宋体" w:cs="宋体"/>
                <w:color w:val="000000"/>
                <w:sz w:val="22"/>
              </w:rPr>
              <w:t xml:space="preserve">有</w:t>
            </w:r>
            <w:r>
              <w:rPr>
                <w:rFonts w:hint="eastAsia" w:ascii="宋体" w:hAnsi="宋体" w:eastAsia="宋体" w:cs="宋体"/>
                <w:color w:val="000000"/>
                <w:sz w:val="22"/>
                <w:lang w:val="en-US" w:eastAsia="zh-CN"/>
              </w:rPr>
              <w:t xml:space="preserve">1</w:t>
            </w:r>
            <w:r>
              <w:rPr>
                <w:rFonts w:ascii="宋体" w:hAnsi="宋体" w:eastAsia="宋体" w:cs="宋体"/>
                <w:color w:val="000000"/>
                <w:sz w:val="22"/>
              </w:rPr>
              <w:t xml:space="preserve">人得0.5分，本项满分</w:t>
            </w:r>
            <w:r>
              <w:rPr>
                <w:rFonts w:hint="eastAsia" w:ascii="宋体" w:hAnsi="宋体" w:eastAsia="宋体" w:cs="宋体"/>
                <w:color w:val="000000"/>
                <w:sz w:val="22"/>
                <w:lang w:val="en-US" w:eastAsia="zh-CN"/>
              </w:rPr>
              <w:t xml:space="preserve">5</w:t>
            </w:r>
            <w:r>
              <w:rPr>
                <w:rFonts w:ascii="宋体" w:hAnsi="宋体" w:eastAsia="宋体" w:cs="宋体"/>
                <w:color w:val="000000"/>
                <w:sz w:val="22"/>
              </w:rPr>
              <w:t xml:space="preserve">分；</w:t>
            </w:r>
            <w:r>
              <w:rPr>
                <w:rFonts w:ascii="宋体" w:hAnsi="宋体" w:eastAsia="宋体" w:cs="宋体"/>
                <w:b/>
                <w:color w:val="000000"/>
                <w:sz w:val="22"/>
              </w:rPr>
              <w:t xml:space="preserve">（须提供相关证书及投标人近三个月任意一个月为其缴纳的社保证明，扫描上传）</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3、拟投入的交通协管员（项目负责人除外）当中</w:t>
            </w:r>
            <w:r>
              <w:rPr>
                <w:rFonts w:hint="eastAsia" w:ascii="宋体" w:hAnsi="宋体" w:eastAsia="宋体" w:cs="宋体"/>
                <w:color w:val="000000"/>
                <w:sz w:val="22"/>
                <w:lang w:val="en-US" w:eastAsia="zh-CN"/>
              </w:rPr>
              <w:t xml:space="preserve">年龄不超过35周岁（含），</w:t>
            </w:r>
            <w:r>
              <w:rPr>
                <w:rFonts w:ascii="宋体" w:hAnsi="宋体" w:eastAsia="宋体" w:cs="宋体"/>
                <w:color w:val="000000"/>
                <w:sz w:val="22"/>
              </w:rPr>
              <w:t xml:space="preserve">持有E证及以上摩托车驾驶证的</w:t>
            </w:r>
            <w:r>
              <w:rPr>
                <w:rFonts w:hint="eastAsia" w:ascii="宋体" w:hAnsi="宋体" w:eastAsia="宋体" w:cs="宋体"/>
                <w:color w:val="000000"/>
                <w:sz w:val="22"/>
                <w:lang w:eastAsia="zh-CN"/>
              </w:rPr>
              <w:t xml:space="preserve">，</w:t>
            </w:r>
            <w:r>
              <w:rPr>
                <w:rFonts w:hint="eastAsia" w:ascii="宋体" w:hAnsi="宋体" w:eastAsia="宋体" w:cs="宋体"/>
                <w:color w:val="000000"/>
                <w:sz w:val="22"/>
                <w:lang w:val="en-US" w:eastAsia="zh-CN"/>
              </w:rPr>
              <w:t xml:space="preserve">每</w:t>
            </w:r>
            <w:r>
              <w:rPr>
                <w:rFonts w:ascii="宋体" w:hAnsi="宋体" w:eastAsia="宋体" w:cs="宋体"/>
                <w:color w:val="000000"/>
                <w:sz w:val="22"/>
              </w:rPr>
              <w:t xml:space="preserve">有</w:t>
            </w:r>
            <w:r>
              <w:rPr>
                <w:rFonts w:hint="eastAsia" w:ascii="宋体" w:hAnsi="宋体" w:eastAsia="宋体" w:cs="宋体"/>
                <w:color w:val="000000"/>
                <w:sz w:val="22"/>
                <w:lang w:val="en-US" w:eastAsia="zh-CN"/>
              </w:rPr>
              <w:t xml:space="preserve">1</w:t>
            </w:r>
            <w:r>
              <w:rPr>
                <w:rFonts w:ascii="宋体" w:hAnsi="宋体" w:eastAsia="宋体" w:cs="宋体"/>
                <w:color w:val="000000"/>
                <w:sz w:val="22"/>
              </w:rPr>
              <w:t xml:space="preserve">人得</w:t>
            </w:r>
            <w:r>
              <w:rPr>
                <w:rFonts w:hint="eastAsia" w:ascii="宋体" w:hAnsi="宋体" w:eastAsia="宋体" w:cs="宋体"/>
                <w:color w:val="000000"/>
                <w:sz w:val="22"/>
                <w:lang w:val="en-US" w:eastAsia="zh-CN"/>
              </w:rPr>
              <w:t xml:space="preserve">0.5分</w:t>
            </w:r>
            <w:r>
              <w:rPr>
                <w:rFonts w:ascii="宋体" w:hAnsi="宋体" w:eastAsia="宋体" w:cs="宋体"/>
                <w:color w:val="000000"/>
                <w:sz w:val="22"/>
              </w:rPr>
              <w:t xml:space="preserve">，本项满分</w:t>
            </w:r>
            <w:r>
              <w:rPr>
                <w:rFonts w:hint="eastAsia" w:ascii="宋体" w:hAnsi="宋体" w:eastAsia="宋体" w:cs="宋体"/>
                <w:color w:val="000000"/>
                <w:sz w:val="22"/>
                <w:lang w:val="en-US" w:eastAsia="zh-CN"/>
              </w:rPr>
              <w:t xml:space="preserve">10</w:t>
            </w:r>
            <w:r>
              <w:rPr>
                <w:rFonts w:ascii="宋体" w:hAnsi="宋体" w:eastAsia="宋体" w:cs="宋体"/>
                <w:color w:val="000000"/>
                <w:sz w:val="22"/>
              </w:rPr>
              <w:t xml:space="preserve">分；</w:t>
            </w:r>
            <w:r>
              <w:rPr>
                <w:rFonts w:ascii="宋体" w:hAnsi="宋体" w:eastAsia="宋体" w:cs="宋体"/>
                <w:b/>
                <w:color w:val="000000"/>
                <w:sz w:val="22"/>
              </w:rPr>
              <w:t xml:space="preserve">（须提供相关证书及以及投标人近三个月内任意一个月为其缴纳社保的证明，原件扫描上传）</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4、投标人具有国家认监委认可的质量管理体系认证、环境管理体系认证、社会责任管理体系认证、</w:t>
            </w:r>
            <w:r>
              <w:rPr>
                <w:rFonts w:hint="eastAsia" w:ascii="宋体" w:hAnsi="宋体" w:eastAsia="宋体" w:cs="宋体"/>
                <w:color w:val="000000"/>
                <w:sz w:val="22"/>
                <w:lang w:val="en-US" w:eastAsia="zh-CN"/>
              </w:rPr>
              <w:t xml:space="preserve">保安</w:t>
            </w:r>
            <w:r>
              <w:rPr>
                <w:rFonts w:ascii="宋体" w:hAnsi="宋体" w:eastAsia="宋体" w:cs="宋体"/>
                <w:color w:val="000000"/>
                <w:sz w:val="22"/>
              </w:rPr>
              <w:t xml:space="preserve">服务</w:t>
            </w:r>
            <w:r>
              <w:rPr>
                <w:rFonts w:hint="eastAsia" w:ascii="宋体" w:hAnsi="宋体" w:eastAsia="宋体" w:cs="宋体"/>
                <w:color w:val="000000"/>
                <w:sz w:val="22"/>
                <w:lang w:val="en-US" w:eastAsia="zh-CN"/>
              </w:rPr>
              <w:t xml:space="preserve">管理体系</w:t>
            </w:r>
            <w:r>
              <w:rPr>
                <w:rFonts w:ascii="宋体" w:hAnsi="宋体" w:eastAsia="宋体" w:cs="宋体"/>
                <w:color w:val="000000"/>
                <w:sz w:val="22"/>
              </w:rPr>
              <w:t xml:space="preserve">认证、诚信管理体系认证证书，每有</w:t>
            </w:r>
            <w:r>
              <w:rPr>
                <w:rFonts w:hint="eastAsia" w:ascii="宋体" w:hAnsi="宋体" w:eastAsia="宋体" w:cs="宋体"/>
                <w:color w:val="000000"/>
                <w:sz w:val="22"/>
                <w:lang w:val="en-US" w:eastAsia="zh-CN"/>
              </w:rPr>
              <w:t xml:space="preserve">1</w:t>
            </w:r>
            <w:r>
              <w:rPr>
                <w:rFonts w:ascii="宋体" w:hAnsi="宋体" w:eastAsia="宋体" w:cs="宋体"/>
                <w:color w:val="000000"/>
                <w:sz w:val="22"/>
              </w:rPr>
              <w:t xml:space="preserve">项证书得1分，本项满分5分。</w:t>
            </w:r>
            <w:r>
              <w:rPr>
                <w:rFonts w:ascii="宋体" w:hAnsi="宋体" w:eastAsia="宋体" w:cs="宋体"/>
                <w:b/>
                <w:color w:val="000000"/>
                <w:sz w:val="22"/>
              </w:rPr>
              <w:t xml:space="preserve">（提供认证证书原件扫描及国家认监委网站查询截图上传）。</w:t>
            </w:r>
            <w:r/>
          </w:p>
          <w:p>
            <w:pPr>
              <w:jc w:val="left"/>
              <w:spacing w:line="360" w:lineRule="auto"/>
              <w:rPr>
                <w:rFonts w:hint="eastAsia" w:ascii="宋体" w:hAnsi="宋体"/>
              </w:rPr>
              <w:outlineLvl w:val="0"/>
            </w:pPr>
            <w:r>
              <w:rPr>
                <w:rFonts w:ascii="宋体" w:hAnsi="宋体" w:eastAsia="宋体" w:cs="宋体"/>
                <w:color w:val="000000"/>
                <w:sz w:val="22"/>
              </w:rPr>
              <w:t xml:space="preserve">5、投标人获得过与本项目相关的</w:t>
            </w:r>
            <w:r>
              <w:rPr>
                <w:rFonts w:hint="eastAsia" w:ascii="宋体" w:hAnsi="宋体" w:eastAsia="宋体" w:cs="宋体"/>
                <w:color w:val="000000"/>
                <w:sz w:val="22"/>
                <w:lang w:val="en-US" w:eastAsia="zh-CN"/>
              </w:rPr>
              <w:t xml:space="preserve">行</w:t>
            </w:r>
            <w:r>
              <w:rPr>
                <w:rFonts w:ascii="宋体" w:hAnsi="宋体" w:eastAsia="宋体" w:cs="宋体"/>
                <w:color w:val="000000"/>
                <w:sz w:val="22"/>
              </w:rPr>
              <w:t xml:space="preserve">政主管部门颁发的企业荣誉或企业表彰，有1项得0.5分，本项满分</w:t>
            </w:r>
            <w:r>
              <w:rPr>
                <w:rFonts w:hint="eastAsia" w:ascii="宋体" w:hAnsi="宋体" w:cs="宋体"/>
                <w:color w:val="000000"/>
                <w:sz w:val="22"/>
              </w:rPr>
              <w:t xml:space="preserve">3</w:t>
            </w:r>
            <w:r>
              <w:rPr>
                <w:rFonts w:ascii="宋体" w:hAnsi="宋体" w:eastAsia="宋体" w:cs="宋体"/>
                <w:color w:val="000000"/>
                <w:sz w:val="22"/>
              </w:rPr>
              <w:t xml:space="preserve">分。</w:t>
            </w:r>
            <w:r>
              <w:rPr>
                <w:rFonts w:ascii="宋体" w:hAnsi="宋体" w:eastAsia="宋体" w:cs="宋体"/>
                <w:b/>
                <w:color w:val="000000"/>
                <w:sz w:val="22"/>
              </w:rPr>
              <w:t xml:space="preserve">（提供相关证明文件原件扫描上传）</w:t>
            </w:r>
            <w:r/>
          </w:p>
        </w:tc>
      </w:tr>
      <w:tr>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spacing w:line="360" w:lineRule="auto"/>
              <w:rPr>
                <w:rFonts w:hint="eastAsia" w:ascii="宋体" w:hAnsi="宋体"/>
              </w:rPr>
              <w:outlineLvl w:val="0"/>
            </w:pPr>
            <w:r>
              <w:rPr>
                <w:rFonts w:hint="eastAsia" w:ascii="宋体" w:hAnsi="宋体"/>
              </w:rPr>
              <w:t xml:space="preserve">业绩</w:t>
            </w:r>
            <w:r/>
          </w:p>
          <w:p>
            <w:pPr>
              <w:jc w:val="center"/>
              <w:spacing w:line="360" w:lineRule="auto"/>
              <w:rPr>
                <w:rFonts w:hint="eastAsia" w:ascii="宋体" w:hAnsi="宋体"/>
              </w:rPr>
              <w:outlineLvl w:val="0"/>
            </w:pPr>
            <w:r>
              <w:rPr>
                <w:rFonts w:hint="eastAsia" w:ascii="宋体" w:hAnsi="宋体"/>
              </w:rPr>
              <w:t xml:space="preserve">（12分）</w:t>
            </w:r>
            <w:r/>
          </w:p>
        </w:tc>
        <w:tc>
          <w:tcPr>
            <w:tcBorders>
              <w:top w:val="single" w:color="000000" w:sz="4" w:space="0"/>
              <w:left w:val="single" w:color="000000" w:sz="4" w:space="0"/>
              <w:bottom w:val="single" w:color="000000" w:sz="4" w:space="0"/>
              <w:right w:val="single" w:color="000000" w:sz="4" w:space="0"/>
            </w:tcBorders>
            <w:tcW w:w="7519" w:type="dxa"/>
            <w:vAlign w:val="center"/>
            <w:textDirection w:val="lrTb"/>
            <w:noWrap w:val="false"/>
          </w:tcPr>
          <w:p>
            <w:pPr>
              <w:ind w:firstLine="420"/>
              <w:jc w:val="left"/>
              <w:spacing w:line="360" w:lineRule="auto"/>
              <w:rPr>
                <w:rFonts w:hint="eastAsia" w:ascii="宋体" w:hAnsi="宋体"/>
              </w:rPr>
              <w:outlineLvl w:val="0"/>
            </w:pPr>
            <w:r>
              <w:rPr>
                <w:rFonts w:hint="eastAsia" w:ascii="宋体" w:hAnsi="宋体"/>
              </w:rPr>
              <w:t xml:space="preserve">投标人202</w:t>
            </w:r>
            <w:r>
              <w:rPr>
                <w:rFonts w:hint="eastAsia" w:ascii="宋体" w:hAnsi="宋体"/>
                <w:lang w:val="en-US" w:eastAsia="zh-CN"/>
              </w:rPr>
              <w:t xml:space="preserve">3</w:t>
            </w:r>
            <w:r>
              <w:rPr>
                <w:rFonts w:hint="eastAsia" w:ascii="宋体" w:hAnsi="宋体"/>
              </w:rPr>
              <w:t xml:space="preserve">年1月1日至今有承担过类似项目业绩的，有</w:t>
            </w:r>
            <w:r>
              <w:rPr>
                <w:rFonts w:hint="eastAsia" w:ascii="宋体" w:hAnsi="宋体"/>
                <w:lang w:val="en-US" w:eastAsia="zh-CN"/>
              </w:rPr>
              <w:t xml:space="preserve">1</w:t>
            </w:r>
            <w:r>
              <w:rPr>
                <w:rFonts w:hint="eastAsia" w:ascii="宋体" w:hAnsi="宋体"/>
              </w:rPr>
              <w:t xml:space="preserve">份合同得4分，</w:t>
            </w:r>
            <w:r>
              <w:rPr>
                <w:rFonts w:ascii="宋体" w:hAnsi="宋体" w:eastAsia="宋体" w:cs="宋体"/>
                <w:color w:val="000000"/>
                <w:sz w:val="22"/>
              </w:rPr>
              <w:t xml:space="preserve">本项</w:t>
            </w:r>
            <w:r>
              <w:rPr>
                <w:rFonts w:hint="eastAsia" w:ascii="宋体" w:hAnsi="宋体"/>
              </w:rPr>
              <w:t xml:space="preserve">满分12分</w:t>
            </w:r>
            <w:r>
              <w:rPr>
                <w:rFonts w:hint="eastAsia" w:ascii="宋体" w:hAnsi="宋体"/>
                <w:b/>
                <w:bCs/>
              </w:rPr>
              <w:t xml:space="preserve">（同一项目不同年度续签的按照一份业绩计算，以合同签订日期为准，合同原件扫描上传）。</w:t>
            </w:r>
            <w:r/>
          </w:p>
        </w:tc>
      </w:tr>
    </w:tbl>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r>
      <w:r/>
    </w:p>
    <w:p>
      <w:pPr>
        <w:ind w:firstLine="422"/>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b/>
          <w:color w:val="auto"/>
          <w:szCs w:val="21"/>
          <w:highlight w:val="none"/>
        </w:rPr>
        <w:t xml:space="preserve">四、评审委员会启动异常低价投标（响应）审查的情形和具体要求，包括：</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lang w:val="en-US" w:eastAsia="zh-CN"/>
        </w:rPr>
        <w:t xml:space="preserve">一</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评标过程中出现下列情形之一的，评标委员会应当启动异常低价投标审查程序：</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1.投标（响应）报价低于全部通过符合性审查供应商投标（响应）报价平均值50%的，即投标（响应）报价&lt;全部通过符合性审查供应商投标（响应）报价平均值×50%；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2.投标（响应）报价低于通过符合性审查的次低报价供应商投标（响应）报价50%的，即投标（响应）报价&lt;通过符合性审查的次低报价供应商投标（响应）报价×50%；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3.投标（响应）报价低于采购项目最高限价45%的，即投标（响应）报价&lt;采购项目最高限价×45%；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4.评审委员会基于专业判断，认为供应商报价过低，有可能影响产品质量或者不能诚信履约的其他情形。 </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采购人可以结合具体项目实际情况，提高上述第1项至第3项中启动异常低价投标（响应）审查的数值标准，但是最高不得超过65%。</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lang w:val="en-US" w:eastAsia="zh-CN"/>
        </w:rPr>
        <w:t xml:space="preserve">二</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lang w:val="en-US" w:eastAsia="zh-CN"/>
        </w:rPr>
        <w:t xml:space="preserve">三</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lang w:val="en-US" w:eastAsia="zh-CN"/>
        </w:rPr>
        <w:t xml:space="preserve">四</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ageBreakBefore w:val="0"/>
        <w:spacing w:line="360" w:lineRule="auto"/>
        <w:rPr>
          <w:rFonts w:ascii="Times New Roman" w:hAnsi="Times New Roman" w:eastAsia="宋体"/>
          <w:color w:val="auto"/>
          <w:sz w:val="36"/>
          <w:highlight w:val="none"/>
        </w:rPr>
      </w:pPr>
      <w:r>
        <w:rPr>
          <w:rFonts w:hint="eastAsia" w:ascii="Times New Roman" w:hAnsi="Times New Roman" w:eastAsia="宋体"/>
          <w:color w:val="auto"/>
          <w:sz w:val="36"/>
          <w:highlight w:val="none"/>
        </w:rPr>
        <w:br w:type="page" w:clear="all"/>
      </w:r>
      <w:r/>
    </w:p>
    <w:p>
      <w:pPr>
        <w:pStyle w:val="715"/>
        <w:jc w:val="center"/>
        <w:pageBreakBefore w:val="0"/>
        <w:spacing w:before="0" w:after="0" w:line="360" w:lineRule="auto"/>
        <w:rPr>
          <w:rFonts w:hint="eastAsia" w:ascii="Times New Roman" w:hAnsi="Times New Roman" w:eastAsia="宋体"/>
          <w:color w:val="auto"/>
          <w:sz w:val="36"/>
          <w:szCs w:val="36"/>
          <w:highlight w:val="none"/>
        </w:rPr>
      </w:pPr>
      <w:r/>
      <w:bookmarkStart w:id="65" w:name="_Toc9838"/>
      <w:r/>
      <w:r/>
    </w:p>
    <w:p>
      <w:pPr>
        <w:pStyle w:val="715"/>
        <w:jc w:val="center"/>
        <w:pageBreakBefore w:val="0"/>
        <w:spacing w:before="0" w:after="0" w:line="360" w:lineRule="auto"/>
        <w:rPr>
          <w:rFonts w:ascii="Times New Roman" w:hAnsi="Times New Roman" w:eastAsia="宋体"/>
          <w:color w:val="auto"/>
          <w:sz w:val="36"/>
          <w:highlight w:val="none"/>
        </w:rPr>
      </w:pPr>
      <w:r>
        <w:rPr>
          <w:rFonts w:hint="eastAsia" w:ascii="Times New Roman" w:hAnsi="Times New Roman" w:eastAsia="宋体"/>
          <w:color w:val="auto"/>
          <w:sz w:val="36"/>
          <w:szCs w:val="36"/>
          <w:highlight w:val="none"/>
        </w:rPr>
        <w:t xml:space="preserve">第六章</w:t>
      </w:r>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投标文件格式</w:t>
      </w:r>
      <w:bookmarkEnd w:id="65"/>
      <w:r/>
      <w:r/>
    </w:p>
    <w:p>
      <w:pPr>
        <w:pageBreakBefore w:val="0"/>
        <w:spacing w:line="360" w:lineRule="auto"/>
        <w:rPr>
          <w:rFonts w:ascii="Times New Roman" w:hAnsi="Times New Roman" w:eastAsia="宋体"/>
          <w:bCs/>
          <w:color w:val="auto"/>
          <w:sz w:val="44"/>
          <w:highlight w:val="none"/>
        </w:rPr>
      </w:pPr>
      <w:r>
        <w:rPr>
          <w:rFonts w:ascii="Times New Roman" w:hAnsi="Times New Roman" w:eastAsia="宋体"/>
          <w:bCs/>
          <w:color w:val="auto"/>
          <w:sz w:val="44"/>
          <w:highlight w:val="none"/>
        </w:rPr>
      </w:r>
      <w:r/>
    </w:p>
    <w:p>
      <w:pPr>
        <w:jc w:val="center"/>
        <w:pageBreakBefore w:val="0"/>
        <w:spacing w:line="360" w:lineRule="auto"/>
        <w:rPr>
          <w:rFonts w:ascii="Times New Roman" w:hAnsi="Times New Roman" w:eastAsia="宋体"/>
          <w:b/>
          <w:color w:val="auto"/>
          <w:sz w:val="72"/>
          <w:highlight w:val="none"/>
        </w:rPr>
      </w:pPr>
      <w:r>
        <w:rPr>
          <w:rFonts w:hint="eastAsia" w:ascii="Times New Roman" w:hAnsi="Times New Roman" w:eastAsia="宋体"/>
          <w:b/>
          <w:color w:val="auto"/>
          <w:sz w:val="72"/>
          <w:highlight w:val="none"/>
        </w:rPr>
        <w:t xml:space="preserve">投标文件</w:t>
      </w:r>
      <w:r/>
    </w:p>
    <w:p>
      <w:pPr>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ind w:firstLine="1084"/>
        <w:pageBreakBefore w:val="0"/>
        <w:spacing w:line="360" w:lineRule="auto"/>
        <w:rPr>
          <w:rFonts w:ascii="Times New Roman" w:hAnsi="Times New Roman" w:eastAsia="宋体"/>
          <w:b/>
          <w:color w:val="auto"/>
          <w:sz w:val="36"/>
          <w:highlight w:val="none"/>
        </w:rPr>
      </w:pPr>
      <w:r>
        <w:rPr>
          <w:rFonts w:hint="eastAsia" w:ascii="Times New Roman" w:hAnsi="Times New Roman" w:eastAsia="宋体"/>
          <w:b/>
          <w:color w:val="auto"/>
          <w:sz w:val="36"/>
          <w:highlight w:val="none"/>
        </w:rPr>
        <w:t xml:space="preserve">项目名称：</w:t>
      </w:r>
      <w:r/>
    </w:p>
    <w:p>
      <w:pPr>
        <w:ind w:firstLine="1084"/>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招标编号：</w:t>
      </w:r>
      <w:r/>
    </w:p>
    <w:p>
      <w:pPr>
        <w:ind w:firstLine="1084"/>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投标人名称：</w:t>
      </w:r>
      <w:r/>
    </w:p>
    <w:p>
      <w:pPr>
        <w:ind w:firstLine="1084"/>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日期：</w:t>
      </w:r>
      <w:r/>
    </w:p>
    <w:p>
      <w:pPr>
        <w:ind w:firstLine="1084"/>
        <w:pageBreakBefore w:val="0"/>
        <w:spacing w:line="360" w:lineRule="auto"/>
        <w:rPr>
          <w:rFonts w:ascii="Times New Roman" w:hAnsi="Times New Roman" w:eastAsia="宋体"/>
          <w:b/>
          <w:color w:val="auto"/>
          <w:sz w:val="36"/>
          <w:highlight w:val="none"/>
        </w:rPr>
      </w:pPr>
      <w:r>
        <w:rPr>
          <w:rFonts w:hint="eastAsia" w:ascii="Times New Roman" w:hAnsi="Times New Roman" w:eastAsia="宋体"/>
          <w:b/>
          <w:color w:val="auto"/>
          <w:sz w:val="36"/>
          <w:highlight w:val="none"/>
        </w:rPr>
        <w:t xml:space="preserve">投标人：（电子签章）</w:t>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jc w:val="both"/>
        <w:pageBreakBefore w:val="0"/>
        <w:spacing w:line="360" w:lineRule="auto"/>
        <w:rPr>
          <w:rFonts w:ascii="Times New Roman" w:hAnsi="Times New Roman" w:eastAsia="宋体"/>
          <w:b/>
          <w:bCs/>
          <w:color w:val="auto"/>
          <w:sz w:val="32"/>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sz w:val="32"/>
          <w:szCs w:val="32"/>
          <w:highlight w:val="none"/>
        </w:rPr>
      </w:r>
      <w:r/>
    </w:p>
    <w:p>
      <w:pPr>
        <w:jc w:val="center"/>
        <w:pageBreakBefore w:val="0"/>
        <w:spacing w:line="360" w:lineRule="auto"/>
        <w:rPr>
          <w:rFonts w:hint="eastAsia" w:ascii="Times New Roman" w:hAnsi="Times New Roman" w:eastAsia="宋体"/>
          <w:b/>
          <w:bCs/>
          <w:color w:val="auto"/>
          <w:sz w:val="32"/>
          <w:szCs w:val="32"/>
          <w:highlight w:val="none"/>
        </w:rPr>
      </w:pPr>
      <w:r>
        <w:rPr>
          <w:rFonts w:hint="eastAsia"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pPr>
      <w:r>
        <w:rPr>
          <w:rFonts w:hint="eastAsia" w:ascii="Times New Roman" w:hAnsi="Times New Roman" w:eastAsia="宋体"/>
          <w:b/>
          <w:bCs/>
          <w:color w:val="auto"/>
          <w:sz w:val="32"/>
          <w:szCs w:val="32"/>
          <w:highlight w:val="none"/>
        </w:rPr>
        <w:t xml:space="preserve">投标主要文件目录</w:t>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一、资格审查响应对照表</w:t>
      </w:r>
      <w:r/>
    </w:p>
    <w:p>
      <w:pPr>
        <w:ind w:left="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二、符合性审查响应对照表</w:t>
      </w:r>
      <w:r/>
    </w:p>
    <w:p>
      <w:pPr>
        <w:ind w:left="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三、非实质性响应对照表</w:t>
      </w:r>
      <w:r/>
    </w:p>
    <w:p>
      <w:pPr>
        <w:ind w:firstLine="480"/>
        <w:pageBreakBefore w:val="0"/>
        <w:spacing w:line="360" w:lineRule="auto"/>
        <w:rPr>
          <w:rFonts w:ascii="Times New Roman" w:hAnsi="Times New Roman" w:eastAsia="宋体"/>
          <w:b/>
          <w:bCs/>
          <w:color w:val="auto"/>
          <w:sz w:val="24"/>
          <w:highlight w:val="none"/>
        </w:rPr>
      </w:pPr>
      <w:r>
        <w:rPr>
          <w:rFonts w:hint="eastAsia" w:ascii="Times New Roman" w:hAnsi="Times New Roman" w:eastAsia="宋体"/>
          <w:color w:val="auto"/>
          <w:sz w:val="24"/>
          <w:highlight w:val="none"/>
        </w:rPr>
        <w:t xml:space="preserve">四</w:t>
      </w:r>
      <w:r>
        <w:rPr>
          <w:rFonts w:hint="eastAsia" w:ascii="Times New Roman" w:hAnsi="Times New Roman" w:eastAsia="宋体"/>
          <w:b/>
          <w:bCs/>
          <w:color w:val="auto"/>
          <w:sz w:val="24"/>
          <w:highlight w:val="none"/>
        </w:rPr>
        <w:t xml:space="preserve">、</w:t>
      </w:r>
      <w:r>
        <w:rPr>
          <w:rFonts w:hint="eastAsia" w:ascii="Times New Roman" w:hAnsi="Times New Roman" w:eastAsia="宋体"/>
          <w:i/>
          <w:color w:val="auto"/>
          <w:sz w:val="24"/>
          <w:highlight w:val="none"/>
          <w:u w:val="single"/>
        </w:rPr>
        <w:t xml:space="preserve">开标一览表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五、分项报价表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六</w:t>
      </w:r>
      <w:r>
        <w:rPr>
          <w:rFonts w:hint="eastAsia" w:ascii="Times New Roman" w:hAnsi="Times New Roman" w:eastAsia="宋体" w:cs="Courier New"/>
          <w:color w:val="auto"/>
          <w:sz w:val="24"/>
          <w:szCs w:val="24"/>
          <w:highlight w:val="none"/>
        </w:rPr>
        <w:t xml:space="preserve">、</w:t>
      </w:r>
      <w:r>
        <w:rPr>
          <w:rFonts w:hint="eastAsia" w:ascii="Times New Roman" w:hAnsi="Times New Roman" w:eastAsia="宋体"/>
          <w:color w:val="auto"/>
          <w:sz w:val="24"/>
          <w:szCs w:val="24"/>
          <w:highlight w:val="none"/>
        </w:rPr>
        <w:t xml:space="preserve">技术参数响应及偏离表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七、商务条款响应及偏离表</w:t>
      </w:r>
      <w:r/>
    </w:p>
    <w:p>
      <w:pPr>
        <w:ind w:firstLine="480"/>
        <w:pageBreakBefore w:val="0"/>
        <w:spacing w:line="360" w:lineRule="auto"/>
        <w:rPr>
          <w:rFonts w:ascii="Times New Roman" w:hAnsi="Times New Roman" w:eastAsia="宋体"/>
          <w:color w:val="auto"/>
          <w:sz w:val="36"/>
          <w:szCs w:val="36"/>
          <w:highlight w:val="none"/>
        </w:rPr>
      </w:pPr>
      <w:r>
        <w:rPr>
          <w:rFonts w:hint="eastAsia" w:ascii="Times New Roman" w:hAnsi="Times New Roman" w:eastAsia="宋体"/>
          <w:color w:val="auto"/>
          <w:sz w:val="24"/>
          <w:highlight w:val="none"/>
        </w:rPr>
        <w:t xml:space="preserve">八、其他（投标人认为有必要提供的声明和文件，如有自拟并自行添加）</w:t>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p>
      <w:pPr>
        <w:pStyle w:val="716"/>
        <w:pageBreakBefore w:val="0"/>
        <w:spacing w:before="0" w:after="0" w:line="360" w:lineRule="auto"/>
        <w:rPr>
          <w:rFonts w:ascii="Times New Roman" w:hAnsi="Times New Roman" w:eastAsia="宋体"/>
          <w:b w:val="0"/>
          <w:color w:val="auto"/>
          <w:sz w:val="32"/>
          <w:szCs w:val="32"/>
          <w:highlight w:val="none"/>
        </w:rPr>
      </w:pPr>
      <w:r>
        <w:rPr>
          <w:rFonts w:hint="eastAsia" w:ascii="Times New Roman" w:hAnsi="Times New Roman" w:eastAsia="宋体"/>
          <w:color w:val="auto"/>
          <w:sz w:val="32"/>
          <w:szCs w:val="32"/>
          <w:highlight w:val="none"/>
        </w:rPr>
        <w:br w:type="page" w:clear="all"/>
      </w:r>
      <w:bookmarkStart w:id="66" w:name="_Toc2029"/>
      <w:r/>
      <w:bookmarkStart w:id="67" w:name="_Toc31039"/>
      <w:r/>
      <w:bookmarkStart w:id="68" w:name="_Toc5792"/>
      <w:r>
        <w:rPr>
          <w:rFonts w:hint="eastAsia" w:ascii="Times New Roman" w:hAnsi="Times New Roman" w:eastAsia="宋体"/>
          <w:color w:val="auto"/>
          <w:sz w:val="32"/>
          <w:highlight w:val="none"/>
        </w:rPr>
        <w:t xml:space="preserve">一、资格审查响应对照表</w:t>
      </w:r>
      <w:bookmarkEnd w:id="66"/>
      <w:r/>
      <w:bookmarkEnd w:id="67"/>
      <w:r/>
      <w:bookmarkEnd w:id="68"/>
      <w:r/>
      <w:r/>
    </w:p>
    <w:tbl>
      <w:tblPr>
        <w:tblStyle w:val="725"/>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资格审查响应内容</w:t>
            </w:r>
            <w:r/>
          </w:p>
        </w:tc>
        <w:tc>
          <w:tcPr>
            <w:tcW w:w="2158"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（填是或者否）</w:t>
            </w:r>
            <w:r/>
          </w:p>
        </w:tc>
      </w:tr>
      <w:tr>
        <w:trPr>
          <w:trHeight w:val="335"/>
        </w:trPr>
        <w:tc>
          <w:tcPr>
            <w:gridSpan w:val="3"/>
            <w:tcW w:w="8251"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通用资格条件</w:t>
            </w:r>
            <w:r/>
          </w:p>
        </w:tc>
      </w:tr>
      <w:tr>
        <w:trPr>
          <w:trHeight w:val="761"/>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color w:val="auto"/>
                <w:szCs w:val="21"/>
                <w:highlight w:val="none"/>
              </w:rPr>
              <w:t xml:space="preserve">法人或者其他组织的营业执照等证明文件，自然人的身份证明</w:t>
            </w:r>
            <w:r>
              <w:rPr>
                <w:rFonts w:hint="eastAsia" w:ascii="Times New Roman" w:hAnsi="Times New Roman" w:eastAsia="宋体"/>
                <w:color w:val="auto"/>
                <w:szCs w:val="21"/>
                <w:highlight w:val="none"/>
              </w:rPr>
              <w:t xml:space="preserve">（身份证为正、反面）</w:t>
            </w:r>
            <w:r/>
          </w:p>
        </w:tc>
        <w:tc>
          <w:tcPr>
            <w:tcW w:w="215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iCs/>
                <w:color w:val="auto"/>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lang w:val="en-US" w:eastAsia="zh-CN"/>
              </w:rPr>
              <w:t xml:space="preserve">2025年度</w:t>
            </w:r>
            <w:r>
              <w:rPr>
                <w:rFonts w:hint="eastAsia" w:ascii="Times New Roman" w:hAnsi="Times New Roman" w:eastAsia="宋体"/>
                <w:iCs/>
                <w:color w:val="auto"/>
                <w:szCs w:val="21"/>
                <w:highlight w:val="none"/>
              </w:rPr>
              <w:t xml:space="preserve">财务报告情况</w:t>
            </w:r>
            <w:r>
              <w:rPr>
                <w:rFonts w:hint="eastAsia" w:ascii="Times New Roman" w:hAnsi="Times New Roman" w:eastAsia="宋体"/>
                <w:b/>
                <w:bCs/>
                <w:iCs/>
                <w:color w:val="auto"/>
                <w:szCs w:val="21"/>
                <w:highlight w:val="none"/>
              </w:rPr>
              <w:t xml:space="preserve">（成立不满一年不需提供）</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具备履行合同所必需的设备和专业技术能力的证明材料</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参加本次政府采购活动前3年内在经营活动中没有重大违法记录的书面声明</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6</w:t>
            </w:r>
            <w:r/>
          </w:p>
        </w:tc>
        <w:tc>
          <w:tcPr>
            <w:tcW w:w="5447"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7</w:t>
            </w:r>
            <w:r/>
          </w:p>
        </w:tc>
        <w:tc>
          <w:tcPr>
            <w:tcW w:w="5447"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供应商信用承诺函</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272"/>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8</w:t>
            </w:r>
            <w:r/>
          </w:p>
        </w:tc>
        <w:tc>
          <w:tcPr>
            <w:tcW w:w="5447" w:type="dxa"/>
            <w:vAlign w:val="center"/>
            <w:textDirection w:val="lrTb"/>
            <w:noWrap w:val="false"/>
          </w:tcPr>
          <w:p>
            <w:pPr>
              <w:pageBreakBefore w:val="0"/>
              <w:spacing w:line="360" w:lineRule="auto"/>
              <w:rPr>
                <w:rFonts w:ascii="Times New Roman" w:hAnsi="Times New Roman" w:eastAsia="宋体"/>
                <w:color w:val="auto"/>
                <w:highlight w:val="none"/>
              </w:rPr>
            </w:pPr>
            <w:r>
              <w:rPr>
                <w:rFonts w:hint="eastAsia" w:ascii="Times New Roman" w:hAnsi="Times New Roman" w:eastAsia="宋体" w:cs="宋体"/>
                <w:color w:val="auto"/>
                <w:szCs w:val="21"/>
                <w:highlight w:val="none"/>
                <w:lang w:val="en-US" w:eastAsia="zh-CN"/>
              </w:rPr>
              <w:t xml:space="preserve">根据《政府采购促进中小企业发展管理办法》，本项目专门面向中小企业采购。供应商参加投标时须提供《中小企业声明函》，《中小企业声明函》不符合要求或未提供的，投标文件无效。</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特定资格条件</w:t>
            </w:r>
            <w:r/>
          </w:p>
        </w:tc>
      </w:tr>
      <w:tr>
        <w:trPr>
          <w:trHeight w:val="389"/>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9</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lang w:val="en-US" w:eastAsia="zh-CN"/>
              </w:rPr>
              <w:t xml:space="preserve">供应商须</w:t>
            </w:r>
            <w:r>
              <w:rPr>
                <w:rFonts w:hint="eastAsia" w:ascii="Times New Roman" w:hAnsi="Times New Roman" w:eastAsia="宋体"/>
                <w:iCs/>
                <w:color w:val="auto"/>
                <w:szCs w:val="21"/>
                <w:highlight w:val="none"/>
              </w:rPr>
              <w:t xml:space="preserve">持有《保安服务许可证》</w:t>
            </w:r>
            <w:r>
              <w:rPr>
                <w:rFonts w:hint="eastAsia" w:ascii="Times New Roman" w:hAnsi="Times New Roman" w:eastAsia="宋体"/>
                <w:iCs/>
                <w:color w:val="auto"/>
                <w:szCs w:val="21"/>
                <w:highlight w:val="none"/>
                <w:lang w:val="en-US" w:eastAsia="zh-CN"/>
              </w:rPr>
              <w:t xml:space="preserve">（原件扫描上传）</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其他资格条件</w:t>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10</w:t>
            </w:r>
            <w:r/>
          </w:p>
        </w:tc>
        <w:tc>
          <w:tcPr>
            <w:tcW w:w="5447" w:type="dxa"/>
            <w:vAlign w:val="center"/>
            <w:textDirection w:val="lrTb"/>
            <w:noWrap w:val="false"/>
          </w:tcPr>
          <w:p>
            <w:pPr>
              <w:jc w:val="left"/>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投标函</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11</w:t>
            </w:r>
            <w:r/>
          </w:p>
        </w:tc>
        <w:tc>
          <w:tcPr>
            <w:tcW w:w="5447" w:type="dxa"/>
            <w:vAlign w:val="center"/>
            <w:textDirection w:val="lrTb"/>
            <w:noWrap w:val="false"/>
          </w:tcPr>
          <w:p>
            <w:pPr>
              <w:jc w:val="left"/>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法人授权书</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ind w:firstLine="1476"/>
        <w:pageBreakBefore w:val="0"/>
        <w:spacing w:line="360" w:lineRule="auto"/>
        <w:rPr>
          <w:rFonts w:ascii="Times New Roman" w:hAnsi="Times New Roman" w:eastAsia="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highlight w:val="none"/>
        </w:rPr>
      </w:r>
      <w:r/>
    </w:p>
    <w:p>
      <w:pPr>
        <w:ind w:firstLine="1476"/>
        <w:pageBreakBefore w:val="0"/>
        <w:spacing w:line="360" w:lineRule="auto"/>
        <w:rPr>
          <w:rFonts w:hint="eastAsia" w:ascii="Times New Roman" w:hAnsi="Times New Roman" w:eastAsia="宋体"/>
          <w:b/>
          <w:bCs/>
          <w:color w:val="auto"/>
          <w:highlight w:val="none"/>
        </w:rPr>
      </w:pPr>
      <w:r>
        <w:rPr>
          <w:rFonts w:hint="eastAsia" w:ascii="Times New Roman" w:hAnsi="Times New Roman" w:eastAsia="宋体"/>
          <w:b/>
          <w:bCs/>
          <w:color w:val="auto"/>
          <w:highlight w:val="none"/>
        </w:rPr>
      </w:r>
      <w:r/>
    </w:p>
    <w:p>
      <w:pPr>
        <w:ind w:firstLine="1476"/>
        <w:pageBreakBefore w:val="0"/>
        <w:spacing w:line="360" w:lineRule="auto"/>
        <w:rPr>
          <w:rFonts w:hint="eastAsia" w:ascii="Times New Roman" w:hAnsi="Times New Roman" w:eastAsia="宋体"/>
          <w:b/>
          <w:bCs/>
          <w:color w:val="auto"/>
          <w:highlight w:val="none"/>
        </w:rPr>
      </w:pPr>
      <w:r>
        <w:rPr>
          <w:rFonts w:hint="eastAsia" w:ascii="Times New Roman" w:hAnsi="Times New Roman" w:eastAsia="宋体"/>
          <w:b/>
          <w:bCs/>
          <w:color w:val="auto"/>
          <w:highlight w:val="none"/>
        </w:rPr>
      </w:r>
      <w:r/>
    </w:p>
    <w:p>
      <w:pPr>
        <w:ind w:firstLine="1476"/>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具备履行合同所必需的设备和专业技术能力的书面声明</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主要设备有：。</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主要专业技术能力有：。</w:t>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hint="eastAsia" w:ascii="Times New Roman" w:hAnsi="Times New Roman" w:eastAsia="宋体"/>
          <w:b/>
          <w:bCs/>
          <w:color w:val="auto"/>
          <w:highlight w:val="none"/>
        </w:rPr>
      </w:pPr>
      <w:r>
        <w:rPr>
          <w:rFonts w:hint="eastAsia" w:ascii="Times New Roman" w:hAnsi="Times New Roman" w:eastAsia="宋体"/>
          <w:b/>
          <w:bCs/>
          <w:color w:val="auto"/>
          <w:highlight w:val="none"/>
        </w:rPr>
      </w:r>
      <w:r/>
    </w:p>
    <w:p>
      <w:pPr>
        <w:jc w:val="center"/>
        <w:pageBreakBefore w:val="0"/>
        <w:spacing w:line="360" w:lineRule="auto"/>
        <w:rPr>
          <w:rFonts w:hint="eastAsia" w:ascii="Times New Roman" w:hAnsi="Times New Roman" w:eastAsia="宋体"/>
          <w:b/>
          <w:bCs/>
          <w:color w:val="auto"/>
          <w:highlight w:val="none"/>
        </w:rPr>
      </w:pPr>
      <w:r>
        <w:rPr>
          <w:rFonts w:hint="eastAsia"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参加本次政府采购活动前3年内在经营活动中没有重大违法记录的书面声明</w:t>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声明</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我公司郑重声明：参加本次政府采购活动前3年内，我公司在经营活动中没有因违法经营受到刑事处罚或者责令停产停业、吊销许可证或者执照、较大数额罚款等行政处罚。</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供应商名称（公章）：</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法定代表人签章：</w:t>
      </w:r>
      <w:r>
        <w:rPr>
          <w:rFonts w:hint="eastAsia" w:ascii="Times New Roman" w:hAnsi="Times New Roman" w:eastAsia="宋体"/>
          <w:bCs/>
          <w:color w:val="auto"/>
          <w:highlight w:val="none"/>
          <w:u w:val="single"/>
        </w:rPr>
        <w:t xml:space="preserve">_______________________</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日期：年月日</w:t>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hint="eastAsia" w:ascii="Times New Roman" w:hAnsi="Times New Roman" w:eastAsia="宋体"/>
          <w:b/>
          <w:bCs/>
          <w:color w:val="auto"/>
          <w:highlight w:val="none"/>
        </w:rPr>
      </w:pPr>
      <w:r>
        <w:rPr>
          <w:rFonts w:hint="eastAsia" w:ascii="Times New Roman" w:hAnsi="Times New Roman" w:eastAsia="宋体"/>
          <w:b/>
          <w:bCs/>
          <w:color w:val="auto"/>
          <w:highlight w:val="none"/>
        </w:rPr>
        <w:br w:type="page" w:clear="all"/>
      </w:r>
      <w:r/>
    </w:p>
    <w:p>
      <w:pPr>
        <w:jc w:val="center"/>
        <w:pageBreakBefore w:val="0"/>
        <w:spacing w:line="360" w:lineRule="auto"/>
        <w:rPr>
          <w:rFonts w:hint="eastAsia" w:ascii="Times New Roman" w:hAnsi="Times New Roman" w:eastAsia="宋体"/>
          <w:b/>
          <w:bCs/>
          <w:color w:val="auto"/>
          <w:highlight w:val="none"/>
        </w:rPr>
      </w:pPr>
      <w:r>
        <w:rPr>
          <w:rFonts w:hint="eastAsia" w:ascii="Times New Roman" w:hAnsi="Times New Roman" w:eastAsia="宋体"/>
          <w:b/>
          <w:bCs/>
          <w:color w:val="auto"/>
          <w:highlight w:val="none"/>
        </w:rPr>
      </w:r>
      <w:r/>
    </w:p>
    <w:p>
      <w:pPr>
        <w:jc w:val="center"/>
        <w:pageBreakBefore w:val="0"/>
        <w:spacing w:line="360" w:lineRule="auto"/>
        <w:rPr>
          <w:rFonts w:hint="eastAsia" w:ascii="Times New Roman" w:hAnsi="Times New Roman" w:eastAsia="宋体"/>
          <w:b/>
          <w:bCs/>
          <w:color w:val="auto"/>
          <w:highlight w:val="none"/>
        </w:rPr>
      </w:pPr>
      <w:r>
        <w:rPr>
          <w:rFonts w:hint="eastAsia" w:ascii="Times New Roman" w:hAnsi="Times New Roman" w:eastAsia="宋体"/>
          <w:b/>
          <w:bCs/>
          <w:color w:val="auto"/>
          <w:highlight w:val="none"/>
        </w:rPr>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供应商信用承诺书</w:t>
      </w:r>
      <w:r/>
    </w:p>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承诺主体名称：</w:t>
      </w:r>
      <w:r/>
    </w:p>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统一社会信用代码：</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四、自觉接受行政管理部门、行业组织、社会公众、新闻舆论的监督；</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六、提出政府采购质疑和投诉坚持依法依规、诚实信用原则，在全国范围12个月内没有三次以上查无实据的政府采购投诉；</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七、严格遵守信用信息公示相关规定，向社会公示信用信息；</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八、在“信用中国”和“中国政府采购网”网站中无违法违规、较重或严重失信记录；</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十、本承诺书自签订之日起生效。</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（注：法定代表人或负责人、主体名称发生变更的应当重新做出承诺。）</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承诺单位（签章）：</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法定代表人（负责人）：</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年月日</w:t>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br w:type="page" w:clear="all"/>
      </w:r>
      <w:r/>
    </w:p>
    <w:p>
      <w:pPr>
        <w:jc w:val="center"/>
        <w:pageBreakBefore w:val="0"/>
        <w:spacing w:line="360" w:lineRule="auto"/>
        <w:rPr>
          <w:rFonts w:hint="eastAsia" w:ascii="Times New Roman" w:hAnsi="Times New Roman" w:eastAsia="宋体"/>
          <w:b/>
          <w:bCs/>
          <w:color w:val="auto"/>
          <w:highlight w:val="none"/>
        </w:rPr>
      </w:pPr>
      <w:r>
        <w:rPr>
          <w:rFonts w:hint="eastAsia" w:ascii="Times New Roman" w:hAnsi="Times New Roman" w:eastAsia="宋体"/>
          <w:b/>
          <w:bCs/>
          <w:color w:val="auto"/>
          <w:highlight w:val="none"/>
        </w:rPr>
      </w:r>
      <w:r/>
    </w:p>
    <w:p>
      <w:pPr>
        <w:jc w:val="center"/>
        <w:pageBreakBefore w:val="0"/>
        <w:spacing w:line="360" w:lineRule="auto"/>
        <w:rPr>
          <w:rFonts w:hint="eastAsia" w:ascii="Times New Roman" w:hAnsi="Times New Roman" w:eastAsia="宋体"/>
          <w:b/>
          <w:bCs/>
          <w:color w:val="auto"/>
          <w:highlight w:val="none"/>
        </w:rPr>
      </w:pPr>
      <w:r>
        <w:rPr>
          <w:rFonts w:hint="eastAsia"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投标函格式</w:t>
      </w:r>
      <w:r/>
    </w:p>
    <w:p>
      <w:pPr>
        <w:pStyle w:val="917"/>
        <w:ind w:firstLine="0"/>
        <w:pageBreakBefore w:val="0"/>
        <w:spacing w:before="0" w:after="0" w:line="360" w:lineRule="auto"/>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rPr>
        <w:t xml:space="preserve">致：</w:t>
      </w:r>
      <w:r>
        <w:rPr>
          <w:rFonts w:hint="eastAsia" w:ascii="Times New Roman" w:hAnsi="Times New Roman"/>
          <w:color w:val="auto"/>
          <w:sz w:val="21"/>
          <w:highlight w:val="none"/>
          <w:lang w:eastAsia="zh-CN"/>
        </w:rPr>
        <w:t xml:space="preserve">江苏汇诚投资咨询管理有限公司</w:t>
      </w:r>
      <w:r/>
    </w:p>
    <w:p>
      <w:pPr>
        <w:pStyle w:val="917"/>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17"/>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据此函，__________签字人（姓名）兹宣布同意如下：</w:t>
      </w:r>
      <w:r/>
    </w:p>
    <w:p>
      <w:pPr>
        <w:pStyle w:val="917"/>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1.按招标文件规定的各项要求，向买方提供所需货物与服务。</w:t>
      </w:r>
      <w:r/>
    </w:p>
    <w:p>
      <w:pPr>
        <w:pStyle w:val="917"/>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2.我们完全理解贵方不一定将合同授予最低报价的投标人。</w:t>
      </w:r>
      <w:r/>
    </w:p>
    <w:p>
      <w:pPr>
        <w:pStyle w:val="917"/>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3.我们已详细审核全部招标文件及其有效补充文件，我们知道必须放弃提出含糊不清或误解问题的权利。</w:t>
      </w:r>
      <w:r/>
    </w:p>
    <w:p>
      <w:pPr>
        <w:pStyle w:val="917"/>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4.我们同意从规定的开标日期起遵循本投标文件，并在规定的投标有效期期满之前均具有约束力。</w:t>
      </w:r>
      <w:r/>
    </w:p>
    <w:p>
      <w:pPr>
        <w:pStyle w:val="917"/>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17"/>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17"/>
        <w:ind w:left="425" w:firstLine="105"/>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7.与本投标有关的正式通讯地址为：</w:t>
      </w:r>
      <w:r/>
    </w:p>
    <w:p>
      <w:pPr>
        <w:pStyle w:val="917"/>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地址：</w:t>
      </w:r>
      <w:r/>
    </w:p>
    <w:p>
      <w:pPr>
        <w:pStyle w:val="917"/>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邮编：</w:t>
      </w:r>
      <w:r/>
    </w:p>
    <w:p>
      <w:pPr>
        <w:pStyle w:val="917"/>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电话：</w:t>
      </w:r>
      <w:r/>
    </w:p>
    <w:p>
      <w:pPr>
        <w:pStyle w:val="917"/>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传真：</w:t>
      </w:r>
      <w:r/>
    </w:p>
    <w:p>
      <w:pPr>
        <w:pStyle w:val="917"/>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投标人开户行：</w:t>
      </w:r>
      <w:r/>
    </w:p>
    <w:p>
      <w:pPr>
        <w:pStyle w:val="917"/>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账户：</w:t>
      </w:r>
      <w:r/>
    </w:p>
    <w:p>
      <w:pPr>
        <w:pStyle w:val="917"/>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行号：</w:t>
      </w:r>
      <w:r/>
    </w:p>
    <w:p>
      <w:pPr>
        <w:pStyle w:val="917"/>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日期：________年____月____日</w:t>
      </w:r>
      <w:r/>
    </w:p>
    <w:p>
      <w:pPr>
        <w:contextualSpacing/>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b/>
          <w:color w:val="auto"/>
          <w:sz w:val="32"/>
          <w:szCs w:val="32"/>
          <w:highlight w:val="none"/>
        </w:rPr>
      </w:pPr>
      <w:r>
        <w:rPr>
          <w:rFonts w:hint="eastAsia" w:ascii="Times New Roman" w:hAnsi="Times New Roman" w:eastAsia="宋体"/>
          <w:b/>
          <w:color w:val="auto"/>
          <w:sz w:val="32"/>
          <w:szCs w:val="32"/>
          <w:highlight w:val="none"/>
        </w:rPr>
        <w:br w:type="page" w:clear="all"/>
      </w:r>
      <w:r/>
    </w:p>
    <w:p>
      <w:pPr>
        <w:pStyle w:val="918"/>
        <w:ind w:firstLine="422"/>
        <w:jc w:val="center"/>
        <w:pageBreakBefore w:val="0"/>
        <w:spacing w:line="360" w:lineRule="auto"/>
        <w:rPr>
          <w:rFonts w:hint="eastAsia"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r>
      <w:r/>
    </w:p>
    <w:p>
      <w:pPr>
        <w:pStyle w:val="918"/>
        <w:ind w:firstLine="422"/>
        <w:jc w:val="center"/>
        <w:pageBreakBefore w:val="0"/>
        <w:spacing w:line="360" w:lineRule="auto"/>
        <w:rPr>
          <w:rFonts w:hint="eastAsia"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r>
      <w:r/>
    </w:p>
    <w:p>
      <w:pPr>
        <w:pStyle w:val="918"/>
        <w:ind w:firstLine="422"/>
        <w:jc w:val="center"/>
        <w:pageBreakBefore w:val="0"/>
        <w:spacing w:line="360" w:lineRule="auto"/>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 xml:space="preserve">法人授权书</w:t>
      </w:r>
      <w:r/>
    </w:p>
    <w:p>
      <w:pPr>
        <w:pStyle w:val="918"/>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本授权书声明：</w:t>
      </w:r>
      <w:r>
        <w:rPr>
          <w:rFonts w:ascii="Times New Roman" w:hAnsi="Times New Roman" w:eastAsia="宋体"/>
          <w:color w:val="auto"/>
          <w:sz w:val="21"/>
          <w:szCs w:val="21"/>
          <w:highlight w:val="none"/>
        </w:rPr>
        <w:t xml:space="preserve">________________</w:t>
      </w:r>
      <w:r>
        <w:rPr>
          <w:rFonts w:hint="eastAsia" w:ascii="Times New Roman" w:hAnsi="Times New Roman" w:eastAsia="宋体"/>
          <w:color w:val="auto"/>
          <w:sz w:val="21"/>
          <w:szCs w:val="21"/>
          <w:highlight w:val="none"/>
        </w:rPr>
        <w:t xml:space="preserve">（投标人名称）授权</w:t>
      </w:r>
      <w:r>
        <w:rPr>
          <w:rFonts w:ascii="Times New Roman" w:hAnsi="Times New Roman" w:eastAsia="宋体"/>
          <w:color w:val="auto"/>
          <w:sz w:val="21"/>
          <w:szCs w:val="21"/>
          <w:highlight w:val="none"/>
        </w:rPr>
        <w:t xml:space="preserve">________________</w:t>
      </w:r>
      <w:r>
        <w:rPr>
          <w:rFonts w:hint="eastAsia" w:ascii="Times New Roman" w:hAnsi="Times New Roman" w:eastAsia="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18"/>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本授权书于</w:t>
      </w:r>
      <w:r>
        <w:rPr>
          <w:rFonts w:ascii="Times New Roman" w:hAnsi="Times New Roman" w:eastAsia="宋体"/>
          <w:color w:val="auto"/>
          <w:sz w:val="21"/>
          <w:szCs w:val="21"/>
          <w:highlight w:val="none"/>
        </w:rPr>
        <w:t xml:space="preserve">______</w:t>
      </w:r>
      <w:r>
        <w:rPr>
          <w:rFonts w:hint="eastAsia" w:ascii="Times New Roman" w:hAnsi="Times New Roman" w:eastAsia="宋体"/>
          <w:color w:val="auto"/>
          <w:sz w:val="21"/>
          <w:szCs w:val="21"/>
          <w:highlight w:val="none"/>
        </w:rPr>
        <w:t xml:space="preserve">年</w:t>
      </w:r>
      <w:r>
        <w:rPr>
          <w:rFonts w:ascii="Times New Roman" w:hAnsi="Times New Roman" w:eastAsia="宋体"/>
          <w:color w:val="auto"/>
          <w:sz w:val="21"/>
          <w:szCs w:val="21"/>
          <w:highlight w:val="none"/>
        </w:rPr>
        <w:t xml:space="preserve">____</w:t>
      </w:r>
      <w:r>
        <w:rPr>
          <w:rFonts w:hint="eastAsia" w:ascii="Times New Roman" w:hAnsi="Times New Roman" w:eastAsia="宋体"/>
          <w:color w:val="auto"/>
          <w:sz w:val="21"/>
          <w:szCs w:val="21"/>
          <w:highlight w:val="none"/>
        </w:rPr>
        <w:t xml:space="preserve">月</w:t>
      </w:r>
      <w:r>
        <w:rPr>
          <w:rFonts w:ascii="Times New Roman" w:hAnsi="Times New Roman" w:eastAsia="宋体"/>
          <w:color w:val="auto"/>
          <w:sz w:val="21"/>
          <w:szCs w:val="21"/>
          <w:highlight w:val="none"/>
        </w:rPr>
        <w:t xml:space="preserve">____</w:t>
      </w:r>
      <w:r>
        <w:rPr>
          <w:rFonts w:hint="eastAsia" w:ascii="Times New Roman" w:hAnsi="Times New Roman" w:eastAsia="宋体"/>
          <w:color w:val="auto"/>
          <w:sz w:val="21"/>
          <w:szCs w:val="21"/>
          <w:highlight w:val="none"/>
        </w:rPr>
        <w:t xml:space="preserve">日起生效，特此声明。</w:t>
      </w:r>
      <w:r/>
    </w:p>
    <w:p>
      <w:pPr>
        <w:pStyle w:val="918"/>
        <w:ind w:firstLine="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p>
      <w:pPr>
        <w:pStyle w:val="918"/>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被授权人姓名：</w:t>
      </w:r>
      <w:r/>
    </w:p>
    <w:p>
      <w:pPr>
        <w:pStyle w:val="918"/>
        <w:ind w:firstLine="420"/>
        <w:pageBreakBefore w:val="0"/>
        <w:spacing w:line="360" w:lineRule="auto"/>
        <w:rPr>
          <w:rFonts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联系电话（手机）：</w:t>
      </w:r>
      <w:r/>
    </w:p>
    <w:p>
      <w:pPr>
        <w:pStyle w:val="918"/>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单位名称：</w:t>
      </w:r>
      <w:r/>
    </w:p>
    <w:p>
      <w:pPr>
        <w:pStyle w:val="918"/>
        <w:ind w:firstLine="420"/>
        <w:pageBreakBefore w:val="0"/>
        <w:spacing w:line="360" w:lineRule="auto"/>
        <w:rPr>
          <w:rFonts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单位地址：</w:t>
      </w:r>
      <w:r/>
    </w:p>
    <w:p>
      <w:pPr>
        <w:pStyle w:val="918"/>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日期：</w:t>
      </w:r>
      <w:r/>
    </w:p>
    <w:p>
      <w:pPr>
        <w:ind w:firstLine="420"/>
        <w:pageBreakBefore w:val="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ind w:firstLine="420"/>
        <w:pageBreakBefore w:val="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法定代表人身份证复印件</w:t>
      </w:r>
      <w:r/>
    </w:p>
    <w:p>
      <w:pPr>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pageBreakBefore w:val="0"/>
        <w:spacing w:line="360" w:lineRule="auto"/>
        <w:rPr>
          <w:rFonts w:ascii="Times New Roman" w:hAnsi="Times New Roman" w:eastAsia="宋体"/>
          <w:bCs/>
          <w:color w:val="auto"/>
          <w:sz w:val="24"/>
          <w:highlight w:val="none"/>
        </w:rPr>
      </w:pPr>
      <w:r>
        <w:rPr>
          <w:rFonts w:ascii="Times New Roman" w:hAnsi="Times New Roman" w:eastAsia="宋体"/>
          <w:bCs/>
          <w:color w:val="auto"/>
          <w:sz w:val="24"/>
          <w:highlight w:val="none"/>
        </w:rPr>
      </w:r>
      <w:r/>
    </w:p>
    <w:p>
      <w:pPr>
        <w:ind w:firstLine="420"/>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被授权人身份证复印件</w:t>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left"/>
        <w:pageBreakBefore w:val="0"/>
        <w:spacing w:line="360" w:lineRule="auto"/>
        <w:widowControl/>
        <w:rPr>
          <w:rFonts w:ascii="Times New Roman" w:hAnsi="Times New Roman" w:eastAsia="宋体" w:cs="Arial"/>
          <w:b/>
          <w:bCs/>
          <w:color w:val="auto"/>
          <w:sz w:val="21"/>
          <w:szCs w:val="21"/>
          <w:highlight w:val="none"/>
        </w:rPr>
      </w:pPr>
      <w:r>
        <w:rPr>
          <w:rFonts w:ascii="Times New Roman" w:hAnsi="Times New Roman" w:eastAsia="宋体" w:cs="Arial"/>
          <w:b/>
          <w:bCs/>
          <w:color w:val="auto"/>
          <w:sz w:val="21"/>
          <w:szCs w:val="21"/>
          <w:highlight w:val="none"/>
        </w:rPr>
      </w:r>
      <w:r/>
    </w:p>
    <w:p>
      <w:pPr>
        <w:jc w:val="left"/>
        <w:pageBreakBefore w:val="0"/>
        <w:spacing w:line="360" w:lineRule="auto"/>
        <w:widowControl/>
        <w:rPr>
          <w:rFonts w:ascii="Times New Roman" w:hAnsi="Times New Roman" w:eastAsia="宋体" w:cs="Arial"/>
          <w:b/>
          <w:bCs/>
          <w:color w:val="auto"/>
          <w:sz w:val="21"/>
          <w:szCs w:val="21"/>
          <w:highlight w:val="none"/>
        </w:rPr>
      </w:pPr>
      <w:r>
        <w:rPr>
          <w:rFonts w:ascii="Times New Roman" w:hAnsi="Times New Roman" w:eastAsia="宋体" w:cs="Arial"/>
          <w:b/>
          <w:bCs/>
          <w:color w:val="auto"/>
          <w:sz w:val="21"/>
          <w:szCs w:val="21"/>
          <w:highlight w:val="none"/>
        </w:rPr>
      </w:r>
      <w:r/>
    </w:p>
    <w:p>
      <w:pPr>
        <w:jc w:val="left"/>
        <w:pageBreakBefore w:val="0"/>
        <w:spacing w:line="360" w:lineRule="auto"/>
        <w:widowControl/>
        <w:rPr>
          <w:rFonts w:ascii="Times New Roman" w:hAnsi="Times New Roman" w:eastAsia="宋体" w:cs="Arial"/>
          <w:b/>
          <w:bCs/>
          <w:color w:val="auto"/>
          <w:sz w:val="21"/>
          <w:szCs w:val="21"/>
          <w:highlight w:val="none"/>
        </w:rPr>
      </w:pPr>
      <w:r>
        <w:rPr>
          <w:rFonts w:ascii="Times New Roman" w:hAnsi="Times New Roman" w:eastAsia="宋体" w:cs="Arial"/>
          <w:b/>
          <w:bCs/>
          <w:color w:val="auto"/>
          <w:sz w:val="21"/>
          <w:szCs w:val="21"/>
          <w:highlight w:val="none"/>
        </w:rPr>
      </w:r>
      <w:r/>
    </w:p>
    <w:p>
      <w:pPr>
        <w:jc w:val="left"/>
        <w:pageBreakBefore w:val="0"/>
        <w:spacing w:line="360" w:lineRule="auto"/>
        <w:widowControl/>
        <w:rPr>
          <w:rFonts w:ascii="Times New Roman" w:hAnsi="Times New Roman" w:eastAsia="宋体" w:cs="Arial"/>
          <w:b/>
          <w:bCs/>
          <w:color w:val="auto"/>
          <w:sz w:val="21"/>
          <w:szCs w:val="21"/>
          <w:highlight w:val="none"/>
        </w:rPr>
      </w:pPr>
      <w:r>
        <w:rPr>
          <w:rFonts w:ascii="Times New Roman" w:hAnsi="Times New Roman" w:eastAsia="宋体" w:cs="Arial"/>
          <w:b/>
          <w:bCs/>
          <w:color w:val="auto"/>
          <w:sz w:val="21"/>
          <w:szCs w:val="21"/>
          <w:highlight w:val="none"/>
        </w:rPr>
      </w:r>
      <w:r/>
    </w:p>
    <w:p>
      <w:pPr>
        <w:jc w:val="left"/>
        <w:pageBreakBefore w:val="0"/>
        <w:spacing w:line="360" w:lineRule="auto"/>
        <w:widowControl/>
        <w:rPr>
          <w:rFonts w:ascii="Times New Roman" w:hAnsi="Times New Roman" w:eastAsia="宋体" w:cs="Arial"/>
          <w:b/>
          <w:bCs/>
          <w:color w:val="auto"/>
          <w:sz w:val="21"/>
          <w:szCs w:val="21"/>
          <w:highlight w:val="none"/>
        </w:rPr>
      </w:pPr>
      <w:r>
        <w:rPr>
          <w:rFonts w:ascii="Times New Roman" w:hAnsi="Times New Roman" w:eastAsia="宋体" w:cs="Arial"/>
          <w:b/>
          <w:bCs/>
          <w:color w:val="auto"/>
          <w:sz w:val="21"/>
          <w:szCs w:val="21"/>
          <w:highlight w:val="none"/>
        </w:rPr>
      </w:r>
      <w:r/>
    </w:p>
    <w:p>
      <w:pPr>
        <w:jc w:val="left"/>
        <w:pageBreakBefore w:val="0"/>
        <w:spacing w:line="360" w:lineRule="auto"/>
        <w:widowControl/>
        <w:rPr>
          <w:rFonts w:ascii="Times New Roman" w:hAnsi="Times New Roman" w:eastAsia="宋体" w:cs="Arial"/>
          <w:b/>
          <w:bCs/>
          <w:color w:val="auto"/>
          <w:sz w:val="21"/>
          <w:szCs w:val="21"/>
          <w:highlight w:val="none"/>
        </w:rPr>
      </w:pPr>
      <w:r>
        <w:rPr>
          <w:rFonts w:ascii="Times New Roman" w:hAnsi="Times New Roman" w:eastAsia="宋体" w:cs="Arial"/>
          <w:b/>
          <w:bCs/>
          <w:color w:val="auto"/>
          <w:sz w:val="21"/>
          <w:szCs w:val="21"/>
          <w:highlight w:val="none"/>
        </w:rPr>
      </w:r>
      <w:r/>
    </w:p>
    <w:p>
      <w:pPr>
        <w:jc w:val="center"/>
        <w:pageBreakBefore w:val="0"/>
        <w:spacing w:after="361"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t xml:space="preserve">中小企业声明函（服务类项目）（采购包号：**）</w:t>
      </w:r>
      <w:r/>
    </w:p>
    <w:p>
      <w:pPr>
        <w:ind w:firstLine="36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本公司（联合体）郑重声明，根据《政府采购促进中小企业发展管理办法》(财库[2020]46号)的规定，本公司（联合体）参加扬州市公共资源交易中心组织的</w:t>
      </w:r>
      <w:r>
        <w:rPr>
          <w:rFonts w:ascii="Times New Roman" w:hAnsi="Times New Roman" w:eastAsia="宋体" w:cs="宋体"/>
          <w:color w:val="auto"/>
          <w:sz w:val="21"/>
          <w:szCs w:val="21"/>
          <w:highlight w:val="none"/>
          <w:u w:val="single"/>
        </w:rPr>
        <w:t xml:space="preserve">（项目名称）（采购包号：**）</w:t>
      </w:r>
      <w:r>
        <w:rPr>
          <w:rFonts w:ascii="Times New Roman" w:hAnsi="Times New Roman" w:eastAsia="宋体" w:cs="宋体"/>
          <w:color w:val="auto"/>
          <w:sz w:val="21"/>
          <w:szCs w:val="21"/>
          <w:highlight w:val="none"/>
        </w:rPr>
        <w:t xml:space="preserve">的采购活动，服务全部由符合政策的中小企业承接。相关企业（含联合体中的中小企业、签订采购包意向协议的中小企业）的具体情况如下：</w:t>
      </w:r>
      <w:r/>
    </w:p>
    <w:p>
      <w:pPr>
        <w:ind w:firstLine="36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1.</w:t>
      </w:r>
      <w:r>
        <w:rPr>
          <w:rFonts w:ascii="Times New Roman" w:hAnsi="Times New Roman" w:eastAsia="宋体" w:cs="宋体"/>
          <w:color w:val="auto"/>
          <w:sz w:val="21"/>
          <w:szCs w:val="21"/>
          <w:highlight w:val="none"/>
          <w:u w:val="single"/>
        </w:rPr>
        <w:t xml:space="preserve">（标的名称）</w:t>
      </w:r>
      <w:r>
        <w:rPr>
          <w:rFonts w:ascii="Times New Roman" w:hAnsi="Times New Roman" w:eastAsia="宋体" w:cs="宋体"/>
          <w:i/>
          <w:color w:val="auto"/>
          <w:sz w:val="21"/>
          <w:szCs w:val="21"/>
          <w:highlight w:val="none"/>
        </w:rPr>
        <w:t xml:space="preserve">，</w:t>
      </w:r>
      <w:r>
        <w:rPr>
          <w:rFonts w:ascii="Times New Roman" w:hAnsi="Times New Roman" w:eastAsia="宋体" w:cs="宋体"/>
          <w:color w:val="auto"/>
          <w:sz w:val="21"/>
          <w:szCs w:val="21"/>
          <w:highlight w:val="none"/>
        </w:rPr>
        <w:t xml:space="preserve">属于</w:t>
      </w:r>
      <w:r>
        <w:rPr>
          <w:rFonts w:hint="eastAsia" w:ascii="Times New Roman" w:hAnsi="Times New Roman" w:eastAsia="宋体" w:cs="宋体"/>
          <w:color w:val="auto"/>
          <w:sz w:val="21"/>
          <w:szCs w:val="21"/>
          <w:highlight w:val="none"/>
          <w:u w:val="single"/>
          <w:lang w:val="en-US" w:eastAsia="zh-CN"/>
        </w:rPr>
        <w:t xml:space="preserve">租赁和商务服务业</w:t>
      </w:r>
      <w:r>
        <w:rPr>
          <w:rFonts w:ascii="Times New Roman" w:hAnsi="Times New Roman" w:eastAsia="宋体" w:cs="宋体"/>
          <w:color w:val="auto"/>
          <w:sz w:val="21"/>
          <w:szCs w:val="21"/>
          <w:highlight w:val="none"/>
        </w:rPr>
        <w:t xml:space="preserve">行业；承接企业为</w:t>
      </w:r>
      <w:r>
        <w:rPr>
          <w:rFonts w:ascii="Times New Roman" w:hAnsi="Times New Roman" w:eastAsia="宋体" w:cs="宋体"/>
          <w:color w:val="auto"/>
          <w:sz w:val="21"/>
          <w:szCs w:val="21"/>
          <w:highlight w:val="none"/>
          <w:u w:val="single"/>
        </w:rPr>
        <w:t xml:space="preserve">（企业名称）</w:t>
      </w:r>
      <w:r>
        <w:rPr>
          <w:rFonts w:ascii="Times New Roman" w:hAnsi="Times New Roman" w:eastAsia="宋体" w:cs="宋体"/>
          <w:color w:val="auto"/>
          <w:sz w:val="21"/>
          <w:szCs w:val="21"/>
          <w:highlight w:val="none"/>
        </w:rPr>
        <w:t xml:space="preserve">，从业人员</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人，营业收入为</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万元，资产总额为</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万元</w:t>
      </w:r>
      <w:r>
        <w:rPr>
          <w:rFonts w:ascii="Times New Roman" w:hAnsi="Times New Roman" w:eastAsia="宋体" w:cs="宋体"/>
          <w:color w:val="auto"/>
          <w:sz w:val="21"/>
          <w:szCs w:val="21"/>
          <w:highlight w:val="none"/>
          <w:vertAlign w:val="superscript"/>
        </w:rPr>
        <w:t xml:space="preserve">1</w:t>
      </w:r>
      <w:r>
        <w:rPr>
          <w:rFonts w:ascii="Times New Roman" w:hAnsi="Times New Roman" w:eastAsia="宋体" w:cs="宋体"/>
          <w:color w:val="auto"/>
          <w:sz w:val="21"/>
          <w:szCs w:val="21"/>
          <w:highlight w:val="none"/>
        </w:rPr>
        <w:t xml:space="preserve">，属于</w:t>
      </w:r>
      <w:r>
        <w:rPr>
          <w:rFonts w:ascii="Times New Roman" w:hAnsi="Times New Roman" w:eastAsia="宋体" w:cs="宋体"/>
          <w:color w:val="auto"/>
          <w:sz w:val="21"/>
          <w:szCs w:val="21"/>
          <w:highlight w:val="none"/>
          <w:u w:val="single"/>
        </w:rPr>
        <w:t xml:space="preserve">（□中型企业 □小型企业 □微型企业）；</w:t>
      </w:r>
      <w:r/>
    </w:p>
    <w:p>
      <w:pPr>
        <w:ind w:firstLine="36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2.</w:t>
      </w:r>
      <w:r>
        <w:rPr>
          <w:rFonts w:ascii="Times New Roman" w:hAnsi="Times New Roman" w:eastAsia="宋体" w:cs="宋体"/>
          <w:color w:val="auto"/>
          <w:sz w:val="21"/>
          <w:szCs w:val="21"/>
          <w:highlight w:val="none"/>
          <w:u w:val="single"/>
        </w:rPr>
        <w:t xml:space="preserve">（标的名称）</w:t>
      </w:r>
      <w:r>
        <w:rPr>
          <w:rFonts w:ascii="Times New Roman" w:hAnsi="Times New Roman" w:eastAsia="宋体" w:cs="宋体"/>
          <w:i/>
          <w:color w:val="auto"/>
          <w:sz w:val="21"/>
          <w:szCs w:val="21"/>
          <w:highlight w:val="none"/>
        </w:rPr>
        <w:t xml:space="preserve">，</w:t>
      </w:r>
      <w:r>
        <w:rPr>
          <w:rFonts w:ascii="Times New Roman" w:hAnsi="Times New Roman" w:eastAsia="宋体" w:cs="宋体"/>
          <w:color w:val="auto"/>
          <w:sz w:val="21"/>
          <w:szCs w:val="21"/>
          <w:highlight w:val="none"/>
        </w:rPr>
        <w:t xml:space="preserve">属于</w:t>
      </w:r>
      <w:r>
        <w:rPr>
          <w:rFonts w:ascii="Times New Roman" w:hAnsi="Times New Roman" w:eastAsia="宋体" w:cs="宋体"/>
          <w:color w:val="auto"/>
          <w:sz w:val="21"/>
          <w:szCs w:val="21"/>
          <w:highlight w:val="none"/>
          <w:u w:val="single"/>
        </w:rPr>
        <w:t xml:space="preserve">（供应商填写招标文件中明确的所属行业）</w:t>
      </w:r>
      <w:r>
        <w:rPr>
          <w:rFonts w:ascii="Times New Roman" w:hAnsi="Times New Roman" w:eastAsia="宋体" w:cs="宋体"/>
          <w:color w:val="auto"/>
          <w:sz w:val="21"/>
          <w:szCs w:val="21"/>
          <w:highlight w:val="none"/>
        </w:rPr>
        <w:t xml:space="preserve">行业；承接企业为</w:t>
      </w:r>
      <w:r>
        <w:rPr>
          <w:rFonts w:ascii="Times New Roman" w:hAnsi="Times New Roman" w:eastAsia="宋体" w:cs="宋体"/>
          <w:color w:val="auto"/>
          <w:sz w:val="21"/>
          <w:szCs w:val="21"/>
          <w:highlight w:val="none"/>
          <w:u w:val="single"/>
        </w:rPr>
        <w:t xml:space="preserve">（企业名称）</w:t>
      </w:r>
      <w:r>
        <w:rPr>
          <w:rFonts w:ascii="Times New Roman" w:hAnsi="Times New Roman" w:eastAsia="宋体" w:cs="宋体"/>
          <w:color w:val="auto"/>
          <w:sz w:val="21"/>
          <w:szCs w:val="21"/>
          <w:highlight w:val="none"/>
        </w:rPr>
        <w:t xml:space="preserve">，从业人员</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人，营业收入为</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万元，资产总额为</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万元</w:t>
      </w:r>
      <w:r>
        <w:rPr>
          <w:rFonts w:ascii="Times New Roman" w:hAnsi="Times New Roman" w:eastAsia="宋体" w:cs="宋体"/>
          <w:color w:val="auto"/>
          <w:sz w:val="21"/>
          <w:szCs w:val="21"/>
          <w:highlight w:val="none"/>
          <w:vertAlign w:val="superscript"/>
        </w:rPr>
        <w:t xml:space="preserve">1</w:t>
      </w:r>
      <w:r>
        <w:rPr>
          <w:rFonts w:ascii="Times New Roman" w:hAnsi="Times New Roman" w:eastAsia="宋体" w:cs="宋体"/>
          <w:color w:val="auto"/>
          <w:sz w:val="21"/>
          <w:szCs w:val="21"/>
          <w:highlight w:val="none"/>
        </w:rPr>
        <w:t xml:space="preserve">，属于</w:t>
      </w:r>
      <w:r>
        <w:rPr>
          <w:rFonts w:ascii="Times New Roman" w:hAnsi="Times New Roman" w:eastAsia="宋体" w:cs="宋体"/>
          <w:color w:val="auto"/>
          <w:sz w:val="21"/>
          <w:szCs w:val="21"/>
          <w:highlight w:val="none"/>
          <w:u w:val="single"/>
        </w:rPr>
        <w:t xml:space="preserve">（□中型企业 □小型企业 □微型企业）；</w:t>
      </w:r>
      <w:r/>
    </w:p>
    <w:p>
      <w:pPr>
        <w:ind w:firstLine="36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w:t>
      </w:r>
      <w:r/>
    </w:p>
    <w:p>
      <w:pPr>
        <w:ind w:firstLine="36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36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本企业对上述声明内容的真实性负责。如有虚假，将依法承担相应责任</w:t>
      </w:r>
      <w:r/>
    </w:p>
    <w:p>
      <w:pPr>
        <w:ind w:right="72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 w:val="21"/>
          <w:szCs w:val="21"/>
          <w:highlight w:val="none"/>
        </w:rPr>
        <w:t xml:space="preserve"> </w:t>
      </w:r>
      <w:r/>
    </w:p>
    <w:p>
      <w:pPr>
        <w:ind w:right="180" w:firstLine="360"/>
        <w:jc w:val="right"/>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企业名称（加盖CA电子公章）：</w:t>
      </w:r>
      <w:r/>
    </w:p>
    <w:p>
      <w:pPr>
        <w:ind w:right="480" w:firstLine="540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日  期：</w:t>
      </w:r>
      <w:r/>
    </w:p>
    <w:p>
      <w:pPr>
        <w:ind w:firstLine="24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 w:val="21"/>
          <w:szCs w:val="21"/>
          <w:highlight w:val="none"/>
        </w:rPr>
        <w:t xml:space="preserve"> </w:t>
      </w:r>
      <w:r/>
    </w:p>
    <w:p>
      <w:pPr>
        <w:ind w:firstLine="48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备注：</w:t>
      </w:r>
      <w:r/>
    </w:p>
    <w:p>
      <w:pPr>
        <w:ind w:firstLine="48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1.从业人员、营业收入、资产总额填报上一年度数据，无上一年度数据的新成立企业可不填报。</w:t>
      </w:r>
      <w:r/>
    </w:p>
    <w:p>
      <w:pPr>
        <w:ind w:firstLine="48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3.供应商应对照《工业和信息化部、国家统计局、国家发展和改革委员会、财政</w:t>
      </w:r>
      <w:r/>
    </w:p>
    <w:p>
      <w:pPr>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center"/>
        <w:pageBreakBefore w:val="0"/>
        <w:spacing w:line="360" w:lineRule="auto"/>
        <w:rPr>
          <w:rStyle w:val="757"/>
          <w:rFonts w:hint="eastAsia" w:ascii="Times New Roman" w:hAnsi="Times New Roman" w:eastAsia="宋体" w:cs="仿宋"/>
          <w:color w:val="auto"/>
          <w:sz w:val="21"/>
          <w:szCs w:val="21"/>
          <w:highlight w:val="none"/>
        </w:rPr>
      </w:pPr>
      <w:r>
        <w:rPr>
          <w:rFonts w:hint="eastAsia" w:ascii="Times New Roman" w:hAnsi="Times New Roman" w:eastAsia="宋体" w:cs="仿宋"/>
          <w:color w:val="auto"/>
          <w:sz w:val="21"/>
          <w:szCs w:val="21"/>
          <w:highlight w:val="none"/>
        </w:rPr>
      </w:r>
      <w:r/>
    </w:p>
    <w:p>
      <w:pPr>
        <w:jc w:val="center"/>
        <w:pageBreakBefore w:val="0"/>
        <w:spacing w:line="360" w:lineRule="auto"/>
        <w:rPr>
          <w:rStyle w:val="757"/>
          <w:rFonts w:hint="eastAsia" w:ascii="Times New Roman" w:hAnsi="Times New Roman" w:eastAsia="宋体" w:cs="仿宋"/>
          <w:color w:val="auto"/>
          <w:sz w:val="21"/>
          <w:szCs w:val="21"/>
          <w:highlight w:val="none"/>
        </w:rPr>
      </w:pPr>
      <w:r>
        <w:rPr>
          <w:rFonts w:hint="eastAsia" w:ascii="Times New Roman" w:hAnsi="Times New Roman" w:eastAsia="宋体" w:cs="仿宋"/>
          <w:color w:val="auto"/>
          <w:sz w:val="21"/>
          <w:szCs w:val="21"/>
          <w:highlight w:val="none"/>
        </w:rPr>
      </w:r>
      <w:r/>
    </w:p>
    <w:p>
      <w:pPr>
        <w:jc w:val="center"/>
        <w:pageBreakBefore w:val="0"/>
        <w:spacing w:line="360" w:lineRule="auto"/>
        <w:rPr>
          <w:rStyle w:val="757"/>
          <w:rFonts w:hint="eastAsia" w:ascii="Times New Roman" w:hAnsi="Times New Roman" w:eastAsia="宋体" w:cs="仿宋"/>
          <w:color w:val="auto"/>
          <w:sz w:val="21"/>
          <w:szCs w:val="21"/>
          <w:highlight w:val="none"/>
        </w:rPr>
      </w:pPr>
      <w:r>
        <w:rPr>
          <w:rFonts w:hint="eastAsia" w:ascii="Times New Roman" w:hAnsi="Times New Roman" w:eastAsia="宋体" w:cs="仿宋"/>
          <w:color w:val="auto"/>
          <w:sz w:val="21"/>
          <w:szCs w:val="21"/>
          <w:highlight w:val="none"/>
        </w:rPr>
      </w:r>
      <w:r/>
    </w:p>
    <w:p>
      <w:pPr>
        <w:jc w:val="center"/>
        <w:pageBreakBefore w:val="0"/>
        <w:spacing w:line="360" w:lineRule="auto"/>
        <w:rPr>
          <w:rStyle w:val="757"/>
          <w:rFonts w:hint="eastAsia" w:ascii="Times New Roman" w:hAnsi="Times New Roman" w:eastAsia="宋体" w:cs="仿宋"/>
          <w:color w:val="auto"/>
          <w:sz w:val="21"/>
          <w:szCs w:val="21"/>
          <w:highlight w:val="none"/>
        </w:rPr>
      </w:pPr>
      <w:r>
        <w:rPr>
          <w:rFonts w:hint="eastAsia" w:ascii="Times New Roman" w:hAnsi="Times New Roman" w:eastAsia="宋体" w:cs="仿宋"/>
          <w:color w:val="auto"/>
          <w:sz w:val="21"/>
          <w:szCs w:val="21"/>
          <w:highlight w:val="none"/>
        </w:rPr>
      </w:r>
      <w:r/>
    </w:p>
    <w:p>
      <w:pPr>
        <w:jc w:val="center"/>
        <w:pageBreakBefore w:val="0"/>
        <w:spacing w:line="360" w:lineRule="auto"/>
        <w:rPr>
          <w:rStyle w:val="757"/>
          <w:rFonts w:ascii="Times New Roman" w:hAnsi="Times New Roman" w:eastAsia="宋体" w:cs="仿宋"/>
          <w:color w:val="auto"/>
          <w:sz w:val="21"/>
          <w:szCs w:val="21"/>
          <w:highlight w:val="none"/>
        </w:rPr>
      </w:pPr>
      <w:r>
        <w:rPr>
          <w:rStyle w:val="757"/>
          <w:rFonts w:hint="eastAsia" w:ascii="Times New Roman" w:hAnsi="Times New Roman" w:eastAsia="宋体" w:cs="仿宋"/>
          <w:color w:val="auto"/>
          <w:sz w:val="21"/>
          <w:szCs w:val="21"/>
          <w:highlight w:val="none"/>
        </w:rPr>
        <w:t xml:space="preserve">中小微企业划型标准</w:t>
      </w:r>
      <w:r/>
    </w:p>
    <w:p>
      <w:pPr>
        <w:pStyle w:val="752"/>
        <w:ind w:firstLine="420"/>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中小微企业划型标准如下：</w:t>
      </w:r>
      <w:r/>
    </w:p>
    <w:tbl>
      <w:tblPr>
        <w:tblStyle w:val="725"/>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52"/>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ind w:firstLine="420"/>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X＜10</w:t>
            </w:r>
            <w:r/>
          </w:p>
        </w:tc>
      </w:tr>
    </w:tbl>
    <w:p>
      <w:pPr>
        <w:pStyle w:val="752"/>
        <w:ind w:firstLine="810"/>
        <w:pageBreakBefore w:val="0"/>
        <w:spacing w:line="360" w:lineRule="auto"/>
        <w:widowControl/>
        <w:rPr>
          <w:rStyle w:val="757"/>
          <w:rFonts w:ascii="Times New Roman" w:hAnsi="Times New Roman" w:eastAsia="宋体" w:cs="仿宋"/>
          <w:color w:val="auto"/>
          <w:sz w:val="21"/>
          <w:szCs w:val="21"/>
          <w:highlight w:val="none"/>
        </w:rPr>
      </w:pPr>
      <w:r>
        <w:rPr>
          <w:rStyle w:val="757"/>
          <w:rFonts w:hint="eastAsia" w:ascii="Times New Roman" w:hAnsi="Times New Roman" w:eastAsia="宋体" w:cs="仿宋"/>
          <w:color w:val="auto"/>
          <w:sz w:val="21"/>
          <w:szCs w:val="21"/>
          <w:highlight w:val="none"/>
        </w:rPr>
        <w:t xml:space="preserve">说明：上述标准参照《关于印发中小企业划型标准规定的通知》（工信部联企业</w:t>
      </w:r>
      <w:r>
        <w:rPr>
          <w:rStyle w:val="757"/>
          <w:rFonts w:hint="eastAsia" w:ascii="Times New Roman" w:hAnsi="Times New Roman" w:eastAsia="宋体" w:cs="仿宋"/>
          <w:color w:val="auto"/>
          <w:sz w:val="21"/>
          <w:szCs w:val="21"/>
          <w:highlight w:val="none"/>
          <w:lang w:eastAsia="zh-CN"/>
        </w:rPr>
        <w:t xml:space="preserve">〔2011〕300号</w:t>
      </w:r>
      <w:r>
        <w:rPr>
          <w:rStyle w:val="757"/>
          <w:rFonts w:hint="eastAsia" w:ascii="Times New Roman" w:hAnsi="Times New Roman" w:eastAsia="宋体" w:cs="仿宋"/>
          <w:color w:val="auto"/>
          <w:sz w:val="21"/>
          <w:szCs w:val="21"/>
          <w:highlight w:val="none"/>
        </w:rPr>
        <w:t xml:space="preserve">），大型、中型和小型企业须同时满足所列指标的下限，否则下划一档；微型企业只须满足所列指标中的一项即可。</w:t>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716"/>
        <w:pageBreakBefore w:val="0"/>
        <w:spacing w:before="0" w:after="0" w:line="360" w:lineRule="auto"/>
        <w:rPr>
          <w:rFonts w:hint="eastAsia" w:ascii="Times New Roman" w:hAnsi="Times New Roman" w:eastAsia="宋体"/>
          <w:color w:val="auto"/>
          <w:sz w:val="32"/>
          <w:highlight w:val="none"/>
        </w:rPr>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bookmarkStart w:id="69" w:name="_Toc29496"/>
      <w:r/>
      <w:bookmarkStart w:id="70" w:name="_Toc20616"/>
      <w:r/>
      <w:bookmarkStart w:id="71" w:name="_Toc10588"/>
      <w:r/>
      <w:r/>
    </w:p>
    <w:p>
      <w:pPr>
        <w:pStyle w:val="716"/>
        <w:pageBreakBefore w:val="0"/>
        <w:spacing w:before="0" w:after="0" w:line="360" w:lineRule="auto"/>
        <w:rPr>
          <w:rFonts w:ascii="Times New Roman" w:hAnsi="Times New Roman" w:eastAsia="宋体"/>
          <w:color w:val="auto"/>
          <w:sz w:val="32"/>
          <w:highlight w:val="none"/>
        </w:rPr>
      </w:pPr>
      <w:r>
        <w:rPr>
          <w:rFonts w:hint="eastAsia" w:ascii="Times New Roman" w:hAnsi="Times New Roman" w:eastAsia="宋体"/>
          <w:color w:val="auto"/>
          <w:sz w:val="32"/>
          <w:highlight w:val="none"/>
        </w:rPr>
        <w:t xml:space="preserve">二、符合性审查响应对照表</w:t>
      </w:r>
      <w:bookmarkEnd w:id="69"/>
      <w:r/>
      <w:bookmarkEnd w:id="70"/>
      <w:r/>
      <w:bookmarkEnd w:id="71"/>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tbl>
      <w:tblPr>
        <w:tblStyle w:val="725"/>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符合性审查响应内容</w:t>
            </w:r>
            <w:r/>
          </w:p>
        </w:tc>
        <w:tc>
          <w:tcPr>
            <w:tcW w:w="1680"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1308"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w:t>
            </w:r>
            <w:r/>
          </w:p>
        </w:tc>
        <w:tc>
          <w:tcPr>
            <w:tcW w:w="5447" w:type="dxa"/>
            <w:vAlign w:val="center"/>
            <w:textDirection w:val="lrTb"/>
            <w:noWrap w:val="false"/>
          </w:tcPr>
          <w:p>
            <w:pPr>
              <w:pageBreakBefore w:val="0"/>
              <w:spacing w:line="360" w:lineRule="auto"/>
              <w:rPr>
                <w:rFonts w:ascii="Times New Roman" w:hAnsi="Times New Roman" w:eastAsia="宋体"/>
                <w:bCs/>
                <w:iCs/>
                <w:color w:val="auto"/>
                <w:szCs w:val="21"/>
                <w:highlight w:val="none"/>
              </w:rPr>
            </w:pPr>
            <w:r>
              <w:rPr>
                <w:rFonts w:hint="eastAsia" w:ascii="Times New Roman" w:hAnsi="Times New Roman" w:eastAsia="宋体"/>
                <w:bCs/>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t xml:space="preserve">……</w:t>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Style w:val="716"/>
        <w:pageBreakBefore w:val="0"/>
        <w:spacing w:before="0" w:after="0" w:line="360" w:lineRule="auto"/>
        <w:rPr>
          <w:rFonts w:hint="eastAsia" w:ascii="Times New Roman" w:hAnsi="Times New Roman" w:eastAsia="宋体"/>
          <w:color w:val="auto"/>
          <w:sz w:val="32"/>
          <w:highlight w:val="none"/>
        </w:rPr>
      </w:pPr>
      <w:r/>
      <w:bookmarkStart w:id="72" w:name="_Toc13365"/>
      <w:r/>
      <w:bookmarkStart w:id="73" w:name="_Toc23420"/>
      <w:r/>
      <w:bookmarkStart w:id="74" w:name="_Toc3706"/>
      <w:r/>
      <w:r/>
    </w:p>
    <w:p>
      <w:pPr>
        <w:pStyle w:val="716"/>
        <w:pageBreakBefore w:val="0"/>
        <w:spacing w:before="0" w:after="0" w:line="360" w:lineRule="auto"/>
        <w:rPr>
          <w:rFonts w:ascii="Times New Roman" w:hAnsi="Times New Roman" w:eastAsia="宋体"/>
          <w:color w:val="auto"/>
          <w:sz w:val="32"/>
          <w:highlight w:val="none"/>
        </w:rPr>
      </w:pPr>
      <w:r>
        <w:rPr>
          <w:rFonts w:hint="eastAsia" w:ascii="Times New Roman" w:hAnsi="Times New Roman" w:eastAsia="宋体"/>
          <w:color w:val="auto"/>
          <w:sz w:val="32"/>
          <w:highlight w:val="none"/>
        </w:rPr>
        <w:t xml:space="preserve">三、非实质性响应对照表</w:t>
      </w:r>
      <w:bookmarkEnd w:id="72"/>
      <w:r/>
      <w:bookmarkEnd w:id="73"/>
      <w:r/>
      <w:bookmarkEnd w:id="74"/>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tbl>
      <w:tblPr>
        <w:tblStyle w:val="725"/>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非实质性响应内容</w:t>
            </w:r>
            <w:r/>
          </w:p>
        </w:tc>
        <w:tc>
          <w:tcPr>
            <w:tcW w:w="1680"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1308"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olor w:val="auto"/>
                <w:szCs w:val="21"/>
                <w:highlight w:val="none"/>
              </w:rPr>
              <w:t xml:space="preserve">《残疾人福利性单位声明函》</w:t>
            </w:r>
            <w:r/>
          </w:p>
        </w:tc>
        <w:tc>
          <w:tcPr>
            <w:tcW w:w="1680"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t xml:space="preserve">……</w:t>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pStyle w:val="717"/>
        <w:pageBreakBefore w:val="0"/>
        <w:spacing w:before="0" w:after="0" w:line="360" w:lineRule="auto"/>
        <w:rPr>
          <w:rStyle w:val="757"/>
          <w:rFonts w:ascii="Times New Roman" w:hAnsi="Times New Roman" w:eastAsia="宋体" w:cs="仿宋"/>
          <w:b w:val="0"/>
          <w:color w:val="auto"/>
          <w:sz w:val="21"/>
          <w:szCs w:val="21"/>
          <w:highlight w:val="none"/>
        </w:rPr>
      </w:pPr>
      <w:r>
        <w:rPr>
          <w:rStyle w:val="757"/>
          <w:rFonts w:ascii="Times New Roman" w:hAnsi="Times New Roman" w:eastAsia="宋体" w:cs="仿宋"/>
          <w:b w:val="0"/>
          <w:color w:val="auto"/>
          <w:sz w:val="21"/>
          <w:szCs w:val="21"/>
          <w:highlight w:val="none"/>
        </w:rPr>
        <w:br w:type="page" w:clear="all"/>
      </w:r>
      <w:r/>
    </w:p>
    <w:p>
      <w:pPr>
        <w:ind w:firstLine="2726"/>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残疾人福利性单位声明函</w:t>
      </w:r>
      <w:r/>
    </w:p>
    <w:p>
      <w:pPr>
        <w:ind w:firstLine="624"/>
        <w:pageBreakBefore w:val="0"/>
        <w:spacing w:line="360" w:lineRule="auto"/>
        <w:rPr>
          <w:rFonts w:ascii="Times New Roman" w:hAnsi="Times New Roman" w:eastAsia="宋体"/>
          <w:color w:val="auto"/>
          <w:spacing w:val="6"/>
          <w:sz w:val="30"/>
          <w:szCs w:val="30"/>
          <w:highlight w:val="none"/>
        </w:rPr>
      </w:pPr>
      <w:r>
        <w:rPr>
          <w:rFonts w:ascii="Times New Roman" w:hAnsi="Times New Roman" w:eastAsia="宋体"/>
          <w:color w:val="auto"/>
          <w:spacing w:val="6"/>
          <w:sz w:val="30"/>
          <w:szCs w:val="30"/>
          <w:highlight w:val="none"/>
        </w:rPr>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本单位在本次政府采购活动中提供的残疾人福利单位产品报价合计为人民币（大写）圆整（￥：）。</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本单位对上述声明的真实性负责。如有虚假，将依法承担相应责任。</w:t>
      </w:r>
      <w:r/>
    </w:p>
    <w:p>
      <w:pPr>
        <w:ind w:firstLine="420"/>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备注：1.专门面向中小微型企业采购的项目，供应商为残疾人福利性单位并提供本单位制造的货物</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lang w:val="en-US" w:eastAsia="zh-CN"/>
        </w:rPr>
        <w:t xml:space="preserve">服务</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，或者提供其他残疾人福利性单位制造的货物</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lang w:val="en-US" w:eastAsia="zh-CN"/>
        </w:rPr>
        <w:t xml:space="preserve">服务</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，必须提供此声明函，否则将不能通过资格审查。</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2.非专门面向中小微型企业采购的项目，供应商如不提供此声明函，价格将不做相应扣除。</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3.中标/成交供应商为残疾人福利性单位的，此声明函将随中标/成交结果同时公告，接受社会监督。</w:t>
      </w:r>
      <w:r/>
    </w:p>
    <w:p>
      <w:pPr>
        <w:ind w:firstLine="444"/>
        <w:pageBreakBefore w:val="0"/>
        <w:spacing w:line="360" w:lineRule="auto"/>
        <w:rPr>
          <w:rFonts w:ascii="Times New Roman" w:hAnsi="Times New Roman" w:eastAsia="宋体"/>
          <w:color w:val="auto"/>
          <w:spacing w:val="6"/>
          <w:szCs w:val="21"/>
          <w:highlight w:val="none"/>
        </w:rPr>
      </w:pPr>
      <w:r>
        <w:rPr>
          <w:rFonts w:ascii="Times New Roman" w:hAnsi="Times New Roman" w:eastAsia="宋体"/>
          <w:color w:val="auto"/>
          <w:spacing w:val="6"/>
          <w:szCs w:val="21"/>
          <w:highlight w:val="none"/>
        </w:rPr>
      </w:r>
      <w:r/>
    </w:p>
    <w:p>
      <w:pPr>
        <w:ind w:right="1560" w:firstLine="420"/>
        <w:jc w:val="center"/>
        <w:pageBreakBefore w:val="0"/>
        <w:spacing w:line="360" w:lineRule="auto"/>
        <w:tabs>
          <w:tab w:val="left" w:pos="4860"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供应商全称（盖章）：</w:t>
      </w:r>
      <w:r/>
    </w:p>
    <w:p>
      <w:pPr>
        <w:ind w:right="1560" w:firstLine="420"/>
        <w:jc w:val="center"/>
        <w:pageBreakBefore w:val="0"/>
        <w:spacing w:line="360" w:lineRule="auto"/>
        <w:tabs>
          <w:tab w:val="left" w:pos="4860"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日期：</w:t>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center"/>
        <w:pageBreakBefore w:val="0"/>
        <w:spacing w:line="360" w:lineRule="auto"/>
        <w:rPr>
          <w:rFonts w:ascii="Times New Roman" w:hAnsi="Times New Roman" w:eastAsia="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highlight w:val="none"/>
        </w:rPr>
      </w:r>
      <w:r/>
    </w:p>
    <w:p>
      <w:pPr>
        <w:jc w:val="center"/>
        <w:pageBreakBefore w:val="0"/>
        <w:spacing w:line="360" w:lineRule="auto"/>
        <w:rPr>
          <w:rFonts w:hint="eastAsia"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r>
      <w:r/>
    </w:p>
    <w:p>
      <w:pPr>
        <w:jc w:val="center"/>
        <w:pageBreakBefore w:val="0"/>
        <w:spacing w:line="360" w:lineRule="auto"/>
        <w:rPr>
          <w:rFonts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关于符合本国产品标准的声明函</w:t>
      </w:r>
      <w:r/>
    </w:p>
    <w:p>
      <w:pPr>
        <w:pStyle w:val="752"/>
        <w:ind w:firstLine="420"/>
        <w:pageBreakBefore w:val="0"/>
        <w:spacing w:line="360" w:lineRule="auto"/>
        <w:rPr>
          <w:rFonts w:ascii="Times New Roman" w:hAnsi="Times New Roman" w:eastAsia="宋体" w:cs="方正魏碑_GBK"/>
          <w:color w:val="auto"/>
          <w:highlight w:val="none"/>
        </w:rPr>
      </w:pPr>
      <w:r>
        <w:rPr>
          <w:rFonts w:ascii="Times New Roman" w:hAnsi="Times New Roman" w:eastAsia="宋体" w:cs="方正魏碑_GBK"/>
          <w:color w:val="auto"/>
          <w:highlight w:val="none"/>
        </w:rPr>
      </w:r>
      <w:r/>
    </w:p>
    <w:p>
      <w:pPr>
        <w:pStyle w:val="752"/>
        <w:ind w:firstLine="420"/>
        <w:pageBreakBefore w:val="0"/>
        <w:spacing w:before="0" w:beforeAutospacing="0" w:after="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2"/>
        <w:ind w:firstLine="420"/>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3" name="直接箭头连接符 1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0"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shd w:val="clear" w:color="auto" w:fill="ffffff"/>
        </w:rPr>
        <w:t xml:space="preserve">1.</w:t>
      </w:r>
      <w:r>
        <w:rPr>
          <w:rStyle w:val="759"/>
          <w:rFonts w:hint="eastAsia" w:ascii="Times New Roman" w:hAnsi="Times New Roman" w:eastAsia="宋体" w:cs="宋体"/>
          <w:i w:val="0"/>
          <w:color w:val="auto"/>
          <w:highlight w:val="none"/>
          <w:u w:val="single"/>
          <w:shd w:val="clear" w:color="auto" w:fill="ffffff"/>
        </w:rPr>
        <w:t xml:space="preserve">（产品名称1）</w:t>
      </w:r>
      <w:r>
        <w:rPr>
          <w:rStyle w:val="759"/>
          <w:rFonts w:hint="eastAsia" w:ascii="Times New Roman" w:hAnsi="Times New Roman" w:eastAsia="宋体" w:cs="宋体"/>
          <w:i w:val="0"/>
          <w:color w:val="auto"/>
          <w:highlight w:val="none"/>
          <w:shd w:val="clear" w:color="auto" w:fill="ffffff"/>
          <w:vertAlign w:val="superscript"/>
        </w:rPr>
        <w:t xml:space="preserve">1</w:t>
      </w:r>
      <w:r>
        <w:rPr>
          <w:rFonts w:hint="eastAsia" w:ascii="Times New Roman" w:hAnsi="Times New Roman" w:eastAsia="宋体" w:cs="宋体"/>
          <w:color w:val="auto"/>
          <w:highlight w:val="none"/>
          <w:shd w:val="clear" w:color="auto" w:fill="ffffff"/>
        </w:rPr>
        <w:t xml:space="preserve">，生产厂为</w:t>
      </w:r>
      <w:r>
        <w:rPr>
          <w:rStyle w:val="759"/>
          <w:rFonts w:hint="eastAsia" w:ascii="Times New Roman" w:hAnsi="Times New Roman" w:eastAsia="宋体" w:cs="宋体"/>
          <w:i w:val="0"/>
          <w:color w:val="auto"/>
          <w:highlight w:val="none"/>
          <w:u w:val="single"/>
          <w:shd w:val="clear" w:color="auto" w:fill="ffffff"/>
        </w:rPr>
        <w:t xml:space="preserve">（厂名）</w:t>
      </w:r>
      <w:r>
        <w:rPr>
          <w:rStyle w:val="759"/>
          <w:rFonts w:hint="eastAsia" w:ascii="Times New Roman" w:hAnsi="Times New Roman" w:eastAsia="宋体" w:cs="宋体"/>
          <w:i w:val="0"/>
          <w:color w:val="auto"/>
          <w:highlight w:val="none"/>
          <w:shd w:val="clear" w:color="auto" w:fill="ffffff"/>
          <w:vertAlign w:val="superscript"/>
        </w:rPr>
        <w:t xml:space="preserve">2</w:t>
      </w:r>
      <w:r>
        <w:rPr>
          <w:rFonts w:hint="eastAsia" w:ascii="Times New Roman" w:hAnsi="Times New Roman" w:eastAsia="宋体" w:cs="宋体"/>
          <w:color w:val="auto"/>
          <w:highlight w:val="none"/>
          <w:shd w:val="clear" w:color="auto" w:fill="ffffff"/>
        </w:rPr>
        <w:t xml:space="preserve">，厂址为</w:t>
      </w:r>
      <w:r>
        <w:rPr>
          <w:rStyle w:val="759"/>
          <w:rFonts w:hint="eastAsia" w:ascii="Times New Roman" w:hAnsi="Times New Roman" w:eastAsia="宋体" w:cs="宋体"/>
          <w:i w:val="0"/>
          <w:color w:val="auto"/>
          <w:highlight w:val="none"/>
          <w:u w:val="single"/>
          <w:shd w:val="clear" w:color="auto" w:fill="ffffff"/>
        </w:rPr>
        <w:t xml:space="preserve">（生产厂址）</w:t>
      </w:r>
      <w:r>
        <w:rPr>
          <w:rFonts w:hint="eastAsia" w:ascii="Times New Roman" w:hAnsi="Times New Roman" w:eastAsia="宋体" w:cs="宋体"/>
          <w:color w:val="auto"/>
          <w:highlight w:val="none"/>
          <w:shd w:val="clear" w:color="auto" w:fill="ffffff"/>
        </w:rPr>
        <w:t xml:space="preserve">。</w:t>
      </w:r>
      <w:r>
        <w:rPr>
          <w:rFonts w:hint="eastAsia" w:ascii="Times New Roman" w:hAnsi="Times New Roman" w:eastAsia="宋体" w:cs="宋体"/>
          <w:color w:val="auto"/>
          <w:highlight w:val="none"/>
          <w:u w:val="single"/>
          <w:shd w:val="clear" w:color="auto" w:fill="ffffff"/>
        </w:rPr>
        <w:t xml:space="preserve"> </w:t>
      </w:r>
      <w:r>
        <w:rPr>
          <w:rStyle w:val="759"/>
          <w:rFonts w:hint="eastAsia" w:ascii="Times New Roman" w:hAnsi="Times New Roman" w:eastAsia="宋体" w:cs="宋体"/>
          <w:i w:val="0"/>
          <w:color w:val="auto"/>
          <w:highlight w:val="none"/>
          <w:u w:val="single"/>
          <w:shd w:val="clear" w:color="auto" w:fill="ffffff"/>
        </w:rPr>
        <w:t xml:space="preserve">（产品名称1） </w:t>
      </w:r>
      <w:r>
        <w:rPr>
          <w:rFonts w:hint="eastAsia" w:ascii="Times New Roman" w:hAnsi="Times New Roman" w:eastAsia="宋体" w:cs="宋体"/>
          <w:color w:val="auto"/>
          <w:highlight w:val="none"/>
          <w:shd w:val="clear" w:color="auto" w:fill="ffffff"/>
        </w:rPr>
        <w:t xml:space="preserve">的中国境内生产的组件成本占比≥</w:t>
      </w:r>
      <w:r>
        <w:rPr>
          <w:rStyle w:val="759"/>
          <w:rFonts w:hint="eastAsia" w:ascii="Times New Roman" w:hAnsi="Times New Roman" w:eastAsia="宋体" w:cs="宋体"/>
          <w:i w:val="0"/>
          <w:color w:val="auto"/>
          <w:highlight w:val="none"/>
          <w:u w:val="single"/>
          <w:shd w:val="clear" w:color="auto" w:fill="ffffff"/>
        </w:rPr>
        <w:t xml:space="preserve">（规定比例）</w:t>
      </w:r>
      <w:r>
        <w:rPr>
          <w:rStyle w:val="759"/>
          <w:rFonts w:hint="eastAsia" w:ascii="Times New Roman" w:hAnsi="Times New Roman" w:eastAsia="宋体" w:cs="宋体"/>
          <w:i w:val="0"/>
          <w:color w:val="auto"/>
          <w:highlight w:val="none"/>
          <w:shd w:val="clear" w:color="auto" w:fill="ffffff"/>
          <w:vertAlign w:val="superscript"/>
        </w:rPr>
        <w:t xml:space="preserve">3</w:t>
      </w:r>
      <w:r>
        <w:rPr>
          <w:rFonts w:hint="eastAsia" w:ascii="Times New Roman" w:hAnsi="Times New Roman" w:eastAsia="宋体" w:cs="宋体"/>
          <w:color w:val="auto"/>
          <w:highlight w:val="none"/>
          <w:shd w:val="clear" w:color="auto" w:fill="ffffff"/>
        </w:rPr>
        <w:t xml:space="preserve">。</w:t>
      </w:r>
      <w:r>
        <w:rPr>
          <w:rStyle w:val="759"/>
          <w:rFonts w:hint="eastAsia" w:ascii="Times New Roman" w:hAnsi="Times New Roman" w:eastAsia="宋体" w:cs="宋体"/>
          <w:i w:val="0"/>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759"/>
          <w:rFonts w:hint="eastAsia" w:ascii="Times New Roman" w:hAnsi="Times New Roman" w:eastAsia="宋体" w:cs="宋体"/>
          <w:i w:val="0"/>
          <w:color w:val="auto"/>
          <w:highlight w:val="none"/>
          <w:u w:val="single"/>
          <w:shd w:val="clear" w:color="auto" w:fill="ffffff"/>
        </w:rPr>
        <w:t xml:space="preserve">（关键组件）</w:t>
      </w:r>
      <w:r>
        <w:rPr>
          <w:rStyle w:val="759"/>
          <w:rFonts w:hint="eastAsia" w:ascii="Times New Roman" w:hAnsi="Times New Roman" w:eastAsia="宋体" w:cs="宋体"/>
          <w:i w:val="0"/>
          <w:color w:val="auto"/>
          <w:highlight w:val="none"/>
          <w:shd w:val="clear" w:color="auto" w:fill="ffffff"/>
          <w:vertAlign w:val="superscript"/>
        </w:rPr>
        <w:t xml:space="preserve">4</w:t>
      </w:r>
      <w:r>
        <w:rPr>
          <w:rFonts w:hint="eastAsia" w:ascii="Times New Roman" w:hAnsi="Times New Roman" w:eastAsia="宋体" w:cs="宋体"/>
          <w:color w:val="auto"/>
          <w:highlight w:val="none"/>
          <w:shd w:val="clear" w:color="auto" w:fill="ffffff"/>
        </w:rPr>
        <w:t xml:space="preserve">在中国境内生产。</w:t>
      </w:r>
      <w:r>
        <w:rPr>
          <w:rStyle w:val="759"/>
          <w:rFonts w:hint="eastAsia" w:ascii="Times New Roman" w:hAnsi="Times New Roman" w:eastAsia="宋体" w:cs="宋体"/>
          <w:i w:val="0"/>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759"/>
          <w:rFonts w:hint="eastAsia" w:ascii="Times New Roman" w:hAnsi="Times New Roman" w:eastAsia="宋体" w:cs="宋体"/>
          <w:i w:val="0"/>
          <w:color w:val="auto"/>
          <w:highlight w:val="none"/>
          <w:u w:val="single"/>
          <w:shd w:val="clear" w:color="auto" w:fill="ffffff"/>
        </w:rPr>
        <w:t xml:space="preserve">（关键工序）</w:t>
      </w:r>
      <w:r>
        <w:rPr>
          <w:rStyle w:val="759"/>
          <w:rFonts w:hint="eastAsia" w:ascii="Times New Roman" w:hAnsi="Times New Roman" w:eastAsia="宋体" w:cs="宋体"/>
          <w:i w:val="0"/>
          <w:color w:val="auto"/>
          <w:highlight w:val="none"/>
          <w:shd w:val="clear" w:color="auto" w:fill="ffffff"/>
          <w:vertAlign w:val="superscript"/>
        </w:rPr>
        <w:t xml:space="preserve">5</w:t>
      </w:r>
      <w:r>
        <w:rPr>
          <w:rFonts w:hint="eastAsia" w:ascii="Times New Roman" w:hAnsi="Times New Roman" w:eastAsia="宋体" w:cs="宋体"/>
          <w:color w:val="auto"/>
          <w:highlight w:val="none"/>
          <w:shd w:val="clear" w:color="auto" w:fill="ffffff"/>
        </w:rPr>
        <w:t xml:space="preserve">在中国境内完成。</w:t>
      </w:r>
      <w:r/>
    </w:p>
    <w:p>
      <w:pPr>
        <w:pStyle w:val="752"/>
        <w:ind w:firstLine="420"/>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1"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3"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直接箭头连接符 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8"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shd w:val="clear" w:color="auto" w:fill="ffffff"/>
        </w:rPr>
        <w:t xml:space="preserve">2.</w:t>
      </w:r>
      <w:r>
        <w:rPr>
          <w:rStyle w:val="759"/>
          <w:rFonts w:hint="eastAsia" w:ascii="Times New Roman" w:hAnsi="Times New Roman" w:eastAsia="宋体" w:cs="宋体"/>
          <w:i w:val="0"/>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，生产厂为</w:t>
      </w:r>
      <w:r>
        <w:rPr>
          <w:rStyle w:val="759"/>
          <w:rFonts w:hint="eastAsia" w:ascii="Times New Roman" w:hAnsi="Times New Roman" w:eastAsia="宋体" w:cs="宋体"/>
          <w:i w:val="0"/>
          <w:color w:val="auto"/>
          <w:highlight w:val="none"/>
          <w:u w:val="single"/>
          <w:shd w:val="clear" w:color="auto" w:fill="ffffff"/>
        </w:rPr>
        <w:t xml:space="preserve">（厂名）</w:t>
      </w:r>
      <w:r>
        <w:rPr>
          <w:rFonts w:hint="eastAsia" w:ascii="Times New Roman" w:hAnsi="Times New Roman" w:eastAsia="宋体" w:cs="宋体"/>
          <w:color w:val="auto"/>
          <w:highlight w:val="none"/>
          <w:shd w:val="clear" w:color="auto" w:fill="ffffff"/>
        </w:rPr>
        <w:t xml:space="preserve">，厂址为</w:t>
      </w:r>
      <w:r>
        <w:rPr>
          <w:rStyle w:val="759"/>
          <w:rFonts w:hint="eastAsia" w:ascii="Times New Roman" w:hAnsi="Times New Roman" w:eastAsia="宋体" w:cs="宋体"/>
          <w:i w:val="0"/>
          <w:color w:val="auto"/>
          <w:highlight w:val="none"/>
          <w:u w:val="single"/>
          <w:shd w:val="clear" w:color="auto" w:fill="ffffff"/>
        </w:rPr>
        <w:t xml:space="preserve">（生产厂址）</w:t>
      </w:r>
      <w:r>
        <w:rPr>
          <w:rFonts w:hint="eastAsia" w:ascii="Times New Roman" w:hAnsi="Times New Roman" w:eastAsia="宋体" w:cs="宋体"/>
          <w:color w:val="auto"/>
          <w:highlight w:val="none"/>
          <w:shd w:val="clear" w:color="auto" w:fill="ffffff"/>
        </w:rPr>
        <w:t xml:space="preserve">。</w:t>
      </w:r>
      <w:r>
        <w:rPr>
          <w:rStyle w:val="759"/>
          <w:rFonts w:hint="eastAsia" w:ascii="Times New Roman" w:hAnsi="Times New Roman" w:eastAsia="宋体" w:cs="宋体"/>
          <w:i w:val="0"/>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的中国境内生产的组件成本占比≥</w:t>
      </w:r>
      <w:r>
        <w:rPr>
          <w:rStyle w:val="759"/>
          <w:rFonts w:hint="eastAsia" w:ascii="Times New Roman" w:hAnsi="Times New Roman" w:eastAsia="宋体" w:cs="宋体"/>
          <w:i w:val="0"/>
          <w:color w:val="auto"/>
          <w:highlight w:val="none"/>
          <w:u w:val="single"/>
          <w:shd w:val="clear" w:color="auto" w:fill="ffffff"/>
        </w:rPr>
        <w:t xml:space="preserve">（规定比例）</w:t>
      </w:r>
      <w:r>
        <w:rPr>
          <w:rFonts w:hint="eastAsia" w:ascii="Times New Roman" w:hAnsi="Times New Roman" w:eastAsia="宋体" w:cs="宋体"/>
          <w:color w:val="auto"/>
          <w:highlight w:val="none"/>
          <w:shd w:val="clear" w:color="auto" w:fill="ffffff"/>
        </w:rPr>
        <w:t xml:space="preserve">。</w:t>
      </w:r>
      <w:r>
        <w:rPr>
          <w:rStyle w:val="759"/>
          <w:rFonts w:hint="eastAsia" w:ascii="Times New Roman" w:hAnsi="Times New Roman" w:eastAsia="宋体" w:cs="宋体"/>
          <w:i w:val="0"/>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的</w:t>
      </w:r>
      <w:r>
        <w:rPr>
          <w:rStyle w:val="759"/>
          <w:rFonts w:hint="eastAsia" w:ascii="Times New Roman" w:hAnsi="Times New Roman" w:eastAsia="宋体" w:cs="宋体"/>
          <w:i w:val="0"/>
          <w:color w:val="auto"/>
          <w:highlight w:val="none"/>
          <w:u w:val="single"/>
          <w:shd w:val="clear" w:color="auto" w:fill="ffffff"/>
        </w:rPr>
        <w:t xml:space="preserve">（关键组件）</w:t>
      </w:r>
      <w:r>
        <w:rPr>
          <w:rFonts w:hint="eastAsia" w:ascii="Times New Roman" w:hAnsi="Times New Roman" w:eastAsia="宋体" w:cs="宋体"/>
          <w:color w:val="auto"/>
          <w:highlight w:val="none"/>
          <w:shd w:val="clear" w:color="auto" w:fill="ffffff"/>
        </w:rPr>
        <w:t xml:space="preserve">在中国境内生产。</w:t>
      </w:r>
      <w:r>
        <w:rPr>
          <w:rStyle w:val="759"/>
          <w:rFonts w:hint="eastAsia" w:ascii="Times New Roman" w:hAnsi="Times New Roman" w:eastAsia="宋体" w:cs="宋体"/>
          <w:i w:val="0"/>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759"/>
          <w:rFonts w:hint="eastAsia" w:ascii="Times New Roman" w:hAnsi="Times New Roman" w:eastAsia="宋体" w:cs="宋体"/>
          <w:i w:val="0"/>
          <w:color w:val="auto"/>
          <w:highlight w:val="none"/>
          <w:u w:val="single"/>
          <w:shd w:val="clear" w:color="auto" w:fill="ffffff"/>
        </w:rPr>
        <w:t xml:space="preserve">（关键工序）</w:t>
      </w:r>
      <w:r>
        <w:rPr>
          <w:rFonts w:hint="eastAsia" w:ascii="Times New Roman" w:hAnsi="Times New Roman" w:eastAsia="宋体" w:cs="宋体"/>
          <w:color w:val="auto"/>
          <w:highlight w:val="none"/>
          <w:shd w:val="clear" w:color="auto" w:fill="ffffff"/>
        </w:rPr>
        <w:t xml:space="preserve">在中国境内完成。</w:t>
      </w:r>
      <w:r/>
    </w:p>
    <w:p>
      <w:pPr>
        <w:pStyle w:val="752"/>
        <w:ind w:firstLine="420"/>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w:t>
      </w:r>
      <w:r/>
    </w:p>
    <w:p>
      <w:pPr>
        <w:pStyle w:val="752"/>
        <w:ind w:firstLine="420"/>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本公司（单位）对上述声明内容的真实性负责。如有虚假，愿承担相应法律责任。</w:t>
      </w:r>
      <w:r/>
    </w:p>
    <w:p>
      <w:pPr>
        <w:pStyle w:val="752"/>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pStyle w:val="752"/>
        <w:ind w:right="480" w:firstLine="3720"/>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公司（单位）名称（盖章）：　        </w:t>
      </w:r>
      <w:r/>
    </w:p>
    <w:p>
      <w:pPr>
        <w:pStyle w:val="752"/>
        <w:jc w:val="center"/>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                                日期：　   年　  月　  日         </w:t>
      </w:r>
      <w:r/>
    </w:p>
    <w:p>
      <w:pPr>
        <w:pStyle w:val="752"/>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__________________</w:t>
      </w:r>
      <w:r/>
    </w:p>
    <w:p>
      <w:pPr>
        <w:pStyle w:val="752"/>
        <w:pageBreakBefore w:val="0"/>
        <w:spacing w:before="30" w:beforeAutospacing="0" w:after="3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1.产品如有型号，请在“产品名称”栏一并填写。</w:t>
      </w:r>
      <w:r/>
    </w:p>
    <w:p>
      <w:pPr>
        <w:pStyle w:val="752"/>
        <w:pageBreakBefore w:val="0"/>
        <w:spacing w:before="30" w:beforeAutospacing="0" w:after="3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2.生产厂名与厂址应与生产厂营业执照载明的相关信息保持一致。</w:t>
      </w:r>
      <w:r/>
    </w:p>
    <w:p>
      <w:pPr>
        <w:pStyle w:val="752"/>
        <w:pageBreakBefore w:val="0"/>
        <w:spacing w:before="30" w:beforeAutospacing="0" w:after="3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3.该产品的中国境内生产的组件成本占比相关要求实施前，“规定比例”栏可不填，下同。</w:t>
      </w:r>
      <w:r/>
    </w:p>
    <w:p>
      <w:pPr>
        <w:pStyle w:val="752"/>
        <w:pageBreakBefore w:val="0"/>
        <w:spacing w:before="30" w:beforeAutospacing="0" w:after="3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4.该产品的关键组件要求实施前，“关键组件”栏可不填，下同。</w:t>
      </w:r>
      <w:r/>
    </w:p>
    <w:p>
      <w:pPr>
        <w:pStyle w:val="752"/>
        <w:pageBreakBefore w:val="0"/>
        <w:spacing w:before="30" w:beforeAutospacing="0" w:after="30" w:afterAutospacing="0" w:line="360" w:lineRule="auto"/>
        <w:rPr>
          <w:rFonts w:hint="eastAsia" w:ascii="Times New Roman" w:hAnsi="Times New Roman" w:eastAsia="宋体" w:cs="宋体"/>
          <w:color w:val="auto"/>
          <w:sz w:val="22"/>
          <w:highlight w:val="none"/>
          <w:shd w:val="clear" w:color="auto" w:fill="ffffff"/>
        </w:rPr>
      </w:pPr>
      <w:r>
        <w:rPr>
          <w:rFonts w:hint="eastAsia" w:ascii="Times New Roman" w:hAnsi="Times New Roman" w:eastAsia="宋体" w:cs="宋体"/>
          <w:color w:val="auto"/>
          <w:sz w:val="22"/>
          <w:highlight w:val="none"/>
          <w:shd w:val="clear" w:color="auto" w:fill="ffffff"/>
        </w:rPr>
        <w:t xml:space="preserve">5.该产品的关键工序要求实施前，“关键工序”栏可不填，下同。</w:t>
      </w:r>
      <w:r/>
    </w:p>
    <w:p>
      <w:pPr>
        <w:pStyle w:val="752"/>
        <w:pageBreakBefore w:val="0"/>
        <w:spacing w:before="30" w:beforeAutospacing="0" w:after="30" w:afterAutospacing="0" w:line="360" w:lineRule="auto"/>
        <w:rPr>
          <w:rFonts w:hint="eastAsia" w:ascii="Times New Roman" w:hAnsi="Times New Roman" w:eastAsia="宋体" w:cs="宋体"/>
          <w:color w:val="auto"/>
          <w:sz w:val="22"/>
          <w:highlight w:val="none"/>
          <w:shd w:val="clear" w:color="auto" w:fill="ffffff"/>
        </w:rPr>
      </w:pPr>
      <w:r>
        <w:rPr>
          <w:rFonts w:hint="eastAsia" w:ascii="Times New Roman" w:hAnsi="Times New Roman" w:eastAsia="宋体" w:cs="宋体"/>
          <w:color w:val="auto"/>
          <w:sz w:val="22"/>
          <w:highlight w:val="none"/>
          <w:shd w:val="clear" w:color="auto" w:fill="ffffff"/>
        </w:rPr>
        <w:t xml:space="preserve">6.用斜线划除的地方无需填写。</w:t>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pStyle w:val="716"/>
        <w:pageBreakBefore w:val="0"/>
        <w:spacing w:before="0" w:after="0" w:line="360" w:lineRule="auto"/>
        <w:rPr>
          <w:rFonts w:ascii="Times New Roman" w:hAnsi="Times New Roman" w:eastAsia="宋体"/>
          <w:color w:val="auto"/>
          <w:sz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75" w:name="_Toc19910"/>
      <w:r/>
      <w:r/>
    </w:p>
    <w:p>
      <w:pPr>
        <w:pStyle w:val="716"/>
        <w:pageBreakBefore w:val="0"/>
        <w:spacing w:before="0" w:after="0" w:line="360" w:lineRule="auto"/>
        <w:rPr>
          <w:rFonts w:ascii="Times New Roman" w:hAnsi="Times New Roman" w:eastAsia="宋体"/>
          <w:color w:val="auto"/>
          <w:sz w:val="32"/>
          <w:highlight w:val="none"/>
        </w:rPr>
      </w:pPr>
      <w:r/>
      <w:bookmarkStart w:id="76" w:name="_Toc24565"/>
      <w:r/>
      <w:bookmarkStart w:id="77" w:name="_Toc29012"/>
      <w:r>
        <w:rPr>
          <w:rFonts w:hint="eastAsia" w:ascii="Times New Roman" w:hAnsi="Times New Roman" w:eastAsia="宋体"/>
          <w:color w:val="auto"/>
          <w:sz w:val="32"/>
          <w:highlight w:val="none"/>
        </w:rPr>
        <w:t xml:space="preserve">四、开标一览表</w:t>
      </w:r>
      <w:bookmarkEnd w:id="75"/>
      <w:r/>
      <w:bookmarkEnd w:id="76"/>
      <w:r/>
      <w:bookmarkEnd w:id="77"/>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项目名称：</w:t>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项目编号：</w:t>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分包号（如有）：</w:t>
      </w:r>
      <w:r/>
    </w:p>
    <w:p>
      <w:pPr>
        <w:ind w:firstLine="480"/>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bl>
      <w:tblPr>
        <w:tblStyle w:val="725"/>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730"/>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投标服务名称</w:t>
            </w:r>
            <w:r/>
          </w:p>
        </w:tc>
        <w:tc>
          <w:tcPr>
            <w:tcW w:w="6405"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rPr>
              <w:t xml:space="preserve">投标报价</w:t>
            </w:r>
            <w:r/>
          </w:p>
        </w:tc>
      </w:tr>
      <w:tr>
        <w:trPr>
          <w:cantSplit/>
          <w:trHeight w:val="1697"/>
        </w:trPr>
        <w:tc>
          <w:tcPr>
            <w:tcW w:w="2481" w:type="dxa"/>
            <w:vAlign w:val="center"/>
            <w:textDirection w:val="lrTb"/>
            <w:noWrap w:val="false"/>
          </w:tcPr>
          <w:p>
            <w:pPr>
              <w:pStyle w:val="73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405" w:type="dxa"/>
            <w:vAlign w:val="center"/>
            <w:textDirection w:val="lrTb"/>
            <w:noWrap w:val="false"/>
          </w:tcPr>
          <w:p>
            <w:pPr>
              <w:jc w:val="left"/>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rPr>
              <w:t xml:space="preserve">大写：</w:t>
            </w:r>
            <w:r>
              <w:rPr>
                <w:rFonts w:hint="eastAsia" w:ascii="Times New Roman" w:hAnsi="Times New Roman" w:eastAsia="宋体"/>
                <w:color w:val="auto"/>
                <w:szCs w:val="21"/>
                <w:highlight w:val="none"/>
                <w:lang w:val="en-US" w:eastAsia="zh-CN"/>
              </w:rPr>
              <w:t xml:space="preserve">       </w:t>
            </w:r>
            <w:r/>
          </w:p>
          <w:p>
            <w:pPr>
              <w:jc w:val="left"/>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小写：</w:t>
            </w:r>
            <w:r>
              <w:rPr>
                <w:rFonts w:hint="eastAsia" w:ascii="Times New Roman" w:hAnsi="Times New Roman" w:eastAsia="宋体"/>
                <w:color w:val="auto"/>
                <w:szCs w:val="21"/>
                <w:highlight w:val="none"/>
                <w:lang w:val="en-US" w:eastAsia="zh-CN"/>
              </w:rPr>
              <w:t xml:space="preserve">       </w:t>
            </w:r>
            <w:r>
              <w:rPr>
                <w:rFonts w:hint="eastAsia" w:ascii="Times New Roman" w:hAnsi="Times New Roman" w:eastAsia="宋体"/>
                <w:color w:val="auto"/>
                <w:szCs w:val="21"/>
                <w:highlight w:val="none"/>
              </w:rPr>
              <w:t xml:space="preserve">（人民币）</w:t>
            </w:r>
            <w:r/>
          </w:p>
          <w:p>
            <w:pPr>
              <w:pStyle w:val="917"/>
              <w:ind w:firstLine="0"/>
              <w:pageBreakBefore w:val="0"/>
              <w:spacing w:before="0" w:after="0"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cantSplit/>
          <w:trHeight w:val="1697"/>
        </w:trPr>
        <w:tc>
          <w:tcPr>
            <w:tcW w:w="2481" w:type="dxa"/>
            <w:vAlign w:val="center"/>
            <w:textDirection w:val="lrTb"/>
            <w:noWrap w:val="false"/>
          </w:tcPr>
          <w:p>
            <w:pPr>
              <w:pStyle w:val="730"/>
              <w:jc w:val="center"/>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备注</w:t>
            </w:r>
            <w:r/>
          </w:p>
        </w:tc>
        <w:tc>
          <w:tcPr>
            <w:tcW w:w="6405" w:type="dxa"/>
            <w:vAlign w:val="center"/>
            <w:textDirection w:val="lrTb"/>
            <w:noWrap w:val="false"/>
          </w:tcPr>
          <w:p>
            <w:pPr>
              <w:pStyle w:val="917"/>
              <w:ind w:firstLine="0"/>
              <w:jc w:val="center"/>
              <w:pageBreakBefore w:val="0"/>
              <w:spacing w:before="0" w:after="0" w:line="360" w:lineRule="auto"/>
              <w:rPr>
                <w:rFonts w:hint="default" w:ascii="Times New Roman" w:hAnsi="Times New Roman" w:eastAsia="宋体" w:cs="宋体"/>
                <w:color w:val="auto"/>
                <w:sz w:val="21"/>
                <w:szCs w:val="21"/>
                <w:highlight w:val="none"/>
                <w:lang w:val="en-US" w:eastAsia="zh-CN"/>
              </w:rPr>
            </w:pPr>
            <w:r>
              <w:rPr>
                <w:rFonts w:hint="default" w:ascii="Times New Roman" w:hAnsi="Times New Roman" w:eastAsia="宋体" w:cs="宋体"/>
                <w:color w:val="auto"/>
                <w:sz w:val="21"/>
                <w:szCs w:val="21"/>
                <w:highlight w:val="none"/>
                <w:lang w:val="en-US" w:eastAsia="zh-CN"/>
              </w:rPr>
            </w:r>
            <w:r/>
          </w:p>
        </w:tc>
      </w:tr>
    </w:tbl>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ind w:firstLine="480"/>
        <w:pageBreakBefore w:val="0"/>
        <w:spacing w:line="360" w:lineRule="auto"/>
        <w:rPr>
          <w:rFonts w:ascii="Times New Roman" w:hAnsi="Times New Roman" w:eastAsia="宋体"/>
          <w:color w:val="auto"/>
          <w:sz w:val="32"/>
          <w:szCs w:val="32"/>
          <w:highlight w:val="none"/>
        </w:rPr>
      </w:pPr>
      <w:r>
        <w:rPr>
          <w:rFonts w:hint="eastAsia" w:ascii="Times New Roman" w:hAnsi="Times New Roman" w:eastAsia="宋体"/>
          <w:color w:val="auto"/>
          <w:szCs w:val="21"/>
          <w:highlight w:val="none"/>
        </w:rPr>
        <w:t xml:space="preserve">日期：年月日</w:t>
      </w:r>
      <w:r/>
    </w:p>
    <w:p>
      <w:pPr>
        <w:pStyle w:val="727"/>
        <w:ind w:firstLine="640"/>
        <w:pageBreakBefore w:val="0"/>
        <w:spacing w:line="360" w:lineRule="auto"/>
        <w:rPr>
          <w:rFonts w:ascii="Times New Roman" w:hAnsi="Times New Roman" w:eastAsia="宋体"/>
          <w:color w:val="auto"/>
          <w:sz w:val="32"/>
          <w:szCs w:val="32"/>
          <w:highlight w:val="none"/>
        </w:rPr>
      </w:pPr>
      <w:r>
        <w:rPr>
          <w:rFonts w:ascii="Times New Roman" w:hAnsi="Times New Roman" w:eastAsia="宋体"/>
          <w:color w:val="auto"/>
          <w:sz w:val="32"/>
          <w:szCs w:val="32"/>
          <w:highlight w:val="none"/>
        </w:rPr>
      </w:r>
      <w:r/>
    </w:p>
    <w:p>
      <w:pPr>
        <w:pageBreakBefore w:val="0"/>
        <w:spacing w:line="360" w:lineRule="auto"/>
        <w:rPr>
          <w:rFonts w:ascii="Times New Roman" w:hAnsi="Times New Roman" w:eastAsia="宋体"/>
          <w:color w:val="auto"/>
          <w:sz w:val="32"/>
          <w:szCs w:val="32"/>
          <w:highlight w:val="none"/>
        </w:rPr>
      </w:pPr>
      <w:r>
        <w:rPr>
          <w:rFonts w:hint="eastAsia" w:ascii="Times New Roman" w:hAnsi="Times New Roman" w:eastAsia="宋体"/>
          <w:color w:val="auto"/>
          <w:sz w:val="32"/>
          <w:szCs w:val="32"/>
          <w:highlight w:val="none"/>
        </w:rPr>
        <w:br w:type="page" w:clear="all"/>
      </w:r>
      <w:r/>
    </w:p>
    <w:p>
      <w:pPr>
        <w:pStyle w:val="956"/>
        <w:jc w:val="center"/>
        <w:pageBreakBefore w:val="0"/>
        <w:spacing w:after="0" w:line="360" w:lineRule="auto"/>
        <w:rPr>
          <w:rFonts w:ascii="Times New Roman" w:hAnsi="Times New Roman" w:eastAsia="宋体"/>
          <w:b/>
          <w:bCs/>
          <w:color w:val="auto"/>
          <w:sz w:val="24"/>
          <w:szCs w:val="24"/>
          <w:highlight w:val="none"/>
          <w:lang w:eastAsia="zh-CN"/>
        </w:rPr>
      </w:pPr>
      <w:r/>
      <w:bookmarkStart w:id="78" w:name="_Toc17891"/>
      <w:r>
        <w:rPr>
          <w:rFonts w:hint="eastAsia" w:ascii="Times New Roman" w:hAnsi="Times New Roman" w:eastAsia="宋体"/>
          <w:b/>
          <w:bCs/>
          <w:color w:val="auto"/>
          <w:sz w:val="32"/>
          <w:highlight w:val="none"/>
        </w:rPr>
        <w:t xml:space="preserve">五、分项报价表</w:t>
      </w:r>
      <w:bookmarkEnd w:id="78"/>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bl>
      <w:tblPr>
        <w:tblStyle w:val="725"/>
        <w:tblW w:w="9767" w:type="dxa"/>
        <w:jc w:val="center"/>
        <w:tblLayout w:type="fixed"/>
        <w:tblCellMar>
          <w:left w:w="10" w:type="dxa"/>
          <w:top w:w="0" w:type="dxa"/>
          <w:right w:w="10" w:type="dxa"/>
          <w:bottom w:w="0" w:type="dxa"/>
        </w:tblCellMar>
        <w:tblLook w:val="04A0" w:firstRow="1" w:lastRow="0" w:firstColumn="1" w:lastColumn="0" w:noHBand="0" w:noVBand="1"/>
      </w:tblPr>
      <w:tblGrid>
        <w:gridCol w:w="999"/>
        <w:gridCol w:w="2690"/>
        <w:gridCol w:w="957"/>
        <w:gridCol w:w="787"/>
        <w:gridCol w:w="1334"/>
        <w:gridCol w:w="1497"/>
        <w:gridCol w:w="1503"/>
      </w:tblGrid>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highlight w:val="none"/>
                <w:lang w:eastAsia="zh-CN"/>
              </w:rPr>
            </w:pPr>
            <w:r>
              <w:rPr>
                <w:rFonts w:hint="eastAsia" w:ascii="Times New Roman" w:hAnsi="Times New Roman" w:eastAsia="宋体" w:cs="宋体"/>
                <w:b/>
                <w:bCs/>
                <w:color w:val="auto"/>
                <w:szCs w:val="21"/>
                <w:highlight w:val="none"/>
                <w:lang w:val="en-US" w:eastAsia="zh-CN"/>
              </w:rPr>
              <w:t xml:space="preserve">序号</w:t>
            </w:r>
            <w:r/>
          </w:p>
        </w:tc>
        <w:tc>
          <w:tcPr>
            <w:shd w:val="clear" w:color="auto" w:fill="ffffff"/>
            <w:tcBorders>
              <w:top w:val="single" w:color="auto" w:sz="4" w:space="0"/>
              <w:left w:val="single" w:color="auto" w:sz="4" w:space="0"/>
            </w:tcBorders>
            <w:tcW w:w="2690" w:type="dxa"/>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highlight w:val="none"/>
                <w:lang w:eastAsia="zh-CN"/>
              </w:rPr>
            </w:pPr>
            <w:r>
              <w:rPr>
                <w:rFonts w:hint="eastAsia" w:ascii="Times New Roman" w:hAnsi="Times New Roman" w:eastAsia="宋体" w:cs="宋体"/>
                <w:b/>
                <w:bCs/>
                <w:color w:val="auto"/>
                <w:szCs w:val="21"/>
                <w:highlight w:val="none"/>
                <w:lang w:val="en-US" w:eastAsia="zh-CN"/>
              </w:rPr>
              <w:t xml:space="preserve">名称</w:t>
            </w:r>
            <w:r/>
          </w:p>
        </w:tc>
        <w:tc>
          <w:tcPr>
            <w:shd w:val="clear" w:color="auto" w:fill="ffffff"/>
            <w:tcBorders>
              <w:top w:val="single" w:color="auto" w:sz="4" w:space="0"/>
              <w:left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单位</w:t>
            </w:r>
            <w:r/>
          </w:p>
        </w:tc>
        <w:tc>
          <w:tcPr>
            <w:shd w:val="clear" w:color="auto" w:fill="ffffff"/>
            <w:tcBorders>
              <w:top w:val="single" w:color="auto" w:sz="4" w:space="0"/>
              <w:left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数量</w:t>
            </w:r>
            <w:r/>
          </w:p>
        </w:tc>
        <w:tc>
          <w:tcPr>
            <w:shd w:val="clear" w:color="auto" w:fill="ffffff"/>
            <w:tcBorders>
              <w:top w:val="single" w:color="auto" w:sz="4" w:space="0"/>
              <w:left w:val="single" w:color="auto" w:sz="4" w:space="0"/>
            </w:tcBorders>
            <w:tcW w:w="1334" w:type="dxa"/>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单价</w:t>
            </w:r>
            <w:r/>
          </w:p>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（元）</w:t>
            </w:r>
            <w:r/>
          </w:p>
        </w:tc>
        <w:tc>
          <w:tcPr>
            <w:shd w:val="clear" w:color="auto" w:fill="ffffff"/>
            <w:tcBorders>
              <w:top w:val="single" w:color="auto" w:sz="4" w:space="0"/>
              <w:left w:val="single" w:color="auto" w:sz="4" w:space="0"/>
            </w:tcBorders>
            <w:tcW w:w="1497" w:type="dxa"/>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highlight w:val="none"/>
                <w:lang w:val="en-US" w:eastAsia="zh-CN"/>
              </w:rPr>
            </w:pPr>
            <w:r>
              <w:rPr>
                <w:rFonts w:hint="eastAsia" w:ascii="Times New Roman" w:hAnsi="Times New Roman" w:eastAsia="宋体" w:cs="宋体"/>
                <w:b/>
                <w:bCs/>
                <w:color w:val="auto"/>
                <w:szCs w:val="21"/>
                <w:highlight w:val="none"/>
                <w:lang w:val="en-US" w:eastAsia="zh-CN"/>
              </w:rPr>
              <w:t xml:space="preserve">单价合计</w:t>
            </w:r>
            <w:r/>
          </w:p>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（元）</w:t>
            </w:r>
            <w:r/>
          </w:p>
        </w:tc>
        <w:tc>
          <w:tcPr>
            <w:shd w:val="clear" w:color="auto" w:fill="ffffff"/>
            <w:tcBorders>
              <w:top w:val="single" w:color="auto" w:sz="4" w:space="0"/>
              <w:left w:val="single" w:color="auto" w:sz="4" w:space="0"/>
              <w:right w:val="single" w:color="auto" w:sz="4" w:space="0"/>
            </w:tcBorders>
            <w:tcW w:w="1503" w:type="dxa"/>
            <w:vAlign w:val="center"/>
            <w:textDirection w:val="lrTb"/>
            <w:noWrap w:val="false"/>
          </w:tcPr>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备注</w:t>
            </w:r>
            <w:r/>
          </w:p>
        </w:tc>
      </w:tr>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tcBorders>
            <w:tcW w:w="149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rPr>
            </w:pPr>
            <w:r>
              <w:rPr>
                <w:rFonts w:ascii="Times New Roman" w:hAnsi="Times New Roman" w:eastAsia="宋体" w:cs="宋体"/>
                <w:color w:val="auto"/>
                <w:szCs w:val="21"/>
                <w:highlight w:val="none"/>
                <w:lang w:val="zh-TW"/>
              </w:rPr>
            </w:r>
            <w:r/>
          </w:p>
        </w:tc>
        <w:tc>
          <w:tcPr>
            <w:shd w:val="clear" w:color="auto" w:fill="ffffff"/>
            <w:tcBorders>
              <w:top w:val="single" w:color="auto" w:sz="4" w:space="0"/>
              <w:left w:val="single" w:color="auto" w:sz="4" w:space="0"/>
              <w:bottom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957"/>
              <w:pageBreakBefore w:val="0"/>
              <w:spacing w:line="360" w:lineRule="auto"/>
              <w:rPr>
                <w:rFonts w:ascii="Times New Roman" w:hAnsi="Times New Roman" w:eastAsia="宋体"/>
                <w:color w:val="auto"/>
                <w:sz w:val="21"/>
                <w:szCs w:val="21"/>
                <w:highlight w:val="none"/>
                <w:lang w:eastAsia="zh-CN"/>
              </w:rPr>
            </w:pPr>
            <w:r>
              <w:rPr>
                <w:rFonts w:ascii="Times New Roman" w:hAnsi="Times New Roman" w:eastAsia="宋体"/>
                <w:color w:val="auto"/>
                <w:sz w:val="21"/>
                <w:szCs w:val="21"/>
                <w:highlight w:val="none"/>
                <w:lang w:eastAsia="zh-CN"/>
              </w:rPr>
            </w:r>
            <w:r/>
          </w:p>
        </w:tc>
      </w:tr>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pStyle w:val="957"/>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957"/>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r>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pStyle w:val="957"/>
              <w:ind w:firstLine="18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957"/>
              <w:ind w:firstLine="18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r>
      <w:tr>
        <w:trPr>
          <w:jc w:val="center"/>
          <w:trHeight w:val="567"/>
        </w:trPr>
        <w:tc>
          <w:tcPr>
            <w:gridSpan w:val="5"/>
            <w:shd w:val="clear" w:color="auto" w:fill="ffffff"/>
            <w:tcBorders>
              <w:top w:val="single" w:color="auto" w:sz="4" w:space="0"/>
              <w:left w:val="single" w:color="auto" w:sz="4" w:space="0"/>
              <w:bottom w:val="single" w:color="auto" w:sz="4" w:space="0"/>
            </w:tcBorders>
            <w:tcW w:w="676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合计（元）</w:t>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bl>
    <w:p>
      <w:pPr>
        <w:jc w:val="left"/>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jc w:val="left"/>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jc w:val="left"/>
        <w:pageBreakBefore w:val="0"/>
        <w:spacing w:line="360" w:lineRule="auto"/>
        <w:rPr>
          <w:rFonts w:hint="eastAsia" w:ascii="Times New Roman" w:hAnsi="Times New Roman" w:eastAsia="宋体" w:cs="宋体"/>
          <w:color w:val="auto"/>
          <w:szCs w:val="21"/>
          <w:highlight w:val="none"/>
        </w:rPr>
      </w:pPr>
      <w:r/>
      <w:bookmarkStart w:id="79" w:name="_Toc5967"/>
      <w:r>
        <w:rPr>
          <w:rFonts w:hint="eastAsia" w:ascii="Times New Roman" w:hAnsi="Times New Roman" w:eastAsia="宋体" w:cs="宋体"/>
          <w:color w:val="auto"/>
          <w:szCs w:val="21"/>
          <w:highlight w:val="none"/>
        </w:rPr>
        <w:t xml:space="preserve">备注：</w:t>
      </w:r>
      <w:r/>
    </w:p>
    <w:p>
      <w:pPr>
        <w:jc w:val="left"/>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1、各供应商可以根据实际情况合理安排，对上述项目适当予以调整。  </w:t>
      </w:r>
      <w:r/>
    </w:p>
    <w:p>
      <w:pPr>
        <w:jc w:val="left"/>
        <w:pageBreakBefore w:val="0"/>
        <w:spacing w:line="360" w:lineRule="auto"/>
        <w:rPr>
          <w:rFonts w:hint="eastAsia" w:ascii="Times New Roman" w:hAnsi="Times New Roman" w:eastAsia="宋体" w:cs="宋体"/>
          <w:color w:val="auto"/>
          <w:szCs w:val="21"/>
          <w:highlight w:val="none"/>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cs="宋体"/>
          <w:color w:val="auto"/>
          <w:szCs w:val="21"/>
          <w:highlight w:val="none"/>
        </w:rPr>
        <w:t xml:space="preserve">2、所有报价（含各分项报价）必须符合国家法律法规及本次采购文件要求。</w:t>
      </w:r>
      <w:r/>
    </w:p>
    <w:p>
      <w:pPr>
        <w:pStyle w:val="716"/>
        <w:pageBreakBefore w:val="0"/>
        <w:spacing w:before="0" w:after="0" w:line="360" w:lineRule="auto"/>
        <w:rPr>
          <w:rFonts w:ascii="Times New Roman" w:hAnsi="Times New Roman" w:eastAsia="宋体"/>
          <w:color w:val="auto"/>
          <w:sz w:val="32"/>
          <w:highlight w:val="none"/>
        </w:rPr>
      </w:pPr>
      <w:r/>
      <w:bookmarkStart w:id="80" w:name="_Toc24125"/>
      <w:r/>
      <w:bookmarkStart w:id="81" w:name="_Toc1749"/>
      <w:r>
        <w:rPr>
          <w:rFonts w:hint="eastAsia" w:ascii="Times New Roman" w:hAnsi="Times New Roman" w:eastAsia="宋体"/>
          <w:color w:val="auto"/>
          <w:sz w:val="32"/>
          <w:highlight w:val="none"/>
        </w:rPr>
        <w:t xml:space="preserve">六、技术参数响应及偏离表</w:t>
      </w:r>
      <w:bookmarkEnd w:id="79"/>
      <w:r/>
      <w:bookmarkEnd w:id="80"/>
      <w:r/>
      <w:bookmarkEnd w:id="81"/>
      <w:r/>
      <w:r/>
    </w:p>
    <w:tbl>
      <w:tblPr>
        <w:tblStyle w:val="725"/>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序号</w:t>
            </w:r>
            <w:r/>
          </w:p>
        </w:tc>
        <w:tc>
          <w:tcPr>
            <w:tcW w:w="2551"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招标要求</w:t>
            </w:r>
            <w:r/>
          </w:p>
        </w:tc>
        <w:tc>
          <w:tcPr>
            <w:tcW w:w="2701"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投标响应</w:t>
            </w:r>
            <w:r/>
          </w:p>
        </w:tc>
        <w:tc>
          <w:tcPr>
            <w:tcW w:w="145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超出、符合或偏离</w:t>
            </w:r>
            <w:r/>
          </w:p>
        </w:tc>
        <w:tc>
          <w:tcPr>
            <w:tcW w:w="1210"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证明材料</w:t>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pageBreakBefore w:val="0"/>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p>
      <w:pPr>
        <w:pageBreakBefore w:val="0"/>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注：1、按照基本技术要求详细填列。</w:t>
      </w:r>
      <w:r/>
    </w:p>
    <w:p>
      <w:pPr>
        <w:ind w:firstLine="480"/>
        <w:pageBreakBefore w:val="0"/>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2、行数不够，可自行添加。</w:t>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pageBreakBefore w:val="0"/>
        <w:spacing w:line="360" w:lineRule="auto"/>
        <w:rPr>
          <w:rFonts w:ascii="Times New Roman" w:hAnsi="Times New Roman" w:eastAsia="宋体"/>
          <w:color w:val="auto"/>
          <w:sz w:val="32"/>
          <w:highlight w:val="none"/>
        </w:rPr>
      </w:pPr>
      <w:r>
        <w:rPr>
          <w:rFonts w:hint="eastAsia" w:ascii="Times New Roman" w:hAnsi="Times New Roman" w:eastAsia="宋体"/>
          <w:color w:val="auto"/>
          <w:sz w:val="32"/>
          <w:highlight w:val="none"/>
        </w:rPr>
        <w:br w:type="page" w:clear="all"/>
      </w:r>
      <w:r/>
    </w:p>
    <w:p>
      <w:pPr>
        <w:pStyle w:val="716"/>
        <w:pageBreakBefore w:val="0"/>
        <w:spacing w:before="0" w:after="0" w:line="360" w:lineRule="auto"/>
        <w:rPr>
          <w:rFonts w:ascii="Times New Roman" w:hAnsi="Times New Roman" w:eastAsia="宋体"/>
          <w:color w:val="auto"/>
          <w:sz w:val="32"/>
          <w:highlight w:val="none"/>
        </w:rPr>
      </w:pPr>
      <w:r/>
      <w:bookmarkStart w:id="82" w:name="_Hlt26955054"/>
      <w:r/>
      <w:bookmarkEnd w:id="82"/>
      <w:r/>
      <w:bookmarkStart w:id="83" w:name="_Toc16820"/>
      <w:r/>
      <w:bookmarkStart w:id="84" w:name="_Toc28180"/>
      <w:r/>
      <w:bookmarkStart w:id="85" w:name="_Toc13755"/>
      <w:r>
        <w:rPr>
          <w:rFonts w:hint="eastAsia" w:ascii="Times New Roman" w:hAnsi="Times New Roman" w:eastAsia="宋体"/>
          <w:color w:val="auto"/>
          <w:sz w:val="32"/>
          <w:highlight w:val="none"/>
        </w:rPr>
        <w:t xml:space="preserve">七、商务条款响应及偏离表</w:t>
      </w:r>
      <w:bookmarkEnd w:id="83"/>
      <w:r/>
      <w:bookmarkEnd w:id="84"/>
      <w:r/>
      <w:bookmarkEnd w:id="85"/>
      <w:r/>
      <w:r/>
    </w:p>
    <w:tbl>
      <w:tblPr>
        <w:tblStyle w:val="725"/>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ascii="Times New Roman" w:hAnsi="Times New Roman" w:eastAsia="宋体"/>
                <w:color w:val="auto"/>
                <w:szCs w:val="21"/>
                <w:highlight w:val="none"/>
              </w:rPr>
            </w:pPr>
            <w:r/>
            <w:bookmarkStart w:id="86" w:name="_Hlt26955064"/>
            <w:r/>
            <w:bookmarkEnd w:id="86"/>
            <w:r/>
            <w:bookmarkStart w:id="87" w:name="_Hlt26580838"/>
            <w:r/>
            <w:bookmarkEnd w:id="87"/>
            <w:r/>
            <w:bookmarkStart w:id="88" w:name="_Hlt26955056"/>
            <w:r/>
            <w:bookmarkEnd w:id="88"/>
            <w:r/>
            <w:bookmarkStart w:id="89" w:name="_Hlt26671372"/>
            <w:r/>
            <w:bookmarkEnd w:id="89"/>
            <w:r/>
            <w:bookmarkStart w:id="90" w:name="_Hlt26671343"/>
            <w:r/>
            <w:bookmarkEnd w:id="90"/>
            <w:r/>
            <w:bookmarkStart w:id="91" w:name="_Hlt24879081"/>
            <w:r/>
            <w:bookmarkEnd w:id="91"/>
            <w:r/>
            <w:bookmarkStart w:id="92" w:name="_Hlt26782999"/>
            <w:r/>
            <w:bookmarkEnd w:id="92"/>
            <w:r/>
            <w:bookmarkStart w:id="93" w:name="_Hlt26609391"/>
            <w:r/>
            <w:bookmarkEnd w:id="93"/>
            <w:r>
              <w:rPr>
                <w:rFonts w:hint="eastAsia" w:ascii="Times New Roman" w:hAnsi="Times New Roman" w:eastAsia="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ageBreakBefore w:val="0"/>
        <w:spacing w:line="360" w:lineRule="auto"/>
        <w:rPr>
          <w:rFonts w:ascii="Times New Roman" w:hAnsi="Times New Roman" w:eastAsia="宋体"/>
          <w:color w:val="auto"/>
          <w:sz w:val="30"/>
          <w:highlight w:val="none"/>
        </w:rPr>
      </w:pPr>
      <w:r>
        <w:rPr>
          <w:rFonts w:ascii="Times New Roman" w:hAnsi="Times New Roman" w:eastAsia="宋体"/>
          <w:color w:val="auto"/>
          <w:sz w:val="30"/>
          <w:highlight w:val="none"/>
        </w:rPr>
      </w:r>
      <w:r/>
    </w:p>
    <w:p>
      <w:pPr>
        <w:pStyle w:val="727"/>
        <w:ind w:firstLine="480"/>
        <w:pageBreakBefore w:val="0"/>
        <w:spacing w:line="360" w:lineRule="auto"/>
        <w:rPr>
          <w:rFonts w:ascii="Times New Roman" w:hAnsi="Times New Roman" w:eastAsia="宋体"/>
          <w:color w:val="auto"/>
          <w:sz w:val="24"/>
          <w:highlight w:val="none"/>
        </w:rPr>
      </w:pPr>
      <w:r/>
      <w:bookmarkStart w:id="94" w:name="_Hlt26955066"/>
      <w:r/>
      <w:bookmarkEnd w:id="94"/>
      <w:r/>
      <w:bookmarkStart w:id="95" w:name="_Hlt26609389"/>
      <w:r/>
      <w:bookmarkEnd w:id="95"/>
      <w:r/>
      <w:bookmarkStart w:id="96" w:name="_Hlt26671374"/>
      <w:r/>
      <w:bookmarkEnd w:id="96"/>
      <w:r/>
      <w:bookmarkStart w:id="97" w:name="_Toc462564146"/>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w:t>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bookmarkEnd w:id="97"/>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jc w:val="center"/>
        <w:pageBreakBefore w:val="0"/>
        <w:spacing w:line="360" w:lineRule="auto"/>
        <w:rPr>
          <w:rFonts w:ascii="Times New Roman" w:hAnsi="Times New Roman" w:eastAsia="宋体"/>
          <w:b/>
          <w:color w:val="auto"/>
          <w:highlight w:val="none"/>
        </w:rPr>
      </w:pPr>
      <w:r>
        <w:rPr>
          <w:rFonts w:hint="eastAsia" w:ascii="Times New Roman" w:hAnsi="Times New Roman" w:eastAsia="宋体"/>
          <w:b/>
          <w:color w:val="auto"/>
          <w:highlight w:val="none"/>
        </w:rPr>
        <w:t xml:space="preserve">主要标的信息（中标后将公示）</w:t>
      </w:r>
      <w:r/>
    </w:p>
    <w:p>
      <w:pPr>
        <w:pageBreakBefore w:val="0"/>
        <w:spacing w:line="360" w:lineRule="auto"/>
        <w:rPr>
          <w:rFonts w:ascii="Times New Roman" w:hAnsi="Times New Roman" w:eastAsia="宋体"/>
          <w:b/>
          <w:color w:val="auto"/>
          <w:highlight w:val="none"/>
        </w:rPr>
      </w:pPr>
      <w:r>
        <w:rPr>
          <w:rFonts w:hint="eastAsia" w:ascii="Times New Roman" w:hAnsi="Times New Roman" w:eastAsia="宋体"/>
          <w:color w:val="auto"/>
          <w:highlight w:val="none"/>
        </w:rPr>
        <w:t xml:space="preserve">投标人全称：</w:t>
      </w:r>
      <w:r/>
    </w:p>
    <w:tbl>
      <w:tblPr>
        <w:tblStyle w:val="725"/>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货物类</w:t>
            </w:r>
            <w:r/>
          </w:p>
        </w:tc>
        <w:tc>
          <w:tcPr>
            <w:tcW w:w="3780" w:type="dxa"/>
            <w:textDirection w:val="lrTb"/>
            <w:noWrap w:val="false"/>
          </w:tcPr>
          <w:p>
            <w:pPr>
              <w:jc w:val="cente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服务类</w:t>
            </w:r>
            <w:r/>
          </w:p>
        </w:tc>
      </w:tr>
      <w:tr>
        <w:trPr>
          <w:trHeight w:val="3810"/>
        </w:trPr>
        <w:tc>
          <w:tcPr>
            <w:tcW w:w="3901" w:type="dxa"/>
            <w:textDirection w:val="lrTb"/>
            <w:noWrap w:val="false"/>
          </w:tcPr>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品牌（如有）：</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规格型号：</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数量：</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单价：</w:t>
            </w:r>
            <w:r/>
          </w:p>
        </w:tc>
        <w:tc>
          <w:tcPr>
            <w:tcW w:w="3780" w:type="dxa"/>
            <w:textDirection w:val="lrTb"/>
            <w:noWrap w:val="false"/>
          </w:tcPr>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服务范围：</w:t>
            </w:r>
            <w:r/>
          </w:p>
          <w:p>
            <w:pPr>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服务要求：</w:t>
            </w:r>
            <w:r/>
          </w:p>
          <w:p>
            <w:pPr>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服务时间：</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服务标准：</w:t>
            </w:r>
            <w:r/>
          </w:p>
        </w:tc>
      </w:tr>
    </w:tbl>
    <w:p>
      <w:pPr>
        <w:jc w:val="left"/>
        <w:pageBreakBefore w:val="0"/>
        <w:spacing w:line="360" w:lineRule="auto"/>
        <w:widowControl/>
        <w:rPr>
          <w:rFonts w:ascii="Times New Roman" w:hAnsi="Times New Roman" w:eastAsia="宋体" w:cs="宋体"/>
          <w:color w:val="auto"/>
          <w:sz w:val="24"/>
          <w:szCs w:val="24"/>
          <w:highlight w:val="none"/>
        </w:rPr>
      </w:pPr>
      <w:r>
        <w:rPr>
          <w:rFonts w:ascii="Times New Roman" w:hAnsi="Times New Roman" w:eastAsia="宋体" w:cs="宋体"/>
          <w:color w:val="auto"/>
          <w:sz w:val="24"/>
          <w:szCs w:val="24"/>
          <w:highlight w:val="none"/>
        </w:rPr>
        <w:br w:type="page" w:clear="all"/>
      </w:r>
      <w:r/>
    </w:p>
    <w:p>
      <w:pPr>
        <w:jc w:val="center"/>
        <w:pageBreakBefore w:val="0"/>
        <w:spacing w:line="360" w:lineRule="auto"/>
        <w:rPr>
          <w:rFonts w:ascii="Times New Roman" w:hAnsi="Times New Roman"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t xml:space="preserve">联合体协议（参考格式）（采购包号：**）</w:t>
      </w:r>
      <w:r/>
    </w:p>
    <w:p>
      <w:pPr>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 w:val="21"/>
          <w:szCs w:val="21"/>
          <w:highlight w:val="none"/>
        </w:rPr>
      </w:r>
      <w:r/>
    </w:p>
    <w:p>
      <w:pPr>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（联合体中各供应商全称）在此达成以下协议：</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1、我们</w:t>
      </w:r>
      <w:r>
        <w:rPr>
          <w:rFonts w:ascii="Times New Roman" w:hAnsi="Times New Roman" w:eastAsia="宋体" w:cs="宋体"/>
          <w:color w:val="auto"/>
          <w:sz w:val="21"/>
          <w:szCs w:val="21"/>
          <w:highlight w:val="none"/>
          <w:u w:val="single"/>
        </w:rPr>
        <w:t xml:space="preserve"> （供应商1），（供应商2） ，……</w:t>
      </w:r>
      <w:r>
        <w:rPr>
          <w:rFonts w:ascii="Times New Roman" w:hAnsi="Times New Roman" w:eastAsia="宋体" w:cs="宋体"/>
          <w:color w:val="auto"/>
          <w:sz w:val="21"/>
          <w:szCs w:val="21"/>
          <w:highlight w:val="none"/>
        </w:rPr>
        <w:t xml:space="preserve">自愿组成联合体，参加扬州市公共资源交易中心组织的采购编号为</w:t>
      </w:r>
      <w:r>
        <w:rPr>
          <w:rFonts w:ascii="Times New Roman" w:hAnsi="Times New Roman" w:eastAsia="宋体" w:cs="宋体"/>
          <w:color w:val="auto"/>
          <w:sz w:val="21"/>
          <w:szCs w:val="21"/>
          <w:highlight w:val="none"/>
          <w:u w:val="single"/>
        </w:rPr>
        <w:t xml:space="preserve">（编号全称），（项目全称）</w:t>
      </w:r>
      <w:r>
        <w:rPr>
          <w:rFonts w:ascii="Times New Roman" w:hAnsi="Times New Roman" w:eastAsia="宋体" w:cs="宋体"/>
          <w:color w:val="auto"/>
          <w:sz w:val="21"/>
          <w:szCs w:val="21"/>
          <w:highlight w:val="none"/>
        </w:rPr>
        <w:t xml:space="preserve">项目（采购包号：**）的政府采购活动，我联合体指定</w:t>
      </w:r>
      <w:r>
        <w:rPr>
          <w:rFonts w:ascii="Times New Roman" w:hAnsi="Times New Roman" w:eastAsia="宋体" w:cs="宋体"/>
          <w:color w:val="auto"/>
          <w:sz w:val="21"/>
          <w:szCs w:val="21"/>
          <w:highlight w:val="none"/>
          <w:u w:val="single"/>
        </w:rPr>
        <w:t xml:space="preserve">（供应商*）</w:t>
      </w:r>
      <w:r>
        <w:rPr>
          <w:rFonts w:ascii="Times New Roman" w:hAnsi="Times New Roman" w:eastAsia="宋体" w:cs="宋体"/>
          <w:color w:val="auto"/>
          <w:sz w:val="21"/>
          <w:szCs w:val="21"/>
          <w:highlight w:val="none"/>
        </w:rPr>
        <w:t xml:space="preserve">为牵头单位（牵头单位必须为联合体成员）。</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3、其中</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（小型、微型企业/残疾人福利性单位/监狱企业全称）为</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（小型、微型企业/残疾人福利性单位/监狱企业）企业，且我们约定该公司/单位所承担的合同金额将占本项目合同总金额的</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 %。</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p>
      <w:pPr>
        <w:ind w:firstLine="646"/>
        <w:jc w:val="right"/>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联合体中各供应商全称（公章）：     </w:t>
      </w:r>
      <w:r/>
    </w:p>
    <w:p>
      <w:pPr>
        <w:ind w:firstLine="646"/>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日期：</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备注：本招标文件中要求加盖CA电子签章的地方，仅需加盖牵头单位的CA电子签章。</w:t>
      </w:r>
      <w:r/>
    </w:p>
    <w:p>
      <w:pPr>
        <w:ind w:firstLine="46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魏碑_GBK">
    <w:panose1 w:val="020B0503020202020204"/>
  </w:font>
  <w:font w:name="MingLiU">
    <w:panose1 w:val="02020500000000000000"/>
  </w:font>
  <w:font w:name="Segoe UI Symbol">
    <w:panose1 w:val="020B0502040204020203"/>
  </w:font>
  <w:font w:name="Noto Sans CJK JP Regular">
    <w:panose1 w:val="020B0503020202020204"/>
  </w:font>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ind w:firstLine="180"/>
      <w:jc w:val="both"/>
      <w:rPr>
        <w:rFonts w:hint="eastAsia" w:eastAsia="宋体"/>
        <w:lang w:eastAsia="zh-CN"/>
      </w:rPr>
    </w:pPr>
    <w:r>
      <w:rPr>
        <w:rFonts w:hint="eastAsia"/>
        <w:lang w:eastAsia="zh-CN"/>
      </w:rPr>
      <w:t xml:space="preserve">JSZC-321000-HCZX-G2026-0024号</w:t>
    </w:r>
    <w:r>
      <w:rPr>
        <w:rFonts w:hint="eastAsia"/>
        <w:lang w:val="en-US" w:eastAsia="zh-CN"/>
      </w:rPr>
      <w:t xml:space="preserve">                                 </w:t>
    </w:r>
    <w:r>
      <w:rPr>
        <w:rFonts w:hint="eastAsia"/>
        <w:lang w:eastAsia="zh-CN"/>
      </w:rPr>
      <w:t xml:space="preserve">江苏汇诚投资咨询管理有限公司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ind w:firstLine="180"/>
      <w:jc w:val="both"/>
      <w:rPr>
        <w:rFonts w:hint="eastAsia" w:eastAsia="宋体"/>
        <w:lang w:eastAsia="zh-CN"/>
      </w:rPr>
    </w:pPr>
    <w:r>
      <w:rPr>
        <w:rFonts w:hint="eastAsia"/>
        <w:lang w:eastAsia="zh-CN"/>
      </w:rPr>
      <w:t xml:space="preserve">JSZC-321000-HCZX-G2026-0024号</w:t>
    </w:r>
    <w:r>
      <w:tab/>
    </w:r>
    <w:r>
      <w:rPr>
        <w:rFonts w:hint="eastAsia"/>
        <w:lang w:val="en-US" w:eastAsia="zh-CN"/>
      </w:rPr>
      <w:t xml:space="preserve">                                </w:t>
    </w:r>
    <w:r>
      <w:rPr>
        <w:rFonts w:hint="eastAsia"/>
        <w:lang w:eastAsia="zh-CN"/>
      </w:rPr>
      <w:t xml:space="preserve">江苏汇诚投资咨询管理有限公司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50"/>
      <w:isLgl w:val="false"/>
      <w:suff w:val="tab"/>
      <w:lvlText w:val="%1"/>
      <w:lvlJc w:val="left"/>
      <w:pPr>
        <w:ind w:left="432" w:hanging="432"/>
      </w:pPr>
    </w:lvl>
    <w:lvl w:ilvl="1">
      <w:start w:val="1"/>
      <w:numFmt w:val="decimal"/>
      <w:pStyle w:val="951"/>
      <w:isLgl w:val="false"/>
      <w:suff w:val="tab"/>
      <w:lvlText w:val="%1.%2"/>
      <w:lvlJc w:val="left"/>
      <w:pPr>
        <w:ind w:left="576" w:hanging="576"/>
      </w:pPr>
    </w:lvl>
    <w:lvl w:ilvl="2">
      <w:start w:val="1"/>
      <w:numFmt w:val="decimal"/>
      <w:pStyle w:val="953"/>
      <w:isLgl w:val="false"/>
      <w:suff w:val="tab"/>
      <w:lvlText w:val="%1.%2.%3"/>
      <w:lvlJc w:val="left"/>
      <w:pPr>
        <w:ind w:left="1855" w:hanging="720"/>
      </w:pPr>
    </w:lvl>
    <w:lvl w:ilvl="3">
      <w:start w:val="1"/>
      <w:numFmt w:val="decimal"/>
      <w:isLgl w:val="false"/>
      <w:suff w:val="tab"/>
      <w:lvlText w:val="%1.%2.%3.%4"/>
      <w:lvlJc w:val="left"/>
      <w:pPr>
        <w:ind w:left="864" w:hanging="864"/>
      </w:pPr>
    </w:lvl>
    <w:lvl w:ilvl="4">
      <w:start w:val="1"/>
      <w:numFmt w:val="decimal"/>
      <w:isLgl w:val="false"/>
      <w:suff w:val="tab"/>
      <w:lvlText w:val="%1.%2.%3.%4.%5"/>
      <w:lvlJc w:val="left"/>
      <w:pPr>
        <w:ind w:left="1008" w:hanging="1008"/>
      </w:pPr>
    </w:lvl>
    <w:lvl w:ilvl="5">
      <w:start w:val="1"/>
      <w:numFmt w:val="decimal"/>
      <w:isLgl w:val="false"/>
      <w:suff w:val="tab"/>
      <w:lvlText w:val="%1.%2.%3.%4.%5.%6"/>
      <w:lvlJc w:val="left"/>
      <w:pPr>
        <w:ind w:left="1152" w:hanging="1152"/>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584" w:hanging="1584"/>
      </w:pPr>
    </w:lvl>
  </w:abstractNum>
  <w:abstractNum w:abstractNumId="2">
    <w:multiLevelType w:val="hybridMultilevel"/>
    <w:lvl w:ilvl="0">
      <w:start w:val="1"/>
      <w:numFmt w:val="decimal"/>
      <w:pStyle w:val="921"/>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3">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47"/>
      <w:isLgl w:val="false"/>
      <w:suff w:val="tab"/>
      <w:lvlText w:val=""/>
      <w:lvlJc w:val="left"/>
      <w:pPr>
        <w:ind w:left="780" w:hanging="360"/>
        <w:tabs>
          <w:tab w:val="left" w:pos="780" w:leader="none"/>
        </w:tabs>
      </w:pPr>
      <w:rPr>
        <w:rFonts w:ascii="Wingdings" w:hAnsi="Wingdings"/>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15">
    <w:name w:val="Heading 1"/>
    <w:basedOn w:val="714"/>
    <w:next w:val="714"/>
    <w:uiPriority w:val="9"/>
    <w:qFormat/>
    <w:pPr>
      <w:keepLines/>
      <w:keepNext/>
      <w:spacing w:before="340" w:after="330" w:line="578" w:lineRule="auto"/>
      <w:outlineLvl w:val="0"/>
    </w:pPr>
    <w:rPr>
      <w:b/>
      <w:bCs/>
      <w:sz w:val="44"/>
      <w:szCs w:val="44"/>
    </w:rPr>
  </w:style>
  <w:style w:type="paragraph" w:styleId="716">
    <w:name w:val="Heading 2"/>
    <w:basedOn w:val="714"/>
    <w:next w:val="71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17">
    <w:name w:val="Heading 3"/>
    <w:basedOn w:val="714"/>
    <w:next w:val="714"/>
    <w:uiPriority w:val="0"/>
    <w:qFormat/>
    <w:pPr>
      <w:keepLines/>
      <w:keepNext/>
      <w:spacing w:before="260" w:after="260" w:line="416" w:lineRule="auto"/>
      <w:outlineLvl w:val="2"/>
    </w:pPr>
    <w:rPr>
      <w:b/>
      <w:bCs/>
      <w:sz w:val="32"/>
      <w:szCs w:val="32"/>
    </w:rPr>
  </w:style>
  <w:style w:type="paragraph" w:styleId="718">
    <w:name w:val="Heading 4"/>
    <w:basedOn w:val="714"/>
    <w:next w:val="714"/>
    <w:link w:val="766"/>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link w:val="767"/>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link w:val="768"/>
    <w:uiPriority w:val="9"/>
    <w:unhideWhenUsed/>
    <w:qFormat/>
    <w:pPr>
      <w:keepLines/>
      <w:keepNext/>
      <w:spacing w:before="320" w:after="200"/>
      <w:outlineLvl w:val="5"/>
    </w:pPr>
    <w:rPr>
      <w:rFonts w:ascii="Arial" w:hAnsi="Arial" w:eastAsia="Arial" w:cs="Arial"/>
      <w:b/>
      <w:bCs/>
      <w:sz w:val="22"/>
      <w:szCs w:val="22"/>
    </w:rPr>
  </w:style>
  <w:style w:type="paragraph" w:styleId="721">
    <w:name w:val="Heading 7"/>
    <w:basedOn w:val="714"/>
    <w:next w:val="714"/>
    <w:link w:val="769"/>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14"/>
    <w:next w:val="714"/>
    <w:link w:val="770"/>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14"/>
    <w:next w:val="714"/>
    <w:link w:val="771"/>
    <w:uiPriority w:val="9"/>
    <w:unhideWhenUsed/>
    <w:qFormat/>
    <w:pPr>
      <w:keepLines/>
      <w:keepNext/>
      <w:spacing w:before="320" w:after="200"/>
      <w:outlineLvl w:val="8"/>
    </w:pPr>
    <w:rPr>
      <w:rFonts w:ascii="Arial" w:hAnsi="Arial" w:eastAsia="Arial" w:cs="Arial"/>
      <w:i/>
      <w:iCs/>
      <w:sz w:val="21"/>
      <w:szCs w:val="21"/>
    </w:rPr>
  </w:style>
  <w:style w:type="character" w:styleId="724" w:default="1">
    <w:name w:val="Default Paragraph Font"/>
    <w:uiPriority w:val="1"/>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toc 7"/>
    <w:basedOn w:val="714"/>
    <w:next w:val="714"/>
    <w:uiPriority w:val="39"/>
    <w:unhideWhenUsed/>
    <w:qFormat/>
    <w:pPr>
      <w:ind w:left="1701" w:right="0" w:firstLine="0"/>
      <w:spacing w:after="57"/>
    </w:pPr>
  </w:style>
  <w:style w:type="paragraph" w:styleId="727">
    <w:name w:val="Normal Indent"/>
    <w:basedOn w:val="714"/>
    <w:uiPriority w:val="0"/>
    <w:unhideWhenUsed/>
    <w:qFormat/>
    <w:pPr>
      <w:ind w:firstLine="420"/>
    </w:pPr>
  </w:style>
  <w:style w:type="paragraph" w:styleId="728">
    <w:name w:val="Caption"/>
    <w:basedOn w:val="714"/>
    <w:next w:val="71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29">
    <w:name w:val="annotation text"/>
    <w:basedOn w:val="714"/>
    <w:link w:val="928"/>
    <w:uiPriority w:val="0"/>
    <w:qFormat/>
    <w:pPr>
      <w:jc w:val="left"/>
    </w:pPr>
  </w:style>
  <w:style w:type="paragraph" w:styleId="730">
    <w:name w:val="Body Text"/>
    <w:basedOn w:val="714"/>
    <w:next w:val="714"/>
    <w:uiPriority w:val="0"/>
    <w:qFormat/>
    <w:rPr>
      <w:rFonts w:ascii="楷体_GB2312" w:hAnsi="Arial" w:eastAsia="楷体_GB2312"/>
      <w:sz w:val="28"/>
      <w:szCs w:val="28"/>
    </w:rPr>
  </w:style>
  <w:style w:type="paragraph" w:styleId="731">
    <w:name w:val="Body Text Indent"/>
    <w:basedOn w:val="714"/>
    <w:uiPriority w:val="0"/>
    <w:qFormat/>
    <w:pPr>
      <w:ind w:left="420"/>
      <w:spacing w:after="120"/>
    </w:pPr>
    <w:rPr>
      <w:rFonts w:ascii="等线" w:hAnsi="等线" w:eastAsia="等线"/>
    </w:rPr>
  </w:style>
  <w:style w:type="paragraph" w:styleId="732">
    <w:name w:val="toc 5"/>
    <w:basedOn w:val="714"/>
    <w:next w:val="714"/>
    <w:uiPriority w:val="39"/>
    <w:unhideWhenUsed/>
    <w:qFormat/>
    <w:pPr>
      <w:ind w:left="1134" w:right="0" w:firstLine="0"/>
      <w:spacing w:after="57"/>
    </w:pPr>
  </w:style>
  <w:style w:type="paragraph" w:styleId="733">
    <w:name w:val="toc 3"/>
    <w:basedOn w:val="714"/>
    <w:next w:val="714"/>
    <w:uiPriority w:val="39"/>
    <w:unhideWhenUsed/>
    <w:qFormat/>
    <w:pPr>
      <w:ind w:left="567" w:right="0" w:firstLine="0"/>
      <w:spacing w:after="57"/>
    </w:pPr>
  </w:style>
  <w:style w:type="paragraph" w:styleId="734">
    <w:name w:val="Plain Text"/>
    <w:basedOn w:val="714"/>
    <w:uiPriority w:val="99"/>
    <w:qFormat/>
    <w:rPr>
      <w:rFonts w:ascii="宋体" w:hAnsi="Courier New"/>
      <w:sz w:val="20"/>
      <w:szCs w:val="21"/>
    </w:rPr>
  </w:style>
  <w:style w:type="paragraph" w:styleId="735">
    <w:name w:val="toc 8"/>
    <w:basedOn w:val="714"/>
    <w:next w:val="714"/>
    <w:uiPriority w:val="39"/>
    <w:unhideWhenUsed/>
    <w:qFormat/>
    <w:pPr>
      <w:ind w:left="1984" w:right="0" w:firstLine="0"/>
      <w:spacing w:after="57"/>
    </w:pPr>
  </w:style>
  <w:style w:type="paragraph" w:styleId="736">
    <w:name w:val="Body Text Indent 2"/>
    <w:basedOn w:val="714"/>
    <w:uiPriority w:val="0"/>
    <w:qFormat/>
    <w:pPr>
      <w:ind w:left="640"/>
      <w:spacing w:after="120" w:line="480" w:lineRule="auto"/>
    </w:pPr>
    <w:rPr>
      <w:rFonts w:eastAsia="仿宋_GB2312"/>
      <w:sz w:val="32"/>
      <w:szCs w:val="28"/>
    </w:rPr>
  </w:style>
  <w:style w:type="paragraph" w:styleId="737">
    <w:name w:val="endnote text"/>
    <w:basedOn w:val="714"/>
    <w:link w:val="907"/>
    <w:uiPriority w:val="99"/>
    <w:semiHidden/>
    <w:unhideWhenUsed/>
    <w:qFormat/>
    <w:pPr>
      <w:spacing w:after="0" w:line="240" w:lineRule="auto"/>
    </w:pPr>
    <w:rPr>
      <w:sz w:val="20"/>
    </w:rPr>
  </w:style>
  <w:style w:type="paragraph" w:styleId="738">
    <w:name w:val="Balloon Text"/>
    <w:basedOn w:val="714"/>
    <w:link w:val="919"/>
    <w:uiPriority w:val="0"/>
    <w:qFormat/>
    <w:rPr>
      <w:sz w:val="18"/>
      <w:szCs w:val="18"/>
    </w:rPr>
  </w:style>
  <w:style w:type="paragraph" w:styleId="739">
    <w:name w:val="Footer"/>
    <w:basedOn w:val="714"/>
    <w:uiPriority w:val="99"/>
    <w:unhideWhenUsed/>
    <w:qFormat/>
    <w:pPr>
      <w:jc w:val="left"/>
      <w:tabs>
        <w:tab w:val="center" w:pos="4153" w:leader="none"/>
        <w:tab w:val="right" w:pos="8306" w:leader="none"/>
      </w:tabs>
    </w:pPr>
    <w:rPr>
      <w:sz w:val="18"/>
      <w:szCs w:val="18"/>
    </w:rPr>
  </w:style>
  <w:style w:type="paragraph" w:styleId="740">
    <w:name w:val="envelope return"/>
    <w:basedOn w:val="714"/>
    <w:uiPriority w:val="99"/>
    <w:unhideWhenUsed/>
    <w:qFormat/>
    <w:rPr>
      <w:rFonts w:ascii="Arial" w:hAnsi="Arial"/>
    </w:rPr>
  </w:style>
  <w:style w:type="paragraph" w:styleId="741">
    <w:name w:val="Header"/>
    <w:basedOn w:val="71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42">
    <w:name w:val="toc 1"/>
    <w:basedOn w:val="714"/>
    <w:next w:val="714"/>
    <w:uiPriority w:val="39"/>
    <w:unhideWhenUsed/>
    <w:qFormat/>
  </w:style>
  <w:style w:type="paragraph" w:styleId="743">
    <w:name w:val="toc 4"/>
    <w:basedOn w:val="714"/>
    <w:next w:val="714"/>
    <w:uiPriority w:val="39"/>
    <w:unhideWhenUsed/>
    <w:qFormat/>
    <w:pPr>
      <w:ind w:left="850" w:right="0" w:firstLine="0"/>
      <w:spacing w:after="57"/>
    </w:pPr>
  </w:style>
  <w:style w:type="paragraph" w:styleId="744">
    <w:name w:val="Subtitle"/>
    <w:basedOn w:val="714"/>
    <w:next w:val="714"/>
    <w:link w:val="773"/>
    <w:uiPriority w:val="11"/>
    <w:qFormat/>
    <w:pPr>
      <w:spacing w:before="200" w:after="200"/>
    </w:pPr>
    <w:rPr>
      <w:sz w:val="24"/>
      <w:szCs w:val="24"/>
    </w:rPr>
  </w:style>
  <w:style w:type="paragraph" w:styleId="745">
    <w:name w:val="footnote text"/>
    <w:basedOn w:val="714"/>
    <w:link w:val="906"/>
    <w:uiPriority w:val="99"/>
    <w:semiHidden/>
    <w:unhideWhenUsed/>
    <w:qFormat/>
    <w:pPr>
      <w:spacing w:after="40" w:line="240" w:lineRule="auto"/>
    </w:pPr>
    <w:rPr>
      <w:sz w:val="18"/>
    </w:rPr>
  </w:style>
  <w:style w:type="paragraph" w:styleId="746">
    <w:name w:val="toc 6"/>
    <w:basedOn w:val="714"/>
    <w:next w:val="714"/>
    <w:uiPriority w:val="39"/>
    <w:unhideWhenUsed/>
    <w:qFormat/>
    <w:pPr>
      <w:ind w:left="1417" w:right="0" w:firstLine="0"/>
      <w:spacing w:after="57"/>
    </w:pPr>
  </w:style>
  <w:style w:type="paragraph" w:styleId="747">
    <w:name w:val="table of figures"/>
    <w:basedOn w:val="714"/>
    <w:next w:val="714"/>
    <w:uiPriority w:val="99"/>
    <w:unhideWhenUsed/>
    <w:qFormat/>
    <w:pPr>
      <w:spacing w:after="0" w:afterAutospacing="0"/>
    </w:pPr>
  </w:style>
  <w:style w:type="paragraph" w:styleId="748">
    <w:name w:val="toc 2"/>
    <w:basedOn w:val="714"/>
    <w:next w:val="714"/>
    <w:uiPriority w:val="0"/>
    <w:qFormat/>
    <w:pPr>
      <w:ind w:left="420"/>
    </w:pPr>
  </w:style>
  <w:style w:type="paragraph" w:styleId="749">
    <w:name w:val="toc 9"/>
    <w:basedOn w:val="714"/>
    <w:next w:val="714"/>
    <w:uiPriority w:val="39"/>
    <w:unhideWhenUsed/>
    <w:qFormat/>
    <w:pPr>
      <w:ind w:left="2268" w:right="0" w:firstLine="0"/>
      <w:spacing w:after="57"/>
    </w:pPr>
  </w:style>
  <w:style w:type="paragraph" w:styleId="750">
    <w:name w:val="Body Text 2"/>
    <w:basedOn w:val="714"/>
    <w:uiPriority w:val="0"/>
    <w:qFormat/>
    <w:pPr>
      <w:spacing w:after="120" w:line="480" w:lineRule="auto"/>
    </w:pPr>
  </w:style>
  <w:style w:type="paragraph" w:styleId="751">
    <w:name w:val="Message Header"/>
    <w:basedOn w:val="714"/>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52">
    <w:name w:val="Normal (Web)"/>
    <w:basedOn w:val="714"/>
    <w:uiPriority w:val="0"/>
    <w:qFormat/>
    <w:rPr>
      <w:rFonts w:ascii="Times New Roman" w:hAnsi="Times New Roman"/>
      <w:sz w:val="24"/>
    </w:rPr>
  </w:style>
  <w:style w:type="paragraph" w:styleId="753">
    <w:name w:val="Title"/>
    <w:basedOn w:val="714"/>
    <w:next w:val="714"/>
    <w:link w:val="772"/>
    <w:uiPriority w:val="10"/>
    <w:qFormat/>
    <w:pPr>
      <w:contextualSpacing/>
      <w:spacing w:before="300" w:after="200"/>
    </w:pPr>
    <w:rPr>
      <w:sz w:val="48"/>
      <w:szCs w:val="48"/>
    </w:rPr>
  </w:style>
  <w:style w:type="paragraph" w:styleId="754">
    <w:name w:val="annotation subject"/>
    <w:basedOn w:val="729"/>
    <w:next w:val="729"/>
    <w:link w:val="929"/>
    <w:uiPriority w:val="0"/>
    <w:qFormat/>
    <w:rPr>
      <w:b/>
      <w:bCs/>
    </w:rPr>
  </w:style>
  <w:style w:type="paragraph" w:styleId="755">
    <w:name w:val="Body Text First Indent 2"/>
    <w:basedOn w:val="731"/>
    <w:uiPriority w:val="0"/>
    <w:qFormat/>
    <w:pPr>
      <w:ind w:firstLine="420"/>
      <w:spacing w:before="100" w:beforeAutospacing="1"/>
    </w:pPr>
    <w:rPr>
      <w:rFonts w:ascii="Times New Roman" w:hAnsi="Times New Roman" w:eastAsia="宋体"/>
      <w:sz w:val="20"/>
      <w:szCs w:val="21"/>
    </w:rPr>
  </w:style>
  <w:style w:type="table" w:styleId="756">
    <w:name w:val="Table Grid"/>
    <w:basedOn w:val="72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7">
    <w:name w:val="Strong"/>
    <w:uiPriority w:val="0"/>
    <w:qFormat/>
    <w:rPr>
      <w:b/>
    </w:rPr>
  </w:style>
  <w:style w:type="character" w:styleId="758">
    <w:name w:val="endnote reference"/>
    <w:basedOn w:val="724"/>
    <w:uiPriority w:val="99"/>
    <w:semiHidden/>
    <w:unhideWhenUsed/>
    <w:qFormat/>
    <w:rPr>
      <w:vertAlign w:val="superscript"/>
    </w:rPr>
  </w:style>
  <w:style w:type="character" w:styleId="759">
    <w:name w:val="Emphasis"/>
    <w:uiPriority w:val="0"/>
    <w:qFormat/>
    <w:rPr>
      <w:i/>
    </w:rPr>
  </w:style>
  <w:style w:type="character" w:styleId="760">
    <w:name w:val="Hyperlink"/>
    <w:basedOn w:val="724"/>
    <w:uiPriority w:val="0"/>
    <w:qFormat/>
    <w:rPr>
      <w:color w:val="0000ff"/>
      <w:u w:val="single"/>
    </w:rPr>
  </w:style>
  <w:style w:type="character" w:styleId="761">
    <w:name w:val="annotation reference"/>
    <w:basedOn w:val="724"/>
    <w:uiPriority w:val="0"/>
    <w:qFormat/>
    <w:rPr>
      <w:sz w:val="21"/>
      <w:szCs w:val="21"/>
    </w:rPr>
  </w:style>
  <w:style w:type="character" w:styleId="762">
    <w:name w:val="footnote reference"/>
    <w:basedOn w:val="724"/>
    <w:uiPriority w:val="99"/>
    <w:unhideWhenUsed/>
    <w:qFormat/>
    <w:rPr>
      <w:vertAlign w:val="superscript"/>
    </w:rPr>
  </w:style>
  <w:style w:type="character" w:styleId="763" w:customStyle="1">
    <w:name w:val="Heading 1 Char"/>
    <w:basedOn w:val="724"/>
    <w:uiPriority w:val="9"/>
    <w:qFormat/>
    <w:rPr>
      <w:rFonts w:ascii="Arial" w:hAnsi="Arial" w:eastAsia="Arial" w:cs="Arial"/>
      <w:sz w:val="40"/>
      <w:szCs w:val="40"/>
    </w:rPr>
  </w:style>
  <w:style w:type="character" w:styleId="764" w:customStyle="1">
    <w:name w:val="Heading 2 Char"/>
    <w:basedOn w:val="724"/>
    <w:uiPriority w:val="9"/>
    <w:qFormat/>
    <w:rPr>
      <w:rFonts w:ascii="Arial" w:hAnsi="Arial" w:eastAsia="Arial" w:cs="Arial"/>
      <w:sz w:val="34"/>
    </w:rPr>
  </w:style>
  <w:style w:type="character" w:styleId="765" w:customStyle="1">
    <w:name w:val="Heading 3 Char"/>
    <w:basedOn w:val="724"/>
    <w:uiPriority w:val="9"/>
    <w:qFormat/>
    <w:rPr>
      <w:rFonts w:ascii="Arial" w:hAnsi="Arial" w:eastAsia="Arial" w:cs="Arial"/>
      <w:sz w:val="30"/>
      <w:szCs w:val="30"/>
    </w:rPr>
  </w:style>
  <w:style w:type="character" w:styleId="766" w:customStyle="1">
    <w:name w:val="Heading 4 Char"/>
    <w:basedOn w:val="724"/>
    <w:link w:val="718"/>
    <w:uiPriority w:val="9"/>
    <w:qFormat/>
    <w:rPr>
      <w:rFonts w:ascii="Arial" w:hAnsi="Arial" w:eastAsia="Arial" w:cs="Arial"/>
      <w:b/>
      <w:bCs/>
      <w:sz w:val="26"/>
      <w:szCs w:val="26"/>
    </w:rPr>
  </w:style>
  <w:style w:type="character" w:styleId="767" w:customStyle="1">
    <w:name w:val="Heading 5 Char"/>
    <w:basedOn w:val="724"/>
    <w:link w:val="719"/>
    <w:uiPriority w:val="9"/>
    <w:qFormat/>
    <w:rPr>
      <w:rFonts w:ascii="Arial" w:hAnsi="Arial" w:eastAsia="Arial" w:cs="Arial"/>
      <w:b/>
      <w:bCs/>
      <w:sz w:val="24"/>
      <w:szCs w:val="24"/>
    </w:rPr>
  </w:style>
  <w:style w:type="character" w:styleId="768" w:customStyle="1">
    <w:name w:val="Heading 6 Char"/>
    <w:basedOn w:val="724"/>
    <w:link w:val="720"/>
    <w:uiPriority w:val="9"/>
    <w:qFormat/>
    <w:rPr>
      <w:rFonts w:ascii="Arial" w:hAnsi="Arial" w:eastAsia="Arial" w:cs="Arial"/>
      <w:b/>
      <w:bCs/>
      <w:sz w:val="22"/>
      <w:szCs w:val="22"/>
    </w:rPr>
  </w:style>
  <w:style w:type="character" w:styleId="769" w:customStyle="1">
    <w:name w:val="Heading 7 Char"/>
    <w:basedOn w:val="724"/>
    <w:link w:val="721"/>
    <w:uiPriority w:val="9"/>
    <w:qFormat/>
    <w:rPr>
      <w:rFonts w:ascii="Arial" w:hAnsi="Arial" w:eastAsia="Arial" w:cs="Arial"/>
      <w:b/>
      <w:bCs/>
      <w:i/>
      <w:iCs/>
      <w:sz w:val="22"/>
      <w:szCs w:val="22"/>
    </w:rPr>
  </w:style>
  <w:style w:type="character" w:styleId="770" w:customStyle="1">
    <w:name w:val="Heading 8 Char"/>
    <w:basedOn w:val="724"/>
    <w:link w:val="722"/>
    <w:uiPriority w:val="9"/>
    <w:qFormat/>
    <w:rPr>
      <w:rFonts w:ascii="Arial" w:hAnsi="Arial" w:eastAsia="Arial" w:cs="Arial"/>
      <w:i/>
      <w:iCs/>
      <w:sz w:val="22"/>
      <w:szCs w:val="22"/>
    </w:rPr>
  </w:style>
  <w:style w:type="character" w:styleId="771" w:customStyle="1">
    <w:name w:val="Heading 9 Char"/>
    <w:basedOn w:val="724"/>
    <w:link w:val="723"/>
    <w:uiPriority w:val="9"/>
    <w:qFormat/>
    <w:rPr>
      <w:rFonts w:ascii="Arial" w:hAnsi="Arial" w:eastAsia="Arial" w:cs="Arial"/>
      <w:i/>
      <w:iCs/>
      <w:sz w:val="21"/>
      <w:szCs w:val="21"/>
    </w:rPr>
  </w:style>
  <w:style w:type="character" w:styleId="772" w:customStyle="1">
    <w:name w:val="Title Char"/>
    <w:basedOn w:val="724"/>
    <w:link w:val="753"/>
    <w:uiPriority w:val="10"/>
    <w:qFormat/>
    <w:rPr>
      <w:sz w:val="48"/>
      <w:szCs w:val="48"/>
    </w:rPr>
  </w:style>
  <w:style w:type="character" w:styleId="773" w:customStyle="1">
    <w:name w:val="Subtitle Char"/>
    <w:basedOn w:val="724"/>
    <w:link w:val="744"/>
    <w:uiPriority w:val="11"/>
    <w:qFormat/>
    <w:rPr>
      <w:sz w:val="24"/>
      <w:szCs w:val="24"/>
    </w:rPr>
  </w:style>
  <w:style w:type="paragraph" w:styleId="774">
    <w:name w:val="Quote"/>
    <w:basedOn w:val="714"/>
    <w:next w:val="714"/>
    <w:link w:val="775"/>
    <w:uiPriority w:val="29"/>
    <w:qFormat/>
    <w:pPr>
      <w:ind w:left="720" w:right="720"/>
    </w:pPr>
    <w:rPr>
      <w:i/>
    </w:rPr>
  </w:style>
  <w:style w:type="character" w:styleId="775" w:customStyle="1">
    <w:name w:val="Quote Char"/>
    <w:link w:val="774"/>
    <w:uiPriority w:val="29"/>
    <w:qFormat/>
    <w:rPr>
      <w:i/>
    </w:rPr>
  </w:style>
  <w:style w:type="paragraph" w:styleId="776">
    <w:name w:val="Intense Quote"/>
    <w:basedOn w:val="714"/>
    <w:next w:val="714"/>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Intense Quote Char"/>
    <w:link w:val="776"/>
    <w:uiPriority w:val="30"/>
    <w:qFormat/>
    <w:rPr>
      <w:i/>
    </w:rPr>
  </w:style>
  <w:style w:type="character" w:styleId="778" w:customStyle="1">
    <w:name w:val="Header Char"/>
    <w:basedOn w:val="724"/>
    <w:uiPriority w:val="99"/>
    <w:qFormat/>
  </w:style>
  <w:style w:type="character" w:styleId="779" w:customStyle="1">
    <w:name w:val="Footer Char"/>
    <w:basedOn w:val="724"/>
    <w:uiPriority w:val="99"/>
    <w:qFormat/>
  </w:style>
  <w:style w:type="character" w:styleId="780" w:customStyle="1">
    <w:name w:val="Caption Char"/>
    <w:uiPriority w:val="99"/>
    <w:qFormat/>
  </w:style>
  <w:style w:type="table" w:styleId="781" w:customStyle="1">
    <w:name w:val="Table Grid Light"/>
    <w:basedOn w:val="7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2" w:customStyle="1">
    <w:name w:val="Plain Table 1"/>
    <w:basedOn w:val="7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2"/>
    <w:basedOn w:val="72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3"/>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Plain Table 4"/>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Plain Table 5"/>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Grid Table 1 Light"/>
    <w:basedOn w:val="72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1"/>
    <w:basedOn w:val="72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2"/>
    <w:basedOn w:val="72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3"/>
    <w:basedOn w:val="72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4"/>
    <w:basedOn w:val="72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5"/>
    <w:basedOn w:val="72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6"/>
    <w:basedOn w:val="72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4" w:customStyle="1">
    <w:name w:val="Grid Table 2"/>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Grid Table 2 - Accent 1"/>
    <w:basedOn w:val="72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6" w:customStyle="1">
    <w:name w:val="Grid Table 2 - Accent 2"/>
    <w:basedOn w:val="72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7" w:customStyle="1">
    <w:name w:val="Grid Table 2 - Accent 3"/>
    <w:basedOn w:val="72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8" w:customStyle="1">
    <w:name w:val="Grid Table 2 - Accent 4"/>
    <w:basedOn w:val="72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9" w:customStyle="1">
    <w:name w:val="Grid Table 2 - Accent 5"/>
    <w:basedOn w:val="72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0" w:customStyle="1">
    <w:name w:val="Grid Table 2 - Accent 6"/>
    <w:basedOn w:val="72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1" w:customStyle="1">
    <w:name w:val="Grid Table 3"/>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1"/>
    <w:basedOn w:val="72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2"/>
    <w:basedOn w:val="72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3"/>
    <w:basedOn w:val="72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4"/>
    <w:basedOn w:val="72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5"/>
    <w:basedOn w:val="72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6"/>
    <w:basedOn w:val="72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4"/>
    <w:basedOn w:val="72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Grid Table 4 - Accent 1"/>
    <w:basedOn w:val="72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0" w:customStyle="1">
    <w:name w:val="Grid Table 4 - Accent 2"/>
    <w:basedOn w:val="72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1" w:customStyle="1">
    <w:name w:val="Grid Table 4 - Accent 3"/>
    <w:basedOn w:val="72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2" w:customStyle="1">
    <w:name w:val="Grid Table 4 - Accent 4"/>
    <w:basedOn w:val="72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3" w:customStyle="1">
    <w:name w:val="Grid Table 4 - Accent 5"/>
    <w:basedOn w:val="72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4" w:customStyle="1">
    <w:name w:val="Grid Table 4 - Accent 6"/>
    <w:basedOn w:val="72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5" w:customStyle="1">
    <w:name w:val="Grid Table 5 Dark"/>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5 Dark- Accent 1"/>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7" w:customStyle="1">
    <w:name w:val="Grid Table 5 Dark - Accent 2"/>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8" w:customStyle="1">
    <w:name w:val="Grid Table 5 Dark - Accent 3"/>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9" w:customStyle="1">
    <w:name w:val="Grid Table 5 Dark- Accent 4"/>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0" w:customStyle="1">
    <w:name w:val="Grid Table 5 Dark - Accent 5"/>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1" w:customStyle="1">
    <w:name w:val="Grid Table 5 Dark - Accent 6"/>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2" w:customStyle="1">
    <w:name w:val="Grid Table 6 Colorful"/>
    <w:basedOn w:val="72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3" w:customStyle="1">
    <w:name w:val="Grid Table 6 Colorful - Accent 1"/>
    <w:basedOn w:val="72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4" w:customStyle="1">
    <w:name w:val="Grid Table 6 Colorful - Accent 2"/>
    <w:basedOn w:val="72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5" w:customStyle="1">
    <w:name w:val="Grid Table 6 Colorful - Accent 3"/>
    <w:basedOn w:val="72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26" w:customStyle="1">
    <w:name w:val="Grid Table 6 Colorful - Accent 4"/>
    <w:basedOn w:val="72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7" w:customStyle="1">
    <w:name w:val="Grid Table 6 Colorful - Accent 5"/>
    <w:basedOn w:val="72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8" w:customStyle="1">
    <w:name w:val="Grid Table 6 Colorful - Accent 6"/>
    <w:basedOn w:val="72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9" w:customStyle="1">
    <w:name w:val="Grid Table 7 Colorful"/>
    <w:basedOn w:val="72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Grid Table 7 Colorful - Accent 1"/>
    <w:basedOn w:val="725"/>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1" w:customStyle="1">
    <w:name w:val="Grid Table 7 Colorful - Accent 2"/>
    <w:basedOn w:val="72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2" w:customStyle="1">
    <w:name w:val="Grid Table 7 Colorful - Accent 3"/>
    <w:basedOn w:val="72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3" w:customStyle="1">
    <w:name w:val="Grid Table 7 Colorful - Accent 4"/>
    <w:basedOn w:val="72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4" w:customStyle="1">
    <w:name w:val="Grid Table 7 Colorful - Accent 5"/>
    <w:basedOn w:val="72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5" w:customStyle="1">
    <w:name w:val="Grid Table 7 Colorful - Accent 6"/>
    <w:basedOn w:val="72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6" w:customStyle="1">
    <w:name w:val="List Table 1 Light"/>
    <w:basedOn w:val="72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List Table 1 Light - Accent 1"/>
    <w:basedOn w:val="725"/>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8" w:customStyle="1">
    <w:name w:val="List Table 1 Light - Accent 2"/>
    <w:basedOn w:val="72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9" w:customStyle="1">
    <w:name w:val="List Table 1 Light - Accent 3"/>
    <w:basedOn w:val="72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0" w:customStyle="1">
    <w:name w:val="List Table 1 Light - Accent 4"/>
    <w:basedOn w:val="72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1" w:customStyle="1">
    <w:name w:val="List Table 1 Light - Accent 5"/>
    <w:basedOn w:val="72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2" w:customStyle="1">
    <w:name w:val="List Table 1 Light - Accent 6"/>
    <w:basedOn w:val="72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3" w:customStyle="1">
    <w:name w:val="List Table 2"/>
    <w:basedOn w:val="72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List Table 2 - Accent 1"/>
    <w:basedOn w:val="725"/>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5" w:customStyle="1">
    <w:name w:val="List Table 2 - Accent 2"/>
    <w:basedOn w:val="72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6" w:customStyle="1">
    <w:name w:val="List Table 2 - Accent 3"/>
    <w:basedOn w:val="72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7" w:customStyle="1">
    <w:name w:val="List Table 2 - Accent 4"/>
    <w:basedOn w:val="72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8" w:customStyle="1">
    <w:name w:val="List Table 2 - Accent 5"/>
    <w:basedOn w:val="72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9" w:customStyle="1">
    <w:name w:val="List Table 2 - Accent 6"/>
    <w:basedOn w:val="72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0" w:customStyle="1">
    <w:name w:val="List Table 3"/>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3 - Accent 1"/>
    <w:basedOn w:val="725"/>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2" w:customStyle="1">
    <w:name w:val="List Table 3 - Accent 2"/>
    <w:basedOn w:val="72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3" w:customStyle="1">
    <w:name w:val="List Table 3 - Accent 3"/>
    <w:basedOn w:val="72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4" w:customStyle="1">
    <w:name w:val="List Table 3 - Accent 4"/>
    <w:basedOn w:val="72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5" w:customStyle="1">
    <w:name w:val="List Table 3 - Accent 5"/>
    <w:basedOn w:val="725"/>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6" w:customStyle="1">
    <w:name w:val="List Table 3 - Accent 6"/>
    <w:basedOn w:val="72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7" w:customStyle="1">
    <w:name w:val="List Table 4"/>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4 - Accent 1"/>
    <w:basedOn w:val="725"/>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9" w:customStyle="1">
    <w:name w:val="List Table 4 - Accent 2"/>
    <w:basedOn w:val="72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0" w:customStyle="1">
    <w:name w:val="List Table 4 - Accent 3"/>
    <w:basedOn w:val="72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1" w:customStyle="1">
    <w:name w:val="List Table 4 - Accent 4"/>
    <w:basedOn w:val="72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2" w:customStyle="1">
    <w:name w:val="List Table 4 - Accent 5"/>
    <w:basedOn w:val="72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3" w:customStyle="1">
    <w:name w:val="List Table 4 - Accent 6"/>
    <w:basedOn w:val="72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4" w:customStyle="1">
    <w:name w:val="List Table 5 Dark"/>
    <w:basedOn w:val="72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1"/>
    <w:basedOn w:val="725"/>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2"/>
    <w:basedOn w:val="72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3"/>
    <w:basedOn w:val="72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4"/>
    <w:basedOn w:val="72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5"/>
    <w:basedOn w:val="72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6"/>
    <w:basedOn w:val="72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6 Colorful"/>
    <w:basedOn w:val="72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2" w:customStyle="1">
    <w:name w:val="List Table 6 Colorful - Accent 1"/>
    <w:basedOn w:val="725"/>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3" w:customStyle="1">
    <w:name w:val="List Table 6 Colorful - Accent 2"/>
    <w:basedOn w:val="72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4" w:customStyle="1">
    <w:name w:val="List Table 6 Colorful - Accent 3"/>
    <w:basedOn w:val="72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5" w:customStyle="1">
    <w:name w:val="List Table 6 Colorful - Accent 4"/>
    <w:basedOn w:val="72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6" w:customStyle="1">
    <w:name w:val="List Table 6 Colorful - Accent 5"/>
    <w:basedOn w:val="72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7" w:customStyle="1">
    <w:name w:val="List Table 6 Colorful - Accent 6"/>
    <w:basedOn w:val="72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8" w:customStyle="1">
    <w:name w:val="List Table 7 Colorful"/>
    <w:basedOn w:val="72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List Table 7 Colorful - Accent 1"/>
    <w:basedOn w:val="725"/>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0" w:customStyle="1">
    <w:name w:val="List Table 7 Colorful - Accent 2"/>
    <w:basedOn w:val="72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1" w:customStyle="1">
    <w:name w:val="List Table 7 Colorful - Accent 3"/>
    <w:basedOn w:val="72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2" w:customStyle="1">
    <w:name w:val="List Table 7 Colorful - Accent 4"/>
    <w:basedOn w:val="72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3" w:customStyle="1">
    <w:name w:val="List Table 7 Colorful - Accent 5"/>
    <w:basedOn w:val="725"/>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4" w:customStyle="1">
    <w:name w:val="List Table 7 Colorful - Accent 6"/>
    <w:basedOn w:val="72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5" w:customStyle="1">
    <w:name w:val="Lined - Accent"/>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Lined - Accent 1"/>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7" w:customStyle="1">
    <w:name w:val="Lined - Accent 2"/>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8" w:customStyle="1">
    <w:name w:val="Lined - Accent 3"/>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9" w:customStyle="1">
    <w:name w:val="Lined - Accent 4"/>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0" w:customStyle="1">
    <w:name w:val="Lined - Accent 5"/>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1" w:customStyle="1">
    <w:name w:val="Lined - Accent 6"/>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2" w:customStyle="1">
    <w:name w:val="Bordered &amp; Lined - Accent"/>
    <w:basedOn w:val="72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Bordered &amp; Lined - Accent 1"/>
    <w:basedOn w:val="725"/>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4" w:customStyle="1">
    <w:name w:val="Bordered &amp; Lined - Accent 2"/>
    <w:basedOn w:val="72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5" w:customStyle="1">
    <w:name w:val="Bordered &amp; Lined - Accent 3"/>
    <w:basedOn w:val="72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6" w:customStyle="1">
    <w:name w:val="Bordered &amp; Lined - Accent 4"/>
    <w:basedOn w:val="72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7" w:customStyle="1">
    <w:name w:val="Bordered &amp; Lined - Accent 5"/>
    <w:basedOn w:val="72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8" w:customStyle="1">
    <w:name w:val="Bordered &amp; Lined - Accent 6"/>
    <w:basedOn w:val="72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9" w:customStyle="1">
    <w:name w:val="Bordered"/>
    <w:basedOn w:val="72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0" w:customStyle="1">
    <w:name w:val="Bordered - Accent 1"/>
    <w:basedOn w:val="72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1" w:customStyle="1">
    <w:name w:val="Bordered - Accent 2"/>
    <w:basedOn w:val="72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2" w:customStyle="1">
    <w:name w:val="Bordered - Accent 3"/>
    <w:basedOn w:val="72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3" w:customStyle="1">
    <w:name w:val="Bordered - Accent 4"/>
    <w:basedOn w:val="72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4" w:customStyle="1">
    <w:name w:val="Bordered - Accent 5"/>
    <w:basedOn w:val="72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5" w:customStyle="1">
    <w:name w:val="Bordered - Accent 6"/>
    <w:basedOn w:val="72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6" w:customStyle="1">
    <w:name w:val="Footnote Text Char"/>
    <w:link w:val="745"/>
    <w:uiPriority w:val="99"/>
    <w:qFormat/>
    <w:rPr>
      <w:sz w:val="18"/>
    </w:rPr>
  </w:style>
  <w:style w:type="character" w:styleId="907" w:customStyle="1">
    <w:name w:val="Endnote Text Char"/>
    <w:link w:val="737"/>
    <w:uiPriority w:val="99"/>
    <w:qFormat/>
    <w:rPr>
      <w:sz w:val="20"/>
    </w:rPr>
  </w:style>
  <w:style w:type="paragraph" w:styleId="908" w:customStyle="1">
    <w:name w:val="TOC Heading"/>
    <w:uiPriority w:val="39"/>
    <w:unhideWhenUsed/>
    <w:qFormat/>
    <w:rPr>
      <w:rFonts w:hint="default" w:ascii="Times New Roman" w:hAnsi="Times New Roman" w:eastAsia="宋体" w:cs="Times New Roman"/>
    </w:rPr>
  </w:style>
  <w:style w:type="paragraph" w:styleId="909" w:customStyle="1">
    <w:name w:val="首行缩进"/>
    <w:basedOn w:val="714"/>
    <w:uiPriority w:val="0"/>
    <w:qFormat/>
    <w:pPr>
      <w:ind w:firstLine="420"/>
      <w:spacing w:line="360" w:lineRule="auto"/>
    </w:pPr>
  </w:style>
  <w:style w:type="paragraph" w:styleId="910" w:customStyle="1">
    <w:name w:val="Default"/>
    <w:uiPriority w:val="0"/>
    <w:qFormat/>
    <w:pPr>
      <w:widowControl w:val="off"/>
    </w:pPr>
    <w:rPr>
      <w:rFonts w:hint="default" w:ascii="微软雅黑" w:hAnsi="Times New Roman" w:eastAsia="微软雅黑" w:cs="微软雅黑"/>
      <w:color w:val="000000"/>
      <w:sz w:val="24"/>
      <w:szCs w:val="24"/>
      <w:lang w:val="en-US" w:eastAsia="zh-CN" w:bidi="ar-SA"/>
    </w:rPr>
  </w:style>
  <w:style w:type="paragraph" w:styleId="911" w:customStyle="1">
    <w:name w:val="正文（缩进）"/>
    <w:basedOn w:val="714"/>
    <w:uiPriority w:val="0"/>
    <w:qFormat/>
    <w:pPr>
      <w:ind w:firstLine="480"/>
      <w:spacing w:before="156" w:after="156"/>
    </w:pPr>
  </w:style>
  <w:style w:type="paragraph" w:styleId="912" w:customStyle="1">
    <w:name w:val="正文1"/>
    <w:basedOn w:val="714"/>
    <w:next w:val="913"/>
    <w:uiPriority w:val="0"/>
    <w:qFormat/>
    <w:pPr>
      <w:jc w:val="left"/>
      <w:spacing w:line="360" w:lineRule="atLeast"/>
    </w:pPr>
    <w:rPr>
      <w:rFonts w:ascii="宋体" w:hAnsiTheme="minorHAnsi" w:eastAsiaTheme="minorEastAsia" w:cstheme="minorBidi"/>
      <w:sz w:val="24"/>
      <w:szCs w:val="20"/>
    </w:rPr>
  </w:style>
  <w:style w:type="paragraph" w:styleId="913" w:customStyle="1">
    <w:name w:val="正文文本1"/>
    <w:basedOn w:val="912"/>
    <w:next w:val="914"/>
    <w:uiPriority w:val="0"/>
    <w:qFormat/>
    <w:pPr>
      <w:spacing w:after="120"/>
    </w:pPr>
    <w:rPr>
      <w:lang w:eastAsia="en-US"/>
    </w:rPr>
  </w:style>
  <w:style w:type="paragraph" w:styleId="914" w:customStyle="1">
    <w:name w:val="一级条标题"/>
    <w:basedOn w:val="915"/>
    <w:next w:val="91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5" w:customStyle="1">
    <w:name w:val="章标题"/>
    <w:next w:val="71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16" w:customStyle="1">
    <w:name w:val="段"/>
    <w:basedOn w:val="912"/>
    <w:next w:val="714"/>
    <w:uiPriority w:val="0"/>
    <w:qFormat/>
    <w:pPr>
      <w:ind w:firstLine="200"/>
      <w:widowControl/>
    </w:pPr>
    <w:rPr>
      <w:sz w:val="20"/>
    </w:rPr>
  </w:style>
  <w:style w:type="paragraph" w:styleId="917" w:customStyle="1">
    <w:name w:val="普通正文"/>
    <w:basedOn w:val="714"/>
    <w:uiPriority w:val="0"/>
    <w:qFormat/>
    <w:pPr>
      <w:ind w:firstLine="480"/>
      <w:jc w:val="left"/>
      <w:spacing w:before="120" w:after="120" w:line="360" w:lineRule="auto"/>
    </w:pPr>
    <w:rPr>
      <w:rFonts w:ascii="Arial" w:hAnsi="Arial"/>
      <w:sz w:val="24"/>
      <w:szCs w:val="24"/>
    </w:rPr>
  </w:style>
  <w:style w:type="paragraph" w:styleId="918" w:customStyle="1">
    <w:name w:val="Char"/>
    <w:basedOn w:val="714"/>
    <w:uiPriority w:val="0"/>
    <w:qFormat/>
    <w:pPr>
      <w:ind w:firstLine="200"/>
      <w:tabs>
        <w:tab w:val="left" w:pos="360" w:leader="none"/>
      </w:tabs>
    </w:pPr>
    <w:rPr>
      <w:rFonts w:ascii="Times New Roman" w:hAnsi="Times New Roman"/>
      <w:sz w:val="28"/>
      <w:szCs w:val="30"/>
    </w:rPr>
  </w:style>
  <w:style w:type="character" w:styleId="919" w:customStyle="1">
    <w:name w:val="批注框文本 字符"/>
    <w:basedOn w:val="724"/>
    <w:link w:val="738"/>
    <w:uiPriority w:val="0"/>
    <w:qFormat/>
    <w:rPr>
      <w:sz w:val="18"/>
      <w:szCs w:val="18"/>
    </w:rPr>
  </w:style>
  <w:style w:type="paragraph" w:styleId="920" w:customStyle="1">
    <w:name w:val="Table Paragraph"/>
    <w:basedOn w:val="714"/>
    <w:uiPriority w:val="1"/>
    <w:qFormat/>
    <w:rPr>
      <w:rFonts w:ascii="Noto Sans CJK JP Regular" w:hAnsi="Noto Sans CJK JP Regular" w:eastAsia="Noto Sans CJK JP Regular" w:cs="Noto Sans CJK JP Regular"/>
    </w:rPr>
  </w:style>
  <w:style w:type="paragraph" w:styleId="921" w:customStyle="1">
    <w:name w:val="正文（1）"/>
    <w:basedOn w:val="714"/>
    <w:uiPriority w:val="0"/>
    <w:qFormat/>
    <w:pPr>
      <w:numPr>
        <w:ilvl w:val="0"/>
        <w:numId w:val="1"/>
      </w:numPr>
      <w:ind w:firstLine="200"/>
    </w:pPr>
    <w:rPr>
      <w:szCs w:val="24"/>
    </w:rPr>
  </w:style>
  <w:style w:type="paragraph" w:styleId="922" w:customStyle="1">
    <w:name w:val="朱-正文"/>
    <w:basedOn w:val="714"/>
    <w:uiPriority w:val="0"/>
    <w:qFormat/>
    <w:pPr>
      <w:ind w:firstLine="200"/>
    </w:pPr>
    <w:rPr>
      <w:rFonts w:ascii="Times New Roman"/>
      <w:color w:val="000000"/>
      <w:szCs w:val="24"/>
      <w:lang w:val="en-GB"/>
    </w:rPr>
  </w:style>
  <w:style w:type="paragraph" w:styleId="923" w:customStyle="1">
    <w:name w:val="GP正文(首行缩进)"/>
    <w:basedOn w:val="714"/>
    <w:uiPriority w:val="0"/>
    <w:qFormat/>
    <w:pPr>
      <w:ind w:firstLine="480"/>
      <w:jc w:val="left"/>
    </w:pPr>
    <w:rPr>
      <w:rFonts w:ascii="Times New Roman" w:hAnsi="宋体"/>
      <w:sz w:val="24"/>
      <w:szCs w:val="24"/>
    </w:rPr>
  </w:style>
  <w:style w:type="character" w:styleId="924" w:customStyle="1">
    <w:name w:val="font71"/>
    <w:basedOn w:val="724"/>
    <w:uiPriority w:val="0"/>
    <w:qFormat/>
    <w:rPr>
      <w:rFonts w:hint="eastAsia" w:ascii="宋体" w:hAnsi="宋体" w:eastAsia="宋体" w:cs="宋体"/>
      <w:color w:val="ff0000"/>
      <w:sz w:val="21"/>
      <w:szCs w:val="21"/>
      <w:u w:val="none"/>
    </w:rPr>
  </w:style>
  <w:style w:type="character" w:styleId="925" w:customStyle="1">
    <w:name w:val="font41"/>
    <w:basedOn w:val="724"/>
    <w:uiPriority w:val="0"/>
    <w:qFormat/>
    <w:rPr>
      <w:rFonts w:hint="eastAsia" w:ascii="宋体" w:hAnsi="宋体" w:eastAsia="宋体" w:cs="宋体"/>
      <w:color w:val="000000"/>
      <w:sz w:val="21"/>
      <w:szCs w:val="21"/>
      <w:u w:val="none"/>
    </w:rPr>
  </w:style>
  <w:style w:type="paragraph" w:styleId="926">
    <w:name w:val="List Paragraph"/>
    <w:basedOn w:val="714"/>
    <w:uiPriority w:val="0"/>
    <w:qFormat/>
    <w:pPr>
      <w:ind w:firstLine="420"/>
    </w:pPr>
  </w:style>
  <w:style w:type="paragraph" w:styleId="927" w:customStyle="1">
    <w:name w:val="列出段落2"/>
    <w:basedOn w:val="714"/>
    <w:uiPriority w:val="34"/>
    <w:qFormat/>
    <w:pPr>
      <w:ind w:firstLine="420"/>
    </w:pPr>
    <w:rPr>
      <w:rFonts w:ascii="宋体"/>
      <w:color w:val="404040"/>
    </w:rPr>
  </w:style>
  <w:style w:type="character" w:styleId="928" w:customStyle="1">
    <w:name w:val="批注文字 字符"/>
    <w:basedOn w:val="724"/>
    <w:link w:val="729"/>
    <w:uiPriority w:val="0"/>
    <w:qFormat/>
    <w:rPr>
      <w:rFonts w:ascii="Calibri" w:hAnsi="Calibri"/>
      <w:sz w:val="21"/>
      <w:szCs w:val="22"/>
    </w:rPr>
  </w:style>
  <w:style w:type="character" w:styleId="929" w:customStyle="1">
    <w:name w:val="批注主题 字符"/>
    <w:basedOn w:val="928"/>
    <w:link w:val="754"/>
    <w:uiPriority w:val="0"/>
    <w:qFormat/>
    <w:rPr>
      <w:rFonts w:ascii="Calibri" w:hAnsi="Calibri"/>
      <w:b/>
      <w:bCs/>
      <w:sz w:val="21"/>
      <w:szCs w:val="22"/>
    </w:rPr>
  </w:style>
  <w:style w:type="paragraph" w:styleId="930" w:customStyle="1">
    <w:name w:val="列表段落1"/>
    <w:basedOn w:val="714"/>
    <w:uiPriority w:val="0"/>
    <w:qFormat/>
    <w:pPr>
      <w:ind w:firstLine="200"/>
    </w:pPr>
    <w:rPr>
      <w:rFonts w:cs="宋体"/>
    </w:rPr>
  </w:style>
  <w:style w:type="character" w:styleId="931" w:customStyle="1">
    <w:name w:val="font51"/>
    <w:basedOn w:val="724"/>
    <w:uiPriority w:val="0"/>
    <w:qFormat/>
    <w:rPr>
      <w:rFonts w:hint="eastAsia" w:ascii="宋体" w:hAnsi="宋体" w:eastAsia="宋体" w:cs="宋体"/>
      <w:color w:val="000000"/>
      <w:sz w:val="24"/>
      <w:szCs w:val="24"/>
      <w:u w:val="none"/>
      <w:vertAlign w:val="subscript"/>
    </w:rPr>
  </w:style>
  <w:style w:type="character" w:styleId="932" w:customStyle="1">
    <w:name w:val="font61"/>
    <w:basedOn w:val="724"/>
    <w:uiPriority w:val="0"/>
    <w:qFormat/>
    <w:rPr>
      <w:rFonts w:hint="eastAsia" w:ascii="宋体" w:hAnsi="宋体" w:eastAsia="宋体" w:cs="宋体"/>
      <w:color w:val="000000"/>
      <w:sz w:val="24"/>
      <w:szCs w:val="24"/>
      <w:u w:val="none"/>
    </w:rPr>
  </w:style>
  <w:style w:type="character" w:styleId="933" w:customStyle="1">
    <w:name w:val="font01"/>
    <w:basedOn w:val="724"/>
    <w:uiPriority w:val="0"/>
    <w:qFormat/>
    <w:rPr>
      <w:rFonts w:hint="eastAsia" w:ascii="宋体" w:hAnsi="宋体" w:eastAsia="宋体" w:cs="宋体"/>
      <w:color w:val="000000"/>
      <w:sz w:val="24"/>
      <w:szCs w:val="24"/>
      <w:u w:val="none"/>
    </w:rPr>
  </w:style>
  <w:style w:type="character" w:styleId="934" w:customStyle="1">
    <w:name w:val="font81"/>
    <w:basedOn w:val="724"/>
    <w:uiPriority w:val="0"/>
    <w:qFormat/>
    <w:rPr>
      <w:rFonts w:ascii="微软雅黑" w:hAnsi="微软雅黑" w:eastAsia="微软雅黑" w:cs="微软雅黑"/>
      <w:color w:val="000000"/>
      <w:sz w:val="24"/>
      <w:szCs w:val="24"/>
      <w:u w:val="none"/>
    </w:rPr>
  </w:style>
  <w:style w:type="character" w:styleId="935" w:customStyle="1">
    <w:name w:val="font91"/>
    <w:basedOn w:val="724"/>
    <w:uiPriority w:val="0"/>
    <w:qFormat/>
    <w:rPr>
      <w:rFonts w:ascii="Segoe UI Symbol" w:hAnsi="Segoe UI Symbol" w:eastAsia="Segoe UI Symbol" w:cs="Segoe UI Symbol"/>
      <w:color w:val="000000"/>
      <w:sz w:val="24"/>
      <w:szCs w:val="24"/>
      <w:u w:val="none"/>
    </w:rPr>
  </w:style>
  <w:style w:type="character" w:styleId="936" w:customStyle="1">
    <w:name w:val="font101"/>
    <w:basedOn w:val="724"/>
    <w:uiPriority w:val="0"/>
    <w:qFormat/>
    <w:rPr>
      <w:rFonts w:ascii="Calibri" w:hAnsi="Calibri" w:cs="Calibri"/>
      <w:color w:val="000000"/>
      <w:sz w:val="24"/>
      <w:szCs w:val="24"/>
      <w:u w:val="none"/>
    </w:rPr>
  </w:style>
  <w:style w:type="paragraph" w:styleId="937" w:customStyle="1">
    <w:name w:val="TableItem"/>
    <w:uiPriority w:val="0"/>
    <w:qFormat/>
    <w:rPr>
      <w:rFonts w:hint="default" w:ascii="Verdana" w:hAnsi="Verdana" w:cs="Verdana" w:eastAsiaTheme="minorEastAsia"/>
      <w:b/>
      <w:bCs/>
      <w:color w:val="548235" w:themeColor="accent6" w:themeShade="BF"/>
      <w:spacing w:val="-10"/>
      <w:sz w:val="16"/>
      <w:szCs w:val="28"/>
      <w:lang w:val="en-US" w:eastAsia="zh-CN" w:bidi="ar-SA"/>
    </w:rPr>
  </w:style>
  <w:style w:type="paragraph" w:styleId="938" w:customStyle="1">
    <w:name w:val="TableEmphasis"/>
    <w:basedOn w:val="714"/>
    <w:uiPriority w:val="0"/>
    <w:qFormat/>
    <w:rPr>
      <w:rFonts w:ascii="Times New Roman" w:hAnsi="Times New Roman" w:eastAsia="Times New Roman"/>
      <w:b/>
      <w:bCs/>
      <w:color w:val="3333ff"/>
      <w:sz w:val="16"/>
      <w:szCs w:val="18"/>
    </w:rPr>
  </w:style>
  <w:style w:type="paragraph" w:styleId="939" w:customStyle="1">
    <w:name w:val="修订1"/>
    <w:hidden/>
    <w:uiPriority w:val="99"/>
    <w:unhideWhenUsed/>
    <w:qFormat/>
    <w:rPr>
      <w:rFonts w:hint="default" w:ascii="Calibri" w:hAnsi="Calibri" w:eastAsia="宋体" w:cs="Times New Roman"/>
      <w:sz w:val="21"/>
      <w:szCs w:val="22"/>
      <w:lang w:val="en-US" w:eastAsia="zh-CN" w:bidi="ar-SA"/>
    </w:rPr>
  </w:style>
  <w:style w:type="paragraph" w:styleId="940" w:customStyle="1">
    <w:name w:val="修订2"/>
    <w:hidden/>
    <w:uiPriority w:val="99"/>
    <w:semiHidden/>
    <w:qFormat/>
    <w:rPr>
      <w:rFonts w:hint="default" w:ascii="Calibri" w:hAnsi="Calibri" w:eastAsia="宋体" w:cs="Times New Roman"/>
      <w:sz w:val="21"/>
      <w:szCs w:val="22"/>
      <w:lang w:val="en-US" w:eastAsia="zh-CN" w:bidi="ar-SA"/>
    </w:rPr>
  </w:style>
  <w:style w:type="character" w:styleId="941" w:customStyle="1">
    <w:name w:val="font11"/>
    <w:basedOn w:val="724"/>
    <w:uiPriority w:val="0"/>
    <w:qFormat/>
    <w:rPr>
      <w:rFonts w:hint="eastAsia" w:ascii="宋体" w:hAnsi="宋体" w:eastAsia="宋体" w:cs="宋体"/>
      <w:color w:val="000000"/>
      <w:sz w:val="24"/>
      <w:szCs w:val="24"/>
      <w:u w:val="none"/>
    </w:rPr>
  </w:style>
  <w:style w:type="character" w:styleId="942" w:customStyle="1">
    <w:name w:val="font21"/>
    <w:basedOn w:val="724"/>
    <w:uiPriority w:val="0"/>
    <w:qFormat/>
    <w:rPr>
      <w:rFonts w:ascii="Segoe UI Symbol" w:hAnsi="Segoe UI Symbol" w:eastAsia="Segoe UI Symbol" w:cs="Segoe UI Symbol"/>
      <w:color w:val="000000"/>
      <w:sz w:val="24"/>
      <w:szCs w:val="24"/>
      <w:u w:val="none"/>
    </w:rPr>
  </w:style>
  <w:style w:type="character" w:styleId="943" w:customStyle="1">
    <w:name w:val="NormalCharacter"/>
    <w:uiPriority w:val="0"/>
    <w:semiHidden/>
    <w:qFormat/>
  </w:style>
  <w:style w:type="paragraph" w:styleId="944" w:customStyle="1">
    <w:name w:val="日期1"/>
    <w:basedOn w:val="714"/>
    <w:next w:val="714"/>
    <w:uiPriority w:val="0"/>
    <w:qFormat/>
    <w:pPr>
      <w:ind w:left="100"/>
    </w:pPr>
    <w:rPr>
      <w:rFonts w:ascii="Times New Roman" w:hAnsi="Times New Roman" w:eastAsia="楷体_GB2312"/>
      <w:b/>
      <w:bCs/>
      <w:sz w:val="32"/>
    </w:rPr>
  </w:style>
  <w:style w:type="paragraph" w:styleId="945" w:customStyle="1">
    <w:name w:val="正文文本缩进1"/>
    <w:basedOn w:val="714"/>
    <w:next w:val="714"/>
    <w:uiPriority w:val="0"/>
    <w:qFormat/>
    <w:pPr>
      <w:ind w:left="420"/>
      <w:spacing w:after="120"/>
    </w:pPr>
    <w:rPr>
      <w:rFonts w:ascii="Times New Roman" w:hAnsi="Times New Roman"/>
      <w:sz w:val="20"/>
      <w:szCs w:val="24"/>
    </w:rPr>
  </w:style>
  <w:style w:type="paragraph" w:styleId="946" w:customStyle="1">
    <w:name w:val="BodyText"/>
    <w:basedOn w:val="714"/>
    <w:uiPriority w:val="0"/>
    <w:qFormat/>
    <w:rPr>
      <w:rFonts w:ascii="楷体_GB2312" w:hAnsi="Arial" w:eastAsia="楷体_GB2312"/>
      <w:sz w:val="28"/>
      <w:szCs w:val="28"/>
    </w:rPr>
  </w:style>
  <w:style w:type="paragraph" w:styleId="947" w:customStyle="1">
    <w:name w:val="UserStyle_0"/>
    <w:basedOn w:val="714"/>
    <w:uiPriority w:val="0"/>
    <w:qFormat/>
    <w:pPr>
      <w:numPr>
        <w:ilvl w:val="0"/>
        <w:numId w:val="2"/>
      </w:numPr>
    </w:pPr>
  </w:style>
  <w:style w:type="character" w:styleId="948" w:customStyle="1">
    <w:name w:val="htd0"/>
    <w:uiPriority w:val="0"/>
    <w:qFormat/>
  </w:style>
  <w:style w:type="paragraph" w:styleId="949" w:customStyle="1">
    <w:name w:val="Normal_18"/>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950" w:customStyle="1">
    <w:name w:val="样式11"/>
    <w:basedOn w:val="715"/>
    <w:uiPriority w:val="0"/>
    <w:qFormat/>
    <w:pPr>
      <w:numPr>
        <w:ilvl w:val="0"/>
        <w:numId w:val="3"/>
      </w:numPr>
      <w:jc w:val="left"/>
      <w:spacing w:before="0" w:after="0"/>
    </w:pPr>
    <w:rPr>
      <w:rFonts w:ascii="黑体" w:hAnsi="黑体" w:eastAsia="黑体"/>
      <w:sz w:val="28"/>
      <w:szCs w:val="28"/>
      <w:lang w:val="zh-CN"/>
    </w:rPr>
  </w:style>
  <w:style w:type="paragraph" w:styleId="951" w:customStyle="1">
    <w:name w:val="样式12"/>
    <w:basedOn w:val="950"/>
    <w:uiPriority w:val="0"/>
    <w:qFormat/>
    <w:pPr>
      <w:numPr>
        <w:ilvl w:val="1"/>
      </w:numPr>
      <w:tabs>
        <w:tab w:val="left" w:pos="567" w:leader="none"/>
      </w:tabs>
      <w:outlineLvl w:val="1"/>
    </w:pPr>
  </w:style>
  <w:style w:type="paragraph" w:styleId="952" w:customStyle="1">
    <w:name w:val="表11"/>
    <w:basedOn w:val="714"/>
    <w:uiPriority w:val="0"/>
    <w:qFormat/>
    <w:pPr>
      <w:jc w:val="center"/>
      <w:tabs>
        <w:tab w:val="left" w:pos="4020" w:leader="none"/>
      </w:tabs>
    </w:pPr>
    <w:rPr>
      <w:rFonts w:ascii="黑体" w:hAnsi="黑体"/>
      <w:szCs w:val="24"/>
      <w:lang w:val="zh-CN"/>
    </w:rPr>
  </w:style>
  <w:style w:type="paragraph" w:styleId="953" w:customStyle="1">
    <w:name w:val="样式13"/>
    <w:basedOn w:val="951"/>
    <w:uiPriority w:val="0"/>
    <w:qFormat/>
    <w:pPr>
      <w:numPr>
        <w:ilvl w:val="2"/>
      </w:numPr>
      <w:ind w:left="510" w:hanging="170"/>
      <w:outlineLvl w:val="2"/>
    </w:pPr>
    <w:rPr>
      <w:sz w:val="24"/>
    </w:rPr>
  </w:style>
  <w:style w:type="paragraph" w:styleId="954">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55" w:customStyle="1">
    <w:name w:val="其他"/>
    <w:basedOn w:val="714"/>
    <w:uiPriority w:val="0"/>
    <w:qFormat/>
    <w:pPr>
      <w:spacing w:line="266" w:lineRule="exact"/>
      <w:shd w:val="clear" w:color="auto" w:fill="ffffff"/>
    </w:pPr>
    <w:rPr>
      <w:rFonts w:ascii="MingLiU" w:hAnsi="MingLiU" w:eastAsia="MingLiU" w:cs="MingLiU"/>
      <w:sz w:val="20"/>
      <w:szCs w:val="20"/>
      <w:lang w:val="zh-CN" w:bidi="zh-CN"/>
    </w:rPr>
  </w:style>
  <w:style w:type="paragraph" w:styleId="956" w:customStyle="1">
    <w:name w:val="Body text|1"/>
    <w:basedOn w:val="714"/>
    <w:uiPriority w:val="0"/>
    <w:qFormat/>
    <w:pPr>
      <w:spacing w:after="220"/>
    </w:pPr>
    <w:rPr>
      <w:rFonts w:cs="宋体"/>
      <w:sz w:val="22"/>
      <w:lang w:val="zh-TW" w:eastAsia="zh-TW" w:bidi="zh-TW"/>
    </w:rPr>
  </w:style>
  <w:style w:type="paragraph" w:styleId="957" w:customStyle="1">
    <w:name w:val="Other|1"/>
    <w:basedOn w:val="714"/>
    <w:uiPriority w:val="0"/>
    <w:qFormat/>
    <w:pPr>
      <w:jc w:val="center"/>
    </w:pPr>
    <w:rPr>
      <w:rFonts w:cs="宋体"/>
      <w:sz w:val="20"/>
      <w:szCs w:val="20"/>
      <w:lang w:val="zh-TW" w:eastAsia="zh-TW" w:bidi="zh-TW"/>
    </w:rPr>
  </w:style>
  <w:style w:type="paragraph" w:styleId="958" w:customStyle="1">
    <w:name w:val="Table Text"/>
    <w:basedOn w:val="714"/>
    <w:uiPriority w:val="0"/>
    <w:semiHidden/>
    <w:qFormat/>
    <w:rPr>
      <w:rFonts w:ascii="宋体" w:hAnsi="宋体" w:cs="宋体"/>
      <w:sz w:val="24"/>
      <w:szCs w:val="24"/>
      <w:lang w:eastAsia="en-US"/>
    </w:rPr>
  </w:style>
  <w:style w:type="paragraph" w:styleId="959" w:customStyle="1">
    <w:name w:val="表内文字居左"/>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960" w:customStyle="1">
    <w:name w:val="纯文本1"/>
    <w:basedOn w:val="714"/>
    <w:uiPriority w:val="99"/>
    <w:qFormat/>
    <w:rPr>
      <w:rFonts w:ascii="宋体" w:hAnsi="Courier New"/>
      <w:sz w:val="20"/>
      <w:szCs w:val="21"/>
    </w:rPr>
  </w:style>
  <w:style w:type="paragraph" w:styleId="961" w:customStyle="1">
    <w:name w:val="2"/>
    <w:next w:val="714"/>
    <w:uiPriority w:val="0"/>
    <w:qFormat/>
    <w:pPr>
      <w:jc w:val="both"/>
      <w:widowControl w:val="off"/>
    </w:pPr>
    <w:rPr>
      <w:rFonts w:hint="default" w:ascii="Times New Roman" w:hAnsi="Times New Roman" w:eastAsia="宋体" w:cs="Times New Roman"/>
      <w:color w:val="ff0000"/>
      <w:sz w:val="21"/>
      <w:szCs w:val="24"/>
      <w:lang w:val="en-US" w:eastAsia="zh-CN" w:bidi="ar-SA"/>
    </w:rPr>
  </w:style>
  <w:style w:type="numbering" w:styleId="9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AE9FA21-C106-4CB5-BE3B-0237D6F2D952}"/>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秦扬</cp:lastModifiedBy>
  <cp:revision>11</cp:revision>
  <dcterms:created xsi:type="dcterms:W3CDTF">2023-11-29T03:36:00Z</dcterms:created>
  <dcterms:modified xsi:type="dcterms:W3CDTF">2026-06-24T10:41:54Z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B5CC6D4250B24BD6A6AB08B01071CB08_13</vt:lpwstr>
  </property>
  <property fmtid="{D5CDD505-2E9C-101B-9397-08002B2CF9AE}" pid="4" name="KSOTemplateDocerSaveRecord">
    <vt:lpwstr>eyJoZGlkIjoiMDg4NDljZjM2M2U3NGJkNjEwNDA1YzM2OTlmODJhYjgiLCJ1c2VySWQiOiIxNDU0NzM1NTI4In0=</vt:lpwstr>
  </property>
</Properties>
</file>